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B6040C"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B6040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6040C"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B6040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6040C" w:rsidTr="002E5576">
        <w:tc>
          <w:tcPr>
            <w:tcW w:w="4518" w:type="dxa"/>
          </w:tcPr>
          <w:p w:rsidR="00BF25F3" w:rsidRPr="002E2327" w:rsidRDefault="0028676C"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28676C"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B6040C"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B6040C"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771FD0" w:rsidP="00F0068D">
      <w:pPr>
        <w:pBdr>
          <w:bottom w:val="single" w:sz="6" w:space="1" w:color="auto"/>
        </w:pBdr>
        <w:tabs>
          <w:tab w:val="center" w:pos="4680"/>
          <w:tab w:val="right" w:pos="9360"/>
        </w:tabs>
        <w:rPr>
          <w:lang w:val="fr-CA"/>
        </w:rPr>
      </w:pPr>
      <w:r>
        <w:rPr>
          <w:lang w:val="fr-CA"/>
        </w:rPr>
        <w:t>M</w:t>
      </w:r>
      <w:r w:rsidR="00C73D06">
        <w:rPr>
          <w:lang w:val="fr-CA"/>
        </w:rPr>
        <w:t>ay</w:t>
      </w:r>
      <w:r w:rsidR="00440E24" w:rsidRPr="00675479">
        <w:rPr>
          <w:lang w:val="fr-CA"/>
        </w:rPr>
        <w:t xml:space="preserve"> </w:t>
      </w:r>
      <w:r>
        <w:rPr>
          <w:lang w:val="fr-CA"/>
        </w:rPr>
        <w:t>17</w:t>
      </w:r>
      <w:r w:rsidR="002829E5">
        <w:rPr>
          <w:lang w:val="fr-CA"/>
        </w:rPr>
        <w:t>,</w:t>
      </w:r>
      <w:r w:rsidR="00440E24" w:rsidRPr="00675479">
        <w:rPr>
          <w:lang w:val="fr-CA"/>
        </w:rPr>
        <w:t xml:space="preserve"> 201</w:t>
      </w:r>
      <w:r w:rsidR="00F761A3">
        <w:rPr>
          <w:lang w:val="fr-CA"/>
        </w:rPr>
        <w:t>3</w:t>
      </w:r>
      <w:r w:rsidR="00F0068D" w:rsidRPr="00675479">
        <w:rPr>
          <w:lang w:val="fr-CA"/>
        </w:rPr>
        <w:tab/>
      </w:r>
      <w:r>
        <w:rPr>
          <w:lang w:val="fr-CA"/>
        </w:rPr>
        <w:t>8</w:t>
      </w:r>
      <w:r w:rsidR="005B6BD0">
        <w:rPr>
          <w:lang w:val="fr-CA"/>
        </w:rPr>
        <w:t>7</w:t>
      </w:r>
      <w:r>
        <w:rPr>
          <w:lang w:val="fr-CA"/>
        </w:rPr>
        <w:t>3</w:t>
      </w:r>
      <w:r w:rsidR="00F0068D" w:rsidRPr="00675479">
        <w:rPr>
          <w:lang w:val="fr-CA"/>
        </w:rPr>
        <w:t xml:space="preserve"> - </w:t>
      </w:r>
      <w:r w:rsidR="0071552E">
        <w:rPr>
          <w:lang w:val="fr-CA"/>
        </w:rPr>
        <w:t>927</w:t>
      </w:r>
      <w:r w:rsidR="00440E24" w:rsidRPr="00675479">
        <w:rPr>
          <w:lang w:val="fr-CA"/>
        </w:rPr>
        <w:tab/>
      </w:r>
      <w:r w:rsidR="00440E24" w:rsidRPr="002E2327">
        <w:rPr>
          <w:lang w:val="fr-CA"/>
        </w:rPr>
        <w:t>Le</w:t>
      </w:r>
      <w:r w:rsidR="00C73D06">
        <w:rPr>
          <w:lang w:val="fr-CA"/>
        </w:rPr>
        <w:t xml:space="preserve"> </w:t>
      </w:r>
      <w:r>
        <w:rPr>
          <w:lang w:val="fr-CA"/>
        </w:rPr>
        <w:t>17</w:t>
      </w:r>
      <w:r w:rsidR="00C73D06">
        <w:rPr>
          <w:lang w:val="fr-CA"/>
        </w:rPr>
        <w:t xml:space="preserve"> </w:t>
      </w:r>
      <w:r>
        <w:rPr>
          <w:lang w:val="fr-CA"/>
        </w:rPr>
        <w:t>m</w:t>
      </w:r>
      <w:r w:rsidR="00440E24" w:rsidRPr="002E2327">
        <w:rPr>
          <w:lang w:val="fr-CA"/>
        </w:rPr>
        <w:t>ai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771FD0" w:rsidRDefault="00440E24" w:rsidP="00440E24">
      <w:pPr>
        <w:pBdr>
          <w:bottom w:val="single" w:sz="6" w:space="1" w:color="auto"/>
        </w:pBdr>
        <w:tabs>
          <w:tab w:val="right" w:pos="9360"/>
        </w:tabs>
        <w:rPr>
          <w:sz w:val="18"/>
          <w:szCs w:val="18"/>
          <w:lang w:val="fr-CA"/>
        </w:rPr>
      </w:pPr>
      <w:r w:rsidRPr="00771FD0">
        <w:rPr>
          <w:sz w:val="18"/>
          <w:szCs w:val="18"/>
          <w:lang w:val="fr-CA"/>
        </w:rPr>
        <w:t xml:space="preserve">© </w:t>
      </w:r>
      <w:proofErr w:type="spellStart"/>
      <w:r w:rsidRPr="00771FD0">
        <w:rPr>
          <w:sz w:val="18"/>
          <w:szCs w:val="18"/>
          <w:lang w:val="fr-CA"/>
        </w:rPr>
        <w:t>Supreme</w:t>
      </w:r>
      <w:proofErr w:type="spellEnd"/>
      <w:r w:rsidRPr="00771FD0">
        <w:rPr>
          <w:sz w:val="18"/>
          <w:szCs w:val="18"/>
          <w:lang w:val="fr-CA"/>
        </w:rPr>
        <w:t xml:space="preserve"> Court of Canada (201</w:t>
      </w:r>
      <w:r w:rsidR="00F761A3" w:rsidRPr="00771FD0">
        <w:rPr>
          <w:sz w:val="18"/>
          <w:szCs w:val="18"/>
          <w:lang w:val="fr-CA"/>
        </w:rPr>
        <w:t>3</w:t>
      </w:r>
      <w:r w:rsidRPr="00771FD0">
        <w:rPr>
          <w:sz w:val="18"/>
          <w:szCs w:val="18"/>
          <w:lang w:val="fr-CA"/>
        </w:rPr>
        <w:t>)</w:t>
      </w:r>
      <w:r w:rsidRPr="00771FD0">
        <w:rPr>
          <w:sz w:val="18"/>
          <w:szCs w:val="18"/>
          <w:lang w:val="fr-CA"/>
        </w:rPr>
        <w:tab/>
        <w:t>© Cour suprême du Canada (201</w:t>
      </w:r>
      <w:r w:rsidR="00F761A3" w:rsidRPr="00771FD0">
        <w:rPr>
          <w:sz w:val="18"/>
          <w:szCs w:val="18"/>
          <w:lang w:val="fr-CA"/>
        </w:rPr>
        <w:t>3</w:t>
      </w:r>
      <w:r w:rsidRPr="00771FD0">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Oral hearing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leave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E409F7">
            <w:pPr>
              <w:tabs>
                <w:tab w:val="right" w:pos="9360"/>
              </w:tabs>
              <w:rPr>
                <w:rFonts w:cs="Times New Roman"/>
                <w:sz w:val="20"/>
                <w:szCs w:val="20"/>
              </w:rPr>
            </w:pPr>
          </w:p>
        </w:tc>
        <w:tc>
          <w:tcPr>
            <w:tcW w:w="1980" w:type="dxa"/>
          </w:tcPr>
          <w:p w:rsidR="0095096B" w:rsidRPr="002E2327" w:rsidRDefault="00F44F3A" w:rsidP="0095096B">
            <w:pPr>
              <w:jc w:val="center"/>
              <w:rPr>
                <w:rFonts w:cs="Times New Roman"/>
                <w:sz w:val="20"/>
                <w:szCs w:val="20"/>
              </w:rPr>
            </w:pPr>
            <w:r>
              <w:rPr>
                <w:rFonts w:cs="Times New Roman"/>
                <w:sz w:val="20"/>
                <w:szCs w:val="20"/>
              </w:rPr>
              <w:t>8</w:t>
            </w:r>
            <w:r w:rsidR="005B6BD0">
              <w:rPr>
                <w:rFonts w:cs="Times New Roman"/>
                <w:sz w:val="20"/>
                <w:szCs w:val="20"/>
              </w:rPr>
              <w:t>7</w:t>
            </w:r>
            <w:r>
              <w:rPr>
                <w:rFonts w:cs="Times New Roman"/>
                <w:sz w:val="20"/>
                <w:szCs w:val="20"/>
              </w:rPr>
              <w:t xml:space="preserve">3 </w:t>
            </w:r>
            <w:r w:rsidR="0028676C" w:rsidRPr="002E2327">
              <w:rPr>
                <w:rFonts w:cs="Times New Roman"/>
                <w:sz w:val="20"/>
                <w:szCs w:val="20"/>
              </w:rPr>
              <w:fldChar w:fldCharType="begin"/>
            </w:r>
            <w:r w:rsidR="0095096B" w:rsidRPr="002E2327">
              <w:rPr>
                <w:rFonts w:cs="Times New Roman"/>
                <w:sz w:val="20"/>
                <w:szCs w:val="20"/>
              </w:rPr>
              <w:instrText xml:space="preserve"> SEQ CHAPTER \h \r 1</w:instrText>
            </w:r>
            <w:r w:rsidR="0028676C"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8</w:t>
            </w:r>
            <w:r w:rsidR="005B6BD0">
              <w:rPr>
                <w:rFonts w:cs="Times New Roman"/>
                <w:sz w:val="20"/>
                <w:szCs w:val="20"/>
              </w:rPr>
              <w:t>74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44F3A" w:rsidP="0095096B">
            <w:pPr>
              <w:jc w:val="center"/>
              <w:rPr>
                <w:rFonts w:cs="Times New Roman"/>
                <w:sz w:val="20"/>
                <w:szCs w:val="20"/>
              </w:rPr>
            </w:pPr>
            <w:r>
              <w:rPr>
                <w:rFonts w:cs="Times New Roman"/>
                <w:sz w:val="20"/>
                <w:szCs w:val="20"/>
              </w:rPr>
              <w:t>8</w:t>
            </w:r>
            <w:r w:rsidR="005B6BD0">
              <w:rPr>
                <w:rFonts w:cs="Times New Roman"/>
                <w:sz w:val="20"/>
                <w:szCs w:val="20"/>
              </w:rPr>
              <w:t>75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D3430" w:rsidP="0095096B">
            <w:pPr>
              <w:jc w:val="center"/>
              <w:rPr>
                <w:rFonts w:cs="Times New Roman"/>
                <w:sz w:val="20"/>
                <w:szCs w:val="20"/>
              </w:rPr>
            </w:pPr>
            <w:r>
              <w:rPr>
                <w:rFonts w:cs="Times New Roman"/>
                <w:sz w:val="20"/>
                <w:szCs w:val="20"/>
              </w:rPr>
              <w:t>876 - 877</w:t>
            </w:r>
          </w:p>
          <w:p w:rsidR="0095096B" w:rsidRDefault="0095096B" w:rsidP="0095096B">
            <w:pPr>
              <w:jc w:val="center"/>
              <w:rPr>
                <w:rFonts w:cs="Times New Roman"/>
                <w:sz w:val="20"/>
                <w:szCs w:val="20"/>
              </w:rPr>
            </w:pPr>
          </w:p>
          <w:p w:rsidR="008D3430" w:rsidRPr="002E2327" w:rsidRDefault="008D3430" w:rsidP="0095096B">
            <w:pPr>
              <w:jc w:val="center"/>
              <w:rPr>
                <w:rFonts w:cs="Times New Roman"/>
                <w:sz w:val="20"/>
                <w:szCs w:val="20"/>
              </w:rPr>
            </w:pPr>
          </w:p>
          <w:p w:rsidR="0095096B" w:rsidRPr="002E2327" w:rsidRDefault="008D3430" w:rsidP="0095096B">
            <w:pPr>
              <w:jc w:val="center"/>
              <w:rPr>
                <w:rFonts w:cs="Times New Roman"/>
                <w:sz w:val="20"/>
                <w:szCs w:val="20"/>
              </w:rPr>
            </w:pPr>
            <w:r>
              <w:rPr>
                <w:rFonts w:cs="Times New Roman"/>
                <w:sz w:val="20"/>
                <w:szCs w:val="20"/>
              </w:rPr>
              <w:t xml:space="preserve">878 </w:t>
            </w:r>
            <w:r w:rsidR="0095096B" w:rsidRPr="002E2327">
              <w:rPr>
                <w:rFonts w:cs="Times New Roman"/>
                <w:sz w:val="20"/>
                <w:szCs w:val="20"/>
              </w:rPr>
              <w:t>-</w:t>
            </w:r>
            <w:r w:rsidR="00A44805">
              <w:rPr>
                <w:rFonts w:cs="Times New Roman"/>
                <w:sz w:val="20"/>
                <w:szCs w:val="20"/>
              </w:rPr>
              <w:t xml:space="preserve"> 909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44805" w:rsidP="0095096B">
            <w:pPr>
              <w:jc w:val="center"/>
              <w:rPr>
                <w:rFonts w:cs="Times New Roman"/>
                <w:sz w:val="20"/>
                <w:szCs w:val="20"/>
              </w:rPr>
            </w:pPr>
            <w:r>
              <w:rPr>
                <w:rFonts w:cs="Times New Roman"/>
                <w:sz w:val="20"/>
                <w:szCs w:val="20"/>
              </w:rPr>
              <w:t xml:space="preserve">910 </w:t>
            </w:r>
            <w:r w:rsidR="0095096B" w:rsidRPr="002E2327">
              <w:rPr>
                <w:rFonts w:cs="Times New Roman"/>
                <w:sz w:val="20"/>
                <w:szCs w:val="20"/>
              </w:rPr>
              <w:t>-</w:t>
            </w:r>
            <w:r>
              <w:rPr>
                <w:rFonts w:cs="Times New Roman"/>
                <w:sz w:val="20"/>
                <w:szCs w:val="20"/>
              </w:rPr>
              <w:t xml:space="preserve"> 914</w:t>
            </w:r>
          </w:p>
          <w:p w:rsidR="0095096B" w:rsidRPr="002E2327" w:rsidRDefault="0095096B" w:rsidP="0095096B">
            <w:pPr>
              <w:jc w:val="center"/>
              <w:rPr>
                <w:rFonts w:cs="Times New Roman"/>
                <w:sz w:val="20"/>
                <w:szCs w:val="20"/>
              </w:rPr>
            </w:pPr>
          </w:p>
          <w:p w:rsidR="0095096B" w:rsidRPr="002E2327" w:rsidRDefault="00A44805" w:rsidP="0095096B">
            <w:pPr>
              <w:jc w:val="center"/>
              <w:rPr>
                <w:rFonts w:cs="Times New Roman"/>
                <w:sz w:val="20"/>
                <w:szCs w:val="20"/>
              </w:rPr>
            </w:pPr>
            <w:r>
              <w:rPr>
                <w:rFonts w:cs="Times New Roman"/>
                <w:sz w:val="20"/>
                <w:szCs w:val="20"/>
              </w:rPr>
              <w:t xml:space="preserve">915 </w:t>
            </w:r>
            <w:r w:rsidR="0095096B" w:rsidRPr="002E2327">
              <w:rPr>
                <w:rFonts w:cs="Times New Roman"/>
                <w:sz w:val="20"/>
                <w:szCs w:val="20"/>
              </w:rPr>
              <w:t>-</w:t>
            </w:r>
            <w:r>
              <w:rPr>
                <w:rFonts w:cs="Times New Roman"/>
                <w:sz w:val="20"/>
                <w:szCs w:val="20"/>
              </w:rPr>
              <w:t xml:space="preserve"> 916</w:t>
            </w:r>
          </w:p>
          <w:p w:rsidR="0095096B" w:rsidRDefault="0095096B" w:rsidP="0095096B">
            <w:pPr>
              <w:jc w:val="center"/>
              <w:rPr>
                <w:rFonts w:cs="Times New Roman"/>
                <w:sz w:val="20"/>
                <w:szCs w:val="20"/>
              </w:rPr>
            </w:pPr>
          </w:p>
          <w:p w:rsidR="00152233" w:rsidRPr="002E2327" w:rsidRDefault="00152233" w:rsidP="0095096B">
            <w:pPr>
              <w:jc w:val="center"/>
              <w:rPr>
                <w:rFonts w:cs="Times New Roman"/>
                <w:sz w:val="20"/>
                <w:szCs w:val="20"/>
              </w:rPr>
            </w:pPr>
          </w:p>
          <w:p w:rsidR="0095096B" w:rsidRPr="002E2327" w:rsidRDefault="00A44805" w:rsidP="0095096B">
            <w:pPr>
              <w:jc w:val="center"/>
              <w:rPr>
                <w:rFonts w:cs="Times New Roman"/>
                <w:sz w:val="20"/>
                <w:szCs w:val="20"/>
              </w:rPr>
            </w:pPr>
            <w:r>
              <w:rPr>
                <w:rFonts w:cs="Times New Roman"/>
                <w:sz w:val="20"/>
                <w:szCs w:val="20"/>
              </w:rPr>
              <w:t>917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44805" w:rsidP="0095096B">
            <w:pPr>
              <w:jc w:val="center"/>
              <w:rPr>
                <w:rFonts w:cs="Times New Roman"/>
                <w:sz w:val="20"/>
                <w:szCs w:val="20"/>
              </w:rPr>
            </w:pPr>
            <w:r>
              <w:rPr>
                <w:rFonts w:cs="Times New Roman"/>
                <w:sz w:val="20"/>
                <w:szCs w:val="20"/>
              </w:rPr>
              <w:t xml:space="preserve">918 </w:t>
            </w:r>
            <w:r w:rsidR="0095096B" w:rsidRPr="002E2327">
              <w:rPr>
                <w:rFonts w:cs="Times New Roman"/>
                <w:sz w:val="20"/>
                <w:szCs w:val="20"/>
              </w:rPr>
              <w:t>-</w:t>
            </w:r>
            <w:r w:rsidR="00835FBA">
              <w:rPr>
                <w:rFonts w:cs="Times New Roman"/>
                <w:sz w:val="20"/>
                <w:szCs w:val="20"/>
              </w:rPr>
              <w:t xml:space="preserve"> 920</w:t>
            </w:r>
          </w:p>
          <w:p w:rsidR="0095096B" w:rsidRDefault="0095096B" w:rsidP="0095096B">
            <w:pPr>
              <w:jc w:val="center"/>
              <w:rPr>
                <w:rFonts w:cs="Times New Roman"/>
                <w:sz w:val="20"/>
                <w:szCs w:val="20"/>
              </w:rPr>
            </w:pPr>
          </w:p>
          <w:p w:rsidR="00152233" w:rsidRPr="002E2327" w:rsidRDefault="00152233" w:rsidP="0095096B">
            <w:pPr>
              <w:jc w:val="center"/>
              <w:rPr>
                <w:rFonts w:cs="Times New Roman"/>
                <w:sz w:val="20"/>
                <w:szCs w:val="20"/>
              </w:rPr>
            </w:pPr>
          </w:p>
          <w:p w:rsidR="0095096B" w:rsidRPr="002E2327" w:rsidRDefault="00835FBA" w:rsidP="0095096B">
            <w:pPr>
              <w:jc w:val="center"/>
              <w:rPr>
                <w:rFonts w:cs="Times New Roman"/>
                <w:sz w:val="20"/>
                <w:szCs w:val="20"/>
              </w:rPr>
            </w:pPr>
            <w:r>
              <w:rPr>
                <w:rFonts w:cs="Times New Roman"/>
                <w:sz w:val="20"/>
                <w:szCs w:val="20"/>
              </w:rPr>
              <w:t>921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35FBA" w:rsidP="0095096B">
            <w:pPr>
              <w:jc w:val="center"/>
              <w:rPr>
                <w:rFonts w:cs="Times New Roman"/>
                <w:sz w:val="20"/>
                <w:szCs w:val="20"/>
              </w:rPr>
            </w:pPr>
            <w:r>
              <w:rPr>
                <w:rFonts w:cs="Times New Roman"/>
                <w:sz w:val="20"/>
                <w:szCs w:val="20"/>
              </w:rPr>
              <w:t xml:space="preserve">922 </w:t>
            </w:r>
            <w:r w:rsidR="0095096B" w:rsidRPr="002E2327">
              <w:rPr>
                <w:rFonts w:cs="Times New Roman"/>
                <w:sz w:val="20"/>
                <w:szCs w:val="20"/>
              </w:rPr>
              <w:t>-</w:t>
            </w:r>
            <w:r w:rsidR="0071552E">
              <w:rPr>
                <w:rFonts w:cs="Times New Roman"/>
                <w:sz w:val="20"/>
                <w:szCs w:val="20"/>
              </w:rPr>
              <w:t xml:space="preserve"> 927</w:t>
            </w:r>
          </w:p>
          <w:p w:rsidR="00A87207" w:rsidRPr="002E2327" w:rsidRDefault="00A87207" w:rsidP="00E409F7">
            <w:pPr>
              <w:tabs>
                <w:tab w:val="right" w:pos="9360"/>
              </w:tabs>
              <w:jc w:val="center"/>
              <w:rPr>
                <w:rFonts w:cs="Times New Roman"/>
                <w:sz w:val="20"/>
                <w:szCs w:val="20"/>
              </w:rPr>
            </w:pPr>
          </w:p>
        </w:tc>
        <w:tc>
          <w:tcPr>
            <w:tcW w:w="3888" w:type="dxa"/>
          </w:tcPr>
          <w:p w:rsidR="0095096B" w:rsidRPr="002E2327" w:rsidRDefault="0028676C"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Audience sur les demandes 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E409F7">
            <w:pPr>
              <w:tabs>
                <w:tab w:val="right" w:pos="9360"/>
              </w:tabs>
              <w:rPr>
                <w:rFonts w:cs="Times New Roman"/>
                <w:sz w:val="20"/>
                <w:szCs w:val="20"/>
                <w:lang w:val="fr-CA"/>
              </w:rPr>
            </w:pPr>
          </w:p>
        </w:tc>
      </w:tr>
    </w:tbl>
    <w:p w:rsidR="0095096B" w:rsidRDefault="0095096B" w:rsidP="0095096B">
      <w:pPr>
        <w:tabs>
          <w:tab w:val="right" w:pos="9360"/>
        </w:tabs>
      </w:pPr>
    </w:p>
    <w:p w:rsidR="00E409F7" w:rsidRDefault="00E409F7" w:rsidP="0095096B">
      <w:pPr>
        <w:tabs>
          <w:tab w:val="right" w:pos="9360"/>
        </w:tabs>
      </w:pPr>
    </w:p>
    <w:p w:rsidR="00E409F7" w:rsidRDefault="00E409F7" w:rsidP="0095096B">
      <w:pPr>
        <w:tabs>
          <w:tab w:val="right" w:pos="9360"/>
        </w:tabs>
      </w:pPr>
    </w:p>
    <w:p w:rsidR="00E409F7" w:rsidRDefault="00E409F7" w:rsidP="0095096B">
      <w:pPr>
        <w:tabs>
          <w:tab w:val="right" w:pos="9360"/>
        </w:tabs>
      </w:pPr>
    </w:p>
    <w:p w:rsidR="00E409F7" w:rsidRPr="002E2327" w:rsidRDefault="00E409F7" w:rsidP="0095096B">
      <w:pPr>
        <w:tabs>
          <w:tab w:val="right" w:pos="9360"/>
        </w:tabs>
      </w:pPr>
    </w:p>
    <w:tbl>
      <w:tblPr>
        <w:tblStyle w:val="TableGrid"/>
        <w:tblW w:w="0" w:type="auto"/>
        <w:tblLook w:val="04A0"/>
      </w:tblPr>
      <w:tblGrid>
        <w:gridCol w:w="9576"/>
      </w:tblGrid>
      <w:tr w:rsidR="0079724F" w:rsidRPr="00B6040C"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4B2CEB" w:rsidP="003B3977">
            <w:pPr>
              <w:rPr>
                <w:b/>
                <w:sz w:val="20"/>
                <w:szCs w:val="20"/>
              </w:rPr>
            </w:pPr>
            <w:r>
              <w:rPr>
                <w:b/>
                <w:sz w:val="20"/>
                <w:szCs w:val="20"/>
              </w:rPr>
              <w:t>AGC Flat Glass North America Ltd.</w:t>
            </w:r>
          </w:p>
          <w:p w:rsidR="00242AEE" w:rsidRPr="00A935AA" w:rsidRDefault="00242AEE" w:rsidP="003B3977">
            <w:pPr>
              <w:tabs>
                <w:tab w:val="left" w:pos="-1440"/>
                <w:tab w:val="left" w:pos="-720"/>
              </w:tabs>
              <w:rPr>
                <w:sz w:val="20"/>
                <w:szCs w:val="20"/>
              </w:rPr>
            </w:pPr>
            <w:r w:rsidRPr="00A935AA">
              <w:rPr>
                <w:sz w:val="20"/>
                <w:szCs w:val="20"/>
              </w:rPr>
              <w:tab/>
            </w:r>
            <w:r w:rsidR="004B2CEB">
              <w:rPr>
                <w:sz w:val="20"/>
                <w:szCs w:val="20"/>
              </w:rPr>
              <w:t xml:space="preserve">Theodore </w:t>
            </w:r>
            <w:proofErr w:type="spellStart"/>
            <w:r w:rsidR="004B2CEB">
              <w:rPr>
                <w:sz w:val="20"/>
                <w:szCs w:val="20"/>
              </w:rPr>
              <w:t>Goloff</w:t>
            </w:r>
            <w:proofErr w:type="spellEnd"/>
          </w:p>
          <w:p w:rsidR="00242AEE" w:rsidRPr="008D3430" w:rsidRDefault="00242AEE" w:rsidP="003B3977">
            <w:pPr>
              <w:tabs>
                <w:tab w:val="left" w:pos="-1440"/>
                <w:tab w:val="left" w:pos="-720"/>
              </w:tabs>
              <w:rPr>
                <w:sz w:val="20"/>
                <w:szCs w:val="20"/>
              </w:rPr>
            </w:pPr>
            <w:r w:rsidRPr="00A935AA">
              <w:rPr>
                <w:sz w:val="20"/>
                <w:szCs w:val="20"/>
              </w:rPr>
              <w:tab/>
            </w:r>
            <w:r w:rsidR="004B2CEB" w:rsidRPr="008D3430">
              <w:rPr>
                <w:sz w:val="20"/>
                <w:szCs w:val="20"/>
              </w:rPr>
              <w:t xml:space="preserve">Robinson Sheppard Shapiro </w:t>
            </w:r>
          </w:p>
          <w:p w:rsidR="00242AEE" w:rsidRPr="008D3430" w:rsidRDefault="00242AEE" w:rsidP="003B3977">
            <w:pPr>
              <w:tabs>
                <w:tab w:val="left" w:pos="-1440"/>
                <w:tab w:val="left" w:pos="-720"/>
              </w:tabs>
              <w:rPr>
                <w:sz w:val="20"/>
                <w:szCs w:val="20"/>
              </w:rPr>
            </w:pPr>
          </w:p>
          <w:p w:rsidR="00242AEE" w:rsidRPr="008D3430" w:rsidRDefault="00242AEE" w:rsidP="003B3977">
            <w:pPr>
              <w:tabs>
                <w:tab w:val="left" w:pos="-1440"/>
                <w:tab w:val="left" w:pos="-720"/>
              </w:tabs>
              <w:rPr>
                <w:sz w:val="20"/>
                <w:szCs w:val="20"/>
              </w:rPr>
            </w:pPr>
            <w:r w:rsidRPr="008D3430">
              <w:rPr>
                <w:sz w:val="20"/>
                <w:szCs w:val="20"/>
              </w:rPr>
              <w:tab/>
              <w:t>v. (3</w:t>
            </w:r>
            <w:r w:rsidR="004D37D0" w:rsidRPr="008D3430">
              <w:rPr>
                <w:sz w:val="20"/>
                <w:szCs w:val="20"/>
              </w:rPr>
              <w:t>5</w:t>
            </w:r>
            <w:r w:rsidR="004B2CEB" w:rsidRPr="008D3430">
              <w:rPr>
                <w:sz w:val="20"/>
                <w:szCs w:val="20"/>
              </w:rPr>
              <w:t>340</w:t>
            </w:r>
            <w:r w:rsidRPr="008D3430">
              <w:rPr>
                <w:sz w:val="20"/>
                <w:szCs w:val="20"/>
              </w:rPr>
              <w:t>)</w:t>
            </w:r>
          </w:p>
          <w:p w:rsidR="00242AEE" w:rsidRPr="008D3430" w:rsidRDefault="00242AEE" w:rsidP="003B3977">
            <w:pPr>
              <w:tabs>
                <w:tab w:val="left" w:pos="-1440"/>
                <w:tab w:val="left" w:pos="-720"/>
              </w:tabs>
              <w:rPr>
                <w:sz w:val="20"/>
                <w:szCs w:val="20"/>
              </w:rPr>
            </w:pPr>
          </w:p>
          <w:p w:rsidR="00242AEE" w:rsidRPr="004B2CEB" w:rsidRDefault="004B2CEB" w:rsidP="003B3977">
            <w:pPr>
              <w:tabs>
                <w:tab w:val="left" w:pos="-1440"/>
                <w:tab w:val="left" w:pos="-720"/>
              </w:tabs>
              <w:rPr>
                <w:b/>
                <w:sz w:val="20"/>
                <w:szCs w:val="20"/>
                <w:lang w:val="fr-CA"/>
              </w:rPr>
            </w:pPr>
            <w:r w:rsidRPr="004B2CEB">
              <w:rPr>
                <w:b/>
                <w:sz w:val="20"/>
                <w:szCs w:val="20"/>
                <w:lang w:val="fr-CA"/>
              </w:rPr>
              <w:t xml:space="preserve">Syndicat </w:t>
            </w:r>
            <w:r w:rsidR="00F44F3A">
              <w:rPr>
                <w:b/>
                <w:sz w:val="20"/>
                <w:szCs w:val="20"/>
                <w:lang w:val="fr-CA"/>
              </w:rPr>
              <w:t>n</w:t>
            </w:r>
            <w:r w:rsidRPr="004B2CEB">
              <w:rPr>
                <w:b/>
                <w:sz w:val="20"/>
                <w:szCs w:val="20"/>
                <w:lang w:val="fr-CA"/>
              </w:rPr>
              <w:t>ational de l’automobile, de l’aérospatiale, du transport et des autres travailleurs et travailleuses du Canada (</w:t>
            </w:r>
            <w:proofErr w:type="spellStart"/>
            <w:r w:rsidRPr="004B2CEB">
              <w:rPr>
                <w:b/>
                <w:sz w:val="20"/>
                <w:szCs w:val="20"/>
                <w:lang w:val="fr-CA"/>
              </w:rPr>
              <w:t>TCA</w:t>
            </w:r>
            <w:r w:rsidR="00F44F3A">
              <w:rPr>
                <w:b/>
                <w:sz w:val="20"/>
                <w:szCs w:val="20"/>
                <w:lang w:val="fr-CA"/>
              </w:rPr>
              <w:noBreakHyphen/>
            </w:r>
            <w:r w:rsidRPr="004B2CEB">
              <w:rPr>
                <w:b/>
                <w:sz w:val="20"/>
                <w:szCs w:val="20"/>
                <w:lang w:val="fr-CA"/>
              </w:rPr>
              <w:t>Canada</w:t>
            </w:r>
            <w:proofErr w:type="spellEnd"/>
            <w:r w:rsidRPr="004B2CEB">
              <w:rPr>
                <w:b/>
                <w:sz w:val="20"/>
                <w:szCs w:val="20"/>
                <w:lang w:val="fr-CA"/>
              </w:rPr>
              <w:t>) et al.</w:t>
            </w:r>
            <w:r>
              <w:rPr>
                <w:b/>
                <w:sz w:val="20"/>
                <w:szCs w:val="20"/>
                <w:lang w:val="fr-CA"/>
              </w:rPr>
              <w:t xml:space="preserve"> </w:t>
            </w:r>
            <w:r w:rsidR="00242AEE" w:rsidRPr="004B2CEB">
              <w:rPr>
                <w:b/>
                <w:sz w:val="20"/>
                <w:szCs w:val="20"/>
                <w:lang w:val="fr-CA"/>
              </w:rPr>
              <w:t>(</w:t>
            </w:r>
            <w:r>
              <w:rPr>
                <w:b/>
                <w:sz w:val="20"/>
                <w:szCs w:val="20"/>
                <w:lang w:val="fr-CA"/>
              </w:rPr>
              <w:t>Que</w:t>
            </w:r>
            <w:r w:rsidR="00242AEE" w:rsidRPr="004B2CEB">
              <w:rPr>
                <w:b/>
                <w:sz w:val="20"/>
                <w:szCs w:val="20"/>
                <w:lang w:val="fr-CA"/>
              </w:rPr>
              <w:t>.)</w:t>
            </w:r>
          </w:p>
          <w:p w:rsidR="00242AEE" w:rsidRPr="004B2CEB" w:rsidRDefault="00242AEE" w:rsidP="003B3977">
            <w:pPr>
              <w:tabs>
                <w:tab w:val="left" w:pos="-1440"/>
                <w:tab w:val="left" w:pos="-720"/>
              </w:tabs>
              <w:rPr>
                <w:sz w:val="20"/>
                <w:szCs w:val="20"/>
                <w:lang w:val="fr-CA"/>
              </w:rPr>
            </w:pPr>
            <w:r w:rsidRPr="004B2CEB">
              <w:rPr>
                <w:sz w:val="20"/>
                <w:szCs w:val="20"/>
                <w:lang w:val="fr-CA"/>
              </w:rPr>
              <w:tab/>
            </w:r>
            <w:r w:rsidR="004B2CEB">
              <w:rPr>
                <w:sz w:val="20"/>
                <w:szCs w:val="20"/>
                <w:lang w:val="fr-CA"/>
              </w:rPr>
              <w:t>Catherine Saint-Germain</w:t>
            </w:r>
          </w:p>
          <w:p w:rsidR="00242AEE" w:rsidRPr="004B2CEB" w:rsidRDefault="00242AEE" w:rsidP="003B3977">
            <w:pPr>
              <w:tabs>
                <w:tab w:val="left" w:pos="-1440"/>
                <w:tab w:val="left" w:pos="-720"/>
              </w:tabs>
              <w:rPr>
                <w:sz w:val="20"/>
                <w:szCs w:val="20"/>
                <w:lang w:val="fr-CA"/>
              </w:rPr>
            </w:pPr>
            <w:r w:rsidRPr="004B2CEB">
              <w:rPr>
                <w:sz w:val="20"/>
                <w:szCs w:val="20"/>
                <w:lang w:val="fr-CA"/>
              </w:rPr>
              <w:tab/>
            </w:r>
            <w:r w:rsidR="004B2CEB">
              <w:rPr>
                <w:sz w:val="20"/>
                <w:szCs w:val="20"/>
                <w:lang w:val="fr-CA"/>
              </w:rPr>
              <w:t>TCA-Canada</w:t>
            </w:r>
          </w:p>
          <w:p w:rsidR="00242AEE" w:rsidRPr="004B2CEB" w:rsidRDefault="00242AEE" w:rsidP="003B3977">
            <w:pPr>
              <w:tabs>
                <w:tab w:val="left" w:pos="-1440"/>
                <w:tab w:val="left" w:pos="-720"/>
              </w:tabs>
              <w:rPr>
                <w:sz w:val="20"/>
                <w:szCs w:val="20"/>
                <w:lang w:val="fr-CA"/>
              </w:rPr>
            </w:pPr>
          </w:p>
          <w:p w:rsidR="00242AEE" w:rsidRPr="00F44F3A" w:rsidRDefault="00242AEE" w:rsidP="003B3977">
            <w:pPr>
              <w:rPr>
                <w:sz w:val="20"/>
                <w:szCs w:val="20"/>
                <w:lang w:val="fr-CA"/>
              </w:rPr>
            </w:pPr>
            <w:r w:rsidRPr="00F44F3A">
              <w:rPr>
                <w:sz w:val="20"/>
                <w:szCs w:val="20"/>
                <w:lang w:val="fr-CA"/>
              </w:rPr>
              <w:t>FILING DATE: 2</w:t>
            </w:r>
            <w:r w:rsidR="004B2CEB" w:rsidRPr="00F44F3A">
              <w:rPr>
                <w:sz w:val="20"/>
                <w:szCs w:val="20"/>
                <w:lang w:val="fr-CA"/>
              </w:rPr>
              <w:t>6</w:t>
            </w:r>
            <w:r w:rsidRPr="00F44F3A">
              <w:rPr>
                <w:sz w:val="20"/>
                <w:szCs w:val="20"/>
                <w:lang w:val="fr-CA"/>
              </w:rPr>
              <w:t>.0</w:t>
            </w:r>
            <w:r w:rsidR="004D37D0" w:rsidRPr="00F44F3A">
              <w:rPr>
                <w:sz w:val="20"/>
                <w:szCs w:val="20"/>
                <w:lang w:val="fr-CA"/>
              </w:rPr>
              <w:t>4</w:t>
            </w:r>
            <w:r w:rsidRPr="00F44F3A">
              <w:rPr>
                <w:sz w:val="20"/>
                <w:szCs w:val="20"/>
                <w:lang w:val="fr-CA"/>
              </w:rPr>
              <w:t>.201</w:t>
            </w:r>
            <w:r w:rsidR="004D37D0" w:rsidRPr="00F44F3A">
              <w:rPr>
                <w:sz w:val="20"/>
                <w:szCs w:val="20"/>
                <w:lang w:val="fr-CA"/>
              </w:rPr>
              <w:t>3</w:t>
            </w:r>
          </w:p>
          <w:p w:rsidR="00242AEE" w:rsidRPr="00A935AA" w:rsidRDefault="0028676C" w:rsidP="003B3977">
            <w:pPr>
              <w:rPr>
                <w:sz w:val="20"/>
                <w:szCs w:val="20"/>
              </w:rPr>
            </w:pPr>
            <w:r w:rsidRPr="0028676C">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Default="00242AEE" w:rsidP="00242AEE">
            <w:pPr>
              <w:jc w:val="center"/>
              <w:rPr>
                <w:sz w:val="20"/>
                <w:szCs w:val="20"/>
              </w:rPr>
            </w:pPr>
          </w:p>
          <w:p w:rsidR="004B2CEB" w:rsidRDefault="004B2CEB" w:rsidP="00242AEE">
            <w:pPr>
              <w:jc w:val="center"/>
              <w:rPr>
                <w:sz w:val="20"/>
                <w:szCs w:val="20"/>
              </w:rPr>
            </w:pPr>
          </w:p>
          <w:p w:rsidR="004B2CEB" w:rsidRPr="00A935AA" w:rsidRDefault="004B2CEB"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4B2CEB" w:rsidRDefault="004B2CEB" w:rsidP="003B3977">
            <w:pPr>
              <w:keepNext/>
              <w:keepLines/>
              <w:tabs>
                <w:tab w:val="left" w:pos="-1440"/>
                <w:tab w:val="left" w:pos="-720"/>
              </w:tabs>
              <w:rPr>
                <w:b/>
                <w:sz w:val="20"/>
                <w:szCs w:val="20"/>
                <w:lang w:val="fr-CA"/>
              </w:rPr>
            </w:pPr>
            <w:r w:rsidRPr="004B2CEB">
              <w:rPr>
                <w:b/>
                <w:sz w:val="20"/>
                <w:szCs w:val="20"/>
                <w:lang w:val="fr-CA"/>
              </w:rPr>
              <w:t>Onex Corporation et al.</w:t>
            </w:r>
          </w:p>
          <w:p w:rsidR="00242AEE" w:rsidRPr="004B2CEB" w:rsidRDefault="00242AEE" w:rsidP="003B3977">
            <w:pPr>
              <w:keepNext/>
              <w:keepLines/>
              <w:tabs>
                <w:tab w:val="left" w:pos="-1440"/>
                <w:tab w:val="left" w:pos="-720"/>
              </w:tabs>
              <w:rPr>
                <w:sz w:val="20"/>
                <w:szCs w:val="20"/>
                <w:lang w:val="fr-CA"/>
              </w:rPr>
            </w:pPr>
            <w:r w:rsidRPr="004B2CEB">
              <w:rPr>
                <w:sz w:val="20"/>
                <w:szCs w:val="20"/>
                <w:lang w:val="fr-CA"/>
              </w:rPr>
              <w:tab/>
            </w:r>
            <w:r w:rsidR="004B2CEB" w:rsidRPr="004B2CEB">
              <w:rPr>
                <w:sz w:val="20"/>
                <w:szCs w:val="20"/>
                <w:lang w:val="fr-CA"/>
              </w:rPr>
              <w:t>Geoffrey D.E. Adair, Q.C.</w:t>
            </w:r>
          </w:p>
          <w:p w:rsidR="00242AEE" w:rsidRPr="004B2CEB" w:rsidRDefault="00242AEE" w:rsidP="003B3977">
            <w:pPr>
              <w:keepNext/>
              <w:keepLines/>
              <w:tabs>
                <w:tab w:val="left" w:pos="-1440"/>
                <w:tab w:val="left" w:pos="-720"/>
              </w:tabs>
              <w:rPr>
                <w:sz w:val="20"/>
                <w:szCs w:val="20"/>
              </w:rPr>
            </w:pPr>
            <w:r w:rsidRPr="004B2CEB">
              <w:rPr>
                <w:sz w:val="20"/>
                <w:szCs w:val="20"/>
                <w:lang w:val="fr-CA"/>
              </w:rPr>
              <w:tab/>
            </w:r>
            <w:r w:rsidR="004B2CEB" w:rsidRPr="004B2CEB">
              <w:rPr>
                <w:sz w:val="20"/>
                <w:szCs w:val="20"/>
              </w:rPr>
              <w:t>Adair Morse LLP</w:t>
            </w:r>
          </w:p>
          <w:p w:rsidR="00242AEE" w:rsidRPr="004B2CEB" w:rsidRDefault="00242AEE" w:rsidP="003B3977">
            <w:pPr>
              <w:keepNext/>
              <w:keepLines/>
              <w:tabs>
                <w:tab w:val="left" w:pos="-1440"/>
                <w:tab w:val="left" w:pos="-720"/>
              </w:tabs>
              <w:rPr>
                <w:sz w:val="20"/>
                <w:szCs w:val="20"/>
              </w:rPr>
            </w:pPr>
          </w:p>
          <w:p w:rsidR="00242AEE" w:rsidRPr="004B2CEB" w:rsidRDefault="00242AEE" w:rsidP="003B3977">
            <w:pPr>
              <w:keepNext/>
              <w:keepLines/>
              <w:tabs>
                <w:tab w:val="left" w:pos="-1440"/>
                <w:tab w:val="left" w:pos="-720"/>
              </w:tabs>
              <w:rPr>
                <w:sz w:val="20"/>
                <w:szCs w:val="20"/>
              </w:rPr>
            </w:pPr>
            <w:r w:rsidRPr="004B2CEB">
              <w:rPr>
                <w:sz w:val="20"/>
                <w:szCs w:val="20"/>
              </w:rPr>
              <w:tab/>
              <w:t>v. (3</w:t>
            </w:r>
            <w:r w:rsidR="004D37D0" w:rsidRPr="004B2CEB">
              <w:rPr>
                <w:sz w:val="20"/>
                <w:szCs w:val="20"/>
              </w:rPr>
              <w:t>5</w:t>
            </w:r>
            <w:r w:rsidR="004B2CEB" w:rsidRPr="004B2CEB">
              <w:rPr>
                <w:sz w:val="20"/>
                <w:szCs w:val="20"/>
              </w:rPr>
              <w:t>341</w:t>
            </w:r>
            <w:r w:rsidRPr="004B2CEB">
              <w:rPr>
                <w:sz w:val="20"/>
                <w:szCs w:val="20"/>
              </w:rPr>
              <w:t>)</w:t>
            </w:r>
          </w:p>
          <w:p w:rsidR="00242AEE" w:rsidRPr="004B2CEB" w:rsidRDefault="00242AEE" w:rsidP="003B3977">
            <w:pPr>
              <w:keepNext/>
              <w:keepLines/>
              <w:tabs>
                <w:tab w:val="left" w:pos="-1440"/>
                <w:tab w:val="left" w:pos="-720"/>
              </w:tabs>
              <w:rPr>
                <w:sz w:val="20"/>
                <w:szCs w:val="20"/>
              </w:rPr>
            </w:pPr>
          </w:p>
          <w:p w:rsidR="00242AEE" w:rsidRPr="004B2CEB" w:rsidRDefault="004B2CEB" w:rsidP="003B3977">
            <w:pPr>
              <w:keepNext/>
              <w:keepLines/>
              <w:tabs>
                <w:tab w:val="left" w:pos="-1440"/>
                <w:tab w:val="left" w:pos="-720"/>
              </w:tabs>
              <w:rPr>
                <w:b/>
                <w:sz w:val="20"/>
                <w:szCs w:val="20"/>
              </w:rPr>
            </w:pPr>
            <w:r>
              <w:rPr>
                <w:b/>
                <w:sz w:val="20"/>
                <w:szCs w:val="20"/>
              </w:rPr>
              <w:t xml:space="preserve">American Home Assurance Company et al. </w:t>
            </w:r>
            <w:r w:rsidR="00242AEE" w:rsidRPr="004B2CEB">
              <w:rPr>
                <w:b/>
                <w:sz w:val="20"/>
                <w:szCs w:val="20"/>
              </w:rPr>
              <w:t>(Ont.)</w:t>
            </w:r>
          </w:p>
          <w:p w:rsidR="00242AEE" w:rsidRPr="004B2CEB" w:rsidRDefault="00242AEE" w:rsidP="003B3977">
            <w:pPr>
              <w:keepNext/>
              <w:keepLines/>
              <w:tabs>
                <w:tab w:val="left" w:pos="-1440"/>
                <w:tab w:val="left" w:pos="-720"/>
              </w:tabs>
              <w:rPr>
                <w:sz w:val="20"/>
                <w:szCs w:val="20"/>
              </w:rPr>
            </w:pPr>
            <w:r w:rsidRPr="004B2CEB">
              <w:rPr>
                <w:sz w:val="20"/>
                <w:szCs w:val="20"/>
              </w:rPr>
              <w:tab/>
            </w:r>
            <w:r w:rsidR="004B2CEB">
              <w:rPr>
                <w:sz w:val="20"/>
                <w:szCs w:val="20"/>
              </w:rPr>
              <w:t>Glenn A. Smith</w:t>
            </w:r>
          </w:p>
          <w:p w:rsidR="00242AEE" w:rsidRPr="004B2CEB" w:rsidRDefault="00242AEE" w:rsidP="003B3977">
            <w:pPr>
              <w:keepNext/>
              <w:keepLines/>
              <w:tabs>
                <w:tab w:val="left" w:pos="-1440"/>
                <w:tab w:val="left" w:pos="-720"/>
              </w:tabs>
              <w:rPr>
                <w:sz w:val="20"/>
                <w:szCs w:val="20"/>
              </w:rPr>
            </w:pPr>
            <w:r w:rsidRPr="004B2CEB">
              <w:rPr>
                <w:sz w:val="20"/>
                <w:szCs w:val="20"/>
              </w:rPr>
              <w:tab/>
            </w:r>
            <w:proofErr w:type="spellStart"/>
            <w:r w:rsidR="004B2CEB">
              <w:rPr>
                <w:sz w:val="20"/>
                <w:szCs w:val="20"/>
              </w:rPr>
              <w:t>Lenczner</w:t>
            </w:r>
            <w:proofErr w:type="spellEnd"/>
            <w:r w:rsidR="004B2CEB">
              <w:rPr>
                <w:sz w:val="20"/>
                <w:szCs w:val="20"/>
              </w:rPr>
              <w:t xml:space="preserve"> </w:t>
            </w:r>
            <w:proofErr w:type="spellStart"/>
            <w:r w:rsidR="004B2CEB">
              <w:rPr>
                <w:sz w:val="20"/>
                <w:szCs w:val="20"/>
              </w:rPr>
              <w:t>Slaght</w:t>
            </w:r>
            <w:proofErr w:type="spellEnd"/>
            <w:r w:rsidR="004B2CEB">
              <w:rPr>
                <w:sz w:val="20"/>
                <w:szCs w:val="20"/>
              </w:rPr>
              <w:t xml:space="preserve"> Royce Smith Griffin </w:t>
            </w:r>
            <w:r w:rsidR="004B2CEB">
              <w:rPr>
                <w:sz w:val="20"/>
                <w:szCs w:val="20"/>
              </w:rPr>
              <w:tab/>
              <w:t>LLP</w:t>
            </w:r>
          </w:p>
          <w:p w:rsidR="00242AEE" w:rsidRPr="004B2CEB" w:rsidRDefault="00242AEE" w:rsidP="003B3977">
            <w:pPr>
              <w:keepNext/>
              <w:keepLines/>
              <w:tabs>
                <w:tab w:val="left" w:pos="-1440"/>
                <w:tab w:val="left" w:pos="-720"/>
              </w:tabs>
              <w:rPr>
                <w:sz w:val="20"/>
                <w:szCs w:val="20"/>
              </w:rPr>
            </w:pPr>
          </w:p>
          <w:p w:rsidR="00242AEE" w:rsidRPr="00A935AA" w:rsidRDefault="00242AEE" w:rsidP="004B2CEB">
            <w:pPr>
              <w:rPr>
                <w:sz w:val="20"/>
                <w:szCs w:val="20"/>
              </w:rPr>
            </w:pPr>
            <w:r w:rsidRPr="00A935AA">
              <w:rPr>
                <w:sz w:val="20"/>
                <w:szCs w:val="20"/>
              </w:rPr>
              <w:t>FILING DATE: 2</w:t>
            </w:r>
            <w:r w:rsidR="004B2CEB">
              <w:rPr>
                <w:sz w:val="20"/>
                <w:szCs w:val="20"/>
              </w:rPr>
              <w:t>6</w:t>
            </w:r>
            <w:r w:rsidRPr="00A935AA">
              <w:rPr>
                <w:sz w:val="20"/>
                <w:szCs w:val="20"/>
              </w:rPr>
              <w:t>.0</w:t>
            </w:r>
            <w:r w:rsidR="004D37D0">
              <w:rPr>
                <w:sz w:val="20"/>
                <w:szCs w:val="20"/>
              </w:rPr>
              <w:t>4</w:t>
            </w:r>
            <w:r w:rsidRPr="00A935AA">
              <w:rPr>
                <w:sz w:val="20"/>
                <w:szCs w:val="20"/>
              </w:rPr>
              <w:t>.201</w:t>
            </w:r>
            <w:r w:rsidR="004D37D0">
              <w:rPr>
                <w:sz w:val="20"/>
                <w:szCs w:val="20"/>
              </w:rPr>
              <w:t>3</w:t>
            </w:r>
            <w:r w:rsidR="0028676C" w:rsidRPr="0028676C">
              <w:rPr>
                <w:sz w:val="20"/>
                <w:szCs w:val="20"/>
                <w:lang w:val="fr-CA"/>
              </w:rPr>
              <w:pict>
                <v:rect id="_x0000_i1026" style="width:108pt;height:1pt" o:hrpct="0" o:hralign="center" o:hrstd="t" o:hrnoshade="t" o:hr="t" fillcolor="black [3213]" stroked="f"/>
              </w:pict>
            </w:r>
          </w:p>
        </w:tc>
      </w:tr>
      <w:tr w:rsidR="004D37D0" w:rsidRPr="00A935AA" w:rsidTr="003B3977">
        <w:tc>
          <w:tcPr>
            <w:tcW w:w="4320" w:type="dxa"/>
            <w:shd w:val="clear" w:color="auto" w:fill="auto"/>
          </w:tcPr>
          <w:p w:rsidR="004D37D0" w:rsidRDefault="004D37D0" w:rsidP="00180577">
            <w:pPr>
              <w:rPr>
                <w:b/>
                <w:sz w:val="20"/>
                <w:szCs w:val="20"/>
              </w:rPr>
            </w:pPr>
          </w:p>
          <w:p w:rsidR="004B2CEB" w:rsidRPr="00A935AA" w:rsidRDefault="004B2CEB" w:rsidP="00180577">
            <w:pPr>
              <w:rPr>
                <w:b/>
                <w:sz w:val="20"/>
                <w:szCs w:val="20"/>
              </w:rPr>
            </w:pPr>
            <w:r>
              <w:rPr>
                <w:b/>
                <w:sz w:val="20"/>
                <w:szCs w:val="20"/>
              </w:rPr>
              <w:t xml:space="preserve">Daniela </w:t>
            </w:r>
            <w:proofErr w:type="spellStart"/>
            <w:r>
              <w:rPr>
                <w:b/>
                <w:sz w:val="20"/>
                <w:szCs w:val="20"/>
              </w:rPr>
              <w:t>Ramsden</w:t>
            </w:r>
            <w:proofErr w:type="spellEnd"/>
          </w:p>
          <w:p w:rsidR="004D37D0" w:rsidRPr="00A935AA" w:rsidRDefault="004D37D0" w:rsidP="00180577">
            <w:pPr>
              <w:tabs>
                <w:tab w:val="left" w:pos="-1440"/>
                <w:tab w:val="left" w:pos="-720"/>
              </w:tabs>
              <w:rPr>
                <w:sz w:val="20"/>
                <w:szCs w:val="20"/>
              </w:rPr>
            </w:pPr>
            <w:r w:rsidRPr="00A935AA">
              <w:rPr>
                <w:sz w:val="20"/>
                <w:szCs w:val="20"/>
              </w:rPr>
              <w:tab/>
            </w:r>
            <w:r w:rsidR="004B2CEB">
              <w:rPr>
                <w:sz w:val="20"/>
                <w:szCs w:val="20"/>
              </w:rPr>
              <w:t xml:space="preserve">Daniela </w:t>
            </w:r>
            <w:proofErr w:type="spellStart"/>
            <w:r w:rsidR="004B2CEB">
              <w:rPr>
                <w:sz w:val="20"/>
                <w:szCs w:val="20"/>
              </w:rPr>
              <w:t>Ramsden</w:t>
            </w:r>
            <w:proofErr w:type="spellEnd"/>
          </w:p>
          <w:p w:rsidR="004D37D0" w:rsidRPr="00A935AA" w:rsidRDefault="004D37D0" w:rsidP="00180577">
            <w:pPr>
              <w:tabs>
                <w:tab w:val="left" w:pos="-1440"/>
                <w:tab w:val="left" w:pos="-720"/>
              </w:tabs>
              <w:rPr>
                <w:sz w:val="20"/>
                <w:szCs w:val="20"/>
              </w:rPr>
            </w:pPr>
          </w:p>
          <w:p w:rsidR="004D37D0" w:rsidRPr="008D3430" w:rsidRDefault="004D37D0" w:rsidP="00180577">
            <w:pPr>
              <w:tabs>
                <w:tab w:val="left" w:pos="-1440"/>
                <w:tab w:val="left" w:pos="-720"/>
              </w:tabs>
              <w:rPr>
                <w:sz w:val="20"/>
                <w:szCs w:val="20"/>
              </w:rPr>
            </w:pPr>
            <w:r w:rsidRPr="00A935AA">
              <w:rPr>
                <w:sz w:val="20"/>
                <w:szCs w:val="20"/>
              </w:rPr>
              <w:tab/>
            </w:r>
            <w:r w:rsidRPr="008D3430">
              <w:rPr>
                <w:sz w:val="20"/>
                <w:szCs w:val="20"/>
              </w:rPr>
              <w:t>v. (35</w:t>
            </w:r>
            <w:r w:rsidR="004B2CEB" w:rsidRPr="008D3430">
              <w:rPr>
                <w:sz w:val="20"/>
                <w:szCs w:val="20"/>
              </w:rPr>
              <w:t>349</w:t>
            </w:r>
            <w:r w:rsidRPr="008D3430">
              <w:rPr>
                <w:sz w:val="20"/>
                <w:szCs w:val="20"/>
              </w:rPr>
              <w:t>)</w:t>
            </w:r>
          </w:p>
          <w:p w:rsidR="004D37D0" w:rsidRPr="008D3430" w:rsidRDefault="004D37D0" w:rsidP="00180577">
            <w:pPr>
              <w:tabs>
                <w:tab w:val="left" w:pos="-1440"/>
                <w:tab w:val="left" w:pos="-720"/>
              </w:tabs>
              <w:rPr>
                <w:sz w:val="20"/>
                <w:szCs w:val="20"/>
              </w:rPr>
            </w:pPr>
          </w:p>
          <w:p w:rsidR="004D37D0" w:rsidRPr="004B2CEB" w:rsidRDefault="004B2CEB" w:rsidP="00180577">
            <w:pPr>
              <w:tabs>
                <w:tab w:val="left" w:pos="-1440"/>
                <w:tab w:val="left" w:pos="-720"/>
              </w:tabs>
              <w:rPr>
                <w:b/>
                <w:sz w:val="20"/>
                <w:szCs w:val="20"/>
                <w:lang w:val="fr-CA"/>
              </w:rPr>
            </w:pPr>
            <w:r w:rsidRPr="004B2CEB">
              <w:rPr>
                <w:b/>
                <w:sz w:val="20"/>
                <w:szCs w:val="20"/>
                <w:lang w:val="fr-CA"/>
              </w:rPr>
              <w:t xml:space="preserve">Arnault Thibault Cléroux </w:t>
            </w:r>
            <w:r w:rsidR="004D37D0" w:rsidRPr="004B2CEB">
              <w:rPr>
                <w:b/>
                <w:sz w:val="20"/>
                <w:szCs w:val="20"/>
                <w:lang w:val="fr-CA"/>
              </w:rPr>
              <w:t>(</w:t>
            </w:r>
            <w:r w:rsidRPr="004B2CEB">
              <w:rPr>
                <w:b/>
                <w:sz w:val="20"/>
                <w:szCs w:val="20"/>
                <w:lang w:val="fr-CA"/>
              </w:rPr>
              <w:t>Que</w:t>
            </w:r>
            <w:r w:rsidR="004D37D0" w:rsidRPr="004B2CEB">
              <w:rPr>
                <w:b/>
                <w:sz w:val="20"/>
                <w:szCs w:val="20"/>
                <w:lang w:val="fr-CA"/>
              </w:rPr>
              <w:t>.)</w:t>
            </w:r>
          </w:p>
          <w:p w:rsidR="004D37D0" w:rsidRPr="008D3430" w:rsidRDefault="004D37D0" w:rsidP="00180577">
            <w:pPr>
              <w:tabs>
                <w:tab w:val="left" w:pos="-1440"/>
                <w:tab w:val="left" w:pos="-720"/>
              </w:tabs>
              <w:rPr>
                <w:sz w:val="20"/>
                <w:szCs w:val="20"/>
                <w:lang w:val="fr-CA"/>
              </w:rPr>
            </w:pPr>
            <w:r w:rsidRPr="004B2CEB">
              <w:rPr>
                <w:sz w:val="20"/>
                <w:szCs w:val="20"/>
                <w:lang w:val="fr-CA"/>
              </w:rPr>
              <w:tab/>
            </w:r>
            <w:r w:rsidR="004B2CEB" w:rsidRPr="008D3430">
              <w:rPr>
                <w:sz w:val="20"/>
                <w:szCs w:val="20"/>
                <w:lang w:val="fr-CA"/>
              </w:rPr>
              <w:t>Mich</w:t>
            </w:r>
            <w:r w:rsidR="00835FBA">
              <w:rPr>
                <w:sz w:val="20"/>
                <w:szCs w:val="20"/>
                <w:lang w:val="fr-CA"/>
              </w:rPr>
              <w:t>è</w:t>
            </w:r>
            <w:r w:rsidR="004B2CEB" w:rsidRPr="008D3430">
              <w:rPr>
                <w:sz w:val="20"/>
                <w:szCs w:val="20"/>
                <w:lang w:val="fr-CA"/>
              </w:rPr>
              <w:t>l</w:t>
            </w:r>
            <w:r w:rsidR="00835FBA">
              <w:rPr>
                <w:sz w:val="20"/>
                <w:szCs w:val="20"/>
                <w:lang w:val="fr-CA"/>
              </w:rPr>
              <w:t>e</w:t>
            </w:r>
            <w:r w:rsidR="004B2CEB" w:rsidRPr="008D3430">
              <w:rPr>
                <w:sz w:val="20"/>
                <w:szCs w:val="20"/>
                <w:lang w:val="fr-CA"/>
              </w:rPr>
              <w:t xml:space="preserve"> </w:t>
            </w:r>
            <w:proofErr w:type="spellStart"/>
            <w:r w:rsidR="004B2CEB" w:rsidRPr="008D3430">
              <w:rPr>
                <w:sz w:val="20"/>
                <w:szCs w:val="20"/>
                <w:lang w:val="fr-CA"/>
              </w:rPr>
              <w:t>Tétreault</w:t>
            </w:r>
            <w:proofErr w:type="spellEnd"/>
          </w:p>
          <w:p w:rsidR="004D37D0" w:rsidRPr="004B2CEB" w:rsidRDefault="004D37D0" w:rsidP="00180577">
            <w:pPr>
              <w:tabs>
                <w:tab w:val="left" w:pos="-1440"/>
                <w:tab w:val="left" w:pos="-720"/>
              </w:tabs>
              <w:rPr>
                <w:sz w:val="20"/>
                <w:szCs w:val="20"/>
              </w:rPr>
            </w:pPr>
            <w:r w:rsidRPr="008D3430">
              <w:rPr>
                <w:sz w:val="20"/>
                <w:szCs w:val="20"/>
                <w:lang w:val="fr-CA"/>
              </w:rPr>
              <w:tab/>
            </w:r>
            <w:proofErr w:type="spellStart"/>
            <w:r w:rsidR="004B2CEB" w:rsidRPr="004B2CEB">
              <w:rPr>
                <w:sz w:val="20"/>
                <w:szCs w:val="20"/>
              </w:rPr>
              <w:t>Arnault</w:t>
            </w:r>
            <w:proofErr w:type="spellEnd"/>
            <w:r w:rsidR="004B2CEB" w:rsidRPr="004B2CEB">
              <w:rPr>
                <w:sz w:val="20"/>
                <w:szCs w:val="20"/>
              </w:rPr>
              <w:t xml:space="preserve"> Thibault Cléroux</w:t>
            </w:r>
          </w:p>
          <w:p w:rsidR="004D37D0" w:rsidRPr="004B2CEB" w:rsidRDefault="004D37D0" w:rsidP="00180577">
            <w:pPr>
              <w:tabs>
                <w:tab w:val="left" w:pos="-1440"/>
                <w:tab w:val="left" w:pos="-720"/>
              </w:tabs>
              <w:rPr>
                <w:sz w:val="20"/>
                <w:szCs w:val="20"/>
              </w:rPr>
            </w:pPr>
          </w:p>
          <w:p w:rsidR="004D37D0" w:rsidRPr="00A935AA" w:rsidRDefault="004D37D0" w:rsidP="00180577">
            <w:pPr>
              <w:rPr>
                <w:sz w:val="20"/>
                <w:szCs w:val="20"/>
              </w:rPr>
            </w:pPr>
            <w:r w:rsidRPr="00A935AA">
              <w:rPr>
                <w:sz w:val="20"/>
                <w:szCs w:val="20"/>
              </w:rPr>
              <w:t>FILING DATE: 2</w:t>
            </w:r>
            <w:r w:rsidR="004B2CEB">
              <w:rPr>
                <w:sz w:val="20"/>
                <w:szCs w:val="20"/>
              </w:rPr>
              <w:t>6</w:t>
            </w:r>
            <w:r w:rsidRPr="00A935AA">
              <w:rPr>
                <w:sz w:val="20"/>
                <w:szCs w:val="20"/>
              </w:rPr>
              <w:t>.0</w:t>
            </w:r>
            <w:r>
              <w:rPr>
                <w:sz w:val="20"/>
                <w:szCs w:val="20"/>
              </w:rPr>
              <w:t>4</w:t>
            </w:r>
            <w:r w:rsidRPr="00A935AA">
              <w:rPr>
                <w:sz w:val="20"/>
                <w:szCs w:val="20"/>
              </w:rPr>
              <w:t>.201</w:t>
            </w:r>
            <w:r>
              <w:rPr>
                <w:sz w:val="20"/>
                <w:szCs w:val="20"/>
              </w:rPr>
              <w:t>3</w:t>
            </w:r>
          </w:p>
          <w:p w:rsidR="004D37D0" w:rsidRPr="00A935AA" w:rsidRDefault="0028676C" w:rsidP="00180577">
            <w:pPr>
              <w:rPr>
                <w:sz w:val="20"/>
                <w:szCs w:val="20"/>
              </w:rPr>
            </w:pPr>
            <w:r w:rsidRPr="0028676C">
              <w:rPr>
                <w:sz w:val="20"/>
                <w:szCs w:val="20"/>
                <w:lang w:val="fr-CA"/>
              </w:rPr>
              <w:pict>
                <v:rect id="_x0000_i1027" style="width:108pt;height:1pt" o:hrpct="0" o:hralign="center" o:hrstd="t" o:hrnoshade="t" o:hr="t" fillcolor="black [3213]" stroked="f"/>
              </w:pict>
            </w:r>
          </w:p>
        </w:tc>
        <w:tc>
          <w:tcPr>
            <w:tcW w:w="1181" w:type="dxa"/>
            <w:shd w:val="clear" w:color="auto" w:fill="auto"/>
          </w:tcPr>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tc>
        <w:tc>
          <w:tcPr>
            <w:tcW w:w="4320" w:type="dxa"/>
            <w:shd w:val="clear" w:color="auto" w:fill="auto"/>
          </w:tcPr>
          <w:p w:rsidR="004D37D0" w:rsidRPr="00A935AA" w:rsidRDefault="004B2CEB" w:rsidP="00180577">
            <w:pPr>
              <w:keepNext/>
              <w:keepLines/>
              <w:tabs>
                <w:tab w:val="left" w:pos="-1440"/>
                <w:tab w:val="left" w:pos="-720"/>
              </w:tabs>
              <w:rPr>
                <w:b/>
                <w:sz w:val="20"/>
                <w:szCs w:val="20"/>
              </w:rPr>
            </w:pPr>
            <w:proofErr w:type="spellStart"/>
            <w:r>
              <w:rPr>
                <w:b/>
                <w:sz w:val="20"/>
                <w:szCs w:val="20"/>
              </w:rPr>
              <w:t>Canwood</w:t>
            </w:r>
            <w:proofErr w:type="spellEnd"/>
            <w:r>
              <w:rPr>
                <w:b/>
                <w:sz w:val="20"/>
                <w:szCs w:val="20"/>
              </w:rPr>
              <w:t xml:space="preserve"> International Inc.</w:t>
            </w:r>
          </w:p>
          <w:p w:rsidR="004D37D0" w:rsidRPr="008D3430" w:rsidRDefault="004D37D0" w:rsidP="00180577">
            <w:pPr>
              <w:keepNext/>
              <w:keepLines/>
              <w:tabs>
                <w:tab w:val="left" w:pos="-1440"/>
                <w:tab w:val="left" w:pos="-720"/>
              </w:tabs>
              <w:rPr>
                <w:sz w:val="20"/>
                <w:szCs w:val="20"/>
              </w:rPr>
            </w:pPr>
            <w:r w:rsidRPr="00A935AA">
              <w:rPr>
                <w:sz w:val="20"/>
                <w:szCs w:val="20"/>
              </w:rPr>
              <w:tab/>
            </w:r>
            <w:r w:rsidR="004B2CEB" w:rsidRPr="008D3430">
              <w:rPr>
                <w:sz w:val="20"/>
                <w:szCs w:val="20"/>
              </w:rPr>
              <w:t xml:space="preserve">James G. </w:t>
            </w:r>
            <w:proofErr w:type="spellStart"/>
            <w:r w:rsidR="004B2CEB" w:rsidRPr="008D3430">
              <w:rPr>
                <w:sz w:val="20"/>
                <w:szCs w:val="20"/>
              </w:rPr>
              <w:t>Matkin</w:t>
            </w:r>
            <w:proofErr w:type="spellEnd"/>
            <w:r w:rsidR="004B2CEB" w:rsidRPr="008D3430">
              <w:rPr>
                <w:sz w:val="20"/>
                <w:szCs w:val="20"/>
              </w:rPr>
              <w:t>, Q.C.</w:t>
            </w:r>
          </w:p>
          <w:p w:rsidR="004D37D0" w:rsidRPr="004B2CEB" w:rsidRDefault="004D37D0" w:rsidP="00180577">
            <w:pPr>
              <w:keepNext/>
              <w:keepLines/>
              <w:tabs>
                <w:tab w:val="left" w:pos="-1440"/>
                <w:tab w:val="left" w:pos="-720"/>
              </w:tabs>
              <w:rPr>
                <w:sz w:val="20"/>
                <w:szCs w:val="20"/>
              </w:rPr>
            </w:pPr>
            <w:r w:rsidRPr="008D3430">
              <w:rPr>
                <w:sz w:val="20"/>
                <w:szCs w:val="20"/>
              </w:rPr>
              <w:tab/>
            </w:r>
            <w:proofErr w:type="spellStart"/>
            <w:r w:rsidR="004B2CEB" w:rsidRPr="004B2CEB">
              <w:rPr>
                <w:sz w:val="20"/>
                <w:szCs w:val="20"/>
              </w:rPr>
              <w:t>Canwood</w:t>
            </w:r>
            <w:proofErr w:type="spellEnd"/>
            <w:r w:rsidR="004B2CEB" w:rsidRPr="004B2CEB">
              <w:rPr>
                <w:sz w:val="20"/>
                <w:szCs w:val="20"/>
              </w:rPr>
              <w:t xml:space="preserve"> International Inc.</w:t>
            </w:r>
          </w:p>
          <w:p w:rsidR="004D37D0" w:rsidRPr="004B2CEB" w:rsidRDefault="004D37D0" w:rsidP="00180577">
            <w:pPr>
              <w:keepNext/>
              <w:keepLines/>
              <w:tabs>
                <w:tab w:val="left" w:pos="-1440"/>
                <w:tab w:val="left" w:pos="-720"/>
              </w:tabs>
              <w:rPr>
                <w:sz w:val="20"/>
                <w:szCs w:val="20"/>
              </w:rPr>
            </w:pPr>
          </w:p>
          <w:p w:rsidR="004D37D0" w:rsidRPr="004B2CEB" w:rsidRDefault="004D37D0" w:rsidP="00180577">
            <w:pPr>
              <w:keepNext/>
              <w:keepLines/>
              <w:tabs>
                <w:tab w:val="left" w:pos="-1440"/>
                <w:tab w:val="left" w:pos="-720"/>
              </w:tabs>
              <w:rPr>
                <w:sz w:val="20"/>
                <w:szCs w:val="20"/>
              </w:rPr>
            </w:pPr>
            <w:r w:rsidRPr="004B2CEB">
              <w:rPr>
                <w:sz w:val="20"/>
                <w:szCs w:val="20"/>
              </w:rPr>
              <w:tab/>
              <w:t>v. (35</w:t>
            </w:r>
            <w:r w:rsidR="004B2CEB">
              <w:rPr>
                <w:sz w:val="20"/>
                <w:szCs w:val="20"/>
              </w:rPr>
              <w:t>342</w:t>
            </w:r>
            <w:r w:rsidRPr="004B2CEB">
              <w:rPr>
                <w:sz w:val="20"/>
                <w:szCs w:val="20"/>
              </w:rPr>
              <w:t>)</w:t>
            </w:r>
          </w:p>
          <w:p w:rsidR="004D37D0" w:rsidRPr="004B2CEB" w:rsidRDefault="004D37D0" w:rsidP="00180577">
            <w:pPr>
              <w:keepNext/>
              <w:keepLines/>
              <w:tabs>
                <w:tab w:val="left" w:pos="-1440"/>
                <w:tab w:val="left" w:pos="-720"/>
              </w:tabs>
              <w:rPr>
                <w:sz w:val="20"/>
                <w:szCs w:val="20"/>
              </w:rPr>
            </w:pPr>
          </w:p>
          <w:p w:rsidR="004D37D0" w:rsidRPr="004B2CEB" w:rsidRDefault="004B2CEB" w:rsidP="00180577">
            <w:pPr>
              <w:keepNext/>
              <w:keepLines/>
              <w:tabs>
                <w:tab w:val="left" w:pos="-1440"/>
                <w:tab w:val="left" w:pos="-720"/>
              </w:tabs>
              <w:rPr>
                <w:b/>
                <w:sz w:val="20"/>
                <w:szCs w:val="20"/>
              </w:rPr>
            </w:pPr>
            <w:r>
              <w:rPr>
                <w:b/>
                <w:sz w:val="20"/>
                <w:szCs w:val="20"/>
              </w:rPr>
              <w:t xml:space="preserve">Olaf Bork et al. </w:t>
            </w:r>
            <w:r w:rsidR="004D37D0" w:rsidRPr="004B2CEB">
              <w:rPr>
                <w:b/>
                <w:sz w:val="20"/>
                <w:szCs w:val="20"/>
              </w:rPr>
              <w:t>(</w:t>
            </w:r>
            <w:r>
              <w:rPr>
                <w:b/>
                <w:sz w:val="20"/>
                <w:szCs w:val="20"/>
              </w:rPr>
              <w:t>B.C</w:t>
            </w:r>
            <w:r w:rsidR="004D37D0" w:rsidRPr="004B2CEB">
              <w:rPr>
                <w:b/>
                <w:sz w:val="20"/>
                <w:szCs w:val="20"/>
              </w:rPr>
              <w:t>.)</w:t>
            </w:r>
          </w:p>
          <w:p w:rsidR="004D37D0" w:rsidRPr="003551A6" w:rsidRDefault="004D37D0" w:rsidP="00180577">
            <w:pPr>
              <w:keepNext/>
              <w:keepLines/>
              <w:tabs>
                <w:tab w:val="left" w:pos="-1440"/>
                <w:tab w:val="left" w:pos="-720"/>
              </w:tabs>
              <w:rPr>
                <w:sz w:val="20"/>
                <w:szCs w:val="20"/>
              </w:rPr>
            </w:pPr>
            <w:r w:rsidRPr="004B2CEB">
              <w:rPr>
                <w:sz w:val="20"/>
                <w:szCs w:val="20"/>
              </w:rPr>
              <w:tab/>
            </w:r>
            <w:proofErr w:type="spellStart"/>
            <w:r w:rsidR="003551A6" w:rsidRPr="003551A6">
              <w:rPr>
                <w:sz w:val="20"/>
                <w:szCs w:val="20"/>
              </w:rPr>
              <w:t>Ib</w:t>
            </w:r>
            <w:proofErr w:type="spellEnd"/>
            <w:r w:rsidR="003551A6" w:rsidRPr="003551A6">
              <w:rPr>
                <w:sz w:val="20"/>
                <w:szCs w:val="20"/>
              </w:rPr>
              <w:t xml:space="preserve"> S. P</w:t>
            </w:r>
            <w:r w:rsidR="003551A6">
              <w:rPr>
                <w:sz w:val="20"/>
                <w:szCs w:val="20"/>
              </w:rPr>
              <w:t>etersen</w:t>
            </w:r>
          </w:p>
          <w:p w:rsidR="004D37D0" w:rsidRPr="00C66744" w:rsidRDefault="004D37D0" w:rsidP="00180577">
            <w:pPr>
              <w:keepNext/>
              <w:keepLines/>
              <w:tabs>
                <w:tab w:val="left" w:pos="-1440"/>
                <w:tab w:val="left" w:pos="-720"/>
              </w:tabs>
              <w:rPr>
                <w:sz w:val="20"/>
                <w:szCs w:val="20"/>
              </w:rPr>
            </w:pPr>
          </w:p>
          <w:p w:rsidR="004D37D0" w:rsidRPr="00A935AA" w:rsidRDefault="004D37D0" w:rsidP="00C66744">
            <w:pPr>
              <w:rPr>
                <w:sz w:val="20"/>
                <w:szCs w:val="20"/>
              </w:rPr>
            </w:pPr>
            <w:r w:rsidRPr="00A935AA">
              <w:rPr>
                <w:sz w:val="20"/>
                <w:szCs w:val="20"/>
              </w:rPr>
              <w:t>FILING DATE: 2</w:t>
            </w:r>
            <w:r w:rsidR="00C66744">
              <w:rPr>
                <w:sz w:val="20"/>
                <w:szCs w:val="20"/>
              </w:rPr>
              <w:t>9</w:t>
            </w:r>
            <w:r w:rsidRPr="00A935AA">
              <w:rPr>
                <w:sz w:val="20"/>
                <w:szCs w:val="20"/>
              </w:rPr>
              <w:t>.0</w:t>
            </w:r>
            <w:r>
              <w:rPr>
                <w:sz w:val="20"/>
                <w:szCs w:val="20"/>
              </w:rPr>
              <w:t>4</w:t>
            </w:r>
            <w:r w:rsidRPr="00A935AA">
              <w:rPr>
                <w:sz w:val="20"/>
                <w:szCs w:val="20"/>
              </w:rPr>
              <w:t>.201</w:t>
            </w:r>
            <w:r>
              <w:rPr>
                <w:sz w:val="20"/>
                <w:szCs w:val="20"/>
              </w:rPr>
              <w:t>3</w:t>
            </w:r>
            <w:r w:rsidR="0028676C" w:rsidRPr="0028676C">
              <w:rPr>
                <w:sz w:val="20"/>
                <w:szCs w:val="20"/>
                <w:lang w:val="fr-CA"/>
              </w:rPr>
              <w:pict>
                <v:rect id="_x0000_i1028" style="width:108pt;height:1pt" o:hrpct="0" o:hralign="center" o:hrstd="t" o:hrnoshade="t" o:hr="t" fillcolor="black [3213]" stroked="f"/>
              </w:pict>
            </w:r>
          </w:p>
        </w:tc>
      </w:tr>
      <w:tr w:rsidR="004D37D0" w:rsidRPr="00A935AA" w:rsidTr="003B3977">
        <w:tc>
          <w:tcPr>
            <w:tcW w:w="4320" w:type="dxa"/>
            <w:shd w:val="clear" w:color="auto" w:fill="auto"/>
          </w:tcPr>
          <w:p w:rsidR="004D37D0" w:rsidRPr="00A935AA" w:rsidRDefault="00C66744" w:rsidP="00180577">
            <w:pPr>
              <w:rPr>
                <w:b/>
                <w:sz w:val="20"/>
                <w:szCs w:val="20"/>
              </w:rPr>
            </w:pPr>
            <w:r>
              <w:rPr>
                <w:b/>
                <w:sz w:val="20"/>
                <w:szCs w:val="20"/>
              </w:rPr>
              <w:t>Glenn Ross et al.</w:t>
            </w:r>
          </w:p>
          <w:p w:rsidR="004D37D0" w:rsidRPr="00A935AA" w:rsidRDefault="004D37D0" w:rsidP="00180577">
            <w:pPr>
              <w:tabs>
                <w:tab w:val="left" w:pos="-1440"/>
                <w:tab w:val="left" w:pos="-720"/>
              </w:tabs>
              <w:rPr>
                <w:sz w:val="20"/>
                <w:szCs w:val="20"/>
              </w:rPr>
            </w:pPr>
            <w:r w:rsidRPr="00A935AA">
              <w:rPr>
                <w:sz w:val="20"/>
                <w:szCs w:val="20"/>
              </w:rPr>
              <w:tab/>
            </w:r>
            <w:r w:rsidR="00C66744">
              <w:rPr>
                <w:sz w:val="20"/>
                <w:szCs w:val="20"/>
              </w:rPr>
              <w:t>Andrew Mason</w:t>
            </w:r>
          </w:p>
          <w:p w:rsidR="004D37D0" w:rsidRPr="00A935AA" w:rsidRDefault="004D37D0" w:rsidP="00180577">
            <w:pPr>
              <w:tabs>
                <w:tab w:val="left" w:pos="-1440"/>
                <w:tab w:val="left" w:pos="-720"/>
              </w:tabs>
              <w:rPr>
                <w:sz w:val="20"/>
                <w:szCs w:val="20"/>
              </w:rPr>
            </w:pPr>
            <w:r w:rsidRPr="00A935AA">
              <w:rPr>
                <w:sz w:val="20"/>
                <w:szCs w:val="20"/>
              </w:rPr>
              <w:tab/>
            </w:r>
            <w:r w:rsidR="00C66744">
              <w:rPr>
                <w:sz w:val="20"/>
                <w:szCs w:val="20"/>
              </w:rPr>
              <w:t>Scott Phelps &amp; Mason</w:t>
            </w:r>
          </w:p>
          <w:p w:rsidR="004D37D0" w:rsidRPr="00A935AA" w:rsidRDefault="004D37D0" w:rsidP="00180577">
            <w:pPr>
              <w:tabs>
                <w:tab w:val="left" w:pos="-1440"/>
                <w:tab w:val="left" w:pos="-720"/>
              </w:tabs>
              <w:rPr>
                <w:sz w:val="20"/>
                <w:szCs w:val="20"/>
              </w:rPr>
            </w:pPr>
          </w:p>
          <w:p w:rsidR="004D37D0" w:rsidRPr="00A935AA" w:rsidRDefault="004D37D0" w:rsidP="00180577">
            <w:pPr>
              <w:tabs>
                <w:tab w:val="left" w:pos="-1440"/>
                <w:tab w:val="left" w:pos="-720"/>
              </w:tabs>
              <w:rPr>
                <w:sz w:val="20"/>
                <w:szCs w:val="20"/>
              </w:rPr>
            </w:pPr>
            <w:r w:rsidRPr="00A935AA">
              <w:rPr>
                <w:sz w:val="20"/>
                <w:szCs w:val="20"/>
              </w:rPr>
              <w:tab/>
              <w:t>v. (3</w:t>
            </w:r>
            <w:r>
              <w:rPr>
                <w:sz w:val="20"/>
                <w:szCs w:val="20"/>
              </w:rPr>
              <w:t>5</w:t>
            </w:r>
            <w:r w:rsidR="00C66744">
              <w:rPr>
                <w:sz w:val="20"/>
                <w:szCs w:val="20"/>
              </w:rPr>
              <w:t>343</w:t>
            </w:r>
            <w:r w:rsidRPr="00A935AA">
              <w:rPr>
                <w:sz w:val="20"/>
                <w:szCs w:val="20"/>
              </w:rPr>
              <w:t>)</w:t>
            </w:r>
          </w:p>
          <w:p w:rsidR="004D37D0" w:rsidRPr="00A935AA" w:rsidRDefault="004D37D0" w:rsidP="00180577">
            <w:pPr>
              <w:tabs>
                <w:tab w:val="left" w:pos="-1440"/>
                <w:tab w:val="left" w:pos="-720"/>
              </w:tabs>
              <w:rPr>
                <w:sz w:val="20"/>
                <w:szCs w:val="20"/>
              </w:rPr>
            </w:pPr>
          </w:p>
          <w:p w:rsidR="004D37D0" w:rsidRPr="00A935AA" w:rsidRDefault="00C66744" w:rsidP="00180577">
            <w:pPr>
              <w:tabs>
                <w:tab w:val="left" w:pos="-1440"/>
                <w:tab w:val="left" w:pos="-720"/>
              </w:tabs>
              <w:rPr>
                <w:b/>
                <w:sz w:val="20"/>
                <w:szCs w:val="20"/>
              </w:rPr>
            </w:pPr>
            <w:r>
              <w:rPr>
                <w:b/>
                <w:sz w:val="20"/>
                <w:szCs w:val="20"/>
              </w:rPr>
              <w:t xml:space="preserve">Stan Rubin </w:t>
            </w:r>
            <w:r w:rsidR="004D37D0" w:rsidRPr="00A935AA">
              <w:rPr>
                <w:b/>
                <w:sz w:val="20"/>
                <w:szCs w:val="20"/>
              </w:rPr>
              <w:t>(</w:t>
            </w:r>
            <w:r>
              <w:rPr>
                <w:b/>
                <w:sz w:val="20"/>
                <w:szCs w:val="20"/>
              </w:rPr>
              <w:t>Sask</w:t>
            </w:r>
            <w:r w:rsidR="004D37D0" w:rsidRPr="00A935AA">
              <w:rPr>
                <w:b/>
                <w:sz w:val="20"/>
                <w:szCs w:val="20"/>
              </w:rPr>
              <w:t>.)</w:t>
            </w:r>
          </w:p>
          <w:p w:rsidR="004D37D0" w:rsidRPr="00A935AA" w:rsidRDefault="004D37D0" w:rsidP="00180577">
            <w:pPr>
              <w:tabs>
                <w:tab w:val="left" w:pos="-1440"/>
                <w:tab w:val="left" w:pos="-720"/>
              </w:tabs>
              <w:rPr>
                <w:sz w:val="20"/>
                <w:szCs w:val="20"/>
              </w:rPr>
            </w:pPr>
            <w:r w:rsidRPr="00A935AA">
              <w:rPr>
                <w:sz w:val="20"/>
                <w:szCs w:val="20"/>
              </w:rPr>
              <w:tab/>
            </w:r>
            <w:r w:rsidR="00C66744">
              <w:rPr>
                <w:sz w:val="20"/>
                <w:szCs w:val="20"/>
              </w:rPr>
              <w:t>Catherine A. Sloan</w:t>
            </w:r>
          </w:p>
          <w:p w:rsidR="004D37D0" w:rsidRPr="00A935AA" w:rsidRDefault="004D37D0" w:rsidP="00180577">
            <w:pPr>
              <w:tabs>
                <w:tab w:val="left" w:pos="-1440"/>
                <w:tab w:val="left" w:pos="-720"/>
              </w:tabs>
              <w:rPr>
                <w:sz w:val="20"/>
                <w:szCs w:val="20"/>
              </w:rPr>
            </w:pPr>
            <w:r w:rsidRPr="00A935AA">
              <w:rPr>
                <w:sz w:val="20"/>
                <w:szCs w:val="20"/>
              </w:rPr>
              <w:tab/>
            </w:r>
            <w:proofErr w:type="spellStart"/>
            <w:r w:rsidR="00C66744">
              <w:rPr>
                <w:sz w:val="20"/>
                <w:szCs w:val="20"/>
              </w:rPr>
              <w:t>McKercher</w:t>
            </w:r>
            <w:proofErr w:type="spellEnd"/>
            <w:r w:rsidR="00C66744">
              <w:rPr>
                <w:sz w:val="20"/>
                <w:szCs w:val="20"/>
              </w:rPr>
              <w:t xml:space="preserve"> LLP</w:t>
            </w:r>
          </w:p>
          <w:p w:rsidR="004D37D0" w:rsidRPr="00A935AA" w:rsidRDefault="004D37D0" w:rsidP="00180577">
            <w:pPr>
              <w:tabs>
                <w:tab w:val="left" w:pos="-1440"/>
                <w:tab w:val="left" w:pos="-720"/>
              </w:tabs>
              <w:rPr>
                <w:sz w:val="20"/>
                <w:szCs w:val="20"/>
              </w:rPr>
            </w:pPr>
          </w:p>
          <w:p w:rsidR="004D37D0" w:rsidRPr="00A935AA" w:rsidRDefault="004D37D0" w:rsidP="00180577">
            <w:pPr>
              <w:rPr>
                <w:sz w:val="20"/>
                <w:szCs w:val="20"/>
              </w:rPr>
            </w:pPr>
            <w:r w:rsidRPr="00A935AA">
              <w:rPr>
                <w:sz w:val="20"/>
                <w:szCs w:val="20"/>
              </w:rPr>
              <w:t>FILING DATE: 2</w:t>
            </w:r>
            <w:r w:rsidR="00C66744">
              <w:rPr>
                <w:sz w:val="20"/>
                <w:szCs w:val="20"/>
              </w:rPr>
              <w:t>9</w:t>
            </w:r>
            <w:r w:rsidRPr="00A935AA">
              <w:rPr>
                <w:sz w:val="20"/>
                <w:szCs w:val="20"/>
              </w:rPr>
              <w:t>.0</w:t>
            </w:r>
            <w:r>
              <w:rPr>
                <w:sz w:val="20"/>
                <w:szCs w:val="20"/>
              </w:rPr>
              <w:t>4</w:t>
            </w:r>
            <w:r w:rsidRPr="00A935AA">
              <w:rPr>
                <w:sz w:val="20"/>
                <w:szCs w:val="20"/>
              </w:rPr>
              <w:t>.201</w:t>
            </w:r>
            <w:r>
              <w:rPr>
                <w:sz w:val="20"/>
                <w:szCs w:val="20"/>
              </w:rPr>
              <w:t>3</w:t>
            </w:r>
          </w:p>
          <w:p w:rsidR="004D37D0" w:rsidRPr="00A935AA" w:rsidRDefault="0028676C" w:rsidP="00180577">
            <w:pPr>
              <w:rPr>
                <w:sz w:val="20"/>
                <w:szCs w:val="20"/>
              </w:rPr>
            </w:pPr>
            <w:r w:rsidRPr="0028676C">
              <w:rPr>
                <w:sz w:val="20"/>
                <w:szCs w:val="20"/>
                <w:lang w:val="fr-CA"/>
              </w:rPr>
              <w:pict>
                <v:rect id="_x0000_i1029" style="width:108pt;height:1pt" o:hrpct="0" o:hralign="center" o:hrstd="t" o:hrnoshade="t" o:hr="t" fillcolor="black [3213]" stroked="f"/>
              </w:pict>
            </w:r>
          </w:p>
        </w:tc>
        <w:tc>
          <w:tcPr>
            <w:tcW w:w="1181" w:type="dxa"/>
            <w:shd w:val="clear" w:color="auto" w:fill="auto"/>
          </w:tcPr>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Default="004D37D0" w:rsidP="00242AEE">
            <w:pPr>
              <w:jc w:val="center"/>
              <w:rPr>
                <w:sz w:val="20"/>
                <w:szCs w:val="20"/>
              </w:rPr>
            </w:pPr>
          </w:p>
          <w:p w:rsidR="004D37D0" w:rsidRDefault="004D37D0" w:rsidP="00242AEE">
            <w:pPr>
              <w:jc w:val="center"/>
              <w:rPr>
                <w:sz w:val="20"/>
                <w:szCs w:val="20"/>
              </w:rPr>
            </w:pPr>
          </w:p>
          <w:p w:rsidR="004D37D0" w:rsidRPr="00A935AA" w:rsidRDefault="004D37D0" w:rsidP="00242AEE">
            <w:pPr>
              <w:jc w:val="center"/>
              <w:rPr>
                <w:sz w:val="20"/>
                <w:szCs w:val="20"/>
              </w:rPr>
            </w:pPr>
          </w:p>
        </w:tc>
        <w:tc>
          <w:tcPr>
            <w:tcW w:w="4320" w:type="dxa"/>
            <w:shd w:val="clear" w:color="auto" w:fill="auto"/>
          </w:tcPr>
          <w:p w:rsidR="004D37D0" w:rsidRPr="00C66744" w:rsidRDefault="00C66744" w:rsidP="00180577">
            <w:pPr>
              <w:keepNext/>
              <w:keepLines/>
              <w:tabs>
                <w:tab w:val="left" w:pos="-1440"/>
                <w:tab w:val="left" w:pos="-720"/>
              </w:tabs>
              <w:rPr>
                <w:b/>
                <w:sz w:val="20"/>
                <w:szCs w:val="20"/>
                <w:lang w:val="fr-CA"/>
              </w:rPr>
            </w:pPr>
            <w:r w:rsidRPr="00C66744">
              <w:rPr>
                <w:b/>
                <w:sz w:val="20"/>
                <w:szCs w:val="20"/>
                <w:lang w:val="fr-CA"/>
              </w:rPr>
              <w:t xml:space="preserve">Jeannine M. </w:t>
            </w:r>
            <w:proofErr w:type="spellStart"/>
            <w:r w:rsidRPr="00C66744">
              <w:rPr>
                <w:b/>
                <w:sz w:val="20"/>
                <w:szCs w:val="20"/>
                <w:lang w:val="fr-CA"/>
              </w:rPr>
              <w:t>Kapelus</w:t>
            </w:r>
            <w:proofErr w:type="spellEnd"/>
          </w:p>
          <w:p w:rsidR="004D37D0" w:rsidRPr="00C66744" w:rsidRDefault="004D37D0" w:rsidP="00180577">
            <w:pPr>
              <w:keepNext/>
              <w:keepLines/>
              <w:tabs>
                <w:tab w:val="left" w:pos="-1440"/>
                <w:tab w:val="left" w:pos="-720"/>
              </w:tabs>
              <w:rPr>
                <w:sz w:val="20"/>
                <w:szCs w:val="20"/>
                <w:lang w:val="fr-CA"/>
              </w:rPr>
            </w:pPr>
            <w:r w:rsidRPr="00C66744">
              <w:rPr>
                <w:sz w:val="20"/>
                <w:szCs w:val="20"/>
                <w:lang w:val="fr-CA"/>
              </w:rPr>
              <w:tab/>
            </w:r>
            <w:r w:rsidR="00C66744" w:rsidRPr="00C66744">
              <w:rPr>
                <w:sz w:val="20"/>
                <w:szCs w:val="20"/>
                <w:lang w:val="fr-CA"/>
              </w:rPr>
              <w:t xml:space="preserve">Jeannine M. </w:t>
            </w:r>
            <w:proofErr w:type="spellStart"/>
            <w:r w:rsidR="00C66744" w:rsidRPr="00C66744">
              <w:rPr>
                <w:sz w:val="20"/>
                <w:szCs w:val="20"/>
                <w:lang w:val="fr-CA"/>
              </w:rPr>
              <w:t>Kapelus</w:t>
            </w:r>
            <w:proofErr w:type="spellEnd"/>
          </w:p>
          <w:p w:rsidR="004D37D0" w:rsidRPr="00C66744" w:rsidRDefault="004D37D0" w:rsidP="00180577">
            <w:pPr>
              <w:keepNext/>
              <w:keepLines/>
              <w:tabs>
                <w:tab w:val="left" w:pos="-1440"/>
                <w:tab w:val="left" w:pos="-720"/>
              </w:tabs>
              <w:rPr>
                <w:sz w:val="20"/>
                <w:szCs w:val="20"/>
                <w:lang w:val="fr-CA"/>
              </w:rPr>
            </w:pPr>
          </w:p>
          <w:p w:rsidR="004D37D0" w:rsidRPr="00C66744" w:rsidRDefault="004D37D0" w:rsidP="00180577">
            <w:pPr>
              <w:keepNext/>
              <w:keepLines/>
              <w:tabs>
                <w:tab w:val="left" w:pos="-1440"/>
                <w:tab w:val="left" w:pos="-720"/>
              </w:tabs>
              <w:rPr>
                <w:sz w:val="20"/>
                <w:szCs w:val="20"/>
                <w:lang w:val="fr-CA"/>
              </w:rPr>
            </w:pPr>
            <w:r w:rsidRPr="00C66744">
              <w:rPr>
                <w:sz w:val="20"/>
                <w:szCs w:val="20"/>
                <w:lang w:val="fr-CA"/>
              </w:rPr>
              <w:tab/>
              <w:t>v. (35</w:t>
            </w:r>
            <w:r w:rsidR="00C66744" w:rsidRPr="00C66744">
              <w:rPr>
                <w:sz w:val="20"/>
                <w:szCs w:val="20"/>
                <w:lang w:val="fr-CA"/>
              </w:rPr>
              <w:t>347</w:t>
            </w:r>
            <w:r w:rsidRPr="00C66744">
              <w:rPr>
                <w:sz w:val="20"/>
                <w:szCs w:val="20"/>
                <w:lang w:val="fr-CA"/>
              </w:rPr>
              <w:t>)</w:t>
            </w:r>
          </w:p>
          <w:p w:rsidR="004D37D0" w:rsidRPr="00C66744" w:rsidRDefault="004D37D0" w:rsidP="00180577">
            <w:pPr>
              <w:keepNext/>
              <w:keepLines/>
              <w:tabs>
                <w:tab w:val="left" w:pos="-1440"/>
                <w:tab w:val="left" w:pos="-720"/>
              </w:tabs>
              <w:rPr>
                <w:sz w:val="20"/>
                <w:szCs w:val="20"/>
                <w:lang w:val="fr-CA"/>
              </w:rPr>
            </w:pPr>
          </w:p>
          <w:p w:rsidR="004D37D0" w:rsidRPr="004B2CEB" w:rsidRDefault="00C66744" w:rsidP="00180577">
            <w:pPr>
              <w:keepNext/>
              <w:keepLines/>
              <w:tabs>
                <w:tab w:val="left" w:pos="-1440"/>
                <w:tab w:val="left" w:pos="-720"/>
              </w:tabs>
              <w:rPr>
                <w:b/>
                <w:sz w:val="20"/>
                <w:szCs w:val="20"/>
              </w:rPr>
            </w:pPr>
            <w:proofErr w:type="spellStart"/>
            <w:r w:rsidRPr="00C66744">
              <w:rPr>
                <w:b/>
                <w:sz w:val="20"/>
                <w:szCs w:val="20"/>
                <w:lang w:val="fr-CA"/>
              </w:rPr>
              <w:t>Zhong</w:t>
            </w:r>
            <w:proofErr w:type="spellEnd"/>
            <w:r w:rsidRPr="00C66744">
              <w:rPr>
                <w:b/>
                <w:sz w:val="20"/>
                <w:szCs w:val="20"/>
                <w:lang w:val="fr-CA"/>
              </w:rPr>
              <w:t xml:space="preserve"> Hua Hu et al. </w:t>
            </w:r>
            <w:r w:rsidR="004D37D0" w:rsidRPr="004B2CEB">
              <w:rPr>
                <w:b/>
                <w:sz w:val="20"/>
                <w:szCs w:val="20"/>
              </w:rPr>
              <w:t>(</w:t>
            </w:r>
            <w:r>
              <w:rPr>
                <w:b/>
                <w:sz w:val="20"/>
                <w:szCs w:val="20"/>
              </w:rPr>
              <w:t>B.C</w:t>
            </w:r>
            <w:r w:rsidR="004D37D0" w:rsidRPr="004B2CEB">
              <w:rPr>
                <w:b/>
                <w:sz w:val="20"/>
                <w:szCs w:val="20"/>
              </w:rPr>
              <w:t>.)</w:t>
            </w:r>
          </w:p>
          <w:p w:rsidR="004D37D0" w:rsidRPr="004B2CEB" w:rsidRDefault="004D37D0" w:rsidP="00180577">
            <w:pPr>
              <w:keepNext/>
              <w:keepLines/>
              <w:tabs>
                <w:tab w:val="left" w:pos="-1440"/>
                <w:tab w:val="left" w:pos="-720"/>
              </w:tabs>
              <w:rPr>
                <w:sz w:val="20"/>
                <w:szCs w:val="20"/>
              </w:rPr>
            </w:pPr>
            <w:r w:rsidRPr="004B2CEB">
              <w:rPr>
                <w:sz w:val="20"/>
                <w:szCs w:val="20"/>
              </w:rPr>
              <w:tab/>
            </w:r>
            <w:r w:rsidR="00C66744">
              <w:rPr>
                <w:sz w:val="20"/>
                <w:szCs w:val="20"/>
              </w:rPr>
              <w:t>Catherine Wang</w:t>
            </w:r>
          </w:p>
          <w:p w:rsidR="004D37D0" w:rsidRPr="004B2CEB" w:rsidRDefault="004D37D0" w:rsidP="00180577">
            <w:pPr>
              <w:keepNext/>
              <w:keepLines/>
              <w:tabs>
                <w:tab w:val="left" w:pos="-1440"/>
                <w:tab w:val="left" w:pos="-720"/>
              </w:tabs>
              <w:rPr>
                <w:sz w:val="20"/>
                <w:szCs w:val="20"/>
              </w:rPr>
            </w:pPr>
            <w:r w:rsidRPr="004B2CEB">
              <w:rPr>
                <w:sz w:val="20"/>
                <w:szCs w:val="20"/>
              </w:rPr>
              <w:tab/>
            </w:r>
            <w:r w:rsidR="00C66744">
              <w:rPr>
                <w:sz w:val="20"/>
                <w:szCs w:val="20"/>
              </w:rPr>
              <w:t xml:space="preserve">Insurance Corporation of British </w:t>
            </w:r>
            <w:r w:rsidR="00C66744">
              <w:rPr>
                <w:sz w:val="20"/>
                <w:szCs w:val="20"/>
              </w:rPr>
              <w:tab/>
              <w:t>Columbia</w:t>
            </w:r>
          </w:p>
          <w:p w:rsidR="004D37D0" w:rsidRPr="004B2CEB" w:rsidRDefault="004D37D0" w:rsidP="00180577">
            <w:pPr>
              <w:keepNext/>
              <w:keepLines/>
              <w:tabs>
                <w:tab w:val="left" w:pos="-1440"/>
                <w:tab w:val="left" w:pos="-720"/>
              </w:tabs>
              <w:rPr>
                <w:sz w:val="20"/>
                <w:szCs w:val="20"/>
              </w:rPr>
            </w:pPr>
          </w:p>
          <w:p w:rsidR="004D37D0" w:rsidRPr="00A935AA" w:rsidRDefault="004D37D0" w:rsidP="00C66744">
            <w:pPr>
              <w:rPr>
                <w:sz w:val="20"/>
                <w:szCs w:val="20"/>
              </w:rPr>
            </w:pPr>
            <w:r w:rsidRPr="00A935AA">
              <w:rPr>
                <w:sz w:val="20"/>
                <w:szCs w:val="20"/>
              </w:rPr>
              <w:t>FILING DATE: 2</w:t>
            </w:r>
            <w:r w:rsidR="00C66744">
              <w:rPr>
                <w:sz w:val="20"/>
                <w:szCs w:val="20"/>
              </w:rPr>
              <w:t>9</w:t>
            </w:r>
            <w:r w:rsidRPr="00A935AA">
              <w:rPr>
                <w:sz w:val="20"/>
                <w:szCs w:val="20"/>
              </w:rPr>
              <w:t>.0</w:t>
            </w:r>
            <w:r>
              <w:rPr>
                <w:sz w:val="20"/>
                <w:szCs w:val="20"/>
              </w:rPr>
              <w:t>4</w:t>
            </w:r>
            <w:r w:rsidRPr="00A935AA">
              <w:rPr>
                <w:sz w:val="20"/>
                <w:szCs w:val="20"/>
              </w:rPr>
              <w:t>.201</w:t>
            </w:r>
            <w:r>
              <w:rPr>
                <w:sz w:val="20"/>
                <w:szCs w:val="20"/>
              </w:rPr>
              <w:t>3</w:t>
            </w:r>
            <w:r w:rsidR="0028676C" w:rsidRPr="0028676C">
              <w:rPr>
                <w:sz w:val="20"/>
                <w:szCs w:val="20"/>
                <w:lang w:val="fr-CA"/>
              </w:rPr>
              <w:pict>
                <v:rect id="_x0000_i1030" style="width:108pt;height:1pt" o:hrpct="0" o:hralign="center" o:hrstd="t" o:hrnoshade="t" o:hr="t" fillcolor="black [3213]" stroked="f"/>
              </w:pict>
            </w:r>
          </w:p>
        </w:tc>
      </w:tr>
      <w:tr w:rsidR="004D37D0" w:rsidRPr="00B6040C" w:rsidTr="003B3977">
        <w:trPr>
          <w:cantSplit/>
        </w:trPr>
        <w:tc>
          <w:tcPr>
            <w:tcW w:w="4320" w:type="dxa"/>
            <w:shd w:val="clear" w:color="auto" w:fill="auto"/>
          </w:tcPr>
          <w:p w:rsidR="004D37D0" w:rsidRPr="008250A2" w:rsidRDefault="008250A2" w:rsidP="00180577">
            <w:pPr>
              <w:rPr>
                <w:b/>
                <w:sz w:val="20"/>
                <w:szCs w:val="20"/>
                <w:lang w:val="fr-CA"/>
              </w:rPr>
            </w:pPr>
            <w:r w:rsidRPr="008250A2">
              <w:rPr>
                <w:b/>
                <w:sz w:val="20"/>
                <w:szCs w:val="20"/>
                <w:lang w:val="fr-CA"/>
              </w:rPr>
              <w:t>C-</w:t>
            </w:r>
            <w:proofErr w:type="spellStart"/>
            <w:r w:rsidRPr="008250A2">
              <w:rPr>
                <w:b/>
                <w:sz w:val="20"/>
                <w:szCs w:val="20"/>
                <w:lang w:val="fr-CA"/>
              </w:rPr>
              <w:t>Map</w:t>
            </w:r>
            <w:proofErr w:type="spellEnd"/>
            <w:r w:rsidRPr="008250A2">
              <w:rPr>
                <w:b/>
                <w:sz w:val="20"/>
                <w:szCs w:val="20"/>
                <w:lang w:val="fr-CA"/>
              </w:rPr>
              <w:t xml:space="preserve"> USA Inc. et al.</w:t>
            </w:r>
          </w:p>
          <w:p w:rsidR="004D37D0" w:rsidRPr="008250A2" w:rsidRDefault="004D37D0" w:rsidP="00180577">
            <w:pPr>
              <w:tabs>
                <w:tab w:val="left" w:pos="-1440"/>
                <w:tab w:val="left" w:pos="-720"/>
              </w:tabs>
              <w:rPr>
                <w:sz w:val="20"/>
                <w:szCs w:val="20"/>
              </w:rPr>
            </w:pPr>
            <w:r w:rsidRPr="008250A2">
              <w:rPr>
                <w:sz w:val="20"/>
                <w:szCs w:val="20"/>
                <w:lang w:val="fr-CA"/>
              </w:rPr>
              <w:tab/>
            </w:r>
            <w:r w:rsidR="008250A2" w:rsidRPr="008250A2">
              <w:rPr>
                <w:sz w:val="20"/>
                <w:szCs w:val="20"/>
              </w:rPr>
              <w:t>Gary T. Daniel</w:t>
            </w:r>
          </w:p>
          <w:p w:rsidR="004D37D0" w:rsidRPr="008250A2" w:rsidRDefault="004D37D0" w:rsidP="00180577">
            <w:pPr>
              <w:tabs>
                <w:tab w:val="left" w:pos="-1440"/>
                <w:tab w:val="left" w:pos="-720"/>
              </w:tabs>
              <w:rPr>
                <w:sz w:val="20"/>
                <w:szCs w:val="20"/>
              </w:rPr>
            </w:pPr>
            <w:r w:rsidRPr="008250A2">
              <w:rPr>
                <w:sz w:val="20"/>
                <w:szCs w:val="20"/>
              </w:rPr>
              <w:tab/>
            </w:r>
            <w:r w:rsidR="008250A2" w:rsidRPr="008250A2">
              <w:rPr>
                <w:sz w:val="20"/>
                <w:szCs w:val="20"/>
              </w:rPr>
              <w:t xml:space="preserve">Blake, </w:t>
            </w:r>
            <w:proofErr w:type="spellStart"/>
            <w:r w:rsidR="008250A2" w:rsidRPr="008250A2">
              <w:rPr>
                <w:sz w:val="20"/>
                <w:szCs w:val="20"/>
              </w:rPr>
              <w:t>Cassels</w:t>
            </w:r>
            <w:proofErr w:type="spellEnd"/>
            <w:r w:rsidR="008250A2" w:rsidRPr="008250A2">
              <w:rPr>
                <w:sz w:val="20"/>
                <w:szCs w:val="20"/>
              </w:rPr>
              <w:t xml:space="preserve"> &amp; </w:t>
            </w:r>
            <w:proofErr w:type="spellStart"/>
            <w:r w:rsidR="008250A2" w:rsidRPr="008250A2">
              <w:rPr>
                <w:sz w:val="20"/>
                <w:szCs w:val="20"/>
              </w:rPr>
              <w:t>Graydon</w:t>
            </w:r>
            <w:proofErr w:type="spellEnd"/>
            <w:r w:rsidR="008250A2" w:rsidRPr="008250A2">
              <w:rPr>
                <w:sz w:val="20"/>
                <w:szCs w:val="20"/>
              </w:rPr>
              <w:t xml:space="preserve"> LLP</w:t>
            </w:r>
          </w:p>
          <w:p w:rsidR="004D37D0" w:rsidRPr="008250A2" w:rsidRDefault="004D37D0" w:rsidP="00180577">
            <w:pPr>
              <w:tabs>
                <w:tab w:val="left" w:pos="-1440"/>
                <w:tab w:val="left" w:pos="-720"/>
              </w:tabs>
              <w:rPr>
                <w:sz w:val="20"/>
                <w:szCs w:val="20"/>
              </w:rPr>
            </w:pPr>
          </w:p>
          <w:p w:rsidR="004D37D0" w:rsidRPr="00A935AA" w:rsidRDefault="004D37D0" w:rsidP="00180577">
            <w:pPr>
              <w:tabs>
                <w:tab w:val="left" w:pos="-1440"/>
                <w:tab w:val="left" w:pos="-720"/>
              </w:tabs>
              <w:rPr>
                <w:sz w:val="20"/>
                <w:szCs w:val="20"/>
              </w:rPr>
            </w:pPr>
            <w:r w:rsidRPr="008250A2">
              <w:rPr>
                <w:sz w:val="20"/>
                <w:szCs w:val="20"/>
              </w:rPr>
              <w:tab/>
            </w:r>
            <w:r w:rsidRPr="00A935AA">
              <w:rPr>
                <w:sz w:val="20"/>
                <w:szCs w:val="20"/>
              </w:rPr>
              <w:t>v. (3</w:t>
            </w:r>
            <w:r>
              <w:rPr>
                <w:sz w:val="20"/>
                <w:szCs w:val="20"/>
              </w:rPr>
              <w:t>5</w:t>
            </w:r>
            <w:r w:rsidR="008250A2">
              <w:rPr>
                <w:sz w:val="20"/>
                <w:szCs w:val="20"/>
              </w:rPr>
              <w:t>345</w:t>
            </w:r>
            <w:r w:rsidRPr="00A935AA">
              <w:rPr>
                <w:sz w:val="20"/>
                <w:szCs w:val="20"/>
              </w:rPr>
              <w:t>)</w:t>
            </w:r>
          </w:p>
          <w:p w:rsidR="004D37D0" w:rsidRPr="00A935AA" w:rsidRDefault="004D37D0" w:rsidP="00180577">
            <w:pPr>
              <w:tabs>
                <w:tab w:val="left" w:pos="-1440"/>
                <w:tab w:val="left" w:pos="-720"/>
              </w:tabs>
              <w:rPr>
                <w:sz w:val="20"/>
                <w:szCs w:val="20"/>
              </w:rPr>
            </w:pPr>
          </w:p>
          <w:p w:rsidR="004D37D0" w:rsidRPr="00A935AA" w:rsidRDefault="008250A2" w:rsidP="00180577">
            <w:pPr>
              <w:tabs>
                <w:tab w:val="left" w:pos="-1440"/>
                <w:tab w:val="left" w:pos="-720"/>
              </w:tabs>
              <w:rPr>
                <w:b/>
                <w:sz w:val="20"/>
                <w:szCs w:val="20"/>
              </w:rPr>
            </w:pPr>
            <w:r>
              <w:rPr>
                <w:b/>
                <w:sz w:val="20"/>
                <w:szCs w:val="20"/>
              </w:rPr>
              <w:t xml:space="preserve">Nautical Data International, Inc. et al. </w:t>
            </w:r>
            <w:r w:rsidR="004D37D0" w:rsidRPr="00A935AA">
              <w:rPr>
                <w:b/>
                <w:sz w:val="20"/>
                <w:szCs w:val="20"/>
              </w:rPr>
              <w:t>(</w:t>
            </w:r>
            <w:r>
              <w:rPr>
                <w:b/>
                <w:sz w:val="20"/>
                <w:szCs w:val="20"/>
              </w:rPr>
              <w:t>F</w:t>
            </w:r>
            <w:r w:rsidR="004D37D0" w:rsidRPr="00A935AA">
              <w:rPr>
                <w:b/>
                <w:sz w:val="20"/>
                <w:szCs w:val="20"/>
              </w:rPr>
              <w:t>.C.)</w:t>
            </w:r>
          </w:p>
          <w:p w:rsidR="004D37D0" w:rsidRPr="00A935AA" w:rsidRDefault="004D37D0" w:rsidP="00180577">
            <w:pPr>
              <w:tabs>
                <w:tab w:val="left" w:pos="-1440"/>
                <w:tab w:val="left" w:pos="-720"/>
              </w:tabs>
              <w:rPr>
                <w:sz w:val="20"/>
                <w:szCs w:val="20"/>
              </w:rPr>
            </w:pPr>
            <w:r w:rsidRPr="00A935AA">
              <w:rPr>
                <w:sz w:val="20"/>
                <w:szCs w:val="20"/>
              </w:rPr>
              <w:tab/>
            </w:r>
            <w:r w:rsidR="008250A2">
              <w:rPr>
                <w:sz w:val="20"/>
                <w:szCs w:val="20"/>
              </w:rPr>
              <w:t>James Eliot Mills</w:t>
            </w:r>
          </w:p>
          <w:p w:rsidR="004D37D0" w:rsidRPr="00A935AA" w:rsidRDefault="004D37D0" w:rsidP="00180577">
            <w:pPr>
              <w:tabs>
                <w:tab w:val="left" w:pos="-1440"/>
                <w:tab w:val="left" w:pos="-720"/>
              </w:tabs>
              <w:rPr>
                <w:sz w:val="20"/>
                <w:szCs w:val="20"/>
              </w:rPr>
            </w:pPr>
            <w:r w:rsidRPr="00A935AA">
              <w:rPr>
                <w:sz w:val="20"/>
                <w:szCs w:val="20"/>
              </w:rPr>
              <w:tab/>
            </w:r>
            <w:r w:rsidR="008250A2">
              <w:rPr>
                <w:sz w:val="20"/>
                <w:szCs w:val="20"/>
              </w:rPr>
              <w:t xml:space="preserve">Borden </w:t>
            </w:r>
            <w:proofErr w:type="spellStart"/>
            <w:r w:rsidR="008250A2">
              <w:rPr>
                <w:sz w:val="20"/>
                <w:szCs w:val="20"/>
              </w:rPr>
              <w:t>Ladner</w:t>
            </w:r>
            <w:proofErr w:type="spellEnd"/>
            <w:r w:rsidR="008250A2">
              <w:rPr>
                <w:sz w:val="20"/>
                <w:szCs w:val="20"/>
              </w:rPr>
              <w:t xml:space="preserve"> </w:t>
            </w:r>
            <w:proofErr w:type="spellStart"/>
            <w:r w:rsidR="008250A2">
              <w:rPr>
                <w:sz w:val="20"/>
                <w:szCs w:val="20"/>
              </w:rPr>
              <w:t>Gervais</w:t>
            </w:r>
            <w:proofErr w:type="spellEnd"/>
            <w:r w:rsidR="008250A2">
              <w:rPr>
                <w:sz w:val="20"/>
                <w:szCs w:val="20"/>
              </w:rPr>
              <w:t xml:space="preserve"> LLP</w:t>
            </w:r>
          </w:p>
          <w:p w:rsidR="004D37D0" w:rsidRPr="00A935AA" w:rsidRDefault="004D37D0" w:rsidP="00180577">
            <w:pPr>
              <w:tabs>
                <w:tab w:val="left" w:pos="-1440"/>
                <w:tab w:val="left" w:pos="-720"/>
              </w:tabs>
              <w:rPr>
                <w:sz w:val="20"/>
                <w:szCs w:val="20"/>
              </w:rPr>
            </w:pPr>
          </w:p>
          <w:p w:rsidR="004D37D0" w:rsidRPr="00A935AA" w:rsidRDefault="004D37D0" w:rsidP="00180577">
            <w:pPr>
              <w:rPr>
                <w:sz w:val="20"/>
                <w:szCs w:val="20"/>
              </w:rPr>
            </w:pPr>
            <w:r w:rsidRPr="00A935AA">
              <w:rPr>
                <w:sz w:val="20"/>
                <w:szCs w:val="20"/>
              </w:rPr>
              <w:t xml:space="preserve">FILING DATE: </w:t>
            </w:r>
            <w:r w:rsidR="008250A2">
              <w:rPr>
                <w:sz w:val="20"/>
                <w:szCs w:val="20"/>
              </w:rPr>
              <w:t>30</w:t>
            </w:r>
            <w:r w:rsidRPr="00A935AA">
              <w:rPr>
                <w:sz w:val="20"/>
                <w:szCs w:val="20"/>
              </w:rPr>
              <w:t>.0</w:t>
            </w:r>
            <w:r>
              <w:rPr>
                <w:sz w:val="20"/>
                <w:szCs w:val="20"/>
              </w:rPr>
              <w:t>4</w:t>
            </w:r>
            <w:r w:rsidRPr="00A935AA">
              <w:rPr>
                <w:sz w:val="20"/>
                <w:szCs w:val="20"/>
              </w:rPr>
              <w:t>.201</w:t>
            </w:r>
            <w:r>
              <w:rPr>
                <w:sz w:val="20"/>
                <w:szCs w:val="20"/>
              </w:rPr>
              <w:t>3</w:t>
            </w:r>
          </w:p>
          <w:p w:rsidR="004D37D0" w:rsidRPr="00A935AA" w:rsidRDefault="0028676C" w:rsidP="00180577">
            <w:pPr>
              <w:rPr>
                <w:sz w:val="20"/>
                <w:szCs w:val="20"/>
              </w:rPr>
            </w:pPr>
            <w:r w:rsidRPr="0028676C">
              <w:rPr>
                <w:sz w:val="20"/>
                <w:szCs w:val="20"/>
                <w:lang w:val="fr-CA"/>
              </w:rPr>
              <w:pict>
                <v:rect id="_x0000_i1031" style="width:108pt;height:1pt" o:hrpct="0" o:hralign="center" o:hrstd="t" o:hrnoshade="t" o:hr="t" fillcolor="black [3213]" stroked="f"/>
              </w:pict>
            </w:r>
          </w:p>
        </w:tc>
        <w:tc>
          <w:tcPr>
            <w:tcW w:w="1181" w:type="dxa"/>
            <w:shd w:val="clear" w:color="auto" w:fill="auto"/>
          </w:tcPr>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Default="004D37D0" w:rsidP="00242AEE">
            <w:pPr>
              <w:jc w:val="center"/>
              <w:rPr>
                <w:sz w:val="20"/>
                <w:szCs w:val="20"/>
              </w:rPr>
            </w:pPr>
          </w:p>
          <w:p w:rsidR="008250A2" w:rsidRPr="00A935AA" w:rsidRDefault="008250A2" w:rsidP="00242AEE">
            <w:pPr>
              <w:jc w:val="center"/>
              <w:rPr>
                <w:sz w:val="20"/>
                <w:szCs w:val="20"/>
              </w:rPr>
            </w:pPr>
          </w:p>
          <w:p w:rsidR="004D37D0" w:rsidRPr="00A935AA" w:rsidRDefault="004D37D0" w:rsidP="00242AEE">
            <w:pPr>
              <w:jc w:val="center"/>
              <w:rPr>
                <w:sz w:val="20"/>
                <w:szCs w:val="20"/>
              </w:rPr>
            </w:pPr>
          </w:p>
        </w:tc>
        <w:tc>
          <w:tcPr>
            <w:tcW w:w="4320" w:type="dxa"/>
            <w:shd w:val="clear" w:color="auto" w:fill="auto"/>
          </w:tcPr>
          <w:p w:rsidR="004D37D0" w:rsidRPr="008250A2" w:rsidRDefault="008250A2" w:rsidP="00180577">
            <w:pPr>
              <w:keepNext/>
              <w:keepLines/>
              <w:tabs>
                <w:tab w:val="left" w:pos="-1440"/>
                <w:tab w:val="left" w:pos="-720"/>
              </w:tabs>
              <w:rPr>
                <w:b/>
                <w:sz w:val="20"/>
                <w:szCs w:val="20"/>
                <w:lang w:val="fr-CA"/>
              </w:rPr>
            </w:pPr>
            <w:r w:rsidRPr="008250A2">
              <w:rPr>
                <w:b/>
                <w:sz w:val="20"/>
                <w:szCs w:val="20"/>
                <w:lang w:val="fr-CA"/>
              </w:rPr>
              <w:t>Ville de Montréal</w:t>
            </w:r>
          </w:p>
          <w:p w:rsidR="004D37D0" w:rsidRPr="008250A2" w:rsidRDefault="004D37D0" w:rsidP="00180577">
            <w:pPr>
              <w:keepNext/>
              <w:keepLines/>
              <w:tabs>
                <w:tab w:val="left" w:pos="-1440"/>
                <w:tab w:val="left" w:pos="-720"/>
              </w:tabs>
              <w:rPr>
                <w:sz w:val="20"/>
                <w:szCs w:val="20"/>
                <w:lang w:val="fr-CA"/>
              </w:rPr>
            </w:pPr>
            <w:r w:rsidRPr="008250A2">
              <w:rPr>
                <w:sz w:val="20"/>
                <w:szCs w:val="20"/>
                <w:lang w:val="fr-CA"/>
              </w:rPr>
              <w:tab/>
            </w:r>
            <w:r w:rsidR="008250A2">
              <w:rPr>
                <w:sz w:val="20"/>
                <w:szCs w:val="20"/>
                <w:lang w:val="fr-CA"/>
              </w:rPr>
              <w:t>Chantal Bruyère</w:t>
            </w:r>
          </w:p>
          <w:p w:rsidR="004D37D0" w:rsidRPr="008250A2" w:rsidRDefault="004D37D0" w:rsidP="00180577">
            <w:pPr>
              <w:keepNext/>
              <w:keepLines/>
              <w:tabs>
                <w:tab w:val="left" w:pos="-1440"/>
                <w:tab w:val="left" w:pos="-720"/>
              </w:tabs>
              <w:rPr>
                <w:sz w:val="20"/>
                <w:szCs w:val="20"/>
                <w:lang w:val="fr-CA"/>
              </w:rPr>
            </w:pPr>
            <w:r w:rsidRPr="008250A2">
              <w:rPr>
                <w:sz w:val="20"/>
                <w:szCs w:val="20"/>
                <w:lang w:val="fr-CA"/>
              </w:rPr>
              <w:tab/>
            </w:r>
            <w:proofErr w:type="spellStart"/>
            <w:r w:rsidR="008250A2">
              <w:rPr>
                <w:sz w:val="20"/>
                <w:szCs w:val="20"/>
                <w:lang w:val="fr-CA"/>
              </w:rPr>
              <w:t>Dagenais</w:t>
            </w:r>
            <w:proofErr w:type="spellEnd"/>
            <w:r w:rsidR="008250A2">
              <w:rPr>
                <w:sz w:val="20"/>
                <w:szCs w:val="20"/>
                <w:lang w:val="fr-CA"/>
              </w:rPr>
              <w:t xml:space="preserve"> </w:t>
            </w:r>
            <w:proofErr w:type="spellStart"/>
            <w:r w:rsidR="008250A2">
              <w:rPr>
                <w:sz w:val="20"/>
                <w:szCs w:val="20"/>
                <w:lang w:val="fr-CA"/>
              </w:rPr>
              <w:t>Gagnier</w:t>
            </w:r>
            <w:proofErr w:type="spellEnd"/>
            <w:r w:rsidR="008250A2">
              <w:rPr>
                <w:sz w:val="20"/>
                <w:szCs w:val="20"/>
                <w:lang w:val="fr-CA"/>
              </w:rPr>
              <w:t xml:space="preserve"> Biron Avocats</w:t>
            </w:r>
          </w:p>
          <w:p w:rsidR="004D37D0" w:rsidRPr="008250A2" w:rsidRDefault="004D37D0" w:rsidP="00180577">
            <w:pPr>
              <w:keepNext/>
              <w:keepLines/>
              <w:tabs>
                <w:tab w:val="left" w:pos="-1440"/>
                <w:tab w:val="left" w:pos="-720"/>
              </w:tabs>
              <w:rPr>
                <w:sz w:val="20"/>
                <w:szCs w:val="20"/>
                <w:lang w:val="fr-CA"/>
              </w:rPr>
            </w:pPr>
          </w:p>
          <w:p w:rsidR="004D37D0" w:rsidRPr="008250A2" w:rsidRDefault="004D37D0" w:rsidP="00180577">
            <w:pPr>
              <w:keepNext/>
              <w:keepLines/>
              <w:tabs>
                <w:tab w:val="left" w:pos="-1440"/>
                <w:tab w:val="left" w:pos="-720"/>
              </w:tabs>
              <w:rPr>
                <w:sz w:val="20"/>
                <w:szCs w:val="20"/>
                <w:lang w:val="fr-CA"/>
              </w:rPr>
            </w:pPr>
            <w:r w:rsidRPr="008250A2">
              <w:rPr>
                <w:sz w:val="20"/>
                <w:szCs w:val="20"/>
                <w:lang w:val="fr-CA"/>
              </w:rPr>
              <w:tab/>
            </w:r>
            <w:r w:rsidR="008250A2" w:rsidRPr="008250A2">
              <w:rPr>
                <w:sz w:val="20"/>
                <w:szCs w:val="20"/>
                <w:lang w:val="fr-CA"/>
              </w:rPr>
              <w:t>c</w:t>
            </w:r>
            <w:r w:rsidRPr="008250A2">
              <w:rPr>
                <w:sz w:val="20"/>
                <w:szCs w:val="20"/>
                <w:lang w:val="fr-CA"/>
              </w:rPr>
              <w:t>. (35</w:t>
            </w:r>
            <w:r w:rsidR="008250A2" w:rsidRPr="008250A2">
              <w:rPr>
                <w:sz w:val="20"/>
                <w:szCs w:val="20"/>
                <w:lang w:val="fr-CA"/>
              </w:rPr>
              <w:t>351</w:t>
            </w:r>
            <w:r w:rsidRPr="008250A2">
              <w:rPr>
                <w:sz w:val="20"/>
                <w:szCs w:val="20"/>
                <w:lang w:val="fr-CA"/>
              </w:rPr>
              <w:t>)</w:t>
            </w:r>
          </w:p>
          <w:p w:rsidR="004D37D0" w:rsidRPr="008250A2" w:rsidRDefault="004D37D0" w:rsidP="00180577">
            <w:pPr>
              <w:keepNext/>
              <w:keepLines/>
              <w:tabs>
                <w:tab w:val="left" w:pos="-1440"/>
                <w:tab w:val="left" w:pos="-720"/>
              </w:tabs>
              <w:rPr>
                <w:sz w:val="20"/>
                <w:szCs w:val="20"/>
                <w:lang w:val="fr-CA"/>
              </w:rPr>
            </w:pPr>
          </w:p>
          <w:p w:rsidR="004D37D0" w:rsidRPr="008250A2" w:rsidRDefault="008250A2" w:rsidP="00180577">
            <w:pPr>
              <w:keepNext/>
              <w:keepLines/>
              <w:tabs>
                <w:tab w:val="left" w:pos="-1440"/>
                <w:tab w:val="left" w:pos="-720"/>
              </w:tabs>
              <w:rPr>
                <w:b/>
                <w:sz w:val="20"/>
                <w:szCs w:val="20"/>
                <w:lang w:val="fr-CA"/>
              </w:rPr>
            </w:pPr>
            <w:r>
              <w:rPr>
                <w:b/>
                <w:sz w:val="20"/>
                <w:szCs w:val="20"/>
                <w:lang w:val="fr-CA"/>
              </w:rPr>
              <w:t xml:space="preserve">Grace </w:t>
            </w:r>
            <w:proofErr w:type="spellStart"/>
            <w:r>
              <w:rPr>
                <w:b/>
                <w:sz w:val="20"/>
                <w:szCs w:val="20"/>
                <w:lang w:val="fr-CA"/>
              </w:rPr>
              <w:t>Biondi</w:t>
            </w:r>
            <w:proofErr w:type="spellEnd"/>
            <w:r>
              <w:rPr>
                <w:b/>
                <w:sz w:val="20"/>
                <w:szCs w:val="20"/>
                <w:lang w:val="fr-CA"/>
              </w:rPr>
              <w:t xml:space="preserve"> et autre </w:t>
            </w:r>
            <w:r w:rsidR="004D37D0" w:rsidRPr="008250A2">
              <w:rPr>
                <w:b/>
                <w:sz w:val="20"/>
                <w:szCs w:val="20"/>
                <w:lang w:val="fr-CA"/>
              </w:rPr>
              <w:t>(</w:t>
            </w:r>
            <w:proofErr w:type="spellStart"/>
            <w:r w:rsidRPr="008250A2">
              <w:rPr>
                <w:b/>
                <w:sz w:val="20"/>
                <w:szCs w:val="20"/>
                <w:lang w:val="fr-CA"/>
              </w:rPr>
              <w:t>Qc</w:t>
            </w:r>
            <w:proofErr w:type="spellEnd"/>
            <w:r w:rsidR="004D37D0" w:rsidRPr="008250A2">
              <w:rPr>
                <w:b/>
                <w:sz w:val="20"/>
                <w:szCs w:val="20"/>
                <w:lang w:val="fr-CA"/>
              </w:rPr>
              <w:t>)</w:t>
            </w:r>
          </w:p>
          <w:p w:rsidR="004D37D0" w:rsidRPr="008250A2" w:rsidRDefault="004D37D0" w:rsidP="00180577">
            <w:pPr>
              <w:keepNext/>
              <w:keepLines/>
              <w:tabs>
                <w:tab w:val="left" w:pos="-1440"/>
                <w:tab w:val="left" w:pos="-720"/>
              </w:tabs>
              <w:rPr>
                <w:sz w:val="20"/>
                <w:szCs w:val="20"/>
                <w:lang w:val="fr-CA"/>
              </w:rPr>
            </w:pPr>
            <w:r w:rsidRPr="008250A2">
              <w:rPr>
                <w:sz w:val="20"/>
                <w:szCs w:val="20"/>
                <w:lang w:val="fr-CA"/>
              </w:rPr>
              <w:tab/>
            </w:r>
            <w:r w:rsidR="008250A2">
              <w:rPr>
                <w:sz w:val="20"/>
                <w:szCs w:val="20"/>
                <w:lang w:val="fr-CA"/>
              </w:rPr>
              <w:t>Bruce W. Johnston</w:t>
            </w:r>
          </w:p>
          <w:p w:rsidR="004D37D0" w:rsidRPr="008250A2" w:rsidRDefault="004D37D0" w:rsidP="00180577">
            <w:pPr>
              <w:keepNext/>
              <w:keepLines/>
              <w:tabs>
                <w:tab w:val="left" w:pos="-1440"/>
                <w:tab w:val="left" w:pos="-720"/>
              </w:tabs>
              <w:rPr>
                <w:sz w:val="20"/>
                <w:szCs w:val="20"/>
                <w:lang w:val="fr-CA"/>
              </w:rPr>
            </w:pPr>
            <w:r w:rsidRPr="008250A2">
              <w:rPr>
                <w:sz w:val="20"/>
                <w:szCs w:val="20"/>
                <w:lang w:val="fr-CA"/>
              </w:rPr>
              <w:tab/>
            </w:r>
            <w:r w:rsidR="008250A2">
              <w:rPr>
                <w:sz w:val="20"/>
                <w:szCs w:val="20"/>
                <w:lang w:val="fr-CA"/>
              </w:rPr>
              <w:t>Trudel &amp; Johnston</w:t>
            </w:r>
          </w:p>
          <w:p w:rsidR="004D37D0" w:rsidRPr="008250A2" w:rsidRDefault="004D37D0" w:rsidP="00180577">
            <w:pPr>
              <w:keepNext/>
              <w:keepLines/>
              <w:tabs>
                <w:tab w:val="left" w:pos="-1440"/>
                <w:tab w:val="left" w:pos="-720"/>
              </w:tabs>
              <w:rPr>
                <w:sz w:val="20"/>
                <w:szCs w:val="20"/>
                <w:lang w:val="fr-CA"/>
              </w:rPr>
            </w:pPr>
          </w:p>
          <w:p w:rsidR="004D37D0" w:rsidRDefault="004D37D0" w:rsidP="008250A2">
            <w:pPr>
              <w:rPr>
                <w:sz w:val="20"/>
                <w:szCs w:val="20"/>
                <w:lang w:val="fr-CA"/>
              </w:rPr>
            </w:pPr>
            <w:r w:rsidRPr="008250A2">
              <w:rPr>
                <w:sz w:val="20"/>
                <w:szCs w:val="20"/>
                <w:lang w:val="fr-CA"/>
              </w:rPr>
              <w:t>DATE</w:t>
            </w:r>
            <w:r w:rsidR="008250A2" w:rsidRPr="008250A2">
              <w:rPr>
                <w:sz w:val="20"/>
                <w:szCs w:val="20"/>
                <w:lang w:val="fr-CA"/>
              </w:rPr>
              <w:t xml:space="preserve"> DE PRODUCTION </w:t>
            </w:r>
            <w:r w:rsidRPr="008250A2">
              <w:rPr>
                <w:sz w:val="20"/>
                <w:szCs w:val="20"/>
                <w:lang w:val="fr-CA"/>
              </w:rPr>
              <w:t xml:space="preserve">: </w:t>
            </w:r>
            <w:r w:rsidR="008250A2" w:rsidRPr="008250A2">
              <w:rPr>
                <w:sz w:val="20"/>
                <w:szCs w:val="20"/>
                <w:lang w:val="fr-CA"/>
              </w:rPr>
              <w:t>0</w:t>
            </w:r>
            <w:r w:rsidRPr="008250A2">
              <w:rPr>
                <w:sz w:val="20"/>
                <w:szCs w:val="20"/>
                <w:lang w:val="fr-CA"/>
              </w:rPr>
              <w:t>2.0</w:t>
            </w:r>
            <w:r w:rsidR="008250A2" w:rsidRPr="008250A2">
              <w:rPr>
                <w:sz w:val="20"/>
                <w:szCs w:val="20"/>
                <w:lang w:val="fr-CA"/>
              </w:rPr>
              <w:t>5</w:t>
            </w:r>
            <w:r w:rsidRPr="008250A2">
              <w:rPr>
                <w:sz w:val="20"/>
                <w:szCs w:val="20"/>
                <w:lang w:val="fr-CA"/>
              </w:rPr>
              <w:t>.2013</w:t>
            </w:r>
          </w:p>
          <w:p w:rsidR="008250A2" w:rsidRDefault="008250A2" w:rsidP="008250A2">
            <w:pPr>
              <w:rPr>
                <w:sz w:val="20"/>
                <w:szCs w:val="20"/>
                <w:lang w:val="fr-CA"/>
              </w:rPr>
            </w:pPr>
          </w:p>
          <w:p w:rsidR="008250A2" w:rsidRPr="008250A2" w:rsidRDefault="008250A2" w:rsidP="008250A2">
            <w:pPr>
              <w:rPr>
                <w:sz w:val="20"/>
                <w:szCs w:val="20"/>
                <w:lang w:val="fr-CA"/>
              </w:rPr>
            </w:pPr>
            <w:r>
              <w:rPr>
                <w:sz w:val="20"/>
                <w:szCs w:val="20"/>
                <w:lang w:val="fr-CA"/>
              </w:rPr>
              <w:t>et entre</w:t>
            </w:r>
          </w:p>
        </w:tc>
      </w:tr>
      <w:tr w:rsidR="004D37D0" w:rsidRPr="00A935AA" w:rsidTr="003B3977">
        <w:trPr>
          <w:cantSplit/>
        </w:trPr>
        <w:tc>
          <w:tcPr>
            <w:tcW w:w="4320" w:type="dxa"/>
            <w:shd w:val="clear" w:color="auto" w:fill="auto"/>
          </w:tcPr>
          <w:p w:rsidR="004D37D0" w:rsidRPr="008250A2" w:rsidRDefault="008250A2" w:rsidP="00180577">
            <w:pPr>
              <w:rPr>
                <w:b/>
                <w:sz w:val="20"/>
                <w:szCs w:val="20"/>
                <w:lang w:val="fr-CA"/>
              </w:rPr>
            </w:pPr>
            <w:r>
              <w:rPr>
                <w:b/>
                <w:sz w:val="20"/>
                <w:szCs w:val="20"/>
                <w:lang w:val="fr-CA"/>
              </w:rPr>
              <w:t>Georges Lebel et autre</w:t>
            </w:r>
          </w:p>
          <w:p w:rsidR="004D37D0" w:rsidRDefault="004D37D0" w:rsidP="00A12C62">
            <w:pPr>
              <w:tabs>
                <w:tab w:val="left" w:pos="-1440"/>
                <w:tab w:val="left" w:pos="-720"/>
              </w:tabs>
              <w:rPr>
                <w:sz w:val="20"/>
                <w:szCs w:val="20"/>
                <w:lang w:val="fr-CA"/>
              </w:rPr>
            </w:pPr>
            <w:r w:rsidRPr="008250A2">
              <w:rPr>
                <w:sz w:val="20"/>
                <w:szCs w:val="20"/>
                <w:lang w:val="fr-CA"/>
              </w:rPr>
              <w:tab/>
            </w:r>
            <w:r w:rsidR="00A12C62">
              <w:rPr>
                <w:sz w:val="20"/>
                <w:szCs w:val="20"/>
                <w:lang w:val="fr-CA"/>
              </w:rPr>
              <w:t xml:space="preserve">Michel </w:t>
            </w:r>
            <w:proofErr w:type="spellStart"/>
            <w:r w:rsidR="00A12C62">
              <w:rPr>
                <w:sz w:val="20"/>
                <w:szCs w:val="20"/>
                <w:lang w:val="fr-CA"/>
              </w:rPr>
              <w:t>Roberge</w:t>
            </w:r>
            <w:proofErr w:type="spellEnd"/>
          </w:p>
          <w:p w:rsidR="00A12C62" w:rsidRPr="008250A2" w:rsidRDefault="00A12C62" w:rsidP="00A12C62">
            <w:pPr>
              <w:tabs>
                <w:tab w:val="left" w:pos="-1440"/>
                <w:tab w:val="left" w:pos="-720"/>
              </w:tabs>
              <w:rPr>
                <w:sz w:val="20"/>
                <w:szCs w:val="20"/>
                <w:lang w:val="fr-CA"/>
              </w:rPr>
            </w:pPr>
            <w:r>
              <w:rPr>
                <w:sz w:val="20"/>
                <w:szCs w:val="20"/>
                <w:lang w:val="fr-CA"/>
              </w:rPr>
              <w:tab/>
              <w:t xml:space="preserve">Dumas Gagné </w:t>
            </w:r>
            <w:proofErr w:type="spellStart"/>
            <w:r>
              <w:rPr>
                <w:sz w:val="20"/>
                <w:szCs w:val="20"/>
                <w:lang w:val="fr-CA"/>
              </w:rPr>
              <w:t>Labrecque</w:t>
            </w:r>
            <w:proofErr w:type="spellEnd"/>
            <w:r>
              <w:rPr>
                <w:sz w:val="20"/>
                <w:szCs w:val="20"/>
                <w:lang w:val="fr-CA"/>
              </w:rPr>
              <w:t xml:space="preserve"> Avocats</w:t>
            </w:r>
          </w:p>
          <w:p w:rsidR="004D37D0" w:rsidRPr="008250A2" w:rsidRDefault="004D37D0" w:rsidP="00180577">
            <w:pPr>
              <w:tabs>
                <w:tab w:val="left" w:pos="-1440"/>
                <w:tab w:val="left" w:pos="-720"/>
              </w:tabs>
              <w:rPr>
                <w:sz w:val="20"/>
                <w:szCs w:val="20"/>
                <w:lang w:val="fr-CA"/>
              </w:rPr>
            </w:pPr>
          </w:p>
          <w:p w:rsidR="004D37D0" w:rsidRPr="008250A2" w:rsidRDefault="004D37D0" w:rsidP="00180577">
            <w:pPr>
              <w:tabs>
                <w:tab w:val="left" w:pos="-1440"/>
                <w:tab w:val="left" w:pos="-720"/>
              </w:tabs>
              <w:rPr>
                <w:sz w:val="20"/>
                <w:szCs w:val="20"/>
                <w:lang w:val="fr-CA"/>
              </w:rPr>
            </w:pPr>
            <w:r w:rsidRPr="008250A2">
              <w:rPr>
                <w:sz w:val="20"/>
                <w:szCs w:val="20"/>
                <w:lang w:val="fr-CA"/>
              </w:rPr>
              <w:tab/>
            </w:r>
            <w:r w:rsidR="008250A2">
              <w:rPr>
                <w:sz w:val="20"/>
                <w:szCs w:val="20"/>
                <w:lang w:val="fr-CA"/>
              </w:rPr>
              <w:t>c</w:t>
            </w:r>
            <w:r w:rsidRPr="008250A2">
              <w:rPr>
                <w:sz w:val="20"/>
                <w:szCs w:val="20"/>
                <w:lang w:val="fr-CA"/>
              </w:rPr>
              <w:t>. (35</w:t>
            </w:r>
            <w:r w:rsidR="00A12C62">
              <w:rPr>
                <w:sz w:val="20"/>
                <w:szCs w:val="20"/>
                <w:lang w:val="fr-CA"/>
              </w:rPr>
              <w:t>352</w:t>
            </w:r>
            <w:r w:rsidRPr="008250A2">
              <w:rPr>
                <w:sz w:val="20"/>
                <w:szCs w:val="20"/>
                <w:lang w:val="fr-CA"/>
              </w:rPr>
              <w:t>)</w:t>
            </w:r>
          </w:p>
          <w:p w:rsidR="004D37D0" w:rsidRPr="008250A2" w:rsidRDefault="004D37D0" w:rsidP="00180577">
            <w:pPr>
              <w:tabs>
                <w:tab w:val="left" w:pos="-1440"/>
                <w:tab w:val="left" w:pos="-720"/>
              </w:tabs>
              <w:rPr>
                <w:sz w:val="20"/>
                <w:szCs w:val="20"/>
                <w:lang w:val="fr-CA"/>
              </w:rPr>
            </w:pPr>
          </w:p>
          <w:p w:rsidR="004D37D0" w:rsidRPr="00A12C62" w:rsidRDefault="00A12C62" w:rsidP="00180577">
            <w:pPr>
              <w:tabs>
                <w:tab w:val="left" w:pos="-1440"/>
                <w:tab w:val="left" w:pos="-720"/>
              </w:tabs>
              <w:rPr>
                <w:b/>
                <w:sz w:val="20"/>
                <w:szCs w:val="20"/>
                <w:lang w:val="fr-CA"/>
              </w:rPr>
            </w:pPr>
            <w:r>
              <w:rPr>
                <w:b/>
                <w:sz w:val="20"/>
                <w:szCs w:val="20"/>
                <w:lang w:val="fr-CA"/>
              </w:rPr>
              <w:t xml:space="preserve">Sa Majesté la Reine </w:t>
            </w:r>
            <w:r w:rsidR="004D37D0" w:rsidRPr="00A12C62">
              <w:rPr>
                <w:b/>
                <w:sz w:val="20"/>
                <w:szCs w:val="20"/>
                <w:lang w:val="fr-CA"/>
              </w:rPr>
              <w:t>(</w:t>
            </w:r>
            <w:proofErr w:type="spellStart"/>
            <w:r>
              <w:rPr>
                <w:b/>
                <w:sz w:val="20"/>
                <w:szCs w:val="20"/>
                <w:lang w:val="fr-CA"/>
              </w:rPr>
              <w:t>Qc</w:t>
            </w:r>
            <w:proofErr w:type="spellEnd"/>
            <w:r w:rsidR="004D37D0" w:rsidRPr="00A12C62">
              <w:rPr>
                <w:b/>
                <w:sz w:val="20"/>
                <w:szCs w:val="20"/>
                <w:lang w:val="fr-CA"/>
              </w:rPr>
              <w:t>)</w:t>
            </w:r>
          </w:p>
          <w:p w:rsidR="00A12C62" w:rsidRPr="008250A2" w:rsidRDefault="004D37D0" w:rsidP="00A12C62">
            <w:pPr>
              <w:tabs>
                <w:tab w:val="left" w:pos="-1440"/>
                <w:tab w:val="left" w:pos="-720"/>
              </w:tabs>
              <w:rPr>
                <w:sz w:val="20"/>
                <w:szCs w:val="20"/>
                <w:lang w:val="fr-CA"/>
              </w:rPr>
            </w:pPr>
            <w:r w:rsidRPr="00A12C62">
              <w:rPr>
                <w:sz w:val="20"/>
                <w:szCs w:val="20"/>
                <w:lang w:val="fr-CA"/>
              </w:rPr>
              <w:tab/>
            </w:r>
            <w:r w:rsidR="00A12C62">
              <w:rPr>
                <w:sz w:val="20"/>
                <w:szCs w:val="20"/>
                <w:lang w:val="fr-CA"/>
              </w:rPr>
              <w:t>Pierre Lapointe</w:t>
            </w:r>
          </w:p>
          <w:p w:rsidR="00A12C62" w:rsidRPr="008250A2" w:rsidRDefault="00A12C62" w:rsidP="00A12C62">
            <w:pPr>
              <w:tabs>
                <w:tab w:val="left" w:pos="-1440"/>
                <w:tab w:val="left" w:pos="-720"/>
              </w:tabs>
              <w:rPr>
                <w:sz w:val="20"/>
                <w:szCs w:val="20"/>
                <w:lang w:val="fr-CA"/>
              </w:rPr>
            </w:pPr>
            <w:r w:rsidRPr="008250A2">
              <w:rPr>
                <w:sz w:val="20"/>
                <w:szCs w:val="20"/>
                <w:lang w:val="fr-CA"/>
              </w:rPr>
              <w:tab/>
            </w:r>
            <w:r>
              <w:rPr>
                <w:sz w:val="20"/>
                <w:szCs w:val="20"/>
                <w:lang w:val="fr-CA"/>
              </w:rPr>
              <w:t xml:space="preserve">Directeur des poursuites criminelles et </w:t>
            </w:r>
            <w:r>
              <w:rPr>
                <w:sz w:val="20"/>
                <w:szCs w:val="20"/>
                <w:lang w:val="fr-CA"/>
              </w:rPr>
              <w:tab/>
              <w:t>pénales du Québec</w:t>
            </w:r>
          </w:p>
          <w:p w:rsidR="004D37D0" w:rsidRPr="00A12C62" w:rsidRDefault="004D37D0" w:rsidP="00180577">
            <w:pPr>
              <w:tabs>
                <w:tab w:val="left" w:pos="-1440"/>
                <w:tab w:val="left" w:pos="-720"/>
              </w:tabs>
              <w:rPr>
                <w:sz w:val="20"/>
                <w:szCs w:val="20"/>
                <w:lang w:val="fr-CA"/>
              </w:rPr>
            </w:pPr>
          </w:p>
          <w:p w:rsidR="004D37D0" w:rsidRPr="00A12C62" w:rsidRDefault="004D37D0" w:rsidP="00180577">
            <w:pPr>
              <w:rPr>
                <w:sz w:val="20"/>
                <w:szCs w:val="20"/>
                <w:lang w:val="fr-CA"/>
              </w:rPr>
            </w:pPr>
            <w:r w:rsidRPr="00A12C62">
              <w:rPr>
                <w:sz w:val="20"/>
                <w:szCs w:val="20"/>
                <w:lang w:val="fr-CA"/>
              </w:rPr>
              <w:t>DATE</w:t>
            </w:r>
            <w:r w:rsidR="008250A2" w:rsidRPr="00A12C62">
              <w:rPr>
                <w:sz w:val="20"/>
                <w:szCs w:val="20"/>
                <w:lang w:val="fr-CA"/>
              </w:rPr>
              <w:t xml:space="preserve"> DE PRODUCTION </w:t>
            </w:r>
            <w:r w:rsidRPr="00A12C62">
              <w:rPr>
                <w:sz w:val="20"/>
                <w:szCs w:val="20"/>
                <w:lang w:val="fr-CA"/>
              </w:rPr>
              <w:t xml:space="preserve">: </w:t>
            </w:r>
            <w:r w:rsidR="008250A2" w:rsidRPr="00A12C62">
              <w:rPr>
                <w:sz w:val="20"/>
                <w:szCs w:val="20"/>
                <w:lang w:val="fr-CA"/>
              </w:rPr>
              <w:t>03</w:t>
            </w:r>
            <w:r w:rsidRPr="00A12C62">
              <w:rPr>
                <w:sz w:val="20"/>
                <w:szCs w:val="20"/>
                <w:lang w:val="fr-CA"/>
              </w:rPr>
              <w:t>.0</w:t>
            </w:r>
            <w:r w:rsidR="008250A2" w:rsidRPr="00A12C62">
              <w:rPr>
                <w:sz w:val="20"/>
                <w:szCs w:val="20"/>
                <w:lang w:val="fr-CA"/>
              </w:rPr>
              <w:t>5</w:t>
            </w:r>
            <w:r w:rsidRPr="00A12C62">
              <w:rPr>
                <w:sz w:val="20"/>
                <w:szCs w:val="20"/>
                <w:lang w:val="fr-CA"/>
              </w:rPr>
              <w:t>.2013</w:t>
            </w:r>
          </w:p>
          <w:p w:rsidR="004D37D0" w:rsidRPr="00A12C62" w:rsidRDefault="0028676C" w:rsidP="00180577">
            <w:pPr>
              <w:rPr>
                <w:sz w:val="20"/>
                <w:szCs w:val="20"/>
                <w:lang w:val="fr-CA"/>
              </w:rPr>
            </w:pPr>
            <w:r w:rsidRPr="0028676C">
              <w:rPr>
                <w:sz w:val="20"/>
                <w:szCs w:val="20"/>
                <w:lang w:val="fr-CA"/>
              </w:rPr>
              <w:pict>
                <v:rect id="_x0000_i1032" style="width:108pt;height:1pt" o:hrpct="0" o:hralign="center" o:hrstd="t" o:hrnoshade="t" o:hr="t" fillcolor="black [3213]" stroked="f"/>
              </w:pict>
            </w:r>
          </w:p>
        </w:tc>
        <w:tc>
          <w:tcPr>
            <w:tcW w:w="1181" w:type="dxa"/>
            <w:shd w:val="clear" w:color="auto" w:fill="auto"/>
          </w:tcPr>
          <w:p w:rsidR="004D37D0" w:rsidRPr="00A12C62" w:rsidRDefault="004D37D0" w:rsidP="00242AEE">
            <w:pPr>
              <w:jc w:val="center"/>
              <w:rPr>
                <w:sz w:val="20"/>
                <w:szCs w:val="20"/>
                <w:lang w:val="fr-CA"/>
              </w:rPr>
            </w:pPr>
          </w:p>
          <w:p w:rsidR="004D37D0" w:rsidRPr="00A12C62" w:rsidRDefault="004D37D0" w:rsidP="00242AEE">
            <w:pPr>
              <w:jc w:val="center"/>
              <w:rPr>
                <w:sz w:val="20"/>
                <w:szCs w:val="20"/>
                <w:lang w:val="fr-CA"/>
              </w:rPr>
            </w:pPr>
          </w:p>
          <w:p w:rsidR="004D37D0" w:rsidRPr="00A12C62" w:rsidRDefault="004D37D0" w:rsidP="00242AEE">
            <w:pPr>
              <w:jc w:val="center"/>
              <w:rPr>
                <w:sz w:val="20"/>
                <w:szCs w:val="20"/>
                <w:lang w:val="fr-CA"/>
              </w:rPr>
            </w:pPr>
          </w:p>
          <w:p w:rsidR="004D37D0" w:rsidRPr="00A12C62" w:rsidRDefault="004D37D0" w:rsidP="00242AEE">
            <w:pPr>
              <w:jc w:val="center"/>
              <w:rPr>
                <w:sz w:val="20"/>
                <w:szCs w:val="20"/>
                <w:lang w:val="fr-CA"/>
              </w:rPr>
            </w:pPr>
          </w:p>
          <w:p w:rsidR="004D37D0" w:rsidRPr="00A12C62" w:rsidRDefault="004D37D0" w:rsidP="00242AEE">
            <w:pPr>
              <w:jc w:val="center"/>
              <w:rPr>
                <w:sz w:val="20"/>
                <w:szCs w:val="20"/>
                <w:lang w:val="fr-CA"/>
              </w:rPr>
            </w:pPr>
          </w:p>
          <w:p w:rsidR="004D37D0" w:rsidRPr="00A12C62" w:rsidRDefault="004D37D0" w:rsidP="00242AEE">
            <w:pPr>
              <w:jc w:val="center"/>
              <w:rPr>
                <w:sz w:val="20"/>
                <w:szCs w:val="20"/>
                <w:lang w:val="fr-CA"/>
              </w:rPr>
            </w:pPr>
          </w:p>
          <w:p w:rsidR="004D37D0" w:rsidRPr="00A12C62" w:rsidRDefault="004D37D0" w:rsidP="00242AEE">
            <w:pPr>
              <w:jc w:val="center"/>
              <w:rPr>
                <w:sz w:val="20"/>
                <w:szCs w:val="20"/>
                <w:lang w:val="fr-CA"/>
              </w:rPr>
            </w:pPr>
          </w:p>
          <w:p w:rsidR="004D37D0" w:rsidRPr="00A12C62" w:rsidRDefault="004D37D0" w:rsidP="00242AEE">
            <w:pPr>
              <w:jc w:val="center"/>
              <w:rPr>
                <w:sz w:val="20"/>
                <w:szCs w:val="20"/>
                <w:lang w:val="fr-CA"/>
              </w:rPr>
            </w:pPr>
          </w:p>
          <w:p w:rsidR="004D37D0" w:rsidRPr="00A12C62" w:rsidRDefault="004D37D0" w:rsidP="00242AEE">
            <w:pPr>
              <w:jc w:val="center"/>
              <w:rPr>
                <w:sz w:val="20"/>
                <w:szCs w:val="20"/>
                <w:lang w:val="fr-CA"/>
              </w:rPr>
            </w:pPr>
          </w:p>
          <w:p w:rsidR="004D37D0" w:rsidRPr="00A12C62" w:rsidRDefault="004D37D0" w:rsidP="00242AEE">
            <w:pPr>
              <w:jc w:val="center"/>
              <w:rPr>
                <w:sz w:val="20"/>
                <w:szCs w:val="20"/>
                <w:lang w:val="fr-CA"/>
              </w:rPr>
            </w:pPr>
          </w:p>
          <w:p w:rsidR="004D37D0" w:rsidRPr="00A12C62" w:rsidRDefault="004D37D0" w:rsidP="00242AEE">
            <w:pPr>
              <w:jc w:val="center"/>
              <w:rPr>
                <w:sz w:val="20"/>
                <w:szCs w:val="20"/>
                <w:lang w:val="fr-CA"/>
              </w:rPr>
            </w:pPr>
          </w:p>
          <w:p w:rsidR="004D37D0" w:rsidRDefault="004D37D0" w:rsidP="00242AEE">
            <w:pPr>
              <w:jc w:val="center"/>
              <w:rPr>
                <w:sz w:val="20"/>
                <w:szCs w:val="20"/>
                <w:lang w:val="fr-CA"/>
              </w:rPr>
            </w:pPr>
          </w:p>
          <w:p w:rsidR="00A12C62" w:rsidRPr="00A12C62" w:rsidRDefault="00A12C62" w:rsidP="00242AEE">
            <w:pPr>
              <w:jc w:val="center"/>
              <w:rPr>
                <w:sz w:val="20"/>
                <w:szCs w:val="20"/>
                <w:lang w:val="fr-CA"/>
              </w:rPr>
            </w:pPr>
          </w:p>
          <w:p w:rsidR="004D37D0" w:rsidRPr="00A12C62" w:rsidRDefault="004D37D0" w:rsidP="00242AEE">
            <w:pPr>
              <w:jc w:val="center"/>
              <w:rPr>
                <w:sz w:val="20"/>
                <w:szCs w:val="20"/>
                <w:lang w:val="fr-CA"/>
              </w:rPr>
            </w:pPr>
          </w:p>
        </w:tc>
        <w:tc>
          <w:tcPr>
            <w:tcW w:w="4320" w:type="dxa"/>
            <w:shd w:val="clear" w:color="auto" w:fill="auto"/>
          </w:tcPr>
          <w:p w:rsidR="004D37D0" w:rsidRPr="00A12C62" w:rsidRDefault="004D37D0" w:rsidP="00180577">
            <w:pPr>
              <w:keepNext/>
              <w:keepLines/>
              <w:tabs>
                <w:tab w:val="left" w:pos="-1440"/>
                <w:tab w:val="left" w:pos="-720"/>
              </w:tabs>
              <w:rPr>
                <w:b/>
                <w:sz w:val="20"/>
                <w:szCs w:val="20"/>
                <w:lang w:val="fr-CA"/>
              </w:rPr>
            </w:pPr>
          </w:p>
          <w:p w:rsidR="008250A2" w:rsidRPr="008250A2" w:rsidRDefault="008250A2" w:rsidP="00180577">
            <w:pPr>
              <w:keepNext/>
              <w:keepLines/>
              <w:tabs>
                <w:tab w:val="left" w:pos="-1440"/>
                <w:tab w:val="left" w:pos="-720"/>
              </w:tabs>
              <w:rPr>
                <w:b/>
                <w:sz w:val="20"/>
                <w:szCs w:val="20"/>
                <w:lang w:val="fr-CA"/>
              </w:rPr>
            </w:pPr>
            <w:r w:rsidRPr="008250A2">
              <w:rPr>
                <w:b/>
                <w:sz w:val="20"/>
                <w:szCs w:val="20"/>
                <w:lang w:val="fr-CA"/>
              </w:rPr>
              <w:t>Syndicat des Cols Bleus regroupés de Montréal (SCFP-301)</w:t>
            </w:r>
          </w:p>
          <w:p w:rsidR="004D37D0" w:rsidRPr="008250A2" w:rsidRDefault="004D37D0" w:rsidP="00180577">
            <w:pPr>
              <w:keepNext/>
              <w:keepLines/>
              <w:tabs>
                <w:tab w:val="left" w:pos="-1440"/>
                <w:tab w:val="left" w:pos="-720"/>
              </w:tabs>
              <w:rPr>
                <w:sz w:val="20"/>
                <w:szCs w:val="20"/>
                <w:lang w:val="fr-CA"/>
              </w:rPr>
            </w:pPr>
            <w:r w:rsidRPr="008250A2">
              <w:rPr>
                <w:sz w:val="20"/>
                <w:szCs w:val="20"/>
                <w:lang w:val="fr-CA"/>
              </w:rPr>
              <w:tab/>
            </w:r>
            <w:r w:rsidR="008250A2">
              <w:rPr>
                <w:sz w:val="20"/>
                <w:szCs w:val="20"/>
                <w:lang w:val="fr-CA"/>
              </w:rPr>
              <w:t xml:space="preserve">Michel </w:t>
            </w:r>
            <w:proofErr w:type="spellStart"/>
            <w:r w:rsidR="008250A2">
              <w:rPr>
                <w:sz w:val="20"/>
                <w:szCs w:val="20"/>
                <w:lang w:val="fr-CA"/>
              </w:rPr>
              <w:t>Derouet</w:t>
            </w:r>
            <w:proofErr w:type="spellEnd"/>
          </w:p>
          <w:p w:rsidR="004D37D0" w:rsidRPr="008250A2" w:rsidRDefault="004D37D0" w:rsidP="00180577">
            <w:pPr>
              <w:keepNext/>
              <w:keepLines/>
              <w:tabs>
                <w:tab w:val="left" w:pos="-1440"/>
                <w:tab w:val="left" w:pos="-720"/>
              </w:tabs>
              <w:rPr>
                <w:sz w:val="20"/>
                <w:szCs w:val="20"/>
                <w:lang w:val="fr-CA"/>
              </w:rPr>
            </w:pPr>
            <w:r w:rsidRPr="008250A2">
              <w:rPr>
                <w:sz w:val="20"/>
                <w:szCs w:val="20"/>
                <w:lang w:val="fr-CA"/>
              </w:rPr>
              <w:tab/>
            </w:r>
            <w:r w:rsidR="008250A2">
              <w:rPr>
                <w:sz w:val="20"/>
                <w:szCs w:val="20"/>
                <w:lang w:val="fr-CA"/>
              </w:rPr>
              <w:t>Trudel, Nadeau</w:t>
            </w:r>
          </w:p>
          <w:p w:rsidR="004D37D0" w:rsidRPr="008250A2" w:rsidRDefault="004D37D0" w:rsidP="00180577">
            <w:pPr>
              <w:keepNext/>
              <w:keepLines/>
              <w:tabs>
                <w:tab w:val="left" w:pos="-1440"/>
                <w:tab w:val="left" w:pos="-720"/>
              </w:tabs>
              <w:rPr>
                <w:sz w:val="20"/>
                <w:szCs w:val="20"/>
                <w:lang w:val="fr-CA"/>
              </w:rPr>
            </w:pPr>
          </w:p>
          <w:p w:rsidR="004D37D0" w:rsidRPr="00A935AA" w:rsidRDefault="004D37D0" w:rsidP="00180577">
            <w:pPr>
              <w:keepNext/>
              <w:keepLines/>
              <w:tabs>
                <w:tab w:val="left" w:pos="-1440"/>
                <w:tab w:val="left" w:pos="-720"/>
              </w:tabs>
              <w:rPr>
                <w:sz w:val="20"/>
                <w:szCs w:val="20"/>
                <w:lang w:val="fr-CA"/>
              </w:rPr>
            </w:pPr>
            <w:r w:rsidRPr="008250A2">
              <w:rPr>
                <w:sz w:val="20"/>
                <w:szCs w:val="20"/>
                <w:lang w:val="fr-CA"/>
              </w:rPr>
              <w:tab/>
            </w:r>
            <w:r w:rsidR="008250A2">
              <w:rPr>
                <w:sz w:val="20"/>
                <w:szCs w:val="20"/>
                <w:lang w:val="fr-CA"/>
              </w:rPr>
              <w:t>c</w:t>
            </w:r>
            <w:r w:rsidRPr="00A935AA">
              <w:rPr>
                <w:sz w:val="20"/>
                <w:szCs w:val="20"/>
                <w:lang w:val="fr-CA"/>
              </w:rPr>
              <w:t>. (3</w:t>
            </w:r>
            <w:r>
              <w:rPr>
                <w:sz w:val="20"/>
                <w:szCs w:val="20"/>
                <w:lang w:val="fr-CA"/>
              </w:rPr>
              <w:t>5</w:t>
            </w:r>
            <w:r w:rsidR="008250A2">
              <w:rPr>
                <w:sz w:val="20"/>
                <w:szCs w:val="20"/>
                <w:lang w:val="fr-CA"/>
              </w:rPr>
              <w:t>351</w:t>
            </w:r>
            <w:r w:rsidRPr="00A935AA">
              <w:rPr>
                <w:sz w:val="20"/>
                <w:szCs w:val="20"/>
                <w:lang w:val="fr-CA"/>
              </w:rPr>
              <w:t>)</w:t>
            </w:r>
          </w:p>
          <w:p w:rsidR="004D37D0" w:rsidRPr="00A935AA" w:rsidRDefault="004D37D0" w:rsidP="00180577">
            <w:pPr>
              <w:keepNext/>
              <w:keepLines/>
              <w:tabs>
                <w:tab w:val="left" w:pos="-1440"/>
                <w:tab w:val="left" w:pos="-720"/>
              </w:tabs>
              <w:rPr>
                <w:sz w:val="20"/>
                <w:szCs w:val="20"/>
                <w:lang w:val="fr-CA"/>
              </w:rPr>
            </w:pPr>
          </w:p>
          <w:p w:rsidR="008250A2" w:rsidRPr="008250A2" w:rsidRDefault="008250A2" w:rsidP="008250A2">
            <w:pPr>
              <w:keepNext/>
              <w:keepLines/>
              <w:tabs>
                <w:tab w:val="left" w:pos="-1440"/>
                <w:tab w:val="left" w:pos="-720"/>
              </w:tabs>
              <w:rPr>
                <w:b/>
                <w:sz w:val="20"/>
                <w:szCs w:val="20"/>
                <w:lang w:val="fr-CA"/>
              </w:rPr>
            </w:pPr>
            <w:r>
              <w:rPr>
                <w:b/>
                <w:sz w:val="20"/>
                <w:szCs w:val="20"/>
                <w:lang w:val="fr-CA"/>
              </w:rPr>
              <w:t xml:space="preserve">Grace </w:t>
            </w:r>
            <w:proofErr w:type="spellStart"/>
            <w:r>
              <w:rPr>
                <w:b/>
                <w:sz w:val="20"/>
                <w:szCs w:val="20"/>
                <w:lang w:val="fr-CA"/>
              </w:rPr>
              <w:t>Biondi</w:t>
            </w:r>
            <w:proofErr w:type="spellEnd"/>
            <w:r>
              <w:rPr>
                <w:b/>
                <w:sz w:val="20"/>
                <w:szCs w:val="20"/>
                <w:lang w:val="fr-CA"/>
              </w:rPr>
              <w:t xml:space="preserve"> et autre </w:t>
            </w:r>
            <w:r w:rsidRPr="008250A2">
              <w:rPr>
                <w:b/>
                <w:sz w:val="20"/>
                <w:szCs w:val="20"/>
                <w:lang w:val="fr-CA"/>
              </w:rPr>
              <w:t>(</w:t>
            </w:r>
            <w:proofErr w:type="spellStart"/>
            <w:r w:rsidRPr="008250A2">
              <w:rPr>
                <w:b/>
                <w:sz w:val="20"/>
                <w:szCs w:val="20"/>
                <w:lang w:val="fr-CA"/>
              </w:rPr>
              <w:t>Qc</w:t>
            </w:r>
            <w:proofErr w:type="spellEnd"/>
            <w:r w:rsidRPr="008250A2">
              <w:rPr>
                <w:b/>
                <w:sz w:val="20"/>
                <w:szCs w:val="20"/>
                <w:lang w:val="fr-CA"/>
              </w:rPr>
              <w:t>)</w:t>
            </w:r>
          </w:p>
          <w:p w:rsidR="008250A2" w:rsidRPr="008250A2" w:rsidRDefault="008250A2" w:rsidP="008250A2">
            <w:pPr>
              <w:keepNext/>
              <w:keepLines/>
              <w:tabs>
                <w:tab w:val="left" w:pos="-1440"/>
                <w:tab w:val="left" w:pos="-720"/>
              </w:tabs>
              <w:rPr>
                <w:sz w:val="20"/>
                <w:szCs w:val="20"/>
                <w:lang w:val="fr-CA"/>
              </w:rPr>
            </w:pPr>
            <w:r w:rsidRPr="008250A2">
              <w:rPr>
                <w:sz w:val="20"/>
                <w:szCs w:val="20"/>
                <w:lang w:val="fr-CA"/>
              </w:rPr>
              <w:tab/>
            </w:r>
            <w:r>
              <w:rPr>
                <w:sz w:val="20"/>
                <w:szCs w:val="20"/>
                <w:lang w:val="fr-CA"/>
              </w:rPr>
              <w:t>Bruce W. Johnston</w:t>
            </w:r>
          </w:p>
          <w:p w:rsidR="008250A2" w:rsidRPr="008250A2" w:rsidRDefault="008250A2" w:rsidP="008250A2">
            <w:pPr>
              <w:keepNext/>
              <w:keepLines/>
              <w:tabs>
                <w:tab w:val="left" w:pos="-1440"/>
                <w:tab w:val="left" w:pos="-720"/>
              </w:tabs>
              <w:rPr>
                <w:sz w:val="20"/>
                <w:szCs w:val="20"/>
                <w:lang w:val="fr-CA"/>
              </w:rPr>
            </w:pPr>
            <w:r w:rsidRPr="008250A2">
              <w:rPr>
                <w:sz w:val="20"/>
                <w:szCs w:val="20"/>
                <w:lang w:val="fr-CA"/>
              </w:rPr>
              <w:tab/>
            </w:r>
            <w:r>
              <w:rPr>
                <w:sz w:val="20"/>
                <w:szCs w:val="20"/>
                <w:lang w:val="fr-CA"/>
              </w:rPr>
              <w:t>Trudel &amp; Johnston</w:t>
            </w:r>
          </w:p>
          <w:p w:rsidR="008250A2" w:rsidRPr="008250A2" w:rsidRDefault="008250A2" w:rsidP="008250A2">
            <w:pPr>
              <w:keepNext/>
              <w:keepLines/>
              <w:tabs>
                <w:tab w:val="left" w:pos="-1440"/>
                <w:tab w:val="left" w:pos="-720"/>
              </w:tabs>
              <w:rPr>
                <w:sz w:val="20"/>
                <w:szCs w:val="20"/>
                <w:lang w:val="fr-CA"/>
              </w:rPr>
            </w:pPr>
          </w:p>
          <w:p w:rsidR="008250A2" w:rsidRDefault="008250A2" w:rsidP="008250A2">
            <w:pPr>
              <w:rPr>
                <w:sz w:val="20"/>
                <w:szCs w:val="20"/>
                <w:lang w:val="fr-CA"/>
              </w:rPr>
            </w:pPr>
            <w:r w:rsidRPr="008250A2">
              <w:rPr>
                <w:sz w:val="20"/>
                <w:szCs w:val="20"/>
                <w:lang w:val="fr-CA"/>
              </w:rPr>
              <w:t>DATE DE PRODUCTION : 0</w:t>
            </w:r>
            <w:r>
              <w:rPr>
                <w:sz w:val="20"/>
                <w:szCs w:val="20"/>
                <w:lang w:val="fr-CA"/>
              </w:rPr>
              <w:t>3</w:t>
            </w:r>
            <w:r w:rsidRPr="008250A2">
              <w:rPr>
                <w:sz w:val="20"/>
                <w:szCs w:val="20"/>
                <w:lang w:val="fr-CA"/>
              </w:rPr>
              <w:t>.05.2013</w:t>
            </w:r>
          </w:p>
          <w:p w:rsidR="004D37D0" w:rsidRPr="00A935AA" w:rsidRDefault="0028676C" w:rsidP="00180577">
            <w:pPr>
              <w:rPr>
                <w:sz w:val="20"/>
                <w:szCs w:val="20"/>
              </w:rPr>
            </w:pPr>
            <w:r w:rsidRPr="0028676C">
              <w:rPr>
                <w:sz w:val="20"/>
                <w:szCs w:val="20"/>
                <w:lang w:val="fr-CA"/>
              </w:rPr>
              <w:pict>
                <v:rect id="_x0000_i1033" style="width:108pt;height:1pt" o:hrpct="0" o:hralign="center" o:hrstd="t" o:hrnoshade="t" o:hr="t" fillcolor="black [3213]" stroked="f"/>
              </w:pict>
            </w:r>
          </w:p>
        </w:tc>
      </w:tr>
      <w:tr w:rsidR="004D37D0" w:rsidRPr="00A935AA" w:rsidTr="003B3977">
        <w:trPr>
          <w:cantSplit/>
        </w:trPr>
        <w:tc>
          <w:tcPr>
            <w:tcW w:w="4320" w:type="dxa"/>
            <w:shd w:val="clear" w:color="auto" w:fill="auto"/>
          </w:tcPr>
          <w:p w:rsidR="004D37D0" w:rsidRPr="00A12C62" w:rsidRDefault="00A12C62" w:rsidP="00180577">
            <w:pPr>
              <w:rPr>
                <w:b/>
                <w:sz w:val="20"/>
                <w:szCs w:val="20"/>
                <w:lang w:val="fr-CA"/>
              </w:rPr>
            </w:pPr>
            <w:r w:rsidRPr="00A12C62">
              <w:rPr>
                <w:b/>
                <w:sz w:val="20"/>
                <w:szCs w:val="20"/>
                <w:lang w:val="fr-CA"/>
              </w:rPr>
              <w:t xml:space="preserve">Canadian </w:t>
            </w:r>
            <w:proofErr w:type="spellStart"/>
            <w:r w:rsidRPr="00A12C62">
              <w:rPr>
                <w:b/>
                <w:sz w:val="20"/>
                <w:szCs w:val="20"/>
                <w:lang w:val="fr-CA"/>
              </w:rPr>
              <w:t>Artists</w:t>
            </w:r>
            <w:proofErr w:type="spellEnd"/>
            <w:r w:rsidRPr="00A12C62">
              <w:rPr>
                <w:b/>
                <w:sz w:val="20"/>
                <w:szCs w:val="20"/>
                <w:lang w:val="fr-CA"/>
              </w:rPr>
              <w:t xml:space="preserve">’ </w:t>
            </w:r>
            <w:proofErr w:type="spellStart"/>
            <w:r w:rsidRPr="00A12C62">
              <w:rPr>
                <w:b/>
                <w:sz w:val="20"/>
                <w:szCs w:val="20"/>
                <w:lang w:val="fr-CA"/>
              </w:rPr>
              <w:t>Representation</w:t>
            </w:r>
            <w:proofErr w:type="spellEnd"/>
            <w:r w:rsidRPr="00A12C62">
              <w:rPr>
                <w:b/>
                <w:sz w:val="20"/>
                <w:szCs w:val="20"/>
                <w:lang w:val="fr-CA"/>
              </w:rPr>
              <w:t>/Front des artistes canadiens et a</w:t>
            </w:r>
            <w:r>
              <w:rPr>
                <w:b/>
                <w:sz w:val="20"/>
                <w:szCs w:val="20"/>
                <w:lang w:val="fr-CA"/>
              </w:rPr>
              <w:t>l</w:t>
            </w:r>
          </w:p>
          <w:p w:rsidR="004D37D0" w:rsidRPr="00A12C62" w:rsidRDefault="004D37D0" w:rsidP="00180577">
            <w:pPr>
              <w:tabs>
                <w:tab w:val="left" w:pos="-1440"/>
                <w:tab w:val="left" w:pos="-720"/>
              </w:tabs>
              <w:rPr>
                <w:sz w:val="20"/>
                <w:szCs w:val="20"/>
              </w:rPr>
            </w:pPr>
            <w:r w:rsidRPr="00A12C62">
              <w:rPr>
                <w:sz w:val="20"/>
                <w:szCs w:val="20"/>
                <w:lang w:val="fr-CA"/>
              </w:rPr>
              <w:tab/>
            </w:r>
            <w:r w:rsidR="00A12C62" w:rsidRPr="00A12C62">
              <w:rPr>
                <w:sz w:val="20"/>
                <w:szCs w:val="20"/>
              </w:rPr>
              <w:t xml:space="preserve">David </w:t>
            </w:r>
            <w:proofErr w:type="spellStart"/>
            <w:r w:rsidR="00A12C62" w:rsidRPr="00A12C62">
              <w:rPr>
                <w:sz w:val="20"/>
                <w:szCs w:val="20"/>
              </w:rPr>
              <w:t>Yazbeck</w:t>
            </w:r>
            <w:proofErr w:type="spellEnd"/>
          </w:p>
          <w:p w:rsidR="004D37D0" w:rsidRPr="00A12C62" w:rsidRDefault="004D37D0" w:rsidP="00180577">
            <w:pPr>
              <w:tabs>
                <w:tab w:val="left" w:pos="-1440"/>
                <w:tab w:val="left" w:pos="-720"/>
              </w:tabs>
              <w:rPr>
                <w:sz w:val="20"/>
                <w:szCs w:val="20"/>
              </w:rPr>
            </w:pPr>
            <w:r w:rsidRPr="00A12C62">
              <w:rPr>
                <w:sz w:val="20"/>
                <w:szCs w:val="20"/>
              </w:rPr>
              <w:tab/>
            </w:r>
            <w:r w:rsidR="00A12C62" w:rsidRPr="00A12C62">
              <w:rPr>
                <w:sz w:val="20"/>
                <w:szCs w:val="20"/>
              </w:rPr>
              <w:t xml:space="preserve">Raven, Cameron, </w:t>
            </w:r>
            <w:proofErr w:type="spellStart"/>
            <w:r w:rsidR="00A12C62" w:rsidRPr="00A12C62">
              <w:rPr>
                <w:sz w:val="20"/>
                <w:szCs w:val="20"/>
              </w:rPr>
              <w:t>Ballantyne</w:t>
            </w:r>
            <w:proofErr w:type="spellEnd"/>
            <w:r w:rsidR="00A12C62" w:rsidRPr="00A12C62">
              <w:rPr>
                <w:sz w:val="20"/>
                <w:szCs w:val="20"/>
              </w:rPr>
              <w:t xml:space="preserve"> &amp; </w:t>
            </w:r>
            <w:proofErr w:type="spellStart"/>
            <w:r w:rsidR="00A12C62" w:rsidRPr="00A12C62">
              <w:rPr>
                <w:sz w:val="20"/>
                <w:szCs w:val="20"/>
              </w:rPr>
              <w:t>Yazbeck</w:t>
            </w:r>
            <w:proofErr w:type="spellEnd"/>
            <w:r w:rsidR="00A12C62" w:rsidRPr="00A12C62">
              <w:rPr>
                <w:sz w:val="20"/>
                <w:szCs w:val="20"/>
              </w:rPr>
              <w:t xml:space="preserve"> </w:t>
            </w:r>
            <w:r w:rsidR="00A12C62" w:rsidRPr="00A12C62">
              <w:rPr>
                <w:sz w:val="20"/>
                <w:szCs w:val="20"/>
              </w:rPr>
              <w:tab/>
              <w:t>LLP</w:t>
            </w:r>
          </w:p>
          <w:p w:rsidR="004D37D0" w:rsidRPr="00A12C62" w:rsidRDefault="004D37D0" w:rsidP="00180577">
            <w:pPr>
              <w:tabs>
                <w:tab w:val="left" w:pos="-1440"/>
                <w:tab w:val="left" w:pos="-720"/>
              </w:tabs>
              <w:rPr>
                <w:sz w:val="20"/>
                <w:szCs w:val="20"/>
              </w:rPr>
            </w:pPr>
          </w:p>
          <w:p w:rsidR="004D37D0" w:rsidRPr="00A935AA" w:rsidRDefault="004D37D0" w:rsidP="00180577">
            <w:pPr>
              <w:tabs>
                <w:tab w:val="left" w:pos="-1440"/>
                <w:tab w:val="left" w:pos="-720"/>
              </w:tabs>
              <w:rPr>
                <w:sz w:val="20"/>
                <w:szCs w:val="20"/>
              </w:rPr>
            </w:pPr>
            <w:r w:rsidRPr="00A12C62">
              <w:rPr>
                <w:sz w:val="20"/>
                <w:szCs w:val="20"/>
              </w:rPr>
              <w:tab/>
            </w:r>
            <w:r w:rsidRPr="00A935AA">
              <w:rPr>
                <w:sz w:val="20"/>
                <w:szCs w:val="20"/>
              </w:rPr>
              <w:t>v. (3</w:t>
            </w:r>
            <w:r>
              <w:rPr>
                <w:sz w:val="20"/>
                <w:szCs w:val="20"/>
              </w:rPr>
              <w:t>5</w:t>
            </w:r>
            <w:r w:rsidR="00A12C62">
              <w:rPr>
                <w:sz w:val="20"/>
                <w:szCs w:val="20"/>
              </w:rPr>
              <w:t>353</w:t>
            </w:r>
            <w:r w:rsidRPr="00A935AA">
              <w:rPr>
                <w:sz w:val="20"/>
                <w:szCs w:val="20"/>
              </w:rPr>
              <w:t>)</w:t>
            </w:r>
          </w:p>
          <w:p w:rsidR="004D37D0" w:rsidRPr="00A935AA" w:rsidRDefault="004D37D0" w:rsidP="00180577">
            <w:pPr>
              <w:tabs>
                <w:tab w:val="left" w:pos="-1440"/>
                <w:tab w:val="left" w:pos="-720"/>
              </w:tabs>
              <w:rPr>
                <w:sz w:val="20"/>
                <w:szCs w:val="20"/>
              </w:rPr>
            </w:pPr>
          </w:p>
          <w:p w:rsidR="004D37D0" w:rsidRPr="00A935AA" w:rsidRDefault="00A12C62" w:rsidP="00180577">
            <w:pPr>
              <w:tabs>
                <w:tab w:val="left" w:pos="-1440"/>
                <w:tab w:val="left" w:pos="-720"/>
              </w:tabs>
              <w:rPr>
                <w:b/>
                <w:sz w:val="20"/>
                <w:szCs w:val="20"/>
              </w:rPr>
            </w:pPr>
            <w:r>
              <w:rPr>
                <w:b/>
                <w:sz w:val="20"/>
                <w:szCs w:val="20"/>
              </w:rPr>
              <w:t xml:space="preserve">National Gallery of Canada </w:t>
            </w:r>
            <w:r w:rsidR="004D37D0" w:rsidRPr="00A935AA">
              <w:rPr>
                <w:b/>
                <w:sz w:val="20"/>
                <w:szCs w:val="20"/>
              </w:rPr>
              <w:t>(</w:t>
            </w:r>
            <w:r w:rsidR="007B42A4">
              <w:rPr>
                <w:b/>
                <w:sz w:val="20"/>
                <w:szCs w:val="20"/>
              </w:rPr>
              <w:t>F</w:t>
            </w:r>
            <w:r w:rsidR="004D37D0" w:rsidRPr="00A935AA">
              <w:rPr>
                <w:b/>
                <w:sz w:val="20"/>
                <w:szCs w:val="20"/>
              </w:rPr>
              <w:t>.C.)</w:t>
            </w:r>
          </w:p>
          <w:p w:rsidR="004D37D0" w:rsidRPr="00A12C62" w:rsidRDefault="004D37D0" w:rsidP="00180577">
            <w:pPr>
              <w:tabs>
                <w:tab w:val="left" w:pos="-1440"/>
                <w:tab w:val="left" w:pos="-720"/>
              </w:tabs>
              <w:rPr>
                <w:sz w:val="20"/>
                <w:szCs w:val="20"/>
                <w:lang w:val="fr-CA"/>
              </w:rPr>
            </w:pPr>
            <w:r w:rsidRPr="00A935AA">
              <w:rPr>
                <w:sz w:val="20"/>
                <w:szCs w:val="20"/>
              </w:rPr>
              <w:tab/>
            </w:r>
            <w:r w:rsidR="00A12C62" w:rsidRPr="00A12C62">
              <w:rPr>
                <w:sz w:val="20"/>
                <w:szCs w:val="20"/>
                <w:lang w:val="fr-CA"/>
              </w:rPr>
              <w:t xml:space="preserve">Guy P. </w:t>
            </w:r>
            <w:proofErr w:type="spellStart"/>
            <w:r w:rsidR="00A12C62" w:rsidRPr="00A12C62">
              <w:rPr>
                <w:sz w:val="20"/>
                <w:szCs w:val="20"/>
                <w:lang w:val="fr-CA"/>
              </w:rPr>
              <w:t>Dancosse</w:t>
            </w:r>
            <w:proofErr w:type="spellEnd"/>
            <w:r w:rsidR="00A12C62" w:rsidRPr="00A12C62">
              <w:rPr>
                <w:sz w:val="20"/>
                <w:szCs w:val="20"/>
                <w:lang w:val="fr-CA"/>
              </w:rPr>
              <w:t>, Q.C.</w:t>
            </w:r>
          </w:p>
          <w:p w:rsidR="004D37D0" w:rsidRPr="00A12C62" w:rsidRDefault="004D37D0" w:rsidP="00180577">
            <w:pPr>
              <w:tabs>
                <w:tab w:val="left" w:pos="-1440"/>
                <w:tab w:val="left" w:pos="-720"/>
              </w:tabs>
              <w:rPr>
                <w:sz w:val="20"/>
                <w:szCs w:val="20"/>
                <w:lang w:val="fr-CA"/>
              </w:rPr>
            </w:pPr>
            <w:r w:rsidRPr="00A12C62">
              <w:rPr>
                <w:sz w:val="20"/>
                <w:szCs w:val="20"/>
                <w:lang w:val="fr-CA"/>
              </w:rPr>
              <w:tab/>
            </w:r>
            <w:r w:rsidR="00A12C62">
              <w:rPr>
                <w:sz w:val="20"/>
                <w:szCs w:val="20"/>
                <w:lang w:val="fr-CA"/>
              </w:rPr>
              <w:t xml:space="preserve">Lapointe </w:t>
            </w:r>
            <w:proofErr w:type="spellStart"/>
            <w:r w:rsidR="00A12C62">
              <w:rPr>
                <w:sz w:val="20"/>
                <w:szCs w:val="20"/>
                <w:lang w:val="fr-CA"/>
              </w:rPr>
              <w:t>Rosenstein</w:t>
            </w:r>
            <w:proofErr w:type="spellEnd"/>
            <w:r w:rsidR="00A12C62">
              <w:rPr>
                <w:sz w:val="20"/>
                <w:szCs w:val="20"/>
                <w:lang w:val="fr-CA"/>
              </w:rPr>
              <w:t xml:space="preserve"> Marchand </w:t>
            </w:r>
            <w:proofErr w:type="spellStart"/>
            <w:r w:rsidR="00A12C62">
              <w:rPr>
                <w:sz w:val="20"/>
                <w:szCs w:val="20"/>
                <w:lang w:val="fr-CA"/>
              </w:rPr>
              <w:t>Melançon</w:t>
            </w:r>
            <w:proofErr w:type="spellEnd"/>
          </w:p>
          <w:p w:rsidR="004D37D0" w:rsidRPr="00A12C62" w:rsidRDefault="004D37D0" w:rsidP="00180577">
            <w:pPr>
              <w:tabs>
                <w:tab w:val="left" w:pos="-1440"/>
                <w:tab w:val="left" w:pos="-720"/>
              </w:tabs>
              <w:rPr>
                <w:sz w:val="20"/>
                <w:szCs w:val="20"/>
                <w:lang w:val="fr-CA"/>
              </w:rPr>
            </w:pPr>
          </w:p>
          <w:p w:rsidR="004D37D0" w:rsidRPr="00A935AA" w:rsidRDefault="004D37D0" w:rsidP="00180577">
            <w:pPr>
              <w:rPr>
                <w:sz w:val="20"/>
                <w:szCs w:val="20"/>
              </w:rPr>
            </w:pPr>
            <w:r w:rsidRPr="00A935AA">
              <w:rPr>
                <w:sz w:val="20"/>
                <w:szCs w:val="20"/>
              </w:rPr>
              <w:t xml:space="preserve">FILING DATE: </w:t>
            </w:r>
            <w:r w:rsidR="00A12C62">
              <w:rPr>
                <w:sz w:val="20"/>
                <w:szCs w:val="20"/>
              </w:rPr>
              <w:t>03</w:t>
            </w:r>
            <w:r w:rsidRPr="00A935AA">
              <w:rPr>
                <w:sz w:val="20"/>
                <w:szCs w:val="20"/>
              </w:rPr>
              <w:t>.0</w:t>
            </w:r>
            <w:r w:rsidR="00A12C62">
              <w:rPr>
                <w:sz w:val="20"/>
                <w:szCs w:val="20"/>
              </w:rPr>
              <w:t>5</w:t>
            </w:r>
            <w:r w:rsidRPr="00A935AA">
              <w:rPr>
                <w:sz w:val="20"/>
                <w:szCs w:val="20"/>
              </w:rPr>
              <w:t>.201</w:t>
            </w:r>
            <w:r>
              <w:rPr>
                <w:sz w:val="20"/>
                <w:szCs w:val="20"/>
              </w:rPr>
              <w:t>3</w:t>
            </w:r>
          </w:p>
          <w:p w:rsidR="004D37D0" w:rsidRPr="00A935AA" w:rsidRDefault="0028676C" w:rsidP="00180577">
            <w:pPr>
              <w:rPr>
                <w:sz w:val="20"/>
                <w:szCs w:val="20"/>
              </w:rPr>
            </w:pPr>
            <w:r w:rsidRPr="0028676C">
              <w:rPr>
                <w:sz w:val="20"/>
                <w:szCs w:val="20"/>
                <w:lang w:val="fr-CA"/>
              </w:rPr>
              <w:pict>
                <v:rect id="_x0000_i1034" style="width:108pt;height:1pt" o:hrpct="0" o:hralign="center" o:hrstd="t" o:hrnoshade="t" o:hr="t" fillcolor="black [3213]" stroked="f"/>
              </w:pict>
            </w:r>
          </w:p>
        </w:tc>
        <w:tc>
          <w:tcPr>
            <w:tcW w:w="1181" w:type="dxa"/>
            <w:shd w:val="clear" w:color="auto" w:fill="auto"/>
          </w:tcPr>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p w:rsidR="004D37D0" w:rsidRPr="00A935AA" w:rsidRDefault="004D37D0" w:rsidP="00242AEE">
            <w:pPr>
              <w:jc w:val="center"/>
              <w:rPr>
                <w:sz w:val="20"/>
                <w:szCs w:val="20"/>
              </w:rPr>
            </w:pPr>
          </w:p>
        </w:tc>
        <w:tc>
          <w:tcPr>
            <w:tcW w:w="4320" w:type="dxa"/>
            <w:shd w:val="clear" w:color="auto" w:fill="auto"/>
          </w:tcPr>
          <w:p w:rsidR="004D37D0" w:rsidRDefault="004D37D0" w:rsidP="00180577">
            <w:pPr>
              <w:keepNext/>
              <w:keepLines/>
              <w:tabs>
                <w:tab w:val="left" w:pos="-1440"/>
                <w:tab w:val="left" w:pos="-720"/>
              </w:tabs>
              <w:rPr>
                <w:b/>
                <w:sz w:val="20"/>
                <w:szCs w:val="20"/>
              </w:rPr>
            </w:pPr>
          </w:p>
          <w:p w:rsidR="00F44F3A" w:rsidRPr="00A935AA" w:rsidRDefault="00F44F3A" w:rsidP="00180577">
            <w:pPr>
              <w:keepNext/>
              <w:keepLines/>
              <w:tabs>
                <w:tab w:val="left" w:pos="-1440"/>
                <w:tab w:val="left" w:pos="-720"/>
              </w:tabs>
              <w:rPr>
                <w:b/>
                <w:sz w:val="20"/>
                <w:szCs w:val="20"/>
              </w:rPr>
            </w:pPr>
            <w:r>
              <w:rPr>
                <w:b/>
                <w:sz w:val="20"/>
                <w:szCs w:val="20"/>
              </w:rPr>
              <w:t>K.S.</w:t>
            </w:r>
          </w:p>
          <w:p w:rsidR="004D37D0" w:rsidRPr="00A935AA" w:rsidRDefault="004D37D0" w:rsidP="00180577">
            <w:pPr>
              <w:keepNext/>
              <w:keepLines/>
              <w:tabs>
                <w:tab w:val="left" w:pos="-1440"/>
                <w:tab w:val="left" w:pos="-720"/>
              </w:tabs>
              <w:rPr>
                <w:sz w:val="20"/>
                <w:szCs w:val="20"/>
              </w:rPr>
            </w:pPr>
            <w:r w:rsidRPr="00A935AA">
              <w:rPr>
                <w:sz w:val="20"/>
                <w:szCs w:val="20"/>
              </w:rPr>
              <w:tab/>
            </w:r>
            <w:r w:rsidR="00F44F3A">
              <w:rPr>
                <w:sz w:val="20"/>
                <w:szCs w:val="20"/>
              </w:rPr>
              <w:t>K.S.</w:t>
            </w:r>
          </w:p>
          <w:p w:rsidR="004D37D0" w:rsidRPr="00A935AA" w:rsidRDefault="004D37D0" w:rsidP="00180577">
            <w:pPr>
              <w:keepNext/>
              <w:keepLines/>
              <w:tabs>
                <w:tab w:val="left" w:pos="-1440"/>
                <w:tab w:val="left" w:pos="-720"/>
              </w:tabs>
              <w:rPr>
                <w:sz w:val="20"/>
                <w:szCs w:val="20"/>
              </w:rPr>
            </w:pPr>
          </w:p>
          <w:p w:rsidR="004D37D0" w:rsidRPr="00A12C62" w:rsidRDefault="004D37D0" w:rsidP="00180577">
            <w:pPr>
              <w:keepNext/>
              <w:keepLines/>
              <w:tabs>
                <w:tab w:val="left" w:pos="-1440"/>
                <w:tab w:val="left" w:pos="-720"/>
              </w:tabs>
              <w:rPr>
                <w:sz w:val="20"/>
                <w:szCs w:val="20"/>
              </w:rPr>
            </w:pPr>
            <w:r w:rsidRPr="00A935AA">
              <w:rPr>
                <w:sz w:val="20"/>
                <w:szCs w:val="20"/>
              </w:rPr>
              <w:tab/>
            </w:r>
            <w:r w:rsidRPr="00A12C62">
              <w:rPr>
                <w:sz w:val="20"/>
                <w:szCs w:val="20"/>
              </w:rPr>
              <w:t>v. (35</w:t>
            </w:r>
            <w:r w:rsidR="00F44F3A">
              <w:rPr>
                <w:sz w:val="20"/>
                <w:szCs w:val="20"/>
              </w:rPr>
              <w:t>356</w:t>
            </w:r>
            <w:r w:rsidRPr="00A12C62">
              <w:rPr>
                <w:sz w:val="20"/>
                <w:szCs w:val="20"/>
              </w:rPr>
              <w:t>)</w:t>
            </w:r>
          </w:p>
          <w:p w:rsidR="004D37D0" w:rsidRPr="00A12C62" w:rsidRDefault="004D37D0" w:rsidP="00180577">
            <w:pPr>
              <w:keepNext/>
              <w:keepLines/>
              <w:tabs>
                <w:tab w:val="left" w:pos="-1440"/>
                <w:tab w:val="left" w:pos="-720"/>
              </w:tabs>
              <w:rPr>
                <w:sz w:val="20"/>
                <w:szCs w:val="20"/>
              </w:rPr>
            </w:pPr>
          </w:p>
          <w:p w:rsidR="004D37D0" w:rsidRPr="00A12C62" w:rsidRDefault="00F44F3A" w:rsidP="00180577">
            <w:pPr>
              <w:keepNext/>
              <w:keepLines/>
              <w:tabs>
                <w:tab w:val="left" w:pos="-1440"/>
                <w:tab w:val="left" w:pos="-720"/>
              </w:tabs>
              <w:rPr>
                <w:b/>
                <w:sz w:val="20"/>
                <w:szCs w:val="20"/>
              </w:rPr>
            </w:pPr>
            <w:r>
              <w:rPr>
                <w:b/>
                <w:sz w:val="20"/>
                <w:szCs w:val="20"/>
              </w:rPr>
              <w:t xml:space="preserve">CAS of the Regional Municipality of Waterloo et al. </w:t>
            </w:r>
            <w:r w:rsidR="004D37D0" w:rsidRPr="00A12C62">
              <w:rPr>
                <w:b/>
                <w:sz w:val="20"/>
                <w:szCs w:val="20"/>
              </w:rPr>
              <w:t>(Ont.)</w:t>
            </w:r>
          </w:p>
          <w:p w:rsidR="004D37D0" w:rsidRPr="00A12C62" w:rsidRDefault="004D37D0" w:rsidP="00180577">
            <w:pPr>
              <w:keepNext/>
              <w:keepLines/>
              <w:tabs>
                <w:tab w:val="left" w:pos="-1440"/>
                <w:tab w:val="left" w:pos="-720"/>
              </w:tabs>
              <w:rPr>
                <w:sz w:val="20"/>
                <w:szCs w:val="20"/>
              </w:rPr>
            </w:pPr>
            <w:r w:rsidRPr="00A12C62">
              <w:rPr>
                <w:sz w:val="20"/>
                <w:szCs w:val="20"/>
              </w:rPr>
              <w:tab/>
            </w:r>
            <w:proofErr w:type="spellStart"/>
            <w:r w:rsidR="00F44F3A">
              <w:rPr>
                <w:sz w:val="20"/>
                <w:szCs w:val="20"/>
              </w:rPr>
              <w:t>Danika</w:t>
            </w:r>
            <w:proofErr w:type="spellEnd"/>
            <w:r w:rsidR="00F44F3A">
              <w:rPr>
                <w:sz w:val="20"/>
                <w:szCs w:val="20"/>
              </w:rPr>
              <w:t xml:space="preserve"> Brown</w:t>
            </w:r>
          </w:p>
          <w:p w:rsidR="004D37D0" w:rsidRPr="00A12C62" w:rsidRDefault="004D37D0" w:rsidP="00180577">
            <w:pPr>
              <w:keepNext/>
              <w:keepLines/>
              <w:tabs>
                <w:tab w:val="left" w:pos="-1440"/>
                <w:tab w:val="left" w:pos="-720"/>
              </w:tabs>
              <w:rPr>
                <w:sz w:val="20"/>
                <w:szCs w:val="20"/>
              </w:rPr>
            </w:pPr>
            <w:r w:rsidRPr="00A12C62">
              <w:rPr>
                <w:sz w:val="20"/>
                <w:szCs w:val="20"/>
              </w:rPr>
              <w:tab/>
            </w:r>
            <w:r w:rsidR="00F44F3A">
              <w:rPr>
                <w:sz w:val="20"/>
                <w:szCs w:val="20"/>
              </w:rPr>
              <w:t xml:space="preserve">Children’s Aid Society of the Regional </w:t>
            </w:r>
            <w:r w:rsidR="00F44F3A">
              <w:rPr>
                <w:sz w:val="20"/>
                <w:szCs w:val="20"/>
              </w:rPr>
              <w:tab/>
              <w:t>Municipality of Waterloo</w:t>
            </w:r>
          </w:p>
          <w:p w:rsidR="004D37D0" w:rsidRPr="00A12C62" w:rsidRDefault="004D37D0" w:rsidP="00180577">
            <w:pPr>
              <w:keepNext/>
              <w:keepLines/>
              <w:tabs>
                <w:tab w:val="left" w:pos="-1440"/>
                <w:tab w:val="left" w:pos="-720"/>
              </w:tabs>
              <w:rPr>
                <w:sz w:val="20"/>
                <w:szCs w:val="20"/>
              </w:rPr>
            </w:pPr>
          </w:p>
          <w:p w:rsidR="004D37D0" w:rsidRPr="00A935AA" w:rsidRDefault="004D37D0" w:rsidP="00F44F3A">
            <w:pPr>
              <w:rPr>
                <w:sz w:val="20"/>
                <w:szCs w:val="20"/>
              </w:rPr>
            </w:pPr>
            <w:r w:rsidRPr="00A935AA">
              <w:rPr>
                <w:sz w:val="20"/>
                <w:szCs w:val="20"/>
              </w:rPr>
              <w:t xml:space="preserve">FILING DATE: </w:t>
            </w:r>
            <w:r w:rsidR="00F44F3A">
              <w:rPr>
                <w:sz w:val="20"/>
                <w:szCs w:val="20"/>
              </w:rPr>
              <w:t>03</w:t>
            </w:r>
            <w:r w:rsidRPr="00A935AA">
              <w:rPr>
                <w:sz w:val="20"/>
                <w:szCs w:val="20"/>
              </w:rPr>
              <w:t>.0</w:t>
            </w:r>
            <w:r w:rsidR="00F44F3A">
              <w:rPr>
                <w:sz w:val="20"/>
                <w:szCs w:val="20"/>
              </w:rPr>
              <w:t>5</w:t>
            </w:r>
            <w:r w:rsidRPr="00A935AA">
              <w:rPr>
                <w:sz w:val="20"/>
                <w:szCs w:val="20"/>
              </w:rPr>
              <w:t>.201</w:t>
            </w:r>
            <w:r>
              <w:rPr>
                <w:sz w:val="20"/>
                <w:szCs w:val="20"/>
              </w:rPr>
              <w:t>3</w:t>
            </w:r>
            <w:r w:rsidR="0028676C" w:rsidRPr="0028676C">
              <w:rPr>
                <w:sz w:val="20"/>
                <w:szCs w:val="20"/>
                <w:lang w:val="fr-CA"/>
              </w:rPr>
              <w:pict>
                <v:rect id="_x0000_i1035"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5B6BD0">
          <w:headerReference w:type="default" r:id="rId16"/>
          <w:footerReference w:type="default" r:id="rId17"/>
          <w:headerReference w:type="first" r:id="rId18"/>
          <w:footerReference w:type="first" r:id="rId19"/>
          <w:pgSz w:w="12240" w:h="15840"/>
          <w:pgMar w:top="720" w:right="965" w:bottom="1080" w:left="1656" w:header="706" w:footer="706" w:gutter="0"/>
          <w:pgNumType w:start="873"/>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B6040C"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8D3430" w:rsidRDefault="002E2327" w:rsidP="002E2327">
            <w:pPr>
              <w:keepLines/>
              <w:widowControl w:val="0"/>
              <w:rPr>
                <w:szCs w:val="24"/>
                <w:lang w:val="fr-CA"/>
              </w:rPr>
            </w:pPr>
            <w:r w:rsidRPr="008D3430">
              <w:rPr>
                <w:b/>
                <w:szCs w:val="24"/>
                <w:lang w:val="fr-CA"/>
              </w:rPr>
              <w:t>DEMANDES SOUMISES À LA COUR DEPUIS LA DERNIÈRE PARUTION</w:t>
            </w:r>
          </w:p>
          <w:p w:rsidR="002E2327" w:rsidRPr="008D3430"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8D3430" w:rsidRDefault="002E2327" w:rsidP="002E2327">
      <w:pPr>
        <w:widowControl w:val="0"/>
        <w:rPr>
          <w:b/>
          <w:sz w:val="20"/>
          <w:szCs w:val="20"/>
          <w:lang w:val="fr-CA"/>
        </w:rPr>
      </w:pPr>
    </w:p>
    <w:p w:rsidR="004B7F60" w:rsidRPr="00C50A5C" w:rsidRDefault="004D37D0" w:rsidP="004B7F60">
      <w:pPr>
        <w:widowControl w:val="0"/>
        <w:rPr>
          <w:b/>
          <w:sz w:val="20"/>
          <w:szCs w:val="20"/>
        </w:rPr>
      </w:pPr>
      <w:r>
        <w:rPr>
          <w:b/>
          <w:sz w:val="20"/>
          <w:szCs w:val="20"/>
        </w:rPr>
        <w:t>M</w:t>
      </w:r>
      <w:r w:rsidR="00F761A3">
        <w:rPr>
          <w:b/>
          <w:sz w:val="20"/>
          <w:szCs w:val="20"/>
        </w:rPr>
        <w:t xml:space="preserve">AY </w:t>
      </w:r>
      <w:r>
        <w:rPr>
          <w:b/>
          <w:sz w:val="20"/>
          <w:szCs w:val="20"/>
        </w:rPr>
        <w:t>13</w:t>
      </w:r>
      <w:r w:rsidR="004B7F60" w:rsidRPr="00C50A5C">
        <w:rPr>
          <w:b/>
          <w:sz w:val="20"/>
          <w:szCs w:val="20"/>
        </w:rPr>
        <w:t>, 201</w:t>
      </w:r>
      <w:r w:rsidR="00F761A3">
        <w:rPr>
          <w:b/>
          <w:sz w:val="20"/>
          <w:szCs w:val="20"/>
        </w:rPr>
        <w:t>3</w:t>
      </w:r>
      <w:r w:rsidR="004B7F60" w:rsidRPr="00C50A5C">
        <w:rPr>
          <w:b/>
          <w:sz w:val="20"/>
          <w:szCs w:val="20"/>
        </w:rPr>
        <w:t xml:space="preserve"> / LE </w:t>
      </w:r>
      <w:r>
        <w:rPr>
          <w:b/>
          <w:sz w:val="20"/>
          <w:szCs w:val="20"/>
        </w:rPr>
        <w:t>13</w:t>
      </w:r>
      <w:r w:rsidR="004B7F60">
        <w:rPr>
          <w:b/>
          <w:sz w:val="20"/>
          <w:szCs w:val="20"/>
        </w:rPr>
        <w:t xml:space="preserve"> </w:t>
      </w:r>
      <w:r>
        <w:rPr>
          <w:b/>
          <w:sz w:val="20"/>
          <w:szCs w:val="20"/>
        </w:rPr>
        <w:t>M</w:t>
      </w:r>
      <w:r w:rsidR="00F761A3">
        <w:rPr>
          <w:b/>
          <w:sz w:val="20"/>
          <w:szCs w:val="20"/>
        </w:rPr>
        <w:t>AI</w:t>
      </w:r>
      <w:r w:rsidR="004B7F60" w:rsidRPr="00C50A5C">
        <w:rPr>
          <w:b/>
          <w:sz w:val="20"/>
          <w:szCs w:val="20"/>
        </w:rPr>
        <w:t xml:space="preserve"> 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proofErr w:type="spellStart"/>
      <w:r w:rsidR="0062714A">
        <w:rPr>
          <w:b/>
          <w:sz w:val="20"/>
          <w:szCs w:val="20"/>
        </w:rPr>
        <w:t>Abella</w:t>
      </w:r>
      <w:proofErr w:type="spellEnd"/>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50A5C" w:rsidRDefault="00B9513B" w:rsidP="004B7F60">
      <w:pPr>
        <w:pStyle w:val="ListParagraph"/>
        <w:widowControl w:val="0"/>
        <w:numPr>
          <w:ilvl w:val="0"/>
          <w:numId w:val="1"/>
        </w:numPr>
        <w:ind w:hanging="720"/>
        <w:jc w:val="both"/>
        <w:rPr>
          <w:sz w:val="20"/>
          <w:szCs w:val="20"/>
        </w:rPr>
      </w:pPr>
      <w:r w:rsidRPr="00B9513B">
        <w:rPr>
          <w:i/>
          <w:sz w:val="20"/>
          <w:szCs w:val="20"/>
        </w:rPr>
        <w:t>Barry Boyne v. Her Majesty the Queen</w:t>
      </w:r>
      <w:r w:rsidRPr="00B9513B">
        <w:rPr>
          <w:sz w:val="20"/>
          <w:szCs w:val="20"/>
        </w:rPr>
        <w:t xml:space="preserve"> (Sask.) (Crim.) (By Leave)</w:t>
      </w:r>
      <w:r w:rsidRPr="00C50A5C">
        <w:rPr>
          <w:sz w:val="20"/>
          <w:szCs w:val="20"/>
        </w:rPr>
        <w:t xml:space="preserve"> </w:t>
      </w:r>
      <w:r w:rsidR="004B7F60" w:rsidRPr="00C50A5C">
        <w:rPr>
          <w:sz w:val="20"/>
          <w:szCs w:val="20"/>
        </w:rPr>
        <w:t>(3</w:t>
      </w:r>
      <w:r>
        <w:rPr>
          <w:sz w:val="20"/>
          <w:szCs w:val="20"/>
        </w:rPr>
        <w:t>5228</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041F8E" w:rsidP="004B7F60">
      <w:pPr>
        <w:pStyle w:val="ListParagraph"/>
        <w:widowControl w:val="0"/>
        <w:numPr>
          <w:ilvl w:val="0"/>
          <w:numId w:val="1"/>
        </w:numPr>
        <w:ind w:hanging="720"/>
        <w:jc w:val="both"/>
        <w:rPr>
          <w:sz w:val="20"/>
          <w:szCs w:val="20"/>
        </w:rPr>
      </w:pPr>
      <w:r w:rsidRPr="00041F8E">
        <w:rPr>
          <w:i/>
          <w:sz w:val="20"/>
          <w:szCs w:val="20"/>
        </w:rPr>
        <w:t>National Automobile, Aerospace, Transportation and General Workers Union of Canada (CAW-Canada) and its Local 114 v. Pacific Coach Lines Ltd. et al.</w:t>
      </w:r>
      <w:r w:rsidRPr="00B9513B">
        <w:rPr>
          <w:sz w:val="20"/>
          <w:szCs w:val="20"/>
        </w:rPr>
        <w:t xml:space="preserve"> (F.C.) (Civil) (By Leave)</w:t>
      </w:r>
      <w:r w:rsidRPr="00C612D0">
        <w:rPr>
          <w:sz w:val="20"/>
          <w:szCs w:val="20"/>
        </w:rPr>
        <w:t xml:space="preserve"> </w:t>
      </w:r>
      <w:r w:rsidR="004B7F60" w:rsidRPr="00C612D0">
        <w:rPr>
          <w:sz w:val="20"/>
          <w:szCs w:val="20"/>
        </w:rPr>
        <w:t>(3</w:t>
      </w:r>
      <w:r w:rsidR="00B9513B">
        <w:rPr>
          <w:sz w:val="20"/>
          <w:szCs w:val="20"/>
        </w:rPr>
        <w:t>5213</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041F8E" w:rsidP="004B7F60">
      <w:pPr>
        <w:pStyle w:val="ListParagraph"/>
        <w:widowControl w:val="0"/>
        <w:numPr>
          <w:ilvl w:val="0"/>
          <w:numId w:val="1"/>
        </w:numPr>
        <w:ind w:hanging="720"/>
        <w:jc w:val="both"/>
        <w:rPr>
          <w:sz w:val="20"/>
          <w:szCs w:val="20"/>
        </w:rPr>
      </w:pPr>
      <w:r w:rsidRPr="00041F8E">
        <w:rPr>
          <w:i/>
          <w:sz w:val="20"/>
          <w:szCs w:val="20"/>
        </w:rPr>
        <w:t>Workers' Compensation Appeal Tribunal v. Downs Construction Ltd. et al.</w:t>
      </w:r>
      <w:r w:rsidRPr="00B9513B">
        <w:rPr>
          <w:sz w:val="20"/>
          <w:szCs w:val="20"/>
        </w:rPr>
        <w:t xml:space="preserve"> (B.C.) (Civil) (By Leave)</w:t>
      </w:r>
      <w:r w:rsidRPr="00940CAD">
        <w:rPr>
          <w:sz w:val="20"/>
          <w:szCs w:val="20"/>
        </w:rPr>
        <w:t xml:space="preserve"> </w:t>
      </w:r>
      <w:r w:rsidR="004B7F60" w:rsidRPr="00940CAD">
        <w:rPr>
          <w:sz w:val="20"/>
          <w:szCs w:val="20"/>
        </w:rPr>
        <w:t>(3</w:t>
      </w:r>
      <w:r w:rsidR="00B9513B">
        <w:rPr>
          <w:sz w:val="20"/>
          <w:szCs w:val="20"/>
        </w:rPr>
        <w:t>5270</w:t>
      </w:r>
      <w:r w:rsidR="004B7F60" w:rsidRPr="00940CAD">
        <w:rPr>
          <w:sz w:val="20"/>
          <w:szCs w:val="20"/>
        </w:rPr>
        <w:t>)</w:t>
      </w:r>
    </w:p>
    <w:p w:rsidR="004B7F60" w:rsidRPr="00C50A5C" w:rsidRDefault="004B7F60" w:rsidP="004B7F60">
      <w:pPr>
        <w:widowControl w:val="0"/>
        <w:rPr>
          <w:sz w:val="20"/>
          <w:szCs w:val="20"/>
        </w:rPr>
      </w:pPr>
    </w:p>
    <w:p w:rsidR="004B7F60" w:rsidRPr="00C50A5C" w:rsidRDefault="00041F8E" w:rsidP="004B7F60">
      <w:pPr>
        <w:pStyle w:val="ListParagraph"/>
        <w:widowControl w:val="0"/>
        <w:numPr>
          <w:ilvl w:val="0"/>
          <w:numId w:val="1"/>
        </w:numPr>
        <w:ind w:hanging="720"/>
        <w:jc w:val="both"/>
        <w:rPr>
          <w:sz w:val="20"/>
          <w:szCs w:val="20"/>
        </w:rPr>
      </w:pPr>
      <w:r w:rsidRPr="00041F8E">
        <w:rPr>
          <w:i/>
          <w:sz w:val="20"/>
          <w:szCs w:val="20"/>
        </w:rPr>
        <w:t>Mohamed Ahmed v. City of Vancouver et al.</w:t>
      </w:r>
      <w:r w:rsidRPr="00B9513B">
        <w:rPr>
          <w:sz w:val="20"/>
          <w:szCs w:val="20"/>
        </w:rPr>
        <w:t xml:space="preserve"> (B.C.) (Civil) (By Leave)</w:t>
      </w:r>
      <w:r w:rsidRPr="00C50A5C">
        <w:rPr>
          <w:sz w:val="20"/>
          <w:szCs w:val="20"/>
        </w:rPr>
        <w:t xml:space="preserve"> </w:t>
      </w:r>
      <w:r w:rsidR="004B7F60" w:rsidRPr="00C50A5C">
        <w:rPr>
          <w:sz w:val="20"/>
          <w:szCs w:val="20"/>
        </w:rPr>
        <w:t>(3</w:t>
      </w:r>
      <w:r>
        <w:rPr>
          <w:sz w:val="20"/>
          <w:szCs w:val="20"/>
        </w:rPr>
        <w:t>5</w:t>
      </w:r>
      <w:r w:rsidR="004B7F60">
        <w:rPr>
          <w:sz w:val="20"/>
          <w:szCs w:val="20"/>
        </w:rPr>
        <w:t>2</w:t>
      </w:r>
      <w:r w:rsidR="00B9513B">
        <w:rPr>
          <w:sz w:val="20"/>
          <w:szCs w:val="20"/>
        </w:rPr>
        <w:t>83</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r w:rsidR="0062714A">
        <w:rPr>
          <w:b/>
          <w:sz w:val="20"/>
          <w:szCs w:val="20"/>
        </w:rPr>
        <w:t>K</w:t>
      </w:r>
      <w:r>
        <w:rPr>
          <w:b/>
          <w:sz w:val="20"/>
          <w:szCs w:val="20"/>
        </w:rPr>
        <w:t>a</w:t>
      </w:r>
      <w:r w:rsidR="0062714A">
        <w:rPr>
          <w:b/>
          <w:sz w:val="20"/>
          <w:szCs w:val="20"/>
        </w:rPr>
        <w:t>rakatsanis</w:t>
      </w:r>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r w:rsidR="0062714A">
        <w:rPr>
          <w:b/>
          <w:sz w:val="20"/>
          <w:szCs w:val="20"/>
          <w:lang w:val="fr-CA"/>
        </w:rPr>
        <w:t>K</w:t>
      </w:r>
      <w:r>
        <w:rPr>
          <w:b/>
          <w:sz w:val="20"/>
          <w:szCs w:val="20"/>
          <w:lang w:val="fr-CA"/>
        </w:rPr>
        <w:t>a</w:t>
      </w:r>
      <w:r w:rsidR="0062714A">
        <w:rPr>
          <w:b/>
          <w:sz w:val="20"/>
          <w:szCs w:val="20"/>
          <w:lang w:val="fr-CA"/>
        </w:rPr>
        <w:t>rakatsanis</w:t>
      </w:r>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Pr="00C16CB3" w:rsidRDefault="004B7F60" w:rsidP="004B7F60">
      <w:pPr>
        <w:widowControl w:val="0"/>
        <w:jc w:val="both"/>
        <w:rPr>
          <w:sz w:val="20"/>
          <w:szCs w:val="20"/>
          <w:lang w:val="fr-CA"/>
        </w:rPr>
      </w:pPr>
    </w:p>
    <w:p w:rsidR="004B7F60" w:rsidRPr="00041F8E" w:rsidRDefault="00041F8E" w:rsidP="004B7F60">
      <w:pPr>
        <w:pStyle w:val="ListParagraph"/>
        <w:widowControl w:val="0"/>
        <w:numPr>
          <w:ilvl w:val="0"/>
          <w:numId w:val="1"/>
        </w:numPr>
        <w:ind w:hanging="720"/>
        <w:jc w:val="both"/>
        <w:rPr>
          <w:sz w:val="20"/>
          <w:szCs w:val="20"/>
        </w:rPr>
      </w:pPr>
      <w:r w:rsidRPr="00041F8E">
        <w:rPr>
          <w:i/>
          <w:sz w:val="20"/>
          <w:szCs w:val="20"/>
        </w:rPr>
        <w:t xml:space="preserve">Erich </w:t>
      </w:r>
      <w:proofErr w:type="spellStart"/>
      <w:r w:rsidRPr="00041F8E">
        <w:rPr>
          <w:i/>
          <w:sz w:val="20"/>
          <w:szCs w:val="20"/>
        </w:rPr>
        <w:t>Chemama</w:t>
      </w:r>
      <w:proofErr w:type="spellEnd"/>
      <w:r w:rsidRPr="00041F8E">
        <w:rPr>
          <w:i/>
          <w:sz w:val="20"/>
          <w:szCs w:val="20"/>
        </w:rPr>
        <w:t xml:space="preserve"> v. Her Majesty the Queen</w:t>
      </w:r>
      <w:r w:rsidRPr="00B9513B">
        <w:rPr>
          <w:sz w:val="20"/>
          <w:szCs w:val="20"/>
        </w:rPr>
        <w:t xml:space="preserve"> (Que.) (Crim.) (By Leave)</w:t>
      </w:r>
      <w:r w:rsidRPr="00041F8E">
        <w:rPr>
          <w:sz w:val="20"/>
          <w:szCs w:val="20"/>
        </w:rPr>
        <w:t xml:space="preserve"> </w:t>
      </w:r>
      <w:r w:rsidR="004B7F60" w:rsidRPr="00041F8E">
        <w:rPr>
          <w:sz w:val="20"/>
          <w:szCs w:val="20"/>
        </w:rPr>
        <w:t>(3</w:t>
      </w:r>
      <w:r w:rsidR="00B9513B" w:rsidRPr="00041F8E">
        <w:rPr>
          <w:sz w:val="20"/>
          <w:szCs w:val="20"/>
        </w:rPr>
        <w:t>52</w:t>
      </w:r>
      <w:r w:rsidR="004B7F60" w:rsidRPr="00041F8E">
        <w:rPr>
          <w:sz w:val="20"/>
          <w:szCs w:val="20"/>
        </w:rPr>
        <w:t>34)</w:t>
      </w:r>
    </w:p>
    <w:p w:rsidR="004B7F60" w:rsidRPr="00041F8E" w:rsidRDefault="004B7F60" w:rsidP="004B7F60">
      <w:pPr>
        <w:widowControl w:val="0"/>
        <w:rPr>
          <w:sz w:val="20"/>
          <w:szCs w:val="20"/>
        </w:rPr>
      </w:pPr>
    </w:p>
    <w:p w:rsidR="004B7F60" w:rsidRPr="00115C9E" w:rsidRDefault="00041F8E" w:rsidP="004B7F60">
      <w:pPr>
        <w:pStyle w:val="ListParagraph"/>
        <w:widowControl w:val="0"/>
        <w:numPr>
          <w:ilvl w:val="0"/>
          <w:numId w:val="1"/>
        </w:numPr>
        <w:ind w:hanging="720"/>
        <w:jc w:val="both"/>
        <w:rPr>
          <w:sz w:val="20"/>
          <w:szCs w:val="20"/>
          <w:lang w:val="fr-CA"/>
        </w:rPr>
      </w:pPr>
      <w:r w:rsidRPr="00041F8E">
        <w:rPr>
          <w:i/>
          <w:sz w:val="20"/>
          <w:szCs w:val="20"/>
          <w:lang w:val="fr-CA"/>
        </w:rPr>
        <w:t>Daniel Lepage c. Sa Majesté la Reine</w:t>
      </w:r>
      <w:r w:rsidRPr="00B9513B">
        <w:rPr>
          <w:sz w:val="20"/>
          <w:szCs w:val="20"/>
          <w:lang w:val="fr-CA"/>
        </w:rPr>
        <w:t xml:space="preserve"> (</w:t>
      </w:r>
      <w:proofErr w:type="spellStart"/>
      <w:r w:rsidRPr="00B9513B">
        <w:rPr>
          <w:sz w:val="20"/>
          <w:szCs w:val="20"/>
          <w:lang w:val="fr-CA"/>
        </w:rPr>
        <w:t>Qc</w:t>
      </w:r>
      <w:proofErr w:type="spellEnd"/>
      <w:r w:rsidRPr="00B9513B">
        <w:rPr>
          <w:sz w:val="20"/>
          <w:szCs w:val="20"/>
          <w:lang w:val="fr-CA"/>
        </w:rPr>
        <w:t>) (</w:t>
      </w:r>
      <w:proofErr w:type="spellStart"/>
      <w:r w:rsidRPr="00B9513B">
        <w:rPr>
          <w:sz w:val="20"/>
          <w:szCs w:val="20"/>
          <w:lang w:val="fr-CA"/>
        </w:rPr>
        <w:t>Crim</w:t>
      </w:r>
      <w:proofErr w:type="spellEnd"/>
      <w:r w:rsidRPr="00B9513B">
        <w:rPr>
          <w:sz w:val="20"/>
          <w:szCs w:val="20"/>
          <w:lang w:val="fr-CA"/>
        </w:rPr>
        <w:t>.) (Autorisation)</w:t>
      </w:r>
      <w:r w:rsidRPr="00115C9E">
        <w:rPr>
          <w:sz w:val="20"/>
          <w:szCs w:val="20"/>
          <w:lang w:val="fr-CA"/>
        </w:rPr>
        <w:t xml:space="preserve"> </w:t>
      </w:r>
      <w:r w:rsidR="004B7F60" w:rsidRPr="00115C9E">
        <w:rPr>
          <w:sz w:val="20"/>
          <w:szCs w:val="20"/>
          <w:lang w:val="fr-CA"/>
        </w:rPr>
        <w:t>(35</w:t>
      </w:r>
      <w:r w:rsidR="00B9513B">
        <w:rPr>
          <w:sz w:val="20"/>
          <w:szCs w:val="20"/>
          <w:lang w:val="fr-CA"/>
        </w:rPr>
        <w:t>216</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115C9E" w:rsidRDefault="00041F8E" w:rsidP="004B7F60">
      <w:pPr>
        <w:pStyle w:val="ListParagraph"/>
        <w:widowControl w:val="0"/>
        <w:numPr>
          <w:ilvl w:val="0"/>
          <w:numId w:val="1"/>
        </w:numPr>
        <w:ind w:hanging="720"/>
        <w:jc w:val="both"/>
        <w:rPr>
          <w:sz w:val="20"/>
          <w:szCs w:val="20"/>
          <w:lang w:val="fr-CA"/>
        </w:rPr>
      </w:pPr>
      <w:r w:rsidRPr="00041F8E">
        <w:rPr>
          <w:i/>
          <w:sz w:val="20"/>
          <w:szCs w:val="20"/>
        </w:rPr>
        <w:t xml:space="preserve">Imperial Tobacco Canada Limited </w:t>
      </w:r>
      <w:r w:rsidRPr="00041F8E">
        <w:rPr>
          <w:i/>
          <w:sz w:val="20"/>
          <w:szCs w:val="20"/>
          <w:lang w:val="fr-CA"/>
        </w:rPr>
        <w:t>v. Cécilia Létourneau et al.</w:t>
      </w:r>
      <w:r w:rsidRPr="00B9513B">
        <w:rPr>
          <w:sz w:val="20"/>
          <w:szCs w:val="20"/>
        </w:rPr>
        <w:t xml:space="preserve"> (Que.) </w:t>
      </w:r>
      <w:r w:rsidRPr="00B9513B">
        <w:rPr>
          <w:sz w:val="20"/>
          <w:szCs w:val="20"/>
          <w:lang w:val="fr-CA"/>
        </w:rPr>
        <w:t xml:space="preserve">(Civil) (By </w:t>
      </w:r>
      <w:proofErr w:type="spellStart"/>
      <w:r w:rsidRPr="00B9513B">
        <w:rPr>
          <w:sz w:val="20"/>
          <w:szCs w:val="20"/>
          <w:lang w:val="fr-CA"/>
        </w:rPr>
        <w:t>Leave</w:t>
      </w:r>
      <w:proofErr w:type="spellEnd"/>
      <w:r w:rsidRPr="00B9513B">
        <w:rPr>
          <w:sz w:val="20"/>
          <w:szCs w:val="20"/>
          <w:lang w:val="fr-CA"/>
        </w:rPr>
        <w:t>)</w:t>
      </w:r>
      <w:r w:rsidRPr="00115C9E">
        <w:rPr>
          <w:sz w:val="20"/>
          <w:szCs w:val="20"/>
          <w:lang w:val="fr-CA"/>
        </w:rPr>
        <w:t xml:space="preserve"> </w:t>
      </w:r>
      <w:r w:rsidR="004B7F60" w:rsidRPr="00115C9E">
        <w:rPr>
          <w:sz w:val="20"/>
          <w:szCs w:val="20"/>
          <w:lang w:val="fr-CA"/>
        </w:rPr>
        <w:t>(35</w:t>
      </w:r>
      <w:r w:rsidR="00B9513B">
        <w:rPr>
          <w:sz w:val="20"/>
          <w:szCs w:val="20"/>
          <w:lang w:val="fr-CA"/>
        </w:rPr>
        <w:t>238</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041F8E" w:rsidRDefault="00041F8E" w:rsidP="004B7F60">
      <w:pPr>
        <w:pStyle w:val="ListParagraph"/>
        <w:widowControl w:val="0"/>
        <w:numPr>
          <w:ilvl w:val="0"/>
          <w:numId w:val="1"/>
        </w:numPr>
        <w:ind w:hanging="720"/>
        <w:jc w:val="both"/>
        <w:rPr>
          <w:sz w:val="20"/>
          <w:szCs w:val="20"/>
        </w:rPr>
      </w:pPr>
      <w:r w:rsidRPr="00041F8E">
        <w:rPr>
          <w:i/>
          <w:sz w:val="20"/>
          <w:szCs w:val="20"/>
        </w:rPr>
        <w:t xml:space="preserve">Francis </w:t>
      </w:r>
      <w:proofErr w:type="spellStart"/>
      <w:r w:rsidRPr="00041F8E">
        <w:rPr>
          <w:i/>
          <w:sz w:val="20"/>
          <w:szCs w:val="20"/>
        </w:rPr>
        <w:t>Mazhero</w:t>
      </w:r>
      <w:proofErr w:type="spellEnd"/>
      <w:r w:rsidRPr="00041F8E">
        <w:rPr>
          <w:i/>
          <w:sz w:val="20"/>
          <w:szCs w:val="20"/>
        </w:rPr>
        <w:t xml:space="preserve"> v. Bell Canada, et al.</w:t>
      </w:r>
      <w:r w:rsidRPr="00041F8E">
        <w:rPr>
          <w:sz w:val="20"/>
          <w:szCs w:val="20"/>
        </w:rPr>
        <w:t xml:space="preserve"> (Que.) </w:t>
      </w:r>
      <w:r w:rsidRPr="00B9513B">
        <w:rPr>
          <w:sz w:val="20"/>
          <w:szCs w:val="20"/>
        </w:rPr>
        <w:t>(Civil) (By Leave)</w:t>
      </w:r>
      <w:r w:rsidRPr="00041F8E">
        <w:rPr>
          <w:sz w:val="20"/>
          <w:szCs w:val="20"/>
        </w:rPr>
        <w:t xml:space="preserve"> </w:t>
      </w:r>
      <w:r w:rsidR="004B7F60" w:rsidRPr="00041F8E">
        <w:rPr>
          <w:sz w:val="20"/>
          <w:szCs w:val="20"/>
        </w:rPr>
        <w:t>(3</w:t>
      </w:r>
      <w:r w:rsidR="00B9513B" w:rsidRPr="00041F8E">
        <w:rPr>
          <w:sz w:val="20"/>
          <w:szCs w:val="20"/>
        </w:rPr>
        <w:t>5262</w:t>
      </w:r>
      <w:r w:rsidR="004B7F60" w:rsidRPr="00041F8E">
        <w:rPr>
          <w:sz w:val="20"/>
          <w:szCs w:val="20"/>
        </w:rPr>
        <w:t>)</w:t>
      </w:r>
    </w:p>
    <w:p w:rsidR="004B7F60" w:rsidRPr="00041F8E" w:rsidRDefault="004B7F60" w:rsidP="004B7F60">
      <w:pPr>
        <w:widowControl w:val="0"/>
        <w:rPr>
          <w:sz w:val="20"/>
          <w:szCs w:val="20"/>
        </w:rPr>
      </w:pPr>
    </w:p>
    <w:p w:rsidR="004B7F60" w:rsidRPr="00041F8E" w:rsidRDefault="004B7F60" w:rsidP="004B7F60">
      <w:pPr>
        <w:widowControl w:val="0"/>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sidR="0062714A">
        <w:rPr>
          <w:b/>
          <w:sz w:val="20"/>
          <w:szCs w:val="20"/>
        </w:rPr>
        <w:t>Fi</w:t>
      </w:r>
      <w:r>
        <w:rPr>
          <w:b/>
          <w:sz w:val="20"/>
          <w:szCs w:val="20"/>
        </w:rPr>
        <w:t>sh</w:t>
      </w:r>
      <w:r w:rsidR="0062714A">
        <w:rPr>
          <w:b/>
          <w:sz w:val="20"/>
          <w:szCs w:val="20"/>
        </w:rPr>
        <w:t>,</w:t>
      </w:r>
      <w:r w:rsidRPr="00C50A5C">
        <w:rPr>
          <w:b/>
          <w:sz w:val="20"/>
          <w:szCs w:val="20"/>
        </w:rPr>
        <w:t xml:space="preserve"> </w:t>
      </w:r>
      <w:r w:rsidR="0062714A">
        <w:rPr>
          <w:b/>
          <w:sz w:val="20"/>
          <w:szCs w:val="20"/>
        </w:rPr>
        <w:t>Rot</w:t>
      </w:r>
      <w:r>
        <w:rPr>
          <w:b/>
          <w:sz w:val="20"/>
          <w:szCs w:val="20"/>
        </w:rPr>
        <w:t>h</w:t>
      </w:r>
      <w:r w:rsidR="0062714A">
        <w:rPr>
          <w:b/>
          <w:sz w:val="20"/>
          <w:szCs w:val="20"/>
        </w:rPr>
        <w:t>stein</w:t>
      </w:r>
      <w:r w:rsidRPr="00C50A5C">
        <w:rPr>
          <w:b/>
          <w:sz w:val="20"/>
          <w:szCs w:val="20"/>
        </w:rPr>
        <w:t xml:space="preserve"> and </w:t>
      </w:r>
      <w:r w:rsidR="0062714A">
        <w:rPr>
          <w:b/>
          <w:sz w:val="20"/>
          <w:szCs w:val="20"/>
        </w:rPr>
        <w:t>Mold</w:t>
      </w:r>
      <w:r>
        <w:rPr>
          <w:b/>
          <w:sz w:val="20"/>
          <w:szCs w:val="20"/>
        </w:rPr>
        <w:t>a</w:t>
      </w:r>
      <w:r w:rsidR="0062714A">
        <w:rPr>
          <w:b/>
          <w:sz w:val="20"/>
          <w:szCs w:val="20"/>
        </w:rPr>
        <w:t>ver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sidR="0062714A">
        <w:rPr>
          <w:b/>
          <w:sz w:val="20"/>
          <w:szCs w:val="20"/>
          <w:lang w:val="fr-CA"/>
        </w:rPr>
        <w:t>Fi</w:t>
      </w:r>
      <w:r>
        <w:rPr>
          <w:b/>
          <w:sz w:val="20"/>
          <w:szCs w:val="20"/>
          <w:lang w:val="fr-CA"/>
        </w:rPr>
        <w:t>sh</w:t>
      </w:r>
      <w:r w:rsidRPr="00C50A5C">
        <w:rPr>
          <w:b/>
          <w:sz w:val="20"/>
          <w:szCs w:val="20"/>
          <w:lang w:val="fr-CA"/>
        </w:rPr>
        <w:t xml:space="preserve">, </w:t>
      </w:r>
      <w:proofErr w:type="spellStart"/>
      <w:r w:rsidR="0062714A">
        <w:rPr>
          <w:b/>
          <w:sz w:val="20"/>
          <w:szCs w:val="20"/>
          <w:lang w:val="fr-CA"/>
        </w:rPr>
        <w:t>Rot</w:t>
      </w:r>
      <w:r>
        <w:rPr>
          <w:b/>
          <w:sz w:val="20"/>
          <w:szCs w:val="20"/>
          <w:lang w:val="fr-CA"/>
        </w:rPr>
        <w:t>h</w:t>
      </w:r>
      <w:r w:rsidR="0062714A">
        <w:rPr>
          <w:b/>
          <w:sz w:val="20"/>
          <w:szCs w:val="20"/>
          <w:lang w:val="fr-CA"/>
        </w:rPr>
        <w:t>stein</w:t>
      </w:r>
      <w:proofErr w:type="spellEnd"/>
      <w:r w:rsidRPr="00C50A5C">
        <w:rPr>
          <w:b/>
          <w:sz w:val="20"/>
          <w:szCs w:val="20"/>
          <w:lang w:val="fr-CA"/>
        </w:rPr>
        <w:t xml:space="preserve"> et </w:t>
      </w:r>
      <w:r w:rsidR="0062714A">
        <w:rPr>
          <w:b/>
          <w:sz w:val="20"/>
          <w:szCs w:val="20"/>
          <w:lang w:val="fr-CA"/>
        </w:rPr>
        <w:t>Moldaver</w:t>
      </w:r>
    </w:p>
    <w:p w:rsidR="004B7F60" w:rsidRPr="00C50A5C" w:rsidRDefault="004B7F60" w:rsidP="004B7F60">
      <w:pPr>
        <w:widowControl w:val="0"/>
        <w:rPr>
          <w:sz w:val="20"/>
          <w:szCs w:val="20"/>
          <w:lang w:val="fr-CA"/>
        </w:rPr>
      </w:pPr>
    </w:p>
    <w:p w:rsidR="004B7F60" w:rsidRPr="00C50A5C" w:rsidRDefault="00041F8E" w:rsidP="004B7F60">
      <w:pPr>
        <w:pStyle w:val="ListParagraph"/>
        <w:widowControl w:val="0"/>
        <w:numPr>
          <w:ilvl w:val="0"/>
          <w:numId w:val="1"/>
        </w:numPr>
        <w:ind w:hanging="720"/>
        <w:jc w:val="both"/>
        <w:rPr>
          <w:sz w:val="20"/>
          <w:szCs w:val="20"/>
          <w:lang w:val="fr-CA"/>
        </w:rPr>
      </w:pPr>
      <w:r w:rsidRPr="00041F8E">
        <w:rPr>
          <w:i/>
          <w:sz w:val="20"/>
          <w:szCs w:val="20"/>
        </w:rPr>
        <w:t>Edward Leonard Finley Hilts v. Minister of Justice</w:t>
      </w:r>
      <w:r w:rsidRPr="00B9513B">
        <w:rPr>
          <w:sz w:val="20"/>
          <w:szCs w:val="20"/>
        </w:rPr>
        <w:t xml:space="preserve"> (B.C.) (Crim.) (By Leave)</w:t>
      </w:r>
      <w:r w:rsidRPr="00C50A5C">
        <w:rPr>
          <w:sz w:val="20"/>
          <w:szCs w:val="20"/>
          <w:lang w:val="fr-CA"/>
        </w:rPr>
        <w:t xml:space="preserve"> </w:t>
      </w:r>
      <w:r w:rsidR="004B7F60" w:rsidRPr="00C50A5C">
        <w:rPr>
          <w:sz w:val="20"/>
          <w:szCs w:val="20"/>
          <w:lang w:val="fr-CA"/>
        </w:rPr>
        <w:t>(3</w:t>
      </w:r>
      <w:r w:rsidR="00B9513B">
        <w:rPr>
          <w:sz w:val="20"/>
          <w:szCs w:val="20"/>
          <w:lang w:val="fr-CA"/>
        </w:rPr>
        <w:t>52</w:t>
      </w:r>
      <w:r w:rsidR="004B7F60">
        <w:rPr>
          <w:sz w:val="20"/>
          <w:szCs w:val="20"/>
          <w:lang w:val="fr-CA"/>
        </w:rPr>
        <w:t>43</w:t>
      </w:r>
      <w:r w:rsidR="004B7F60" w:rsidRPr="00C50A5C">
        <w:rPr>
          <w:sz w:val="20"/>
          <w:szCs w:val="20"/>
          <w:lang w:val="fr-CA"/>
        </w:rPr>
        <w:t>)</w:t>
      </w:r>
    </w:p>
    <w:p w:rsidR="004B7F60" w:rsidRDefault="004B7F60" w:rsidP="004B7F60">
      <w:pPr>
        <w:widowControl w:val="0"/>
        <w:jc w:val="both"/>
        <w:rPr>
          <w:sz w:val="20"/>
          <w:szCs w:val="20"/>
          <w:lang w:val="fr-CA"/>
        </w:rPr>
      </w:pPr>
    </w:p>
    <w:p w:rsidR="004B7F60" w:rsidRPr="00115C9E" w:rsidRDefault="00041F8E" w:rsidP="004B7F60">
      <w:pPr>
        <w:pStyle w:val="ListParagraph"/>
        <w:widowControl w:val="0"/>
        <w:numPr>
          <w:ilvl w:val="0"/>
          <w:numId w:val="1"/>
        </w:numPr>
        <w:ind w:hanging="720"/>
        <w:jc w:val="both"/>
        <w:rPr>
          <w:sz w:val="20"/>
          <w:szCs w:val="20"/>
        </w:rPr>
      </w:pPr>
      <w:r w:rsidRPr="00041F8E">
        <w:rPr>
          <w:i/>
          <w:sz w:val="20"/>
          <w:szCs w:val="20"/>
        </w:rPr>
        <w:t>R.P. v. Her Majesty the Queen</w:t>
      </w:r>
      <w:r w:rsidRPr="00B9513B">
        <w:rPr>
          <w:sz w:val="20"/>
          <w:szCs w:val="20"/>
        </w:rPr>
        <w:t xml:space="preserve"> (Ont.) (Crim.) (By Leave)</w:t>
      </w:r>
      <w:r w:rsidRPr="00115C9E">
        <w:rPr>
          <w:sz w:val="20"/>
          <w:szCs w:val="20"/>
        </w:rPr>
        <w:t xml:space="preserve"> </w:t>
      </w:r>
      <w:r w:rsidR="004B7F60" w:rsidRPr="00115C9E">
        <w:rPr>
          <w:sz w:val="20"/>
          <w:szCs w:val="20"/>
        </w:rPr>
        <w:t>(3</w:t>
      </w:r>
      <w:r w:rsidR="00B9513B">
        <w:rPr>
          <w:sz w:val="20"/>
          <w:szCs w:val="20"/>
        </w:rPr>
        <w:t>52</w:t>
      </w:r>
      <w:r w:rsidR="004B7F60" w:rsidRPr="00115C9E">
        <w:rPr>
          <w:sz w:val="20"/>
          <w:szCs w:val="20"/>
        </w:rPr>
        <w:t>8</w:t>
      </w:r>
      <w:r w:rsidR="00B9513B">
        <w:rPr>
          <w:sz w:val="20"/>
          <w:szCs w:val="20"/>
        </w:rPr>
        <w:t>7</w:t>
      </w:r>
      <w:r w:rsidR="004B7F60" w:rsidRPr="00115C9E">
        <w:rPr>
          <w:sz w:val="20"/>
          <w:szCs w:val="20"/>
        </w:rPr>
        <w:t>)</w:t>
      </w:r>
    </w:p>
    <w:p w:rsidR="004B7F60" w:rsidRPr="00115C9E" w:rsidRDefault="004B7F60" w:rsidP="004B7F60">
      <w:pPr>
        <w:widowControl w:val="0"/>
        <w:jc w:val="both"/>
        <w:rPr>
          <w:sz w:val="20"/>
          <w:szCs w:val="20"/>
        </w:rPr>
      </w:pPr>
    </w:p>
    <w:p w:rsidR="004B7F60" w:rsidRPr="00115C9E" w:rsidRDefault="00041F8E" w:rsidP="004B7F60">
      <w:pPr>
        <w:pStyle w:val="ListParagraph"/>
        <w:widowControl w:val="0"/>
        <w:numPr>
          <w:ilvl w:val="0"/>
          <w:numId w:val="1"/>
        </w:numPr>
        <w:ind w:hanging="720"/>
        <w:jc w:val="both"/>
        <w:rPr>
          <w:sz w:val="20"/>
          <w:szCs w:val="20"/>
        </w:rPr>
      </w:pPr>
      <w:proofErr w:type="spellStart"/>
      <w:r w:rsidRPr="00041F8E">
        <w:rPr>
          <w:i/>
          <w:sz w:val="20"/>
          <w:szCs w:val="20"/>
        </w:rPr>
        <w:t>Thinh</w:t>
      </w:r>
      <w:proofErr w:type="spellEnd"/>
      <w:r w:rsidRPr="00041F8E">
        <w:rPr>
          <w:i/>
          <w:sz w:val="20"/>
          <w:szCs w:val="20"/>
        </w:rPr>
        <w:t xml:space="preserve"> Hung Le v. United States of America et al.</w:t>
      </w:r>
      <w:r w:rsidRPr="00B9513B">
        <w:rPr>
          <w:sz w:val="20"/>
          <w:szCs w:val="20"/>
        </w:rPr>
        <w:t xml:space="preserve"> (Ont.) (Crim.) (By Leave)</w:t>
      </w:r>
      <w:r w:rsidRPr="00115C9E">
        <w:rPr>
          <w:sz w:val="20"/>
          <w:szCs w:val="20"/>
        </w:rPr>
        <w:t xml:space="preserve"> </w:t>
      </w:r>
      <w:r w:rsidR="004B7F60" w:rsidRPr="00115C9E">
        <w:rPr>
          <w:sz w:val="20"/>
          <w:szCs w:val="20"/>
        </w:rPr>
        <w:t>(3</w:t>
      </w:r>
      <w:r w:rsidR="00B9513B">
        <w:rPr>
          <w:sz w:val="20"/>
          <w:szCs w:val="20"/>
        </w:rPr>
        <w:t>5254</w:t>
      </w:r>
      <w:r w:rsidR="004B7F60" w:rsidRPr="00115C9E">
        <w:rPr>
          <w:sz w:val="20"/>
          <w:szCs w:val="20"/>
        </w:rPr>
        <w:t>)</w:t>
      </w:r>
    </w:p>
    <w:p w:rsidR="004B7F60" w:rsidRPr="00115C9E" w:rsidRDefault="004B7F60" w:rsidP="004B7F60">
      <w:pPr>
        <w:widowControl w:val="0"/>
        <w:jc w:val="both"/>
        <w:rPr>
          <w:sz w:val="20"/>
          <w:szCs w:val="20"/>
        </w:rPr>
      </w:pPr>
    </w:p>
    <w:p w:rsidR="004B7F60" w:rsidRDefault="00041F8E" w:rsidP="004B7F60">
      <w:pPr>
        <w:pStyle w:val="ListParagraph"/>
        <w:widowControl w:val="0"/>
        <w:numPr>
          <w:ilvl w:val="0"/>
          <w:numId w:val="1"/>
        </w:numPr>
        <w:ind w:hanging="720"/>
        <w:jc w:val="both"/>
        <w:rPr>
          <w:sz w:val="20"/>
          <w:szCs w:val="20"/>
        </w:rPr>
      </w:pPr>
      <w:r w:rsidRPr="00041F8E">
        <w:rPr>
          <w:i/>
          <w:sz w:val="20"/>
          <w:szCs w:val="20"/>
        </w:rPr>
        <w:t>Vivian Chiang v. Law Society of British Columbia</w:t>
      </w:r>
      <w:r w:rsidRPr="00B9513B">
        <w:rPr>
          <w:sz w:val="20"/>
          <w:szCs w:val="20"/>
        </w:rPr>
        <w:t xml:space="preserve"> (B.C.) (Civil) (By Leave)</w:t>
      </w:r>
      <w:r w:rsidRPr="00C50A5C">
        <w:rPr>
          <w:sz w:val="20"/>
          <w:szCs w:val="20"/>
        </w:rPr>
        <w:t xml:space="preserve"> </w:t>
      </w:r>
      <w:r w:rsidR="004B7F60" w:rsidRPr="00C50A5C">
        <w:rPr>
          <w:sz w:val="20"/>
          <w:szCs w:val="20"/>
        </w:rPr>
        <w:t>(3</w:t>
      </w:r>
      <w:r w:rsidR="00B9513B">
        <w:rPr>
          <w:sz w:val="20"/>
          <w:szCs w:val="20"/>
        </w:rPr>
        <w:t>5279</w:t>
      </w:r>
      <w:r w:rsidR="004B7F60" w:rsidRPr="00C50A5C">
        <w:rPr>
          <w:sz w:val="20"/>
          <w:szCs w:val="20"/>
        </w:rPr>
        <w:t>)</w:t>
      </w:r>
    </w:p>
    <w:p w:rsidR="004B7F60" w:rsidRDefault="004B7F60" w:rsidP="004B7F60">
      <w:pPr>
        <w:widowControl w:val="0"/>
        <w:rPr>
          <w:sz w:val="20"/>
          <w:szCs w:val="20"/>
        </w:rPr>
      </w:pPr>
    </w:p>
    <w:p w:rsidR="002E2327" w:rsidRDefault="0028676C" w:rsidP="002E2327">
      <w:pPr>
        <w:widowControl w:val="0"/>
        <w:rPr>
          <w:sz w:val="20"/>
          <w:szCs w:val="20"/>
        </w:rPr>
      </w:pPr>
      <w:r w:rsidRPr="0028676C">
        <w:rPr>
          <w:sz w:val="20"/>
          <w:szCs w:val="20"/>
        </w:rPr>
        <w:pict>
          <v:rect id="_x0000_i1038" style="width:2in;height:1pt" o:hrpct="0" o:hralign="center" o:hrstd="t" o:hrnoshade="t" o:hr="t" fillcolor="black [3213]" stroked="f"/>
        </w:pict>
      </w:r>
    </w:p>
    <w:p w:rsidR="00041F8E" w:rsidRDefault="00041F8E" w:rsidP="002E2327">
      <w:pPr>
        <w:widowControl w:val="0"/>
        <w:rPr>
          <w:sz w:val="20"/>
          <w:szCs w:val="20"/>
        </w:rPr>
      </w:pPr>
    </w:p>
    <w:p w:rsidR="00041F8E" w:rsidRPr="00C50A5C" w:rsidRDefault="00041F8E"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32989" w:rsidRPr="00B6040C" w:rsidTr="00BA6468">
        <w:tc>
          <w:tcPr>
            <w:tcW w:w="4200" w:type="dxa"/>
            <w:tcMar>
              <w:left w:w="0" w:type="dxa"/>
              <w:right w:w="0" w:type="dxa"/>
            </w:tcMar>
          </w:tcPr>
          <w:p w:rsidR="00432989" w:rsidRPr="001D0D5F" w:rsidRDefault="00432989" w:rsidP="00432989">
            <w:pPr>
              <w:keepNext/>
              <w:keepLines/>
              <w:jc w:val="both"/>
              <w:rPr>
                <w:b/>
                <w:szCs w:val="24"/>
              </w:rPr>
            </w:pPr>
            <w:bookmarkStart w:id="0" w:name="QuickMark_1"/>
            <w:bookmarkEnd w:id="0"/>
            <w:r w:rsidRPr="001D0D5F">
              <w:rPr>
                <w:b/>
                <w:szCs w:val="24"/>
              </w:rPr>
              <w:t>ORAL HEARING ON APPLICATIONS FOR LEAVE</w:t>
            </w:r>
          </w:p>
        </w:tc>
        <w:tc>
          <w:tcPr>
            <w:tcW w:w="1200" w:type="dxa"/>
            <w:tcMar>
              <w:left w:w="0" w:type="dxa"/>
              <w:right w:w="0" w:type="dxa"/>
            </w:tcMar>
          </w:tcPr>
          <w:p w:rsidR="00432989" w:rsidRPr="001D0D5F" w:rsidRDefault="00432989" w:rsidP="00C50A5C">
            <w:pPr>
              <w:keepNext/>
              <w:keepLines/>
              <w:jc w:val="center"/>
              <w:rPr>
                <w:b/>
                <w:szCs w:val="24"/>
              </w:rPr>
            </w:pPr>
          </w:p>
          <w:p w:rsidR="00C50A5C" w:rsidRPr="001D0D5F" w:rsidRDefault="00C50A5C" w:rsidP="00C50A5C">
            <w:pPr>
              <w:keepNext/>
              <w:keepLines/>
              <w:jc w:val="center"/>
              <w:rPr>
                <w:b/>
                <w:szCs w:val="24"/>
              </w:rPr>
            </w:pPr>
          </w:p>
          <w:p w:rsidR="00C50A5C" w:rsidRPr="001D0D5F" w:rsidRDefault="00C50A5C" w:rsidP="00C50A5C">
            <w:pPr>
              <w:keepNext/>
              <w:keepLines/>
              <w:jc w:val="center"/>
              <w:rPr>
                <w:b/>
                <w:szCs w:val="24"/>
              </w:rPr>
            </w:pPr>
          </w:p>
        </w:tc>
        <w:tc>
          <w:tcPr>
            <w:tcW w:w="4080" w:type="dxa"/>
            <w:tcMar>
              <w:left w:w="0" w:type="dxa"/>
              <w:right w:w="0" w:type="dxa"/>
            </w:tcMar>
          </w:tcPr>
          <w:p w:rsidR="00432989" w:rsidRPr="001D0D5F" w:rsidRDefault="00432989" w:rsidP="00432989">
            <w:pPr>
              <w:keepNext/>
              <w:keepLines/>
              <w:jc w:val="both"/>
              <w:rPr>
                <w:b/>
                <w:szCs w:val="24"/>
                <w:lang w:val="fr-CA"/>
              </w:rPr>
            </w:pPr>
            <w:r w:rsidRPr="001D0D5F">
              <w:rPr>
                <w:b/>
                <w:szCs w:val="24"/>
                <w:lang w:val="fr-CA"/>
              </w:rPr>
              <w:t>AUDIENCE SUR LES DEMANDES D’AUTORISATION</w:t>
            </w:r>
          </w:p>
        </w:tc>
      </w:tr>
    </w:tbl>
    <w:p w:rsidR="00432989" w:rsidRDefault="00432989" w:rsidP="00432989">
      <w:pPr>
        <w:rPr>
          <w:sz w:val="20"/>
          <w:szCs w:val="20"/>
          <w:lang w:val="fr-CA"/>
        </w:rPr>
      </w:pPr>
    </w:p>
    <w:p w:rsidR="00FA4CDE" w:rsidRPr="00FA4CDE" w:rsidRDefault="00FA4CDE" w:rsidP="00FA4CDE">
      <w:pPr>
        <w:widowControl w:val="0"/>
        <w:rPr>
          <w:rFonts w:eastAsia="Times New Roman" w:cs="Times New Roman"/>
          <w:sz w:val="20"/>
          <w:szCs w:val="20"/>
          <w:lang w:val="en-US" w:eastAsia="en-CA"/>
        </w:rPr>
      </w:pPr>
      <w:r w:rsidRPr="00FA4CDE">
        <w:rPr>
          <w:rFonts w:eastAsia="Times New Roman" w:cs="Times New Roman"/>
          <w:sz w:val="20"/>
          <w:szCs w:val="20"/>
          <w:lang w:val="en-US" w:eastAsia="en-CA"/>
        </w:rPr>
        <w:t>13.05.2013</w:t>
      </w:r>
    </w:p>
    <w:p w:rsidR="00FA4CDE" w:rsidRPr="00FA4CDE" w:rsidRDefault="00FA4CDE" w:rsidP="00FA4CDE">
      <w:pPr>
        <w:widowControl w:val="0"/>
        <w:rPr>
          <w:rFonts w:eastAsia="Times New Roman" w:cs="Times New Roman"/>
          <w:sz w:val="20"/>
          <w:szCs w:val="20"/>
          <w:lang w:val="en-US" w:eastAsia="en-CA"/>
        </w:rPr>
      </w:pPr>
    </w:p>
    <w:p w:rsidR="00FA4CDE" w:rsidRPr="00FA4CDE" w:rsidRDefault="00FA4CDE" w:rsidP="00FA4CDE">
      <w:pPr>
        <w:widowControl w:val="0"/>
        <w:ind w:left="720" w:hanging="720"/>
        <w:rPr>
          <w:rFonts w:eastAsia="Times New Roman" w:cs="Times New Roman"/>
          <w:b/>
          <w:sz w:val="20"/>
          <w:szCs w:val="20"/>
          <w:lang w:val="en-US" w:eastAsia="en-CA"/>
        </w:rPr>
      </w:pPr>
      <w:r w:rsidRPr="00FA4CDE">
        <w:rPr>
          <w:rFonts w:eastAsia="Times New Roman" w:cs="Times New Roman"/>
          <w:sz w:val="20"/>
          <w:szCs w:val="20"/>
          <w:lang w:val="en-US" w:eastAsia="en-CA"/>
        </w:rPr>
        <w:t xml:space="preserve">Coram: </w:t>
      </w:r>
      <w:r w:rsidRPr="00FA4CDE">
        <w:rPr>
          <w:rFonts w:eastAsia="Times New Roman" w:cs="Times New Roman"/>
          <w:sz w:val="20"/>
          <w:szCs w:val="20"/>
          <w:lang w:val="en-US" w:eastAsia="en-CA"/>
        </w:rPr>
        <w:tab/>
      </w:r>
      <w:r w:rsidRPr="00FA4CDE">
        <w:rPr>
          <w:rFonts w:eastAsia="Times New Roman" w:cs="Times New Roman"/>
          <w:sz w:val="20"/>
          <w:szCs w:val="20"/>
          <w:u w:val="single"/>
          <w:lang w:val="en-US" w:eastAsia="en-CA"/>
        </w:rPr>
        <w:t>Rothstein, Cromwell and Moldaver JJ.</w:t>
      </w:r>
      <w:r w:rsidRPr="00FA4CDE">
        <w:rPr>
          <w:rFonts w:eastAsia="Times New Roman" w:cs="Times New Roman"/>
          <w:sz w:val="20"/>
          <w:szCs w:val="20"/>
          <w:lang w:val="en-US" w:eastAsia="en-CA"/>
        </w:rPr>
        <w:t xml:space="preserve"> </w:t>
      </w:r>
    </w:p>
    <w:p w:rsidR="00FA4CDE" w:rsidRPr="00FA4CDE" w:rsidRDefault="00FA4CDE" w:rsidP="00FA4CDE">
      <w:pPr>
        <w:widowControl w:val="0"/>
        <w:rPr>
          <w:rFonts w:eastAsia="Times New Roman" w:cs="Times New Roman"/>
          <w:b/>
          <w:sz w:val="20"/>
          <w:szCs w:val="20"/>
          <w:lang w:val="en-US" w:eastAsia="en-CA"/>
        </w:rPr>
      </w:pPr>
    </w:p>
    <w:tbl>
      <w:tblPr>
        <w:tblW w:w="0" w:type="auto"/>
        <w:tblLayout w:type="fixed"/>
        <w:tblCellMar>
          <w:left w:w="0" w:type="dxa"/>
          <w:right w:w="0" w:type="dxa"/>
        </w:tblCellMar>
        <w:tblLook w:val="0000"/>
      </w:tblPr>
      <w:tblGrid>
        <w:gridCol w:w="4410"/>
        <w:gridCol w:w="720"/>
        <w:gridCol w:w="4350"/>
      </w:tblGrid>
      <w:tr w:rsidR="00FA4CDE" w:rsidRPr="00B6040C" w:rsidTr="00B47FC7">
        <w:tc>
          <w:tcPr>
            <w:tcW w:w="4410" w:type="dxa"/>
            <w:tcMar>
              <w:left w:w="0" w:type="dxa"/>
              <w:right w:w="0" w:type="dxa"/>
            </w:tcMar>
          </w:tcPr>
          <w:p w:rsidR="00FA4CDE" w:rsidRPr="00FA4CDE" w:rsidRDefault="00531E90" w:rsidP="00531E90">
            <w:pPr>
              <w:widowControl w:val="0"/>
              <w:jc w:val="both"/>
              <w:rPr>
                <w:rFonts w:eastAsia="Times New Roman" w:cs="Times New Roman"/>
                <w:b/>
                <w:sz w:val="20"/>
                <w:szCs w:val="20"/>
                <w:lang w:val="en-US" w:eastAsia="en-CA"/>
              </w:rPr>
            </w:pPr>
            <w:r>
              <w:rPr>
                <w:rFonts w:eastAsia="Times New Roman" w:cs="Times New Roman"/>
                <w:b/>
                <w:sz w:val="20"/>
                <w:szCs w:val="20"/>
                <w:lang w:val="en-US" w:eastAsia="en-CA"/>
              </w:rPr>
              <w:t xml:space="preserve">Oral </w:t>
            </w:r>
            <w:r w:rsidR="00B47FC7">
              <w:rPr>
                <w:rFonts w:eastAsia="Times New Roman" w:cs="Times New Roman"/>
                <w:b/>
                <w:sz w:val="20"/>
                <w:szCs w:val="20"/>
                <w:lang w:val="en-US" w:eastAsia="en-CA"/>
              </w:rPr>
              <w:t>hear</w:t>
            </w:r>
            <w:r>
              <w:rPr>
                <w:rFonts w:eastAsia="Times New Roman" w:cs="Times New Roman"/>
                <w:b/>
                <w:sz w:val="20"/>
                <w:szCs w:val="20"/>
                <w:lang w:val="en-US" w:eastAsia="en-CA"/>
              </w:rPr>
              <w:t>ing on application for leave to appeal</w:t>
            </w:r>
          </w:p>
        </w:tc>
        <w:tc>
          <w:tcPr>
            <w:tcW w:w="720" w:type="dxa"/>
            <w:tcMar>
              <w:left w:w="0" w:type="dxa"/>
              <w:right w:w="0" w:type="dxa"/>
            </w:tcMar>
          </w:tcPr>
          <w:p w:rsidR="00FA4CDE" w:rsidRPr="00FA4CDE" w:rsidRDefault="00FA4CDE" w:rsidP="00FA4CDE">
            <w:pPr>
              <w:widowControl w:val="0"/>
              <w:jc w:val="center"/>
              <w:rPr>
                <w:rFonts w:eastAsia="Times New Roman" w:cs="Times New Roman"/>
                <w:sz w:val="20"/>
                <w:szCs w:val="20"/>
                <w:lang w:val="en-US" w:eastAsia="en-CA"/>
              </w:rPr>
            </w:pPr>
          </w:p>
          <w:p w:rsidR="00FA4CDE" w:rsidRPr="00FA4CDE" w:rsidRDefault="00FA4CDE" w:rsidP="00FA4CDE">
            <w:pPr>
              <w:widowControl w:val="0"/>
              <w:jc w:val="center"/>
              <w:rPr>
                <w:rFonts w:eastAsia="Times New Roman" w:cs="Times New Roman"/>
                <w:sz w:val="20"/>
                <w:szCs w:val="20"/>
                <w:lang w:val="en-US" w:eastAsia="en-CA"/>
              </w:rPr>
            </w:pPr>
          </w:p>
        </w:tc>
        <w:tc>
          <w:tcPr>
            <w:tcW w:w="4350" w:type="dxa"/>
            <w:tcMar>
              <w:left w:w="0" w:type="dxa"/>
              <w:right w:w="0" w:type="dxa"/>
            </w:tcMar>
          </w:tcPr>
          <w:p w:rsidR="00FA4CDE" w:rsidRPr="00FA4CDE" w:rsidRDefault="00531E90" w:rsidP="00FA4CDE">
            <w:pPr>
              <w:widowControl w:val="0"/>
              <w:jc w:val="both"/>
              <w:rPr>
                <w:rFonts w:eastAsia="Times New Roman" w:cs="Times New Roman"/>
                <w:b/>
                <w:sz w:val="20"/>
                <w:szCs w:val="20"/>
                <w:lang w:val="fr-CA" w:eastAsia="en-CA"/>
              </w:rPr>
            </w:pPr>
            <w:r>
              <w:rPr>
                <w:rFonts w:eastAsia="Times New Roman" w:cs="Times New Roman"/>
                <w:b/>
                <w:sz w:val="20"/>
                <w:szCs w:val="20"/>
                <w:lang w:val="fr-CA" w:eastAsia="en-CA"/>
              </w:rPr>
              <w:t>Audience sur une demande d’autorisation d’appel</w:t>
            </w:r>
          </w:p>
        </w:tc>
      </w:tr>
      <w:tr w:rsidR="00FA4CDE" w:rsidRPr="00FA4CDE" w:rsidTr="00B47FC7">
        <w:tc>
          <w:tcPr>
            <w:tcW w:w="4410" w:type="dxa"/>
            <w:tcMar>
              <w:left w:w="0" w:type="dxa"/>
              <w:right w:w="0" w:type="dxa"/>
            </w:tcMar>
          </w:tcPr>
          <w:p w:rsidR="00FA4CDE" w:rsidRPr="00FA4CDE" w:rsidRDefault="00FA4CDE" w:rsidP="00FA4CDE">
            <w:pPr>
              <w:widowControl w:val="0"/>
              <w:jc w:val="both"/>
              <w:rPr>
                <w:rFonts w:eastAsia="Times New Roman" w:cs="Times New Roman"/>
                <w:sz w:val="20"/>
                <w:szCs w:val="20"/>
                <w:lang w:val="fr-CA" w:eastAsia="en-CA"/>
              </w:rPr>
            </w:pPr>
            <w:r w:rsidRPr="00FA4CDE">
              <w:rPr>
                <w:rFonts w:eastAsia="Times New Roman" w:cs="Times New Roman"/>
                <w:sz w:val="20"/>
                <w:szCs w:val="20"/>
                <w:lang w:val="fr-CA" w:eastAsia="en-CA"/>
              </w:rPr>
              <w:t>Eli Lilly Canada et al.</w:t>
            </w:r>
          </w:p>
          <w:p w:rsidR="00FA4CDE" w:rsidRPr="00FA4CDE" w:rsidRDefault="00FA4CDE" w:rsidP="00FA4CDE">
            <w:pPr>
              <w:widowControl w:val="0"/>
              <w:jc w:val="both"/>
              <w:rPr>
                <w:rFonts w:eastAsia="Times New Roman" w:cs="Times New Roman"/>
                <w:sz w:val="20"/>
                <w:szCs w:val="20"/>
                <w:lang w:val="fr-CA" w:eastAsia="en-CA"/>
              </w:rPr>
            </w:pPr>
          </w:p>
          <w:p w:rsidR="00FA4CDE" w:rsidRPr="00FA4CDE" w:rsidRDefault="00FA4CDE" w:rsidP="00FA4CDE">
            <w:pPr>
              <w:widowControl w:val="0"/>
              <w:tabs>
                <w:tab w:val="left" w:pos="736"/>
              </w:tabs>
              <w:jc w:val="both"/>
              <w:rPr>
                <w:rFonts w:eastAsia="Times New Roman" w:cs="Times New Roman"/>
                <w:sz w:val="20"/>
                <w:szCs w:val="20"/>
                <w:lang w:val="en-US" w:eastAsia="en-CA"/>
              </w:rPr>
            </w:pPr>
            <w:r w:rsidRPr="00FA4CDE">
              <w:rPr>
                <w:rFonts w:eastAsia="Times New Roman" w:cs="Times New Roman"/>
                <w:sz w:val="20"/>
                <w:szCs w:val="20"/>
                <w:lang w:val="fr-CA" w:eastAsia="en-CA"/>
              </w:rPr>
              <w:tab/>
            </w:r>
            <w:r w:rsidRPr="00FA4CDE">
              <w:rPr>
                <w:rFonts w:eastAsia="Times New Roman" w:cs="Times New Roman"/>
                <w:sz w:val="20"/>
                <w:szCs w:val="20"/>
                <w:lang w:val="en-US" w:eastAsia="en-CA"/>
              </w:rPr>
              <w:t>v. (35067)</w:t>
            </w:r>
          </w:p>
          <w:p w:rsidR="00FA4CDE" w:rsidRPr="00FA4CDE" w:rsidRDefault="00FA4CDE" w:rsidP="00FA4CDE">
            <w:pPr>
              <w:widowControl w:val="0"/>
              <w:jc w:val="both"/>
              <w:rPr>
                <w:rFonts w:eastAsia="Times New Roman" w:cs="Times New Roman"/>
                <w:sz w:val="20"/>
                <w:szCs w:val="20"/>
                <w:lang w:val="en-US" w:eastAsia="en-CA"/>
              </w:rPr>
            </w:pPr>
          </w:p>
          <w:p w:rsidR="00FA4CDE" w:rsidRPr="00FA4CDE" w:rsidRDefault="00FA4CDE" w:rsidP="00FA4CDE">
            <w:pPr>
              <w:widowControl w:val="0"/>
              <w:jc w:val="both"/>
              <w:rPr>
                <w:rFonts w:eastAsia="Times New Roman" w:cs="Times New Roman"/>
                <w:b/>
                <w:sz w:val="20"/>
                <w:szCs w:val="20"/>
                <w:lang w:eastAsia="en-CA"/>
              </w:rPr>
            </w:pPr>
            <w:proofErr w:type="spellStart"/>
            <w:r w:rsidRPr="00FA4CDE">
              <w:rPr>
                <w:rFonts w:eastAsia="Times New Roman" w:cs="Times New Roman"/>
                <w:sz w:val="20"/>
                <w:szCs w:val="20"/>
                <w:lang w:val="en-US" w:eastAsia="en-CA"/>
              </w:rPr>
              <w:t>Novopharm</w:t>
            </w:r>
            <w:proofErr w:type="spellEnd"/>
            <w:r w:rsidRPr="00FA4CDE">
              <w:rPr>
                <w:rFonts w:eastAsia="Times New Roman" w:cs="Times New Roman"/>
                <w:sz w:val="20"/>
                <w:szCs w:val="20"/>
                <w:lang w:val="en-US" w:eastAsia="en-CA"/>
              </w:rPr>
              <w:t xml:space="preserve"> Limited (F.C.) (Civil) (By Leave)</w:t>
            </w:r>
          </w:p>
        </w:tc>
        <w:tc>
          <w:tcPr>
            <w:tcW w:w="720" w:type="dxa"/>
            <w:tcMar>
              <w:left w:w="0" w:type="dxa"/>
              <w:right w:w="0" w:type="dxa"/>
            </w:tcMar>
          </w:tcPr>
          <w:p w:rsidR="00FA4CDE" w:rsidRPr="00FA4CDE" w:rsidRDefault="00FA4CDE" w:rsidP="00FA4CDE">
            <w:pPr>
              <w:widowControl w:val="0"/>
              <w:jc w:val="center"/>
              <w:rPr>
                <w:rFonts w:eastAsia="Times New Roman" w:cs="Times New Roman"/>
                <w:sz w:val="20"/>
                <w:szCs w:val="20"/>
                <w:lang w:val="en-US" w:eastAsia="en-CA"/>
              </w:rPr>
            </w:pPr>
          </w:p>
        </w:tc>
        <w:tc>
          <w:tcPr>
            <w:tcW w:w="4350" w:type="dxa"/>
            <w:tcMar>
              <w:left w:w="0" w:type="dxa"/>
              <w:right w:w="0" w:type="dxa"/>
            </w:tcMar>
          </w:tcPr>
          <w:p w:rsidR="00105251" w:rsidRPr="008655FF" w:rsidRDefault="00105251" w:rsidP="00105251">
            <w:pPr>
              <w:jc w:val="both"/>
              <w:rPr>
                <w:sz w:val="20"/>
                <w:szCs w:val="20"/>
              </w:rPr>
            </w:pPr>
            <w:r w:rsidRPr="008655FF">
              <w:rPr>
                <w:sz w:val="20"/>
                <w:szCs w:val="20"/>
              </w:rPr>
              <w:t xml:space="preserve">Anthony G. </w:t>
            </w:r>
            <w:proofErr w:type="spellStart"/>
            <w:r w:rsidRPr="008655FF">
              <w:rPr>
                <w:sz w:val="20"/>
                <w:szCs w:val="20"/>
              </w:rPr>
              <w:t>Creber</w:t>
            </w:r>
            <w:proofErr w:type="spellEnd"/>
            <w:r>
              <w:rPr>
                <w:sz w:val="20"/>
                <w:szCs w:val="20"/>
              </w:rPr>
              <w:t xml:space="preserve">, </w:t>
            </w:r>
            <w:r w:rsidRPr="008655FF">
              <w:rPr>
                <w:sz w:val="20"/>
                <w:szCs w:val="20"/>
              </w:rPr>
              <w:t>Henry S. Brown, Q.C.</w:t>
            </w:r>
            <w:r>
              <w:rPr>
                <w:sz w:val="20"/>
                <w:szCs w:val="20"/>
              </w:rPr>
              <w:t xml:space="preserve"> and </w:t>
            </w:r>
            <w:r w:rsidRPr="008655FF">
              <w:rPr>
                <w:sz w:val="20"/>
                <w:szCs w:val="20"/>
              </w:rPr>
              <w:t>Marc Richard</w:t>
            </w:r>
            <w:r>
              <w:rPr>
                <w:sz w:val="20"/>
                <w:szCs w:val="20"/>
              </w:rPr>
              <w:t xml:space="preserve"> f</w:t>
            </w:r>
            <w:r w:rsidRPr="008655FF">
              <w:rPr>
                <w:sz w:val="20"/>
                <w:szCs w:val="20"/>
              </w:rPr>
              <w:t xml:space="preserve">or </w:t>
            </w:r>
            <w:r>
              <w:rPr>
                <w:sz w:val="20"/>
                <w:szCs w:val="20"/>
              </w:rPr>
              <w:t>a</w:t>
            </w:r>
            <w:r w:rsidRPr="008655FF">
              <w:rPr>
                <w:sz w:val="20"/>
                <w:szCs w:val="20"/>
              </w:rPr>
              <w:t>pplicants.</w:t>
            </w:r>
          </w:p>
          <w:p w:rsidR="00105251" w:rsidRPr="008655FF" w:rsidRDefault="00105251" w:rsidP="00105251">
            <w:pPr>
              <w:jc w:val="both"/>
              <w:rPr>
                <w:sz w:val="20"/>
                <w:szCs w:val="20"/>
              </w:rPr>
            </w:pPr>
          </w:p>
          <w:p w:rsidR="00FA4CDE" w:rsidRPr="00FA4CDE" w:rsidRDefault="00105251" w:rsidP="00105251">
            <w:pPr>
              <w:widowControl w:val="0"/>
              <w:jc w:val="both"/>
              <w:rPr>
                <w:rFonts w:eastAsia="Times New Roman" w:cs="Times New Roman"/>
                <w:sz w:val="20"/>
                <w:szCs w:val="20"/>
                <w:lang w:val="en-US" w:eastAsia="en-CA"/>
              </w:rPr>
            </w:pPr>
            <w:r w:rsidRPr="008655FF">
              <w:rPr>
                <w:sz w:val="20"/>
                <w:szCs w:val="20"/>
              </w:rPr>
              <w:t xml:space="preserve">Jonathan </w:t>
            </w:r>
            <w:proofErr w:type="spellStart"/>
            <w:r w:rsidRPr="008655FF">
              <w:rPr>
                <w:sz w:val="20"/>
                <w:szCs w:val="20"/>
              </w:rPr>
              <w:t>Stainsby</w:t>
            </w:r>
            <w:proofErr w:type="spellEnd"/>
            <w:r>
              <w:rPr>
                <w:sz w:val="20"/>
                <w:szCs w:val="20"/>
              </w:rPr>
              <w:t xml:space="preserve">, </w:t>
            </w:r>
            <w:r w:rsidRPr="008655FF">
              <w:rPr>
                <w:sz w:val="20"/>
                <w:szCs w:val="20"/>
              </w:rPr>
              <w:t xml:space="preserve">Andrew </w:t>
            </w:r>
            <w:proofErr w:type="spellStart"/>
            <w:r w:rsidRPr="008655FF">
              <w:rPr>
                <w:sz w:val="20"/>
                <w:szCs w:val="20"/>
              </w:rPr>
              <w:t>Skodyn</w:t>
            </w:r>
            <w:proofErr w:type="spellEnd"/>
            <w:r>
              <w:rPr>
                <w:sz w:val="20"/>
                <w:szCs w:val="20"/>
              </w:rPr>
              <w:t xml:space="preserve"> and </w:t>
            </w:r>
            <w:r w:rsidRPr="008655FF">
              <w:rPr>
                <w:sz w:val="20"/>
                <w:szCs w:val="20"/>
              </w:rPr>
              <w:t xml:space="preserve">Neil </w:t>
            </w:r>
            <w:proofErr w:type="spellStart"/>
            <w:r w:rsidRPr="008655FF">
              <w:rPr>
                <w:sz w:val="20"/>
                <w:szCs w:val="20"/>
              </w:rPr>
              <w:t>Fineberg</w:t>
            </w:r>
            <w:proofErr w:type="spellEnd"/>
            <w:r>
              <w:rPr>
                <w:sz w:val="20"/>
                <w:szCs w:val="20"/>
              </w:rPr>
              <w:t xml:space="preserve"> f</w:t>
            </w:r>
            <w:r w:rsidRPr="008655FF">
              <w:rPr>
                <w:sz w:val="20"/>
                <w:szCs w:val="20"/>
              </w:rPr>
              <w:t xml:space="preserve">or the </w:t>
            </w:r>
            <w:r>
              <w:rPr>
                <w:sz w:val="20"/>
                <w:szCs w:val="20"/>
              </w:rPr>
              <w:t>r</w:t>
            </w:r>
            <w:r w:rsidRPr="008655FF">
              <w:rPr>
                <w:sz w:val="20"/>
                <w:szCs w:val="20"/>
              </w:rPr>
              <w:t>espondent.</w:t>
            </w:r>
          </w:p>
        </w:tc>
      </w:tr>
    </w:tbl>
    <w:p w:rsidR="00FA4CDE" w:rsidRPr="00FA4CDE" w:rsidRDefault="00FA4CDE" w:rsidP="00FA4CDE">
      <w:pPr>
        <w:widowControl w:val="0"/>
        <w:rPr>
          <w:rFonts w:eastAsia="Times New Roman" w:cs="Times New Roman"/>
          <w:sz w:val="20"/>
          <w:szCs w:val="20"/>
          <w:lang w:val="en-US" w:eastAsia="en-CA"/>
        </w:rPr>
      </w:pPr>
    </w:p>
    <w:p w:rsidR="00FA4CDE" w:rsidRPr="00FA4CDE" w:rsidRDefault="00FA4CDE" w:rsidP="00FA4CDE">
      <w:pPr>
        <w:widowControl w:val="0"/>
        <w:rPr>
          <w:rFonts w:eastAsia="Times New Roman" w:cs="Times New Roman"/>
          <w:sz w:val="20"/>
          <w:szCs w:val="20"/>
          <w:lang w:val="en-US" w:eastAsia="en-CA"/>
        </w:rPr>
      </w:pPr>
      <w:r w:rsidRPr="00FA4CDE">
        <w:rPr>
          <w:rFonts w:eastAsia="Times New Roman" w:cs="Times New Roman"/>
          <w:b/>
          <w:sz w:val="20"/>
          <w:szCs w:val="20"/>
          <w:lang w:val="en-US" w:eastAsia="en-CA"/>
        </w:rPr>
        <w:t xml:space="preserve">RESERVED / </w:t>
      </w:r>
      <w:r w:rsidRPr="00FA4CDE">
        <w:rPr>
          <w:rFonts w:eastAsia="Times New Roman" w:cs="Times New Roman"/>
          <w:b/>
          <w:sz w:val="20"/>
          <w:szCs w:val="20"/>
          <w:lang w:val="fr-CA" w:eastAsia="en-CA"/>
        </w:rPr>
        <w:t>EN DÉLIBÉRÉ</w:t>
      </w:r>
      <w:r w:rsidR="001A42A9">
        <w:rPr>
          <w:rFonts w:eastAsia="Times New Roman" w:cs="Times New Roman"/>
          <w:b/>
          <w:sz w:val="20"/>
          <w:szCs w:val="20"/>
          <w:lang w:val="fr-CA" w:eastAsia="en-CA"/>
        </w:rPr>
        <w:t>E</w:t>
      </w:r>
    </w:p>
    <w:p w:rsidR="00FA4CDE" w:rsidRPr="00FA4CDE" w:rsidRDefault="00FA4CDE" w:rsidP="00FA4CDE">
      <w:pPr>
        <w:rPr>
          <w:rFonts w:eastAsia="Times New Roman" w:cs="Times New Roman"/>
          <w:sz w:val="20"/>
          <w:szCs w:val="20"/>
          <w:lang w:val="en-US" w:eastAsia="en-CA"/>
        </w:rPr>
      </w:pPr>
    </w:p>
    <w:tbl>
      <w:tblPr>
        <w:tblW w:w="0" w:type="auto"/>
        <w:tblLayout w:type="fixed"/>
        <w:tblCellMar>
          <w:left w:w="0" w:type="dxa"/>
          <w:right w:w="0" w:type="dxa"/>
        </w:tblCellMar>
        <w:tblLook w:val="0000"/>
      </w:tblPr>
      <w:tblGrid>
        <w:gridCol w:w="4410"/>
        <w:gridCol w:w="720"/>
        <w:gridCol w:w="4350"/>
      </w:tblGrid>
      <w:tr w:rsidR="00FA4CDE" w:rsidRPr="00B6040C" w:rsidTr="00B47FC7">
        <w:tc>
          <w:tcPr>
            <w:tcW w:w="4410" w:type="dxa"/>
            <w:tcMar>
              <w:left w:w="0" w:type="dxa"/>
              <w:right w:w="0" w:type="dxa"/>
            </w:tcMar>
          </w:tcPr>
          <w:p w:rsidR="00FA4CDE" w:rsidRPr="00FA4CDE" w:rsidRDefault="00FA4CDE" w:rsidP="00FA4CDE">
            <w:pPr>
              <w:widowControl w:val="0"/>
              <w:jc w:val="both"/>
              <w:rPr>
                <w:rFonts w:eastAsia="Times New Roman" w:cs="Times New Roman"/>
                <w:b/>
                <w:sz w:val="20"/>
                <w:szCs w:val="20"/>
                <w:u w:val="single"/>
                <w:lang w:val="en-US" w:eastAsia="en-CA"/>
              </w:rPr>
            </w:pPr>
            <w:r w:rsidRPr="00FA4CDE">
              <w:rPr>
                <w:rFonts w:eastAsia="Times New Roman" w:cs="Times New Roman"/>
                <w:b/>
                <w:sz w:val="20"/>
                <w:szCs w:val="20"/>
                <w:u w:val="single"/>
                <w:lang w:val="en-US" w:eastAsia="en-CA"/>
              </w:rPr>
              <w:t>Nature of the case:</w:t>
            </w:r>
          </w:p>
          <w:p w:rsidR="00FA4CDE" w:rsidRPr="00FA4CDE" w:rsidRDefault="00FA4CDE" w:rsidP="00FA4CDE">
            <w:pPr>
              <w:widowControl w:val="0"/>
              <w:jc w:val="both"/>
              <w:rPr>
                <w:rFonts w:eastAsia="Times New Roman" w:cs="Times New Roman"/>
                <w:b/>
                <w:sz w:val="20"/>
                <w:szCs w:val="20"/>
                <w:lang w:val="en-US" w:eastAsia="en-CA"/>
              </w:rPr>
            </w:pPr>
          </w:p>
          <w:p w:rsidR="00FA4CDE" w:rsidRPr="00FA4CDE" w:rsidRDefault="00FA4CDE" w:rsidP="00FA4CDE">
            <w:pPr>
              <w:widowControl w:val="0"/>
              <w:jc w:val="both"/>
              <w:rPr>
                <w:rFonts w:eastAsia="Times New Roman" w:cs="Times New Roman"/>
                <w:b/>
                <w:sz w:val="20"/>
                <w:szCs w:val="20"/>
                <w:lang w:val="en-US" w:eastAsia="en-CA"/>
              </w:rPr>
            </w:pPr>
            <w:r w:rsidRPr="00FA4CDE">
              <w:rPr>
                <w:rFonts w:eastAsia="Times New Roman" w:cs="Times New Roman"/>
                <w:sz w:val="20"/>
                <w:szCs w:val="20"/>
                <w:lang w:val="en-US" w:eastAsia="en-CA"/>
              </w:rPr>
              <w:t>Intellectual property – Patents – Medicines – Infringement – Whether the creation by the Federal Court of Appeal of a new non-statutory test for “utility”, the so-called “Promise Doctrine”, is a matter of public importance.</w:t>
            </w:r>
          </w:p>
        </w:tc>
        <w:tc>
          <w:tcPr>
            <w:tcW w:w="720" w:type="dxa"/>
            <w:tcMar>
              <w:left w:w="0" w:type="dxa"/>
              <w:right w:w="0" w:type="dxa"/>
            </w:tcMar>
          </w:tcPr>
          <w:p w:rsidR="00FA4CDE" w:rsidRPr="00FA4CDE" w:rsidRDefault="00FA4CDE" w:rsidP="00FA4CDE">
            <w:pPr>
              <w:widowControl w:val="0"/>
              <w:jc w:val="center"/>
              <w:rPr>
                <w:rFonts w:eastAsia="Times New Roman" w:cs="Times New Roman"/>
                <w:sz w:val="20"/>
                <w:szCs w:val="20"/>
                <w:lang w:val="en-US" w:eastAsia="en-CA"/>
              </w:rPr>
            </w:pPr>
          </w:p>
        </w:tc>
        <w:tc>
          <w:tcPr>
            <w:tcW w:w="4350" w:type="dxa"/>
            <w:tcMar>
              <w:left w:w="0" w:type="dxa"/>
              <w:right w:w="0" w:type="dxa"/>
            </w:tcMar>
          </w:tcPr>
          <w:p w:rsidR="00FA4CDE" w:rsidRPr="00FA4CDE" w:rsidRDefault="00FA4CDE" w:rsidP="00FA4CDE">
            <w:pPr>
              <w:widowControl w:val="0"/>
              <w:jc w:val="both"/>
              <w:rPr>
                <w:rFonts w:eastAsia="Times New Roman" w:cs="Times New Roman"/>
                <w:b/>
                <w:sz w:val="20"/>
                <w:szCs w:val="20"/>
                <w:u w:val="single"/>
                <w:lang w:val="fr-CA" w:eastAsia="en-CA"/>
              </w:rPr>
            </w:pPr>
            <w:r w:rsidRPr="00FA4CDE">
              <w:rPr>
                <w:rFonts w:eastAsia="Times New Roman" w:cs="Times New Roman"/>
                <w:b/>
                <w:sz w:val="20"/>
                <w:szCs w:val="20"/>
                <w:u w:val="single"/>
                <w:lang w:val="fr-CA" w:eastAsia="en-CA"/>
              </w:rPr>
              <w:t>Nature de la cause :</w:t>
            </w:r>
          </w:p>
          <w:p w:rsidR="00FA4CDE" w:rsidRPr="00FA4CDE" w:rsidRDefault="00FA4CDE" w:rsidP="00FA4CDE">
            <w:pPr>
              <w:widowControl w:val="0"/>
              <w:jc w:val="both"/>
              <w:rPr>
                <w:rFonts w:eastAsia="Times New Roman" w:cs="Times New Roman"/>
                <w:sz w:val="20"/>
                <w:szCs w:val="20"/>
                <w:lang w:val="fr-CA" w:eastAsia="en-CA"/>
              </w:rPr>
            </w:pPr>
          </w:p>
          <w:p w:rsidR="00FA4CDE" w:rsidRPr="00FA4CDE" w:rsidRDefault="00FA4CDE" w:rsidP="00FA4CDE">
            <w:pPr>
              <w:widowControl w:val="0"/>
              <w:jc w:val="both"/>
              <w:rPr>
                <w:rFonts w:eastAsia="Times New Roman" w:cs="Times New Roman"/>
                <w:sz w:val="20"/>
                <w:szCs w:val="20"/>
                <w:lang w:val="fr-CA" w:eastAsia="en-CA"/>
              </w:rPr>
            </w:pPr>
            <w:r w:rsidRPr="00FA4CDE">
              <w:rPr>
                <w:rFonts w:eastAsia="Times New Roman" w:cs="Times New Roman"/>
                <w:sz w:val="20"/>
                <w:szCs w:val="20"/>
                <w:lang w:val="fr-FR" w:eastAsia="en-CA"/>
              </w:rPr>
              <w:t>Propriété intellectuelle – Brevets – Médicaments – Contrefaçon – La formulation par la Cour d’appel fédérale d’un nouveau critère d’« utilité » non prévu par la loi, que l’on appelle la « doctrine de la promesse », est-elle une question d’importance pour le public?</w:t>
            </w:r>
          </w:p>
        </w:tc>
      </w:tr>
    </w:tbl>
    <w:p w:rsidR="00FA4CDE" w:rsidRPr="00FA4CDE" w:rsidRDefault="00FA4CDE" w:rsidP="00FA4CDE">
      <w:pPr>
        <w:widowControl w:val="0"/>
        <w:rPr>
          <w:rFonts w:eastAsia="Times New Roman" w:cs="Times New Roman"/>
          <w:sz w:val="20"/>
          <w:szCs w:val="20"/>
          <w:lang w:val="fr-CA" w:eastAsia="en-CA"/>
        </w:rPr>
      </w:pPr>
    </w:p>
    <w:p w:rsidR="00FA4CDE" w:rsidRPr="00FA4CDE" w:rsidRDefault="0028676C" w:rsidP="00FA4CDE">
      <w:pPr>
        <w:widowControl w:val="0"/>
        <w:rPr>
          <w:rFonts w:eastAsia="Times New Roman" w:cs="Times New Roman"/>
          <w:sz w:val="20"/>
          <w:szCs w:val="20"/>
          <w:lang w:val="en-US" w:eastAsia="en-CA"/>
        </w:rPr>
      </w:pPr>
      <w:r w:rsidRPr="0028676C">
        <w:rPr>
          <w:rFonts w:eastAsia="Times New Roman" w:cs="Times New Roman"/>
          <w:sz w:val="20"/>
          <w:szCs w:val="20"/>
          <w:lang w:val="fr-CA" w:eastAsia="en-CA"/>
        </w:rPr>
        <w:pict>
          <v:rect id="_x0000_i1041" style="width:2in;height:1pt" o:hrpct="0" o:hralign="center" o:hrstd="t" o:hrnoshade="t" o:hr="t" fillcolor="black [3213]" stroked="f"/>
        </w:pict>
      </w:r>
    </w:p>
    <w:p w:rsidR="00FA4CDE" w:rsidRPr="00FA4CDE" w:rsidRDefault="00FA4CDE" w:rsidP="00FA4CDE">
      <w:pPr>
        <w:widowControl w:val="0"/>
        <w:rPr>
          <w:rFonts w:eastAsia="Times New Roman" w:cs="Times New Roman"/>
          <w:sz w:val="20"/>
          <w:szCs w:val="20"/>
          <w:lang w:val="en-US" w:eastAsia="en-CA"/>
        </w:rPr>
      </w:pPr>
    </w:p>
    <w:p w:rsidR="00B47FC7" w:rsidRPr="00FA4CDE" w:rsidRDefault="00B47FC7" w:rsidP="00B47FC7">
      <w:pPr>
        <w:widowControl w:val="0"/>
        <w:rPr>
          <w:rFonts w:eastAsia="Times New Roman" w:cs="Times New Roman"/>
          <w:sz w:val="20"/>
          <w:szCs w:val="20"/>
          <w:lang w:val="en-US" w:eastAsia="en-CA"/>
        </w:rPr>
      </w:pPr>
      <w:r w:rsidRPr="00FA4CDE">
        <w:rPr>
          <w:rFonts w:eastAsia="Times New Roman" w:cs="Times New Roman"/>
          <w:sz w:val="20"/>
          <w:szCs w:val="20"/>
          <w:lang w:val="en-US" w:eastAsia="en-CA"/>
        </w:rPr>
        <w:t>13.05.2013</w:t>
      </w:r>
    </w:p>
    <w:p w:rsidR="00B47FC7" w:rsidRDefault="00B47FC7" w:rsidP="00B47FC7">
      <w:pPr>
        <w:widowControl w:val="0"/>
        <w:rPr>
          <w:rFonts w:eastAsia="Times New Roman" w:cs="Times New Roman"/>
          <w:sz w:val="20"/>
          <w:szCs w:val="20"/>
          <w:lang w:val="en-US" w:eastAsia="en-CA"/>
        </w:rPr>
      </w:pPr>
    </w:p>
    <w:p w:rsidR="001A42A9" w:rsidRPr="0025101E" w:rsidRDefault="001A42A9" w:rsidP="001A42A9">
      <w:pPr>
        <w:widowControl w:val="0"/>
        <w:ind w:left="720" w:hanging="720"/>
        <w:rPr>
          <w:rFonts w:eastAsia="Calibri" w:cs="Times New Roman"/>
          <w:sz w:val="20"/>
          <w:szCs w:val="20"/>
          <w:u w:val="single"/>
        </w:rPr>
      </w:pPr>
      <w:r w:rsidRPr="0025101E">
        <w:rPr>
          <w:rFonts w:eastAsia="Calibri" w:cs="Times New Roman"/>
          <w:sz w:val="20"/>
          <w:szCs w:val="20"/>
        </w:rPr>
        <w:t xml:space="preserve">Coram: </w:t>
      </w:r>
      <w:r w:rsidRPr="0025101E">
        <w:rPr>
          <w:rFonts w:eastAsia="Calibri" w:cs="Times New Roman"/>
          <w:sz w:val="20"/>
          <w:szCs w:val="20"/>
        </w:rPr>
        <w:tab/>
      </w:r>
      <w:r w:rsidRPr="0025101E">
        <w:rPr>
          <w:rFonts w:eastAsia="Calibri" w:cs="Times New Roman"/>
          <w:sz w:val="20"/>
          <w:szCs w:val="20"/>
          <w:u w:val="single"/>
        </w:rPr>
        <w:t xml:space="preserve">McLachlin C.J. and </w:t>
      </w:r>
      <w:proofErr w:type="spellStart"/>
      <w:r w:rsidRPr="0025101E">
        <w:rPr>
          <w:rFonts w:eastAsia="Calibri" w:cs="Times New Roman"/>
          <w:sz w:val="20"/>
          <w:szCs w:val="20"/>
          <w:u w:val="single"/>
        </w:rPr>
        <w:t>Abella</w:t>
      </w:r>
      <w:proofErr w:type="spellEnd"/>
      <w:r w:rsidRPr="0025101E">
        <w:rPr>
          <w:rFonts w:eastAsia="Calibri" w:cs="Times New Roman"/>
          <w:sz w:val="20"/>
          <w:szCs w:val="20"/>
          <w:u w:val="single"/>
        </w:rPr>
        <w:t xml:space="preserve"> and Cromwell JJ.</w:t>
      </w:r>
    </w:p>
    <w:p w:rsidR="001A42A9" w:rsidRPr="001A42A9" w:rsidRDefault="001A42A9" w:rsidP="00B47FC7">
      <w:pPr>
        <w:widowControl w:val="0"/>
        <w:rPr>
          <w:rFonts w:eastAsia="Times New Roman" w:cs="Times New Roman"/>
          <w:sz w:val="20"/>
          <w:szCs w:val="20"/>
          <w:lang w:eastAsia="en-CA"/>
        </w:rPr>
      </w:pPr>
    </w:p>
    <w:tbl>
      <w:tblPr>
        <w:tblW w:w="0" w:type="auto"/>
        <w:tblLayout w:type="fixed"/>
        <w:tblCellMar>
          <w:left w:w="0" w:type="dxa"/>
          <w:right w:w="0" w:type="dxa"/>
        </w:tblCellMar>
        <w:tblLook w:val="0000"/>
      </w:tblPr>
      <w:tblGrid>
        <w:gridCol w:w="4410"/>
        <w:gridCol w:w="720"/>
        <w:gridCol w:w="4350"/>
      </w:tblGrid>
      <w:tr w:rsidR="00B47FC7" w:rsidRPr="00B6040C" w:rsidTr="00B47FC7">
        <w:tc>
          <w:tcPr>
            <w:tcW w:w="4410" w:type="dxa"/>
            <w:tcMar>
              <w:left w:w="0" w:type="dxa"/>
              <w:right w:w="0" w:type="dxa"/>
            </w:tcMar>
          </w:tcPr>
          <w:p w:rsidR="00B47FC7" w:rsidRPr="00FA4CDE" w:rsidRDefault="00531E90" w:rsidP="00B47FC7">
            <w:pPr>
              <w:widowControl w:val="0"/>
              <w:jc w:val="both"/>
              <w:rPr>
                <w:rFonts w:eastAsia="Times New Roman" w:cs="Times New Roman"/>
                <w:b/>
                <w:sz w:val="20"/>
                <w:szCs w:val="20"/>
                <w:lang w:val="en-US" w:eastAsia="en-CA"/>
              </w:rPr>
            </w:pPr>
            <w:r>
              <w:rPr>
                <w:rFonts w:eastAsia="Times New Roman" w:cs="Times New Roman"/>
                <w:b/>
                <w:sz w:val="20"/>
                <w:szCs w:val="20"/>
                <w:lang w:val="en-US" w:eastAsia="en-CA"/>
              </w:rPr>
              <w:t>Oral hearing on application for leave to appeal</w:t>
            </w:r>
          </w:p>
        </w:tc>
        <w:tc>
          <w:tcPr>
            <w:tcW w:w="720" w:type="dxa"/>
            <w:tcMar>
              <w:left w:w="0" w:type="dxa"/>
              <w:right w:w="0" w:type="dxa"/>
            </w:tcMar>
          </w:tcPr>
          <w:p w:rsidR="00B47FC7" w:rsidRPr="00FA4CDE" w:rsidRDefault="00B47FC7" w:rsidP="004B2CEB">
            <w:pPr>
              <w:widowControl w:val="0"/>
              <w:jc w:val="center"/>
              <w:rPr>
                <w:rFonts w:eastAsia="Times New Roman" w:cs="Times New Roman"/>
                <w:sz w:val="20"/>
                <w:szCs w:val="20"/>
                <w:lang w:val="en-US" w:eastAsia="en-CA"/>
              </w:rPr>
            </w:pPr>
          </w:p>
          <w:p w:rsidR="00B47FC7" w:rsidRPr="00FA4CDE" w:rsidRDefault="00B47FC7" w:rsidP="004B2CEB">
            <w:pPr>
              <w:widowControl w:val="0"/>
              <w:jc w:val="center"/>
              <w:rPr>
                <w:rFonts w:eastAsia="Times New Roman" w:cs="Times New Roman"/>
                <w:sz w:val="20"/>
                <w:szCs w:val="20"/>
                <w:lang w:val="en-US" w:eastAsia="en-CA"/>
              </w:rPr>
            </w:pPr>
          </w:p>
        </w:tc>
        <w:tc>
          <w:tcPr>
            <w:tcW w:w="4350" w:type="dxa"/>
            <w:tcMar>
              <w:left w:w="0" w:type="dxa"/>
              <w:right w:w="0" w:type="dxa"/>
            </w:tcMar>
          </w:tcPr>
          <w:p w:rsidR="00B47FC7" w:rsidRPr="00FA4CDE" w:rsidRDefault="00531E90" w:rsidP="00B47FC7">
            <w:pPr>
              <w:widowControl w:val="0"/>
              <w:jc w:val="both"/>
              <w:rPr>
                <w:rFonts w:eastAsia="Times New Roman" w:cs="Times New Roman"/>
                <w:b/>
                <w:sz w:val="20"/>
                <w:szCs w:val="20"/>
                <w:lang w:val="fr-CA" w:eastAsia="en-CA"/>
              </w:rPr>
            </w:pPr>
            <w:r>
              <w:rPr>
                <w:rFonts w:eastAsia="Times New Roman" w:cs="Times New Roman"/>
                <w:b/>
                <w:sz w:val="20"/>
                <w:szCs w:val="20"/>
                <w:lang w:val="fr-CA" w:eastAsia="en-CA"/>
              </w:rPr>
              <w:t>Audience sur une demande d’autorisation d’appel</w:t>
            </w:r>
          </w:p>
        </w:tc>
      </w:tr>
      <w:tr w:rsidR="00B47FC7" w:rsidRPr="00FA4CDE" w:rsidTr="00B47FC7">
        <w:tc>
          <w:tcPr>
            <w:tcW w:w="4410" w:type="dxa"/>
            <w:tcMar>
              <w:left w:w="0" w:type="dxa"/>
              <w:right w:w="0" w:type="dxa"/>
            </w:tcMar>
          </w:tcPr>
          <w:p w:rsidR="00B47FC7" w:rsidRPr="00790D88" w:rsidRDefault="004C479E" w:rsidP="004B2CEB">
            <w:pPr>
              <w:widowControl w:val="0"/>
              <w:jc w:val="both"/>
              <w:rPr>
                <w:rFonts w:eastAsia="Times New Roman" w:cs="Times New Roman"/>
                <w:sz w:val="20"/>
                <w:szCs w:val="20"/>
                <w:lang w:eastAsia="en-CA"/>
              </w:rPr>
            </w:pPr>
            <w:r w:rsidRPr="00580D67">
              <w:rPr>
                <w:sz w:val="20"/>
                <w:szCs w:val="20"/>
              </w:rPr>
              <w:t xml:space="preserve">Mohammad Hassan </w:t>
            </w:r>
            <w:proofErr w:type="spellStart"/>
            <w:r w:rsidRPr="00580D67">
              <w:rPr>
                <w:sz w:val="20"/>
                <w:szCs w:val="20"/>
              </w:rPr>
              <w:t>Mian</w:t>
            </w:r>
            <w:proofErr w:type="spellEnd"/>
          </w:p>
          <w:p w:rsidR="00B47FC7" w:rsidRPr="00790D88" w:rsidRDefault="00B47FC7" w:rsidP="004B2CEB">
            <w:pPr>
              <w:widowControl w:val="0"/>
              <w:jc w:val="both"/>
              <w:rPr>
                <w:rFonts w:eastAsia="Times New Roman" w:cs="Times New Roman"/>
                <w:sz w:val="20"/>
                <w:szCs w:val="20"/>
                <w:lang w:eastAsia="en-CA"/>
              </w:rPr>
            </w:pPr>
          </w:p>
          <w:p w:rsidR="00B47FC7" w:rsidRPr="00FA4CDE" w:rsidRDefault="00B47FC7" w:rsidP="004B2CEB">
            <w:pPr>
              <w:widowControl w:val="0"/>
              <w:tabs>
                <w:tab w:val="left" w:pos="736"/>
              </w:tabs>
              <w:jc w:val="both"/>
              <w:rPr>
                <w:rFonts w:eastAsia="Times New Roman" w:cs="Times New Roman"/>
                <w:sz w:val="20"/>
                <w:szCs w:val="20"/>
                <w:lang w:val="en-US" w:eastAsia="en-CA"/>
              </w:rPr>
            </w:pPr>
            <w:r w:rsidRPr="00790D88">
              <w:rPr>
                <w:rFonts w:eastAsia="Times New Roman" w:cs="Times New Roman"/>
                <w:sz w:val="20"/>
                <w:szCs w:val="20"/>
                <w:lang w:eastAsia="en-CA"/>
              </w:rPr>
              <w:tab/>
            </w:r>
            <w:r w:rsidRPr="00FA4CDE">
              <w:rPr>
                <w:rFonts w:eastAsia="Times New Roman" w:cs="Times New Roman"/>
                <w:sz w:val="20"/>
                <w:szCs w:val="20"/>
                <w:lang w:val="en-US" w:eastAsia="en-CA"/>
              </w:rPr>
              <w:t>v. (35</w:t>
            </w:r>
            <w:r>
              <w:rPr>
                <w:rFonts w:eastAsia="Times New Roman" w:cs="Times New Roman"/>
                <w:sz w:val="20"/>
                <w:szCs w:val="20"/>
                <w:lang w:val="en-US" w:eastAsia="en-CA"/>
              </w:rPr>
              <w:t>132</w:t>
            </w:r>
            <w:r w:rsidRPr="00FA4CDE">
              <w:rPr>
                <w:rFonts w:eastAsia="Times New Roman" w:cs="Times New Roman"/>
                <w:sz w:val="20"/>
                <w:szCs w:val="20"/>
                <w:lang w:val="en-US" w:eastAsia="en-CA"/>
              </w:rPr>
              <w:t>)</w:t>
            </w:r>
          </w:p>
          <w:p w:rsidR="00B47FC7" w:rsidRPr="00FA4CDE" w:rsidRDefault="00B47FC7" w:rsidP="004B2CEB">
            <w:pPr>
              <w:widowControl w:val="0"/>
              <w:jc w:val="both"/>
              <w:rPr>
                <w:rFonts w:eastAsia="Times New Roman" w:cs="Times New Roman"/>
                <w:sz w:val="20"/>
                <w:szCs w:val="20"/>
                <w:lang w:val="en-US" w:eastAsia="en-CA"/>
              </w:rPr>
            </w:pPr>
          </w:p>
          <w:p w:rsidR="00B47FC7" w:rsidRPr="00FA4CDE" w:rsidRDefault="004C479E" w:rsidP="00B47FC7">
            <w:pPr>
              <w:widowControl w:val="0"/>
              <w:jc w:val="both"/>
              <w:rPr>
                <w:rFonts w:eastAsia="Times New Roman" w:cs="Times New Roman"/>
                <w:b/>
                <w:sz w:val="20"/>
                <w:szCs w:val="20"/>
                <w:lang w:eastAsia="en-CA"/>
              </w:rPr>
            </w:pPr>
            <w:r w:rsidRPr="00580D67">
              <w:rPr>
                <w:sz w:val="20"/>
                <w:szCs w:val="20"/>
              </w:rPr>
              <w:t>Her Majesty the Queen</w:t>
            </w:r>
            <w:r w:rsidR="00B47FC7" w:rsidRPr="00FA4CDE">
              <w:rPr>
                <w:rFonts w:eastAsia="Times New Roman" w:cs="Times New Roman"/>
                <w:sz w:val="20"/>
                <w:szCs w:val="20"/>
                <w:lang w:val="en-US" w:eastAsia="en-CA"/>
              </w:rPr>
              <w:t xml:space="preserve"> (</w:t>
            </w:r>
            <w:r w:rsidR="00B47FC7">
              <w:rPr>
                <w:rFonts w:eastAsia="Times New Roman" w:cs="Times New Roman"/>
                <w:sz w:val="20"/>
                <w:szCs w:val="20"/>
                <w:lang w:val="en-US" w:eastAsia="en-CA"/>
              </w:rPr>
              <w:t>Alta</w:t>
            </w:r>
            <w:r w:rsidR="00B47FC7" w:rsidRPr="00FA4CDE">
              <w:rPr>
                <w:rFonts w:eastAsia="Times New Roman" w:cs="Times New Roman"/>
                <w:sz w:val="20"/>
                <w:szCs w:val="20"/>
                <w:lang w:val="en-US" w:eastAsia="en-CA"/>
              </w:rPr>
              <w:t>.) (C</w:t>
            </w:r>
            <w:r w:rsidR="00B47FC7">
              <w:rPr>
                <w:rFonts w:eastAsia="Times New Roman" w:cs="Times New Roman"/>
                <w:sz w:val="20"/>
                <w:szCs w:val="20"/>
                <w:lang w:val="en-US" w:eastAsia="en-CA"/>
              </w:rPr>
              <w:t>r</w:t>
            </w:r>
            <w:r w:rsidR="00B47FC7" w:rsidRPr="00FA4CDE">
              <w:rPr>
                <w:rFonts w:eastAsia="Times New Roman" w:cs="Times New Roman"/>
                <w:sz w:val="20"/>
                <w:szCs w:val="20"/>
                <w:lang w:val="en-US" w:eastAsia="en-CA"/>
              </w:rPr>
              <w:t>i</w:t>
            </w:r>
            <w:r w:rsidR="00B47FC7">
              <w:rPr>
                <w:rFonts w:eastAsia="Times New Roman" w:cs="Times New Roman"/>
                <w:sz w:val="20"/>
                <w:szCs w:val="20"/>
                <w:lang w:val="en-US" w:eastAsia="en-CA"/>
              </w:rPr>
              <w:t>m</w:t>
            </w:r>
            <w:r w:rsidR="00B47FC7" w:rsidRPr="00FA4CDE">
              <w:rPr>
                <w:rFonts w:eastAsia="Times New Roman" w:cs="Times New Roman"/>
                <w:sz w:val="20"/>
                <w:szCs w:val="20"/>
                <w:lang w:val="en-US" w:eastAsia="en-CA"/>
              </w:rPr>
              <w:t>i</w:t>
            </w:r>
            <w:r w:rsidR="00B47FC7">
              <w:rPr>
                <w:rFonts w:eastAsia="Times New Roman" w:cs="Times New Roman"/>
                <w:sz w:val="20"/>
                <w:szCs w:val="20"/>
                <w:lang w:val="en-US" w:eastAsia="en-CA"/>
              </w:rPr>
              <w:t>na</w:t>
            </w:r>
            <w:r w:rsidR="00B47FC7" w:rsidRPr="00FA4CDE">
              <w:rPr>
                <w:rFonts w:eastAsia="Times New Roman" w:cs="Times New Roman"/>
                <w:sz w:val="20"/>
                <w:szCs w:val="20"/>
                <w:lang w:val="en-US" w:eastAsia="en-CA"/>
              </w:rPr>
              <w:t>l) (By Leave)</w:t>
            </w:r>
          </w:p>
        </w:tc>
        <w:tc>
          <w:tcPr>
            <w:tcW w:w="720" w:type="dxa"/>
            <w:tcMar>
              <w:left w:w="0" w:type="dxa"/>
              <w:right w:w="0" w:type="dxa"/>
            </w:tcMar>
          </w:tcPr>
          <w:p w:rsidR="00B47FC7" w:rsidRPr="00FA4CDE" w:rsidRDefault="00B47FC7" w:rsidP="004B2CEB">
            <w:pPr>
              <w:widowControl w:val="0"/>
              <w:jc w:val="center"/>
              <w:rPr>
                <w:rFonts w:eastAsia="Times New Roman" w:cs="Times New Roman"/>
                <w:sz w:val="20"/>
                <w:szCs w:val="20"/>
                <w:lang w:val="en-US" w:eastAsia="en-CA"/>
              </w:rPr>
            </w:pPr>
          </w:p>
        </w:tc>
        <w:tc>
          <w:tcPr>
            <w:tcW w:w="4350" w:type="dxa"/>
            <w:tcMar>
              <w:left w:w="0" w:type="dxa"/>
              <w:right w:w="0" w:type="dxa"/>
            </w:tcMar>
          </w:tcPr>
          <w:p w:rsidR="004C479E" w:rsidRPr="00580D67" w:rsidRDefault="004C479E" w:rsidP="004C479E">
            <w:pPr>
              <w:jc w:val="both"/>
              <w:rPr>
                <w:sz w:val="20"/>
                <w:szCs w:val="20"/>
              </w:rPr>
            </w:pPr>
            <w:r w:rsidRPr="00580D67">
              <w:rPr>
                <w:sz w:val="20"/>
                <w:szCs w:val="20"/>
              </w:rPr>
              <w:t>Daniel J. Song</w:t>
            </w:r>
            <w:r>
              <w:rPr>
                <w:sz w:val="20"/>
                <w:szCs w:val="20"/>
              </w:rPr>
              <w:t xml:space="preserve"> f</w:t>
            </w:r>
            <w:r w:rsidRPr="00580D67">
              <w:rPr>
                <w:sz w:val="20"/>
                <w:szCs w:val="20"/>
              </w:rPr>
              <w:t xml:space="preserve">or the </w:t>
            </w:r>
            <w:r>
              <w:rPr>
                <w:sz w:val="20"/>
                <w:szCs w:val="20"/>
              </w:rPr>
              <w:t>a</w:t>
            </w:r>
            <w:r w:rsidRPr="00580D67">
              <w:rPr>
                <w:sz w:val="20"/>
                <w:szCs w:val="20"/>
              </w:rPr>
              <w:t>pplicant.</w:t>
            </w:r>
          </w:p>
          <w:p w:rsidR="004C479E" w:rsidRPr="00580D67" w:rsidRDefault="004C479E" w:rsidP="004C479E">
            <w:pPr>
              <w:jc w:val="both"/>
              <w:rPr>
                <w:sz w:val="20"/>
                <w:szCs w:val="20"/>
              </w:rPr>
            </w:pPr>
          </w:p>
          <w:p w:rsidR="00B47FC7" w:rsidRPr="00FA4CDE" w:rsidRDefault="004C479E" w:rsidP="004C479E">
            <w:pPr>
              <w:widowControl w:val="0"/>
              <w:jc w:val="both"/>
              <w:rPr>
                <w:rFonts w:eastAsia="Times New Roman" w:cs="Times New Roman"/>
                <w:sz w:val="20"/>
                <w:szCs w:val="20"/>
                <w:lang w:val="en-US" w:eastAsia="en-CA"/>
              </w:rPr>
            </w:pPr>
            <w:r w:rsidRPr="00580D67">
              <w:rPr>
                <w:sz w:val="20"/>
                <w:szCs w:val="20"/>
              </w:rPr>
              <w:t>Ronald C. Reimer</w:t>
            </w:r>
            <w:r>
              <w:rPr>
                <w:sz w:val="20"/>
                <w:szCs w:val="20"/>
              </w:rPr>
              <w:t xml:space="preserve"> and </w:t>
            </w:r>
            <w:r w:rsidRPr="00580D67">
              <w:rPr>
                <w:sz w:val="20"/>
                <w:szCs w:val="20"/>
              </w:rPr>
              <w:t>Tyler Lord</w:t>
            </w:r>
            <w:r>
              <w:rPr>
                <w:sz w:val="20"/>
                <w:szCs w:val="20"/>
              </w:rPr>
              <w:t xml:space="preserve"> </w:t>
            </w:r>
            <w:r w:rsidRPr="00580D67">
              <w:rPr>
                <w:sz w:val="20"/>
                <w:szCs w:val="20"/>
              </w:rPr>
              <w:t xml:space="preserve">(by </w:t>
            </w:r>
            <w:r>
              <w:rPr>
                <w:sz w:val="20"/>
                <w:szCs w:val="20"/>
              </w:rPr>
              <w:t>v</w:t>
            </w:r>
            <w:r w:rsidRPr="00580D67">
              <w:rPr>
                <w:sz w:val="20"/>
                <w:szCs w:val="20"/>
              </w:rPr>
              <w:t>ideo</w:t>
            </w:r>
            <w:r>
              <w:rPr>
                <w:sz w:val="20"/>
                <w:szCs w:val="20"/>
              </w:rPr>
              <w:t>-</w:t>
            </w:r>
            <w:r w:rsidRPr="00580D67">
              <w:rPr>
                <w:sz w:val="20"/>
                <w:szCs w:val="20"/>
              </w:rPr>
              <w:t>conference)</w:t>
            </w:r>
            <w:r>
              <w:rPr>
                <w:sz w:val="20"/>
                <w:szCs w:val="20"/>
              </w:rPr>
              <w:t xml:space="preserve"> f</w:t>
            </w:r>
            <w:r w:rsidRPr="00580D67">
              <w:rPr>
                <w:sz w:val="20"/>
                <w:szCs w:val="20"/>
              </w:rPr>
              <w:t xml:space="preserve">or the </w:t>
            </w:r>
            <w:r>
              <w:rPr>
                <w:sz w:val="20"/>
                <w:szCs w:val="20"/>
              </w:rPr>
              <w:t>r</w:t>
            </w:r>
            <w:r w:rsidRPr="00580D67">
              <w:rPr>
                <w:sz w:val="20"/>
                <w:szCs w:val="20"/>
              </w:rPr>
              <w:t>espondent</w:t>
            </w:r>
            <w:r>
              <w:rPr>
                <w:sz w:val="20"/>
                <w:szCs w:val="20"/>
              </w:rPr>
              <w:t>.</w:t>
            </w:r>
          </w:p>
        </w:tc>
      </w:tr>
    </w:tbl>
    <w:p w:rsidR="00B47FC7" w:rsidRPr="00FA4CDE" w:rsidRDefault="00B47FC7" w:rsidP="00B47FC7">
      <w:pPr>
        <w:widowControl w:val="0"/>
        <w:rPr>
          <w:rFonts w:eastAsia="Times New Roman" w:cs="Times New Roman"/>
          <w:sz w:val="20"/>
          <w:szCs w:val="20"/>
          <w:lang w:val="en-US" w:eastAsia="en-CA"/>
        </w:rPr>
      </w:pPr>
    </w:p>
    <w:p w:rsidR="00B47FC7" w:rsidRPr="00FA4CDE" w:rsidRDefault="00B47FC7" w:rsidP="00B47FC7">
      <w:pPr>
        <w:widowControl w:val="0"/>
        <w:rPr>
          <w:rFonts w:eastAsia="Times New Roman" w:cs="Times New Roman"/>
          <w:sz w:val="20"/>
          <w:szCs w:val="20"/>
          <w:lang w:val="en-US" w:eastAsia="en-CA"/>
        </w:rPr>
      </w:pPr>
      <w:r w:rsidRPr="00FA4CDE">
        <w:rPr>
          <w:rFonts w:eastAsia="Times New Roman" w:cs="Times New Roman"/>
          <w:b/>
          <w:sz w:val="20"/>
          <w:szCs w:val="20"/>
          <w:lang w:val="en-US" w:eastAsia="en-CA"/>
        </w:rPr>
        <w:t xml:space="preserve">RESERVED / </w:t>
      </w:r>
      <w:r w:rsidRPr="00FA4CDE">
        <w:rPr>
          <w:rFonts w:eastAsia="Times New Roman" w:cs="Times New Roman"/>
          <w:b/>
          <w:sz w:val="20"/>
          <w:szCs w:val="20"/>
          <w:lang w:val="fr-CA" w:eastAsia="en-CA"/>
        </w:rPr>
        <w:t>EN DÉLIBÉRÉ</w:t>
      </w:r>
      <w:r w:rsidR="001A42A9">
        <w:rPr>
          <w:rFonts w:eastAsia="Times New Roman" w:cs="Times New Roman"/>
          <w:b/>
          <w:sz w:val="20"/>
          <w:szCs w:val="20"/>
          <w:lang w:val="fr-CA" w:eastAsia="en-CA"/>
        </w:rPr>
        <w:t>E</w:t>
      </w:r>
    </w:p>
    <w:p w:rsidR="00B47FC7" w:rsidRPr="00FA4CDE" w:rsidRDefault="00B47FC7" w:rsidP="00B47FC7">
      <w:pPr>
        <w:rPr>
          <w:rFonts w:eastAsia="Times New Roman" w:cs="Times New Roman"/>
          <w:sz w:val="20"/>
          <w:szCs w:val="20"/>
          <w:lang w:val="en-US" w:eastAsia="en-CA"/>
        </w:rPr>
      </w:pPr>
    </w:p>
    <w:tbl>
      <w:tblPr>
        <w:tblW w:w="0" w:type="auto"/>
        <w:tblLayout w:type="fixed"/>
        <w:tblCellMar>
          <w:left w:w="0" w:type="dxa"/>
          <w:right w:w="0" w:type="dxa"/>
        </w:tblCellMar>
        <w:tblLook w:val="0000"/>
      </w:tblPr>
      <w:tblGrid>
        <w:gridCol w:w="4410"/>
        <w:gridCol w:w="720"/>
        <w:gridCol w:w="4350"/>
      </w:tblGrid>
      <w:tr w:rsidR="00B47FC7" w:rsidRPr="00B6040C" w:rsidTr="00B47FC7">
        <w:tc>
          <w:tcPr>
            <w:tcW w:w="4410" w:type="dxa"/>
            <w:tcMar>
              <w:left w:w="0" w:type="dxa"/>
              <w:right w:w="0" w:type="dxa"/>
            </w:tcMar>
          </w:tcPr>
          <w:p w:rsidR="00B47FC7" w:rsidRPr="00FA4CDE" w:rsidRDefault="00B47FC7" w:rsidP="004B2CEB">
            <w:pPr>
              <w:widowControl w:val="0"/>
              <w:jc w:val="both"/>
              <w:rPr>
                <w:rFonts w:eastAsia="Times New Roman" w:cs="Times New Roman"/>
                <w:b/>
                <w:sz w:val="20"/>
                <w:szCs w:val="20"/>
                <w:u w:val="single"/>
                <w:lang w:val="en-US" w:eastAsia="en-CA"/>
              </w:rPr>
            </w:pPr>
            <w:r w:rsidRPr="00FA4CDE">
              <w:rPr>
                <w:rFonts w:eastAsia="Times New Roman" w:cs="Times New Roman"/>
                <w:b/>
                <w:sz w:val="20"/>
                <w:szCs w:val="20"/>
                <w:u w:val="single"/>
                <w:lang w:val="en-US" w:eastAsia="en-CA"/>
              </w:rPr>
              <w:t>Nature of the case:</w:t>
            </w:r>
          </w:p>
          <w:p w:rsidR="00B47FC7" w:rsidRPr="00FA4CDE" w:rsidRDefault="00B47FC7" w:rsidP="004B2CEB">
            <w:pPr>
              <w:widowControl w:val="0"/>
              <w:jc w:val="both"/>
              <w:rPr>
                <w:rFonts w:eastAsia="Times New Roman" w:cs="Times New Roman"/>
                <w:b/>
                <w:sz w:val="20"/>
                <w:szCs w:val="20"/>
                <w:lang w:val="en-US" w:eastAsia="en-CA"/>
              </w:rPr>
            </w:pPr>
          </w:p>
          <w:p w:rsidR="00B47FC7" w:rsidRPr="00FA4CDE" w:rsidRDefault="001A42A9" w:rsidP="004B2CEB">
            <w:pPr>
              <w:widowControl w:val="0"/>
              <w:jc w:val="both"/>
              <w:rPr>
                <w:rFonts w:eastAsia="Times New Roman" w:cs="Times New Roman"/>
                <w:b/>
                <w:sz w:val="20"/>
                <w:szCs w:val="20"/>
                <w:lang w:val="en-US" w:eastAsia="en-CA"/>
              </w:rPr>
            </w:pPr>
            <w:r w:rsidRPr="009E2CE4">
              <w:rPr>
                <w:i/>
                <w:sz w:val="20"/>
                <w:szCs w:val="20"/>
              </w:rPr>
              <w:t xml:space="preserve">Charter of Rights and Freedoms </w:t>
            </w:r>
            <w:r w:rsidRPr="009E2CE4">
              <w:rPr>
                <w:sz w:val="20"/>
                <w:szCs w:val="20"/>
              </w:rPr>
              <w:t xml:space="preserve">– Right to be informed of reasons for arrest – Right to counsel – </w:t>
            </w:r>
            <w:r w:rsidRPr="009E2CE4">
              <w:rPr>
                <w:sz w:val="20"/>
                <w:szCs w:val="20"/>
                <w:lang w:val="en-US"/>
              </w:rPr>
              <w:t xml:space="preserve">Applicant’s </w:t>
            </w:r>
            <w:r w:rsidRPr="009E2CE4">
              <w:rPr>
                <w:sz w:val="20"/>
                <w:szCs w:val="20"/>
              </w:rPr>
              <w:t xml:space="preserve">ss. 10(a) and 10(b) </w:t>
            </w:r>
            <w:r w:rsidRPr="009E2CE4">
              <w:rPr>
                <w:i/>
                <w:sz w:val="20"/>
                <w:szCs w:val="20"/>
              </w:rPr>
              <w:t>Charter</w:t>
            </w:r>
            <w:r w:rsidRPr="009E2CE4">
              <w:rPr>
                <w:sz w:val="20"/>
                <w:szCs w:val="20"/>
              </w:rPr>
              <w:t xml:space="preserve"> rights breached – At trial evidence excluded pursuant to s. 24(2) of the </w:t>
            </w:r>
            <w:r w:rsidRPr="009E2CE4">
              <w:rPr>
                <w:i/>
                <w:sz w:val="20"/>
                <w:szCs w:val="20"/>
              </w:rPr>
              <w:t>Charter</w:t>
            </w:r>
            <w:r w:rsidRPr="009E2CE4">
              <w:rPr>
                <w:sz w:val="20"/>
                <w:szCs w:val="20"/>
              </w:rPr>
              <w:t xml:space="preserve"> – Appeal allowed and new trial ordered – Application of the rule against cross-examining a witness on the veracity of another witness’s testimony – Whether an appellate court has the discretion to raise an issue not raised by the parties, and if so, when and how should that discretion be exercised – Does permitting a Crown witness to comment on the veracity of another witness’s testimony constitute an error of law, and if so, when does this error justify a new trial – Whether there are issues of public importance raised.</w:t>
            </w:r>
          </w:p>
        </w:tc>
        <w:tc>
          <w:tcPr>
            <w:tcW w:w="720" w:type="dxa"/>
            <w:tcMar>
              <w:left w:w="0" w:type="dxa"/>
              <w:right w:w="0" w:type="dxa"/>
            </w:tcMar>
          </w:tcPr>
          <w:p w:rsidR="00B47FC7" w:rsidRPr="00FA4CDE" w:rsidRDefault="00B47FC7" w:rsidP="004B2CEB">
            <w:pPr>
              <w:widowControl w:val="0"/>
              <w:jc w:val="center"/>
              <w:rPr>
                <w:rFonts w:eastAsia="Times New Roman" w:cs="Times New Roman"/>
                <w:sz w:val="20"/>
                <w:szCs w:val="20"/>
                <w:lang w:val="en-US" w:eastAsia="en-CA"/>
              </w:rPr>
            </w:pPr>
          </w:p>
        </w:tc>
        <w:tc>
          <w:tcPr>
            <w:tcW w:w="4350" w:type="dxa"/>
            <w:tcMar>
              <w:left w:w="0" w:type="dxa"/>
              <w:right w:w="0" w:type="dxa"/>
            </w:tcMar>
          </w:tcPr>
          <w:p w:rsidR="00B47FC7" w:rsidRPr="00FA4CDE" w:rsidRDefault="00B47FC7" w:rsidP="004B2CEB">
            <w:pPr>
              <w:widowControl w:val="0"/>
              <w:jc w:val="both"/>
              <w:rPr>
                <w:rFonts w:eastAsia="Times New Roman" w:cs="Times New Roman"/>
                <w:b/>
                <w:sz w:val="20"/>
                <w:szCs w:val="20"/>
                <w:u w:val="single"/>
                <w:lang w:val="fr-CA" w:eastAsia="en-CA"/>
              </w:rPr>
            </w:pPr>
            <w:r w:rsidRPr="00FA4CDE">
              <w:rPr>
                <w:rFonts w:eastAsia="Times New Roman" w:cs="Times New Roman"/>
                <w:b/>
                <w:sz w:val="20"/>
                <w:szCs w:val="20"/>
                <w:u w:val="single"/>
                <w:lang w:val="fr-CA" w:eastAsia="en-CA"/>
              </w:rPr>
              <w:t>Nature de la cause :</w:t>
            </w:r>
          </w:p>
          <w:p w:rsidR="00B47FC7" w:rsidRPr="00FA4CDE" w:rsidRDefault="00B47FC7" w:rsidP="004B2CEB">
            <w:pPr>
              <w:widowControl w:val="0"/>
              <w:jc w:val="both"/>
              <w:rPr>
                <w:rFonts w:eastAsia="Times New Roman" w:cs="Times New Roman"/>
                <w:sz w:val="20"/>
                <w:szCs w:val="20"/>
                <w:lang w:val="fr-CA" w:eastAsia="en-CA"/>
              </w:rPr>
            </w:pPr>
          </w:p>
          <w:p w:rsidR="00B47FC7" w:rsidRPr="00FA4CDE" w:rsidRDefault="001A42A9" w:rsidP="004B2CEB">
            <w:pPr>
              <w:widowControl w:val="0"/>
              <w:jc w:val="both"/>
              <w:rPr>
                <w:rFonts w:eastAsia="Times New Roman" w:cs="Times New Roman"/>
                <w:sz w:val="20"/>
                <w:szCs w:val="20"/>
                <w:lang w:val="fr-CA" w:eastAsia="en-CA"/>
              </w:rPr>
            </w:pPr>
            <w:r w:rsidRPr="00AD6755">
              <w:rPr>
                <w:i/>
                <w:sz w:val="20"/>
                <w:szCs w:val="20"/>
                <w:lang w:val="fr-CA"/>
              </w:rPr>
              <w:t xml:space="preserve">Charte des droits et libertés </w:t>
            </w:r>
            <w:r w:rsidRPr="00AD6755">
              <w:rPr>
                <w:sz w:val="20"/>
                <w:szCs w:val="20"/>
                <w:lang w:val="fr-CA"/>
              </w:rPr>
              <w:t>– Droit d’être informé des motifs de son arrestation – Droit à l’assistance d’un avocat – Contravention aux droits garantis au demandeur par les alinéas 10</w:t>
            </w:r>
            <w:r w:rsidRPr="00AD6755">
              <w:rPr>
                <w:i/>
                <w:sz w:val="20"/>
                <w:szCs w:val="20"/>
                <w:lang w:val="fr-CA"/>
              </w:rPr>
              <w:t>a</w:t>
            </w:r>
            <w:r w:rsidRPr="00AD6755">
              <w:rPr>
                <w:sz w:val="20"/>
                <w:szCs w:val="20"/>
                <w:lang w:val="fr-CA"/>
              </w:rPr>
              <w:t>) et 10</w:t>
            </w:r>
            <w:r w:rsidRPr="00AD6755">
              <w:rPr>
                <w:i/>
                <w:sz w:val="20"/>
                <w:szCs w:val="20"/>
                <w:lang w:val="fr-CA"/>
              </w:rPr>
              <w:t>b</w:t>
            </w:r>
            <w:r w:rsidRPr="00AD6755">
              <w:rPr>
                <w:sz w:val="20"/>
                <w:szCs w:val="20"/>
                <w:lang w:val="fr-CA"/>
              </w:rPr>
              <w:t xml:space="preserve">) de la </w:t>
            </w:r>
            <w:r w:rsidRPr="00AD6755">
              <w:rPr>
                <w:i/>
                <w:sz w:val="20"/>
                <w:szCs w:val="20"/>
                <w:lang w:val="fr-CA"/>
              </w:rPr>
              <w:t>Charte</w:t>
            </w:r>
            <w:r w:rsidRPr="00AD6755">
              <w:rPr>
                <w:sz w:val="20"/>
                <w:szCs w:val="20"/>
                <w:lang w:val="fr-CA"/>
              </w:rPr>
              <w:t xml:space="preserve"> – Preuve écartée au procès en vertu du par. 24(2) de la </w:t>
            </w:r>
            <w:r w:rsidRPr="00AD6755">
              <w:rPr>
                <w:i/>
                <w:sz w:val="20"/>
                <w:szCs w:val="20"/>
                <w:lang w:val="fr-CA"/>
              </w:rPr>
              <w:t xml:space="preserve">Charte </w:t>
            </w:r>
            <w:r w:rsidRPr="00AD6755">
              <w:rPr>
                <w:sz w:val="20"/>
                <w:szCs w:val="20"/>
                <w:lang w:val="fr-CA"/>
              </w:rPr>
              <w:t>– Appel accueilli et tenue d’un nouveau procès ordonnée – Application de la règle interdisant le contre-interrogatoire d’un témoin sur la véracité de la déposition d’un autre témoin – La cour d’appel a-t-elle le pouvoir discrétionnaire de soulever une question qui ne l’a pas été par les parties? Dans l’affirmative, dans quelles circonstances et de quelle manière ce pouvoir doit-il être exercé? – Le fait de permettre à un témoin à charge de commenter la véracité de la déposition d’un autre témoin constitue-t-il une erreur de droit? Dans l’affirmative, à quel point une telle erreur justifie-t-elle la tenue d’un nouveau procès? – Des questions d’importance pour le public sont-elles soulevées?</w:t>
            </w:r>
          </w:p>
        </w:tc>
      </w:tr>
    </w:tbl>
    <w:p w:rsidR="00B47FC7" w:rsidRPr="00FA4CDE" w:rsidRDefault="00B47FC7" w:rsidP="00B47FC7">
      <w:pPr>
        <w:widowControl w:val="0"/>
        <w:rPr>
          <w:rFonts w:eastAsia="Times New Roman" w:cs="Times New Roman"/>
          <w:sz w:val="20"/>
          <w:szCs w:val="20"/>
          <w:lang w:val="fr-CA" w:eastAsia="en-CA"/>
        </w:rPr>
      </w:pPr>
    </w:p>
    <w:p w:rsidR="00FA4CDE" w:rsidRDefault="0028676C" w:rsidP="00B47FC7">
      <w:pPr>
        <w:rPr>
          <w:sz w:val="20"/>
          <w:szCs w:val="20"/>
          <w:lang w:val="fr-CA"/>
        </w:rPr>
      </w:pPr>
      <w:r w:rsidRPr="0028676C">
        <w:rPr>
          <w:rFonts w:eastAsia="Times New Roman" w:cs="Times New Roman"/>
          <w:sz w:val="20"/>
          <w:szCs w:val="20"/>
          <w:lang w:val="fr-CA" w:eastAsia="en-CA"/>
        </w:rPr>
        <w:pict>
          <v:rect id="_x0000_i1042" style="width:2in;height:1pt" o:hrpct="0" o:hralign="center" o:hrstd="t" o:hrnoshade="t" o:hr="t" fillcolor="black [3213]" stroked="f"/>
        </w:pict>
      </w:r>
    </w:p>
    <w:p w:rsidR="00FA4CDE" w:rsidRDefault="00FA4CDE" w:rsidP="00432989">
      <w:pPr>
        <w:rPr>
          <w:sz w:val="20"/>
          <w:szCs w:val="20"/>
          <w:lang w:val="fr-CA"/>
        </w:rPr>
      </w:pPr>
    </w:p>
    <w:p w:rsidR="00432989" w:rsidRPr="00C50A5C" w:rsidRDefault="00432989">
      <w:pPr>
        <w:rPr>
          <w:sz w:val="20"/>
          <w:szCs w:val="20"/>
          <w:lang w:val="fr-CA"/>
        </w:rPr>
      </w:pPr>
    </w:p>
    <w:p w:rsidR="008D292F" w:rsidRPr="00C50A5C" w:rsidRDefault="008D292F" w:rsidP="002E2327">
      <w:pPr>
        <w:widowControl w:val="0"/>
        <w:spacing w:line="0" w:lineRule="atLeast"/>
        <w:rPr>
          <w:sz w:val="20"/>
          <w:szCs w:val="20"/>
          <w:lang w:val="fr-CA"/>
        </w:rPr>
        <w:sectPr w:rsidR="008D292F"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B6040C" w:rsidTr="00ED7E83">
        <w:tc>
          <w:tcPr>
            <w:tcW w:w="4200" w:type="dxa"/>
            <w:tcMar>
              <w:left w:w="0" w:type="dxa"/>
              <w:right w:w="0" w:type="dxa"/>
            </w:tcMar>
          </w:tcPr>
          <w:p w:rsidR="008D292F" w:rsidRPr="001D0D5F" w:rsidRDefault="008D292F" w:rsidP="00ED7E83">
            <w:pPr>
              <w:keepNext/>
              <w:keepLines/>
              <w:jc w:val="both"/>
              <w:rPr>
                <w:b/>
                <w:szCs w:val="24"/>
              </w:rPr>
            </w:pPr>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EA65C4" w:rsidP="008D292F">
      <w:pPr>
        <w:rPr>
          <w:b/>
          <w:sz w:val="20"/>
          <w:szCs w:val="20"/>
        </w:rPr>
      </w:pPr>
      <w:r>
        <w:rPr>
          <w:b/>
          <w:sz w:val="20"/>
          <w:szCs w:val="20"/>
        </w:rPr>
        <w:t>M</w:t>
      </w:r>
      <w:r w:rsidR="008D292F" w:rsidRPr="00C50A5C">
        <w:rPr>
          <w:b/>
          <w:sz w:val="20"/>
          <w:szCs w:val="20"/>
        </w:rPr>
        <w:t>A</w:t>
      </w:r>
      <w:r>
        <w:rPr>
          <w:b/>
          <w:sz w:val="20"/>
          <w:szCs w:val="20"/>
        </w:rPr>
        <w:t>Y</w:t>
      </w:r>
      <w:r w:rsidR="008D292F" w:rsidRPr="00C50A5C">
        <w:rPr>
          <w:b/>
          <w:sz w:val="20"/>
          <w:szCs w:val="20"/>
        </w:rPr>
        <w:t xml:space="preserve"> </w:t>
      </w:r>
      <w:r>
        <w:rPr>
          <w:b/>
          <w:sz w:val="20"/>
          <w:szCs w:val="20"/>
        </w:rPr>
        <w:t>16</w:t>
      </w:r>
      <w:r w:rsidR="008D292F" w:rsidRPr="00C50A5C">
        <w:rPr>
          <w:b/>
          <w:sz w:val="20"/>
          <w:szCs w:val="20"/>
        </w:rPr>
        <w:t>, 201</w:t>
      </w:r>
      <w:r>
        <w:rPr>
          <w:b/>
          <w:sz w:val="20"/>
          <w:szCs w:val="20"/>
        </w:rPr>
        <w:t>3</w:t>
      </w:r>
      <w:r w:rsidR="008D292F" w:rsidRPr="00C50A5C">
        <w:rPr>
          <w:b/>
          <w:sz w:val="20"/>
          <w:szCs w:val="20"/>
        </w:rPr>
        <w:t xml:space="preserve"> / LE </w:t>
      </w:r>
      <w:r>
        <w:rPr>
          <w:b/>
          <w:sz w:val="20"/>
          <w:szCs w:val="20"/>
        </w:rPr>
        <w:t>16</w:t>
      </w:r>
      <w:r w:rsidR="008D292F" w:rsidRPr="00C50A5C">
        <w:rPr>
          <w:b/>
          <w:sz w:val="20"/>
          <w:szCs w:val="20"/>
        </w:rPr>
        <w:t xml:space="preserve"> </w:t>
      </w:r>
      <w:r>
        <w:rPr>
          <w:b/>
          <w:sz w:val="20"/>
          <w:szCs w:val="20"/>
        </w:rPr>
        <w:t>M</w:t>
      </w:r>
      <w:r w:rsidR="008D292F" w:rsidRPr="00C50A5C">
        <w:rPr>
          <w:b/>
          <w:sz w:val="20"/>
          <w:szCs w:val="20"/>
        </w:rPr>
        <w:t>AI 201</w:t>
      </w:r>
      <w:r>
        <w:rPr>
          <w:b/>
          <w:sz w:val="20"/>
          <w:szCs w:val="20"/>
        </w:rPr>
        <w:t>3</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71E7B" w:rsidRPr="001857F0" w:rsidTr="00AA4F37">
        <w:trPr>
          <w:cantSplit/>
        </w:trPr>
        <w:tc>
          <w:tcPr>
            <w:tcW w:w="1458" w:type="dxa"/>
          </w:tcPr>
          <w:p w:rsidR="00771E7B" w:rsidRPr="001857F0" w:rsidRDefault="00771E7B" w:rsidP="00AA4F37">
            <w:pPr>
              <w:rPr>
                <w:sz w:val="20"/>
                <w:szCs w:val="20"/>
              </w:rPr>
            </w:pPr>
            <w:r w:rsidRPr="001857F0">
              <w:rPr>
                <w:rStyle w:val="SCCFileNumberChar"/>
                <w:sz w:val="20"/>
                <w:szCs w:val="20"/>
              </w:rPr>
              <w:t>35067</w:t>
            </w:r>
          </w:p>
          <w:p w:rsidR="00771E7B" w:rsidRPr="001857F0" w:rsidRDefault="00771E7B" w:rsidP="00AA4F37">
            <w:pPr>
              <w:rPr>
                <w:b/>
                <w:sz w:val="20"/>
                <w:szCs w:val="20"/>
                <w:lang w:val="fr-CA"/>
              </w:rPr>
            </w:pPr>
          </w:p>
        </w:tc>
        <w:tc>
          <w:tcPr>
            <w:tcW w:w="8118" w:type="dxa"/>
          </w:tcPr>
          <w:p w:rsidR="00771E7B" w:rsidRPr="001857F0" w:rsidRDefault="00771E7B" w:rsidP="00AA4F37">
            <w:pPr>
              <w:jc w:val="both"/>
              <w:rPr>
                <w:sz w:val="20"/>
                <w:szCs w:val="20"/>
              </w:rPr>
            </w:pPr>
            <w:r w:rsidRPr="00771E7B">
              <w:rPr>
                <w:rStyle w:val="SCCLsocChar"/>
                <w:sz w:val="20"/>
                <w:szCs w:val="20"/>
                <w:lang w:val="en-CA"/>
              </w:rPr>
              <w:t xml:space="preserve">Eli Lilly Canada Inc., Eli Lilly and Company, Eli Lilly and Company Limited and Eli Lilly SA v. </w:t>
            </w:r>
            <w:proofErr w:type="spellStart"/>
            <w:r w:rsidRPr="00771E7B">
              <w:rPr>
                <w:rStyle w:val="SCCLsocChar"/>
                <w:sz w:val="20"/>
                <w:szCs w:val="20"/>
                <w:lang w:val="en-CA"/>
              </w:rPr>
              <w:t>Novopharm</w:t>
            </w:r>
            <w:proofErr w:type="spellEnd"/>
            <w:r w:rsidRPr="00771E7B">
              <w:rPr>
                <w:rStyle w:val="SCCLsocChar"/>
                <w:sz w:val="20"/>
                <w:szCs w:val="20"/>
                <w:lang w:val="en-CA"/>
              </w:rPr>
              <w:t xml:space="preserve"> Limited</w:t>
            </w:r>
            <w:r w:rsidRPr="001857F0">
              <w:rPr>
                <w:sz w:val="20"/>
                <w:szCs w:val="20"/>
              </w:rPr>
              <w:t xml:space="preserve"> (F.C.) (Civil) (By Leave)</w:t>
            </w:r>
          </w:p>
          <w:p w:rsidR="00771E7B" w:rsidRPr="001857F0" w:rsidRDefault="00771E7B" w:rsidP="00AA4F37">
            <w:pPr>
              <w:jc w:val="both"/>
              <w:rPr>
                <w:sz w:val="20"/>
                <w:szCs w:val="20"/>
              </w:rPr>
            </w:pPr>
          </w:p>
        </w:tc>
      </w:tr>
      <w:tr w:rsidR="00771E7B" w:rsidRPr="001857F0" w:rsidTr="00AA4F37">
        <w:trPr>
          <w:cantSplit/>
        </w:trPr>
        <w:tc>
          <w:tcPr>
            <w:tcW w:w="1458" w:type="dxa"/>
          </w:tcPr>
          <w:p w:rsidR="00771E7B" w:rsidRPr="001857F0" w:rsidRDefault="00771E7B" w:rsidP="00AA4F37">
            <w:pPr>
              <w:rPr>
                <w:sz w:val="20"/>
                <w:szCs w:val="20"/>
              </w:rPr>
            </w:pPr>
            <w:r w:rsidRPr="001857F0">
              <w:rPr>
                <w:sz w:val="20"/>
                <w:szCs w:val="20"/>
              </w:rPr>
              <w:t>Coram :</w:t>
            </w:r>
          </w:p>
        </w:tc>
        <w:tc>
          <w:tcPr>
            <w:tcW w:w="8118" w:type="dxa"/>
          </w:tcPr>
          <w:p w:rsidR="00771E7B" w:rsidRPr="001857F0" w:rsidRDefault="00771E7B" w:rsidP="00AA4F37">
            <w:pPr>
              <w:rPr>
                <w:sz w:val="20"/>
                <w:szCs w:val="20"/>
              </w:rPr>
            </w:pPr>
            <w:r w:rsidRPr="00771E7B">
              <w:rPr>
                <w:rStyle w:val="SCCCoramChar"/>
                <w:sz w:val="20"/>
                <w:szCs w:val="20"/>
                <w:lang w:val="en-CA"/>
              </w:rPr>
              <w:t>Rothstein, Cromwell and Moldaver JJ.</w:t>
            </w:r>
          </w:p>
          <w:p w:rsidR="00771E7B" w:rsidRPr="001857F0" w:rsidRDefault="00771E7B" w:rsidP="00AA4F37">
            <w:pPr>
              <w:rPr>
                <w:sz w:val="20"/>
                <w:szCs w:val="20"/>
                <w:u w:val="single"/>
              </w:rPr>
            </w:pPr>
          </w:p>
        </w:tc>
      </w:tr>
      <w:tr w:rsidR="00771E7B" w:rsidRPr="00B6040C" w:rsidTr="00AA4F37">
        <w:trPr>
          <w:cantSplit/>
        </w:trPr>
        <w:tc>
          <w:tcPr>
            <w:tcW w:w="9576" w:type="dxa"/>
            <w:gridSpan w:val="2"/>
          </w:tcPr>
          <w:p w:rsidR="00771E7B" w:rsidRPr="001857F0" w:rsidRDefault="00771E7B" w:rsidP="00AA4F37">
            <w:pPr>
              <w:pStyle w:val="SCCShortJudgment"/>
              <w:rPr>
                <w:szCs w:val="20"/>
              </w:rPr>
            </w:pPr>
            <w:r w:rsidRPr="001857F0">
              <w:rPr>
                <w:szCs w:val="20"/>
              </w:rPr>
              <w:t>After hearing the parties on the application for leave to appeal on May 13, 2013, the application for leave to appeal from the judgment of the Federal Court of Appeal, Number A-473-11, 2012 FCA 232, dated September 10, 2012, is dismissed with costs.</w:t>
            </w:r>
          </w:p>
          <w:p w:rsidR="00771E7B" w:rsidRPr="001857F0" w:rsidRDefault="00771E7B" w:rsidP="00AA4F37">
            <w:pPr>
              <w:pStyle w:val="SCCShortJudgment"/>
              <w:ind w:firstLine="0"/>
              <w:rPr>
                <w:szCs w:val="20"/>
              </w:rPr>
            </w:pPr>
          </w:p>
          <w:p w:rsidR="00771E7B" w:rsidRPr="001857F0" w:rsidRDefault="00771E7B" w:rsidP="00AA4F37">
            <w:pPr>
              <w:pStyle w:val="SCCShortJudgment"/>
              <w:rPr>
                <w:szCs w:val="20"/>
                <w:lang w:val="fr-CA"/>
              </w:rPr>
            </w:pPr>
            <w:r w:rsidRPr="001857F0">
              <w:rPr>
                <w:szCs w:val="20"/>
                <w:lang w:val="fr-CA"/>
              </w:rPr>
              <w:t>Après audition des parties sur la demande d’autorisation d’appel le 13 mai 2013, la demande d’autorisation d’appel de l’arrêt de la Cour d’appel fédérale, numéro A-473-11, 2012 CAF 232, daté du 10 septembre 2012, est rejetée avec dépens.</w:t>
            </w:r>
          </w:p>
        </w:tc>
      </w:tr>
    </w:tbl>
    <w:p w:rsidR="00EA65C4" w:rsidRPr="00771E7B" w:rsidRDefault="00EA65C4" w:rsidP="008D292F">
      <w:pPr>
        <w:rPr>
          <w:sz w:val="20"/>
          <w:szCs w:val="20"/>
          <w:lang w:val="fr-CA"/>
        </w:rPr>
      </w:pPr>
    </w:p>
    <w:p w:rsidR="00EA65C4" w:rsidRPr="001B157C" w:rsidRDefault="00EA65C4" w:rsidP="00EA65C4">
      <w:pPr>
        <w:rPr>
          <w:sz w:val="20"/>
          <w:szCs w:val="20"/>
          <w:u w:val="single"/>
        </w:rPr>
      </w:pPr>
      <w:r w:rsidRPr="001B157C">
        <w:rPr>
          <w:sz w:val="20"/>
          <w:szCs w:val="20"/>
          <w:u w:val="single"/>
        </w:rPr>
        <w:t>CASE SUMMARY</w:t>
      </w:r>
    </w:p>
    <w:p w:rsidR="00EA65C4" w:rsidRDefault="00EA65C4"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F6E1F" w:rsidRPr="0084490B" w:rsidTr="00120F8A">
        <w:tc>
          <w:tcPr>
            <w:tcW w:w="5000" w:type="pct"/>
            <w:gridSpan w:val="3"/>
          </w:tcPr>
          <w:p w:rsidR="003F6E1F" w:rsidRPr="0084490B" w:rsidRDefault="003F6E1F" w:rsidP="00120F8A">
            <w:pPr>
              <w:jc w:val="both"/>
              <w:rPr>
                <w:rFonts w:eastAsia="Calibri"/>
                <w:sz w:val="20"/>
              </w:rPr>
            </w:pPr>
            <w:r w:rsidRPr="0084490B">
              <w:rPr>
                <w:rFonts w:eastAsia="Calibri"/>
                <w:sz w:val="20"/>
              </w:rPr>
              <w:t>Intellectual property – Patents – Medicines – Infringement – Whether the creation by the Federal Court of Appeal of a new non-statutory test for “utility”, the so-called “Promise Doctrine”, is a matter of public importance.</w:t>
            </w:r>
          </w:p>
        </w:tc>
      </w:tr>
      <w:tr w:rsidR="003F6E1F" w:rsidRPr="0084490B" w:rsidTr="00120F8A">
        <w:tc>
          <w:tcPr>
            <w:tcW w:w="5000" w:type="pct"/>
            <w:gridSpan w:val="3"/>
          </w:tcPr>
          <w:p w:rsidR="003F6E1F" w:rsidRPr="0084490B" w:rsidRDefault="003F6E1F" w:rsidP="00120F8A">
            <w:pPr>
              <w:jc w:val="both"/>
              <w:rPr>
                <w:rFonts w:eastAsia="Calibri"/>
                <w:sz w:val="20"/>
              </w:rPr>
            </w:pPr>
          </w:p>
        </w:tc>
      </w:tr>
      <w:tr w:rsidR="003F6E1F" w:rsidRPr="0084490B" w:rsidTr="00120F8A">
        <w:tc>
          <w:tcPr>
            <w:tcW w:w="5000" w:type="pct"/>
            <w:gridSpan w:val="3"/>
          </w:tcPr>
          <w:p w:rsidR="003F6E1F" w:rsidRPr="0084490B" w:rsidRDefault="003F6E1F" w:rsidP="00120F8A">
            <w:pPr>
              <w:jc w:val="both"/>
              <w:rPr>
                <w:rFonts w:eastAsia="Calibri"/>
                <w:sz w:val="20"/>
              </w:rPr>
            </w:pPr>
            <w:r w:rsidRPr="0084490B">
              <w:rPr>
                <w:rFonts w:eastAsia="Calibri"/>
                <w:sz w:val="20"/>
              </w:rPr>
              <w:t xml:space="preserve">In 1991, the Applicants (collectively, “Eli Lilly”) applied for the ‘113 patent for a medicine, </w:t>
            </w:r>
            <w:proofErr w:type="spellStart"/>
            <w:r w:rsidRPr="0084490B">
              <w:rPr>
                <w:rFonts w:eastAsia="Calibri"/>
                <w:sz w:val="20"/>
              </w:rPr>
              <w:t>olanzapine</w:t>
            </w:r>
            <w:proofErr w:type="spellEnd"/>
            <w:r w:rsidRPr="0084490B">
              <w:rPr>
                <w:rFonts w:eastAsia="Calibri"/>
                <w:sz w:val="20"/>
              </w:rPr>
              <w:t xml:space="preserve">, and the patent was granted in 1998.  </w:t>
            </w:r>
            <w:proofErr w:type="spellStart"/>
            <w:r w:rsidRPr="0084490B">
              <w:rPr>
                <w:rFonts w:eastAsia="Calibri"/>
                <w:sz w:val="20"/>
              </w:rPr>
              <w:t>Olanzapine</w:t>
            </w:r>
            <w:proofErr w:type="spellEnd"/>
            <w:r w:rsidRPr="0084490B">
              <w:rPr>
                <w:rFonts w:eastAsia="Calibri"/>
                <w:sz w:val="20"/>
              </w:rPr>
              <w:t xml:space="preserve"> was included in an earlier Eli Lilly genus patent, the ‘687 patent, that covered 15 trillion compounds, all with a similar chemical structure. </w:t>
            </w:r>
            <w:proofErr w:type="spellStart"/>
            <w:r w:rsidRPr="0084490B">
              <w:rPr>
                <w:rFonts w:eastAsia="Calibri"/>
                <w:sz w:val="20"/>
              </w:rPr>
              <w:t>Olanzapine</w:t>
            </w:r>
            <w:proofErr w:type="spellEnd"/>
            <w:r w:rsidRPr="0084490B">
              <w:rPr>
                <w:rFonts w:eastAsia="Calibri"/>
                <w:sz w:val="20"/>
              </w:rPr>
              <w:t xml:space="preserve"> fell within a group of “most preferred compounds” of the ‘687 patent although it was not specifically named.  The ‘687 patent stated that the utility of the compounds was their potential use for treatment of diseases of the central nervous system, including schizophrenia.  </w:t>
            </w:r>
            <w:proofErr w:type="spellStart"/>
            <w:r w:rsidRPr="0084490B">
              <w:rPr>
                <w:rFonts w:eastAsia="Calibri"/>
                <w:sz w:val="20"/>
              </w:rPr>
              <w:t>Novopharm</w:t>
            </w:r>
            <w:proofErr w:type="spellEnd"/>
            <w:r w:rsidRPr="0084490B">
              <w:rPr>
                <w:rFonts w:eastAsia="Calibri"/>
                <w:sz w:val="20"/>
              </w:rPr>
              <w:t xml:space="preserve"> Limited (“</w:t>
            </w:r>
            <w:proofErr w:type="spellStart"/>
            <w:r w:rsidRPr="0084490B">
              <w:rPr>
                <w:rFonts w:eastAsia="Calibri"/>
                <w:sz w:val="20"/>
              </w:rPr>
              <w:t>Novopharm</w:t>
            </w:r>
            <w:proofErr w:type="spellEnd"/>
            <w:r w:rsidRPr="0084490B">
              <w:rPr>
                <w:rFonts w:eastAsia="Calibri"/>
                <w:sz w:val="20"/>
              </w:rPr>
              <w:t xml:space="preserve">”) sought to bring its generic version of </w:t>
            </w:r>
            <w:proofErr w:type="spellStart"/>
            <w:r w:rsidRPr="0084490B">
              <w:rPr>
                <w:rFonts w:eastAsia="Calibri"/>
                <w:sz w:val="20"/>
              </w:rPr>
              <w:t>olanzapine</w:t>
            </w:r>
            <w:proofErr w:type="spellEnd"/>
            <w:r w:rsidRPr="0084490B">
              <w:rPr>
                <w:rFonts w:eastAsia="Calibri"/>
                <w:sz w:val="20"/>
              </w:rPr>
              <w:t xml:space="preserve"> to market.  In 2007, in proceedings under the </w:t>
            </w:r>
            <w:r w:rsidRPr="0084490B">
              <w:rPr>
                <w:rFonts w:eastAsia="Calibri"/>
                <w:i/>
                <w:sz w:val="20"/>
              </w:rPr>
              <w:t>Patented Medicines (Notice of Compliance) Regulations</w:t>
            </w:r>
            <w:r w:rsidRPr="0084490B">
              <w:rPr>
                <w:rFonts w:eastAsia="Calibri"/>
                <w:sz w:val="20"/>
              </w:rPr>
              <w:t xml:space="preserve">, SOR/93-133, the applications judge refused to issue an order prohibiting the Minister from granting </w:t>
            </w:r>
            <w:proofErr w:type="spellStart"/>
            <w:r w:rsidRPr="0084490B">
              <w:rPr>
                <w:rFonts w:eastAsia="Calibri"/>
                <w:sz w:val="20"/>
              </w:rPr>
              <w:t>Novopharm</w:t>
            </w:r>
            <w:proofErr w:type="spellEnd"/>
            <w:r w:rsidRPr="0084490B">
              <w:rPr>
                <w:rFonts w:eastAsia="Calibri"/>
                <w:sz w:val="20"/>
              </w:rPr>
              <w:t xml:space="preserve"> a notice of compliance.  Soon afterward, </w:t>
            </w:r>
            <w:proofErr w:type="spellStart"/>
            <w:r w:rsidRPr="0084490B">
              <w:rPr>
                <w:rFonts w:eastAsia="Calibri"/>
                <w:sz w:val="20"/>
              </w:rPr>
              <w:t>Novopharm</w:t>
            </w:r>
            <w:proofErr w:type="spellEnd"/>
            <w:r w:rsidRPr="0084490B">
              <w:rPr>
                <w:rFonts w:eastAsia="Calibri"/>
                <w:sz w:val="20"/>
              </w:rPr>
              <w:t xml:space="preserve"> obtained a notice of compliance.  Eli Lilly’s appeal was held to be moot and it then commenced an action for patent infringement under the </w:t>
            </w:r>
            <w:r w:rsidRPr="0084490B">
              <w:rPr>
                <w:rFonts w:eastAsia="Calibri"/>
                <w:i/>
                <w:sz w:val="20"/>
              </w:rPr>
              <w:t>Patent Act</w:t>
            </w:r>
            <w:r w:rsidRPr="0084490B">
              <w:rPr>
                <w:rFonts w:eastAsia="Calibri"/>
                <w:sz w:val="20"/>
              </w:rPr>
              <w:t xml:space="preserve">, R.S.C. 1985, </w:t>
            </w:r>
            <w:proofErr w:type="gramStart"/>
            <w:r w:rsidRPr="0084490B">
              <w:rPr>
                <w:rFonts w:eastAsia="Calibri"/>
                <w:sz w:val="20"/>
              </w:rPr>
              <w:t>c</w:t>
            </w:r>
            <w:proofErr w:type="gramEnd"/>
            <w:r w:rsidRPr="0084490B">
              <w:rPr>
                <w:rFonts w:eastAsia="Calibri"/>
                <w:sz w:val="20"/>
              </w:rPr>
              <w:t>. P-4.  The trial judge dismissed the infringement action, finding that the ‘113 patent was an invalid selection patent as it did not represent an invention over and above the compounds of the ‘687 patent.  He further found that it was invalid for non-utility, insufficiency, anticipation and double patenting.  On appeal, the trial judge was held to have erred in his approach to selection patents.  The ‘113 patent was held not to be invalid for anticipation, double patenting or obviousness.  The issues of utility and sufficiency were referred back to the trial judge as the court found the record was inadequate for appellate review.</w:t>
            </w:r>
          </w:p>
          <w:p w:rsidR="003F6E1F" w:rsidRPr="0084490B" w:rsidRDefault="003F6E1F" w:rsidP="00120F8A">
            <w:pPr>
              <w:jc w:val="both"/>
              <w:rPr>
                <w:rFonts w:eastAsia="Calibri"/>
                <w:sz w:val="20"/>
              </w:rPr>
            </w:pPr>
          </w:p>
        </w:tc>
      </w:tr>
      <w:tr w:rsidR="003F6E1F" w:rsidRPr="0084490B" w:rsidTr="00120F8A">
        <w:tc>
          <w:tcPr>
            <w:tcW w:w="2427" w:type="pct"/>
          </w:tcPr>
          <w:p w:rsidR="003F6E1F" w:rsidRPr="0084490B" w:rsidRDefault="003F6E1F" w:rsidP="00120F8A">
            <w:pPr>
              <w:jc w:val="both"/>
              <w:rPr>
                <w:rFonts w:eastAsia="Calibri"/>
                <w:sz w:val="20"/>
              </w:rPr>
            </w:pPr>
            <w:r w:rsidRPr="0084490B">
              <w:rPr>
                <w:rFonts w:eastAsia="Calibri"/>
                <w:sz w:val="20"/>
              </w:rPr>
              <w:t>November 10, 2011</w:t>
            </w:r>
          </w:p>
          <w:p w:rsidR="003F6E1F" w:rsidRPr="0084490B" w:rsidRDefault="003F6E1F" w:rsidP="00120F8A">
            <w:pPr>
              <w:jc w:val="both"/>
              <w:rPr>
                <w:rFonts w:eastAsia="Calibri"/>
                <w:sz w:val="20"/>
              </w:rPr>
            </w:pPr>
            <w:r w:rsidRPr="0084490B">
              <w:rPr>
                <w:rFonts w:eastAsia="Calibri"/>
                <w:sz w:val="20"/>
              </w:rPr>
              <w:t>Federal Court</w:t>
            </w:r>
          </w:p>
          <w:p w:rsidR="003F6E1F" w:rsidRPr="0084490B" w:rsidRDefault="003F6E1F" w:rsidP="00120F8A">
            <w:pPr>
              <w:jc w:val="both"/>
              <w:rPr>
                <w:rFonts w:eastAsia="Calibri"/>
                <w:sz w:val="20"/>
              </w:rPr>
            </w:pPr>
            <w:r w:rsidRPr="0084490B">
              <w:rPr>
                <w:rFonts w:eastAsia="Calibri"/>
                <w:sz w:val="20"/>
              </w:rPr>
              <w:t>(O’Reilly J.)</w:t>
            </w:r>
          </w:p>
          <w:p w:rsidR="003F6E1F" w:rsidRPr="0084490B" w:rsidRDefault="003F6E1F" w:rsidP="00120F8A">
            <w:pPr>
              <w:jc w:val="both"/>
              <w:rPr>
                <w:rFonts w:eastAsia="Calibri"/>
                <w:sz w:val="20"/>
              </w:rPr>
            </w:pPr>
            <w:r w:rsidRPr="0084490B">
              <w:rPr>
                <w:rFonts w:eastAsia="Calibri"/>
                <w:sz w:val="20"/>
              </w:rPr>
              <w:t>2011  FC 1288</w:t>
            </w:r>
          </w:p>
          <w:p w:rsidR="003F6E1F" w:rsidRPr="0084490B" w:rsidRDefault="003F6E1F" w:rsidP="00120F8A">
            <w:pPr>
              <w:jc w:val="both"/>
              <w:rPr>
                <w:rFonts w:eastAsia="Calibri"/>
                <w:sz w:val="20"/>
              </w:rPr>
            </w:pPr>
          </w:p>
        </w:tc>
        <w:tc>
          <w:tcPr>
            <w:tcW w:w="243" w:type="pct"/>
          </w:tcPr>
          <w:p w:rsidR="003F6E1F" w:rsidRPr="0084490B" w:rsidRDefault="003F6E1F" w:rsidP="00120F8A">
            <w:pPr>
              <w:jc w:val="both"/>
              <w:rPr>
                <w:rFonts w:eastAsia="Calibri"/>
                <w:sz w:val="20"/>
              </w:rPr>
            </w:pPr>
          </w:p>
        </w:tc>
        <w:tc>
          <w:tcPr>
            <w:tcW w:w="2330" w:type="pct"/>
          </w:tcPr>
          <w:p w:rsidR="003F6E1F" w:rsidRPr="0084490B" w:rsidRDefault="003F6E1F" w:rsidP="00120F8A">
            <w:pPr>
              <w:jc w:val="both"/>
              <w:rPr>
                <w:rFonts w:eastAsia="Calibri"/>
                <w:sz w:val="20"/>
              </w:rPr>
            </w:pPr>
            <w:r w:rsidRPr="0084490B">
              <w:rPr>
                <w:rFonts w:eastAsia="Calibri"/>
                <w:sz w:val="20"/>
              </w:rPr>
              <w:t>‘113 patent held to be invalid for lack of utility; Eli Lilly’s action dismissed</w:t>
            </w:r>
          </w:p>
        </w:tc>
      </w:tr>
      <w:tr w:rsidR="003F6E1F" w:rsidRPr="0084490B" w:rsidTr="00120F8A">
        <w:tc>
          <w:tcPr>
            <w:tcW w:w="2427" w:type="pct"/>
          </w:tcPr>
          <w:p w:rsidR="003F6E1F" w:rsidRPr="0084490B" w:rsidRDefault="003F6E1F" w:rsidP="00120F8A">
            <w:pPr>
              <w:jc w:val="both"/>
              <w:rPr>
                <w:rFonts w:eastAsia="Calibri"/>
                <w:sz w:val="20"/>
              </w:rPr>
            </w:pPr>
            <w:r w:rsidRPr="0084490B">
              <w:rPr>
                <w:rFonts w:eastAsia="Calibri"/>
                <w:sz w:val="20"/>
              </w:rPr>
              <w:t>September 10, 2012</w:t>
            </w:r>
          </w:p>
          <w:p w:rsidR="003F6E1F" w:rsidRPr="0084490B" w:rsidRDefault="003F6E1F" w:rsidP="00120F8A">
            <w:pPr>
              <w:jc w:val="both"/>
              <w:rPr>
                <w:rFonts w:eastAsia="Calibri"/>
                <w:sz w:val="20"/>
              </w:rPr>
            </w:pPr>
            <w:r w:rsidRPr="0084490B">
              <w:rPr>
                <w:rFonts w:eastAsia="Calibri"/>
                <w:sz w:val="20"/>
              </w:rPr>
              <w:t>Federal Court of Appeal</w:t>
            </w:r>
          </w:p>
          <w:p w:rsidR="003F6E1F" w:rsidRPr="0084490B" w:rsidRDefault="003F6E1F" w:rsidP="00120F8A">
            <w:pPr>
              <w:jc w:val="both"/>
              <w:rPr>
                <w:rFonts w:eastAsia="Calibri"/>
                <w:sz w:val="20"/>
              </w:rPr>
            </w:pPr>
            <w:r w:rsidRPr="0084490B">
              <w:rPr>
                <w:rFonts w:eastAsia="Calibri"/>
                <w:sz w:val="20"/>
              </w:rPr>
              <w:t>(</w:t>
            </w:r>
            <w:proofErr w:type="spellStart"/>
            <w:r w:rsidRPr="0084490B">
              <w:rPr>
                <w:rFonts w:eastAsia="Calibri"/>
                <w:sz w:val="20"/>
              </w:rPr>
              <w:t>Nadon</w:t>
            </w:r>
            <w:proofErr w:type="spellEnd"/>
            <w:r w:rsidRPr="0084490B">
              <w:rPr>
                <w:rFonts w:eastAsia="Calibri"/>
                <w:sz w:val="20"/>
              </w:rPr>
              <w:t xml:space="preserve">, </w:t>
            </w:r>
            <w:proofErr w:type="spellStart"/>
            <w:r w:rsidRPr="0084490B">
              <w:rPr>
                <w:rFonts w:eastAsia="Calibri"/>
                <w:sz w:val="20"/>
              </w:rPr>
              <w:t>Sharlow</w:t>
            </w:r>
            <w:proofErr w:type="spellEnd"/>
            <w:r w:rsidRPr="0084490B">
              <w:rPr>
                <w:rFonts w:eastAsia="Calibri"/>
                <w:sz w:val="20"/>
              </w:rPr>
              <w:t xml:space="preserve"> and </w:t>
            </w:r>
            <w:proofErr w:type="spellStart"/>
            <w:r w:rsidRPr="0084490B">
              <w:rPr>
                <w:rFonts w:eastAsia="Calibri"/>
                <w:sz w:val="20"/>
              </w:rPr>
              <w:t>Trudel</w:t>
            </w:r>
            <w:proofErr w:type="spellEnd"/>
            <w:r w:rsidRPr="0084490B">
              <w:rPr>
                <w:rFonts w:eastAsia="Calibri"/>
                <w:sz w:val="20"/>
              </w:rPr>
              <w:t xml:space="preserve"> JJ.A.)</w:t>
            </w:r>
          </w:p>
          <w:p w:rsidR="003F6E1F" w:rsidRPr="0084490B" w:rsidRDefault="003F6E1F" w:rsidP="00771E7B">
            <w:pPr>
              <w:jc w:val="both"/>
              <w:rPr>
                <w:rFonts w:eastAsia="Calibri"/>
                <w:sz w:val="20"/>
              </w:rPr>
            </w:pPr>
            <w:r w:rsidRPr="0084490B">
              <w:rPr>
                <w:rFonts w:eastAsia="Calibri"/>
                <w:sz w:val="20"/>
              </w:rPr>
              <w:t>2012 FCA 232</w:t>
            </w:r>
          </w:p>
        </w:tc>
        <w:tc>
          <w:tcPr>
            <w:tcW w:w="243" w:type="pct"/>
          </w:tcPr>
          <w:p w:rsidR="003F6E1F" w:rsidRPr="0084490B" w:rsidRDefault="003F6E1F" w:rsidP="00120F8A">
            <w:pPr>
              <w:jc w:val="both"/>
              <w:rPr>
                <w:rFonts w:eastAsia="Calibri"/>
                <w:sz w:val="20"/>
              </w:rPr>
            </w:pPr>
          </w:p>
        </w:tc>
        <w:tc>
          <w:tcPr>
            <w:tcW w:w="2330" w:type="pct"/>
          </w:tcPr>
          <w:p w:rsidR="003F6E1F" w:rsidRPr="0084490B" w:rsidRDefault="003F6E1F" w:rsidP="00120F8A">
            <w:pPr>
              <w:jc w:val="both"/>
              <w:rPr>
                <w:rFonts w:eastAsia="Calibri"/>
                <w:sz w:val="20"/>
              </w:rPr>
            </w:pPr>
            <w:r w:rsidRPr="0084490B">
              <w:rPr>
                <w:rFonts w:eastAsia="Calibri"/>
                <w:sz w:val="20"/>
              </w:rPr>
              <w:t>Appeal dismissed</w:t>
            </w:r>
          </w:p>
          <w:p w:rsidR="003F6E1F" w:rsidRPr="0084490B" w:rsidRDefault="003F6E1F" w:rsidP="00120F8A">
            <w:pPr>
              <w:jc w:val="both"/>
              <w:rPr>
                <w:rFonts w:eastAsia="Calibri"/>
                <w:sz w:val="20"/>
              </w:rPr>
            </w:pPr>
          </w:p>
        </w:tc>
      </w:tr>
    </w:tbl>
    <w:p w:rsidR="00771E7B" w:rsidRDefault="00771E7B"/>
    <w:p w:rsidR="00771E7B" w:rsidRDefault="00771E7B">
      <w:r>
        <w:br w:type="page"/>
      </w:r>
    </w:p>
    <w:tbl>
      <w:tblPr>
        <w:tblW w:w="4952" w:type="pct"/>
        <w:tblLayout w:type="fixed"/>
        <w:tblCellMar>
          <w:left w:w="0" w:type="dxa"/>
          <w:bottom w:w="99" w:type="dxa"/>
          <w:right w:w="0" w:type="dxa"/>
        </w:tblCellMar>
        <w:tblLook w:val="04A0"/>
      </w:tblPr>
      <w:tblGrid>
        <w:gridCol w:w="4624"/>
        <w:gridCol w:w="463"/>
        <w:gridCol w:w="4440"/>
      </w:tblGrid>
      <w:tr w:rsidR="003F6E1F" w:rsidRPr="0084490B" w:rsidTr="00120F8A">
        <w:tc>
          <w:tcPr>
            <w:tcW w:w="2427" w:type="pct"/>
          </w:tcPr>
          <w:p w:rsidR="003F6E1F" w:rsidRPr="0084490B" w:rsidRDefault="003F6E1F" w:rsidP="00120F8A">
            <w:pPr>
              <w:jc w:val="both"/>
              <w:rPr>
                <w:rFonts w:eastAsia="Calibri"/>
                <w:sz w:val="20"/>
              </w:rPr>
            </w:pPr>
            <w:r w:rsidRPr="0084490B">
              <w:rPr>
                <w:rFonts w:eastAsia="Calibri"/>
                <w:sz w:val="20"/>
              </w:rPr>
              <w:t>November 8, 2012</w:t>
            </w:r>
          </w:p>
          <w:p w:rsidR="003F6E1F" w:rsidRPr="0084490B" w:rsidRDefault="003F6E1F" w:rsidP="00120F8A">
            <w:pPr>
              <w:jc w:val="both"/>
              <w:rPr>
                <w:rFonts w:eastAsia="Calibri"/>
                <w:sz w:val="20"/>
              </w:rPr>
            </w:pPr>
            <w:r w:rsidRPr="0084490B">
              <w:rPr>
                <w:rFonts w:eastAsia="Calibri"/>
                <w:sz w:val="20"/>
              </w:rPr>
              <w:t>Supreme Court of Canada</w:t>
            </w:r>
          </w:p>
        </w:tc>
        <w:tc>
          <w:tcPr>
            <w:tcW w:w="243" w:type="pct"/>
          </w:tcPr>
          <w:p w:rsidR="003F6E1F" w:rsidRPr="0084490B" w:rsidRDefault="003F6E1F" w:rsidP="00120F8A">
            <w:pPr>
              <w:jc w:val="both"/>
              <w:rPr>
                <w:rFonts w:eastAsia="Calibri"/>
                <w:sz w:val="20"/>
              </w:rPr>
            </w:pPr>
          </w:p>
        </w:tc>
        <w:tc>
          <w:tcPr>
            <w:tcW w:w="2330" w:type="pct"/>
          </w:tcPr>
          <w:p w:rsidR="003F6E1F" w:rsidRPr="0084490B" w:rsidRDefault="003F6E1F" w:rsidP="00120F8A">
            <w:pPr>
              <w:jc w:val="both"/>
              <w:rPr>
                <w:rFonts w:eastAsia="Calibri"/>
                <w:sz w:val="20"/>
              </w:rPr>
            </w:pPr>
            <w:r w:rsidRPr="0084490B">
              <w:rPr>
                <w:rFonts w:eastAsia="Calibri"/>
                <w:sz w:val="20"/>
              </w:rPr>
              <w:t>Application for leave to appeal filed</w:t>
            </w:r>
          </w:p>
          <w:p w:rsidR="003F6E1F" w:rsidRPr="0084490B" w:rsidRDefault="003F6E1F" w:rsidP="00120F8A">
            <w:pPr>
              <w:jc w:val="both"/>
              <w:rPr>
                <w:rFonts w:eastAsia="Calibri"/>
                <w:sz w:val="20"/>
              </w:rPr>
            </w:pPr>
          </w:p>
        </w:tc>
      </w:tr>
    </w:tbl>
    <w:p w:rsidR="00EA65C4" w:rsidRDefault="00EA65C4" w:rsidP="008D292F">
      <w:pPr>
        <w:rPr>
          <w:sz w:val="20"/>
          <w:szCs w:val="20"/>
        </w:rPr>
      </w:pPr>
    </w:p>
    <w:p w:rsidR="00EA65C4" w:rsidRPr="00C50A5C" w:rsidRDefault="0028676C" w:rsidP="00EA65C4">
      <w:pPr>
        <w:rPr>
          <w:sz w:val="20"/>
          <w:szCs w:val="20"/>
        </w:rPr>
      </w:pPr>
      <w:r w:rsidRPr="0028676C">
        <w:rPr>
          <w:sz w:val="20"/>
          <w:szCs w:val="20"/>
          <w:lang w:val="fr-CA"/>
        </w:rPr>
        <w:pict>
          <v:rect id="_x0000_i1045" style="width:2in;height:1pt" o:hrpct="0" o:hralign="center" o:hrstd="t" o:hrnoshade="t" o:hr="t" fillcolor="black [3213]" stroked="f"/>
        </w:pict>
      </w:r>
    </w:p>
    <w:p w:rsidR="00EA65C4" w:rsidRDefault="00EA65C4" w:rsidP="00EA65C4">
      <w:pPr>
        <w:rPr>
          <w:sz w:val="20"/>
          <w:szCs w:val="20"/>
        </w:rPr>
      </w:pPr>
    </w:p>
    <w:p w:rsidR="00EA65C4" w:rsidRPr="001B157C" w:rsidRDefault="00EA65C4" w:rsidP="00EA65C4">
      <w:pPr>
        <w:rPr>
          <w:sz w:val="20"/>
          <w:szCs w:val="20"/>
          <w:u w:val="single"/>
          <w:lang w:val="fr-CA"/>
        </w:rPr>
      </w:pPr>
      <w:r w:rsidRPr="001B157C">
        <w:rPr>
          <w:sz w:val="20"/>
          <w:szCs w:val="20"/>
          <w:u w:val="single"/>
          <w:lang w:val="fr-CA"/>
        </w:rPr>
        <w:t>RÉSUMÉ DE L’AFFAIRE</w:t>
      </w:r>
    </w:p>
    <w:p w:rsidR="00EA65C4" w:rsidRDefault="00EA65C4"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F6E1F" w:rsidRPr="00B6040C" w:rsidTr="00120F8A">
        <w:tc>
          <w:tcPr>
            <w:tcW w:w="5000" w:type="pct"/>
            <w:gridSpan w:val="3"/>
          </w:tcPr>
          <w:p w:rsidR="003F6E1F" w:rsidRPr="0084490B" w:rsidRDefault="003F6E1F" w:rsidP="00120F8A">
            <w:pPr>
              <w:jc w:val="both"/>
              <w:rPr>
                <w:sz w:val="20"/>
                <w:lang w:val="fr-FR"/>
              </w:rPr>
            </w:pPr>
            <w:r w:rsidRPr="0084490B">
              <w:rPr>
                <w:sz w:val="20"/>
                <w:lang w:val="fr-FR"/>
              </w:rPr>
              <w:t xml:space="preserve">Propriété intellectuelle – Brevets – Médicaments – Contrefaçon – La formulation par la Cour d’appel fédérale d’un nouveau critère d’« utilité » non prévu par la loi, que l’on appelle la « doctrine de la promesse », est-elle une question d’importance pour le public? </w:t>
            </w:r>
          </w:p>
        </w:tc>
      </w:tr>
      <w:tr w:rsidR="003F6E1F" w:rsidRPr="00B6040C" w:rsidTr="00120F8A">
        <w:tc>
          <w:tcPr>
            <w:tcW w:w="5000" w:type="pct"/>
            <w:gridSpan w:val="3"/>
          </w:tcPr>
          <w:p w:rsidR="003F6E1F" w:rsidRPr="0084490B" w:rsidRDefault="003F6E1F" w:rsidP="00120F8A">
            <w:pPr>
              <w:jc w:val="both"/>
              <w:rPr>
                <w:sz w:val="20"/>
                <w:lang w:val="fr-FR"/>
              </w:rPr>
            </w:pPr>
          </w:p>
        </w:tc>
      </w:tr>
      <w:tr w:rsidR="003F6E1F" w:rsidRPr="00B6040C" w:rsidTr="00120F8A">
        <w:tc>
          <w:tcPr>
            <w:tcW w:w="5000" w:type="pct"/>
            <w:gridSpan w:val="3"/>
          </w:tcPr>
          <w:p w:rsidR="003F6E1F" w:rsidRPr="0084490B" w:rsidRDefault="003F6E1F" w:rsidP="00120F8A">
            <w:pPr>
              <w:jc w:val="both"/>
              <w:rPr>
                <w:sz w:val="20"/>
                <w:lang w:val="fr-FR"/>
              </w:rPr>
            </w:pPr>
            <w:r w:rsidRPr="0084490B">
              <w:rPr>
                <w:sz w:val="20"/>
                <w:lang w:val="fr-FR"/>
              </w:rPr>
              <w:t xml:space="preserve">En 1991, les </w:t>
            </w:r>
            <w:proofErr w:type="spellStart"/>
            <w:r w:rsidRPr="0084490B">
              <w:rPr>
                <w:sz w:val="20"/>
                <w:lang w:val="fr-FR"/>
              </w:rPr>
              <w:t>demanderesses</w:t>
            </w:r>
            <w:proofErr w:type="spellEnd"/>
            <w:r w:rsidRPr="0084490B">
              <w:rPr>
                <w:sz w:val="20"/>
                <w:lang w:val="fr-FR"/>
              </w:rPr>
              <w:t xml:space="preserve"> (appelées collectivement « Eli Lilly ») ont présenté une demande en vue d’obtenir le brevet 113 pour un médicament, l’</w:t>
            </w:r>
            <w:proofErr w:type="spellStart"/>
            <w:r w:rsidRPr="0084490B">
              <w:rPr>
                <w:sz w:val="20"/>
                <w:lang w:val="fr-FR"/>
              </w:rPr>
              <w:t>olanzapine</w:t>
            </w:r>
            <w:proofErr w:type="spellEnd"/>
            <w:r w:rsidRPr="0084490B">
              <w:rPr>
                <w:sz w:val="20"/>
                <w:lang w:val="fr-FR"/>
              </w:rPr>
              <w:t>, et ce brevet leur a été accordé en 1998.  L’</w:t>
            </w:r>
            <w:proofErr w:type="spellStart"/>
            <w:r w:rsidRPr="0084490B">
              <w:rPr>
                <w:sz w:val="20"/>
                <w:lang w:val="fr-FR"/>
              </w:rPr>
              <w:t>olanzapine</w:t>
            </w:r>
            <w:proofErr w:type="spellEnd"/>
            <w:r w:rsidRPr="0084490B">
              <w:rPr>
                <w:sz w:val="20"/>
                <w:lang w:val="fr-FR"/>
              </w:rPr>
              <w:t xml:space="preserve"> faisait l’objet d’un brevet de genre antérieur d’Eli Lilly, le brevet 687, qui englobait 15 billions de composés ayant tous une structure chimique similaire.  L’</w:t>
            </w:r>
            <w:proofErr w:type="spellStart"/>
            <w:r w:rsidRPr="0084490B">
              <w:rPr>
                <w:sz w:val="20"/>
                <w:lang w:val="fr-FR"/>
              </w:rPr>
              <w:t>olanzapine</w:t>
            </w:r>
            <w:proofErr w:type="spellEnd"/>
            <w:r w:rsidRPr="0084490B">
              <w:rPr>
                <w:sz w:val="20"/>
                <w:lang w:val="fr-FR"/>
              </w:rPr>
              <w:t xml:space="preserve"> figurait parmi les « composés les plus préférentiels » du brevet 687, bien qu’elle  ne fut pas mentionnée expressément.  Selon ce brevet, l’utilité des composés tient à la possibilité de s’en servir pour traiter des maladies du système nerveux central, y compris la schizophrénie.  </w:t>
            </w:r>
            <w:proofErr w:type="spellStart"/>
            <w:r w:rsidRPr="0084490B">
              <w:rPr>
                <w:sz w:val="20"/>
                <w:lang w:val="fr-FR"/>
              </w:rPr>
              <w:t>Novopharm</w:t>
            </w:r>
            <w:proofErr w:type="spellEnd"/>
            <w:r w:rsidRPr="0084490B">
              <w:rPr>
                <w:sz w:val="20"/>
                <w:lang w:val="fr-FR"/>
              </w:rPr>
              <w:t xml:space="preserve"> Limited (« </w:t>
            </w:r>
            <w:proofErr w:type="spellStart"/>
            <w:r w:rsidRPr="0084490B">
              <w:rPr>
                <w:sz w:val="20"/>
                <w:lang w:val="fr-FR"/>
              </w:rPr>
              <w:t>Novopharm</w:t>
            </w:r>
            <w:proofErr w:type="spellEnd"/>
            <w:r w:rsidRPr="0084490B">
              <w:rPr>
                <w:sz w:val="20"/>
                <w:lang w:val="fr-FR"/>
              </w:rPr>
              <w:t> ») a cherché à mettre en marché sa version générique de l’</w:t>
            </w:r>
            <w:proofErr w:type="spellStart"/>
            <w:r w:rsidRPr="0084490B">
              <w:rPr>
                <w:sz w:val="20"/>
                <w:lang w:val="fr-FR"/>
              </w:rPr>
              <w:t>olanzapine</w:t>
            </w:r>
            <w:proofErr w:type="spellEnd"/>
            <w:r w:rsidRPr="0084490B">
              <w:rPr>
                <w:sz w:val="20"/>
                <w:lang w:val="fr-FR"/>
              </w:rPr>
              <w:t xml:space="preserve">.  En 2007, dans une procédure intentée en vertu du </w:t>
            </w:r>
            <w:r w:rsidRPr="0084490B">
              <w:rPr>
                <w:i/>
                <w:sz w:val="20"/>
                <w:lang w:val="fr-FR"/>
              </w:rPr>
              <w:t>Règlement sur les</w:t>
            </w:r>
            <w:r w:rsidRPr="0084490B">
              <w:rPr>
                <w:sz w:val="20"/>
                <w:lang w:val="fr-FR"/>
              </w:rPr>
              <w:t xml:space="preserve"> </w:t>
            </w:r>
            <w:r w:rsidRPr="0084490B">
              <w:rPr>
                <w:i/>
                <w:sz w:val="20"/>
                <w:lang w:val="fr-FR"/>
              </w:rPr>
              <w:t>médicaments brevetés (avis de conformité)</w:t>
            </w:r>
            <w:r w:rsidRPr="0084490B">
              <w:rPr>
                <w:sz w:val="20"/>
                <w:lang w:val="fr-FR"/>
              </w:rPr>
              <w:t xml:space="preserve">, DORS/93-133, le juge des requêtes a refusé de rendre une ordonnance interdisant au ministre d’accorder un avis de conformité à </w:t>
            </w:r>
            <w:proofErr w:type="spellStart"/>
            <w:r w:rsidRPr="0084490B">
              <w:rPr>
                <w:sz w:val="20"/>
                <w:lang w:val="fr-FR"/>
              </w:rPr>
              <w:t>Novopharm</w:t>
            </w:r>
            <w:proofErr w:type="spellEnd"/>
            <w:r w:rsidRPr="0084490B">
              <w:rPr>
                <w:sz w:val="20"/>
                <w:lang w:val="fr-FR"/>
              </w:rPr>
              <w:t xml:space="preserve">.  Cette dernière a obtenu un avis de ce genre peu de temps après.  L’appel d’Eli Lilly a été jugé caduc, et elle a alors intenté une action en contrefaçon de brevet en vertu de la </w:t>
            </w:r>
            <w:r w:rsidRPr="0084490B">
              <w:rPr>
                <w:i/>
                <w:sz w:val="20"/>
                <w:lang w:val="fr-FR"/>
              </w:rPr>
              <w:t>Loi sur les</w:t>
            </w:r>
            <w:r w:rsidRPr="0084490B">
              <w:rPr>
                <w:sz w:val="20"/>
                <w:lang w:val="fr-FR"/>
              </w:rPr>
              <w:t xml:space="preserve"> </w:t>
            </w:r>
            <w:r w:rsidRPr="0084490B">
              <w:rPr>
                <w:i/>
                <w:sz w:val="20"/>
                <w:lang w:val="fr-FR"/>
              </w:rPr>
              <w:t>brevets</w:t>
            </w:r>
            <w:r w:rsidRPr="0084490B">
              <w:rPr>
                <w:sz w:val="20"/>
                <w:lang w:val="fr-FR"/>
              </w:rPr>
              <w:t>, L.R.C. 1985, ch. </w:t>
            </w:r>
            <w:r w:rsidRPr="0084490B">
              <w:rPr>
                <w:sz w:val="20"/>
                <w:lang w:val="fr-CA"/>
              </w:rPr>
              <w:t xml:space="preserve">P-4.  </w:t>
            </w:r>
            <w:r w:rsidRPr="0084490B">
              <w:rPr>
                <w:sz w:val="20"/>
                <w:lang w:val="fr-FR"/>
              </w:rPr>
              <w:t>Le juge du procès a rejeté l’action en contrefaçon, concluant que le brevet 113 était un brevet de sélection invalide, car il ne décrivait pas une invention allant au-delà des composés visés par le brevet 687.  Il a aussi conclu à l’invalidité du brevet 113 pour absence d’utilité, insuffisance, antériorité et double protection.  En appel, il a été jugé que le juge du procès avait commis une erreur dans sa façon d’aborder les brevets de sélection.  Le brevet 113 n’a pas été jugé invalide pour cause d’antériorité, de double protection ou d’évidence.  Estimant que le dossier était insuffisant pour faire l’objet d’un contrôle en appel, la Cour d’appel a renvoyé les questions d’utilité et de suffisance au juge du procès.</w:t>
            </w:r>
          </w:p>
          <w:p w:rsidR="003F6E1F" w:rsidRPr="0084490B" w:rsidRDefault="003F6E1F" w:rsidP="00120F8A">
            <w:pPr>
              <w:jc w:val="both"/>
              <w:rPr>
                <w:sz w:val="20"/>
                <w:lang w:val="fr-FR"/>
              </w:rPr>
            </w:pPr>
          </w:p>
        </w:tc>
      </w:tr>
      <w:tr w:rsidR="003F6E1F" w:rsidRPr="00B6040C" w:rsidTr="00120F8A">
        <w:tc>
          <w:tcPr>
            <w:tcW w:w="2427" w:type="pct"/>
          </w:tcPr>
          <w:p w:rsidR="003F6E1F" w:rsidRPr="0084490B" w:rsidRDefault="003F6E1F" w:rsidP="00120F8A">
            <w:pPr>
              <w:jc w:val="both"/>
              <w:rPr>
                <w:sz w:val="20"/>
                <w:lang w:val="fr-FR"/>
              </w:rPr>
            </w:pPr>
            <w:r w:rsidRPr="0084490B">
              <w:rPr>
                <w:sz w:val="20"/>
                <w:lang w:val="fr-FR"/>
              </w:rPr>
              <w:t>10 novembre 2011</w:t>
            </w:r>
          </w:p>
          <w:p w:rsidR="003F6E1F" w:rsidRPr="0084490B" w:rsidRDefault="003F6E1F" w:rsidP="00120F8A">
            <w:pPr>
              <w:jc w:val="both"/>
              <w:rPr>
                <w:sz w:val="20"/>
                <w:lang w:val="fr-FR"/>
              </w:rPr>
            </w:pPr>
            <w:r w:rsidRPr="0084490B">
              <w:rPr>
                <w:sz w:val="20"/>
                <w:lang w:val="fr-FR"/>
              </w:rPr>
              <w:t>Cour fédérale</w:t>
            </w:r>
          </w:p>
          <w:p w:rsidR="003F6E1F" w:rsidRPr="0084490B" w:rsidRDefault="003F6E1F" w:rsidP="00120F8A">
            <w:pPr>
              <w:jc w:val="both"/>
              <w:rPr>
                <w:sz w:val="20"/>
                <w:lang w:val="fr-FR"/>
              </w:rPr>
            </w:pPr>
            <w:r w:rsidRPr="0084490B">
              <w:rPr>
                <w:sz w:val="20"/>
                <w:lang w:val="fr-FR"/>
              </w:rPr>
              <w:t xml:space="preserve">(Juge </w:t>
            </w:r>
            <w:proofErr w:type="spellStart"/>
            <w:r w:rsidRPr="0084490B">
              <w:rPr>
                <w:sz w:val="20"/>
                <w:lang w:val="fr-FR"/>
              </w:rPr>
              <w:t>O’Reilly</w:t>
            </w:r>
            <w:proofErr w:type="spellEnd"/>
            <w:r w:rsidRPr="0084490B">
              <w:rPr>
                <w:sz w:val="20"/>
                <w:lang w:val="fr-FR"/>
              </w:rPr>
              <w:t>)</w:t>
            </w:r>
          </w:p>
          <w:p w:rsidR="003F6E1F" w:rsidRPr="0084490B" w:rsidRDefault="003F6E1F" w:rsidP="00120F8A">
            <w:pPr>
              <w:jc w:val="both"/>
              <w:rPr>
                <w:sz w:val="20"/>
                <w:lang w:val="fr-FR"/>
              </w:rPr>
            </w:pPr>
            <w:r w:rsidRPr="0084490B">
              <w:rPr>
                <w:sz w:val="20"/>
                <w:lang w:val="fr-FR"/>
              </w:rPr>
              <w:t>2011  CF 1288</w:t>
            </w:r>
          </w:p>
          <w:p w:rsidR="003F6E1F" w:rsidRPr="0084490B" w:rsidRDefault="003F6E1F" w:rsidP="00120F8A">
            <w:pPr>
              <w:jc w:val="both"/>
              <w:rPr>
                <w:sz w:val="20"/>
                <w:lang w:val="fr-FR"/>
              </w:rPr>
            </w:pPr>
          </w:p>
        </w:tc>
        <w:tc>
          <w:tcPr>
            <w:tcW w:w="243" w:type="pct"/>
          </w:tcPr>
          <w:p w:rsidR="003F6E1F" w:rsidRPr="0084490B" w:rsidRDefault="003F6E1F" w:rsidP="00120F8A">
            <w:pPr>
              <w:rPr>
                <w:sz w:val="20"/>
                <w:lang w:val="fr-FR"/>
              </w:rPr>
            </w:pPr>
          </w:p>
        </w:tc>
        <w:tc>
          <w:tcPr>
            <w:tcW w:w="2330" w:type="pct"/>
          </w:tcPr>
          <w:p w:rsidR="003F6E1F" w:rsidRPr="0084490B" w:rsidRDefault="003F6E1F" w:rsidP="00120F8A">
            <w:pPr>
              <w:jc w:val="both"/>
              <w:rPr>
                <w:sz w:val="20"/>
                <w:lang w:val="fr-FR"/>
              </w:rPr>
            </w:pPr>
            <w:r w:rsidRPr="0084490B">
              <w:rPr>
                <w:sz w:val="20"/>
                <w:lang w:val="fr-FR"/>
              </w:rPr>
              <w:t>Brevet 113 jugé invalide pour absence d’utilité; action d’Eli Lilly rejetée</w:t>
            </w:r>
          </w:p>
        </w:tc>
      </w:tr>
      <w:tr w:rsidR="003F6E1F" w:rsidRPr="0084490B" w:rsidTr="00120F8A">
        <w:tc>
          <w:tcPr>
            <w:tcW w:w="2427" w:type="pct"/>
          </w:tcPr>
          <w:p w:rsidR="003F6E1F" w:rsidRPr="0084490B" w:rsidRDefault="003F6E1F" w:rsidP="00120F8A">
            <w:pPr>
              <w:jc w:val="both"/>
              <w:rPr>
                <w:sz w:val="20"/>
                <w:lang w:val="fr-CA"/>
              </w:rPr>
            </w:pPr>
            <w:r w:rsidRPr="0084490B">
              <w:rPr>
                <w:sz w:val="20"/>
                <w:lang w:val="fr-CA"/>
              </w:rPr>
              <w:t>10 septembre 2012</w:t>
            </w:r>
          </w:p>
          <w:p w:rsidR="003F6E1F" w:rsidRPr="0084490B" w:rsidRDefault="003F6E1F" w:rsidP="00120F8A">
            <w:pPr>
              <w:jc w:val="both"/>
              <w:rPr>
                <w:sz w:val="20"/>
                <w:lang w:val="fr-CA"/>
              </w:rPr>
            </w:pPr>
            <w:r w:rsidRPr="0084490B">
              <w:rPr>
                <w:sz w:val="20"/>
                <w:lang w:val="fr-CA"/>
              </w:rPr>
              <w:t>Cour d’appel fédérale</w:t>
            </w:r>
          </w:p>
          <w:p w:rsidR="003F6E1F" w:rsidRPr="0084490B" w:rsidRDefault="003F6E1F" w:rsidP="00120F8A">
            <w:pPr>
              <w:jc w:val="both"/>
              <w:rPr>
                <w:sz w:val="20"/>
                <w:lang w:val="fr-CA"/>
              </w:rPr>
            </w:pPr>
            <w:r w:rsidRPr="0084490B">
              <w:rPr>
                <w:sz w:val="20"/>
                <w:lang w:val="fr-CA"/>
              </w:rPr>
              <w:t xml:space="preserve">(Juges Nadon, </w:t>
            </w:r>
            <w:proofErr w:type="spellStart"/>
            <w:r w:rsidRPr="0084490B">
              <w:rPr>
                <w:sz w:val="20"/>
                <w:lang w:val="fr-CA"/>
              </w:rPr>
              <w:t>Sharlow</w:t>
            </w:r>
            <w:proofErr w:type="spellEnd"/>
            <w:r w:rsidRPr="0084490B">
              <w:rPr>
                <w:sz w:val="20"/>
                <w:lang w:val="fr-CA"/>
              </w:rPr>
              <w:t xml:space="preserve"> et Trudel)</w:t>
            </w:r>
          </w:p>
          <w:p w:rsidR="003F6E1F" w:rsidRPr="0084490B" w:rsidRDefault="003F6E1F" w:rsidP="00120F8A">
            <w:pPr>
              <w:jc w:val="both"/>
              <w:rPr>
                <w:sz w:val="20"/>
              </w:rPr>
            </w:pPr>
            <w:r w:rsidRPr="0084490B">
              <w:rPr>
                <w:sz w:val="20"/>
              </w:rPr>
              <w:t>2012 CAF 232</w:t>
            </w:r>
          </w:p>
          <w:p w:rsidR="003F6E1F" w:rsidRPr="0084490B" w:rsidRDefault="003F6E1F" w:rsidP="00120F8A">
            <w:pPr>
              <w:jc w:val="both"/>
              <w:rPr>
                <w:sz w:val="20"/>
              </w:rPr>
            </w:pPr>
          </w:p>
        </w:tc>
        <w:tc>
          <w:tcPr>
            <w:tcW w:w="243" w:type="pct"/>
          </w:tcPr>
          <w:p w:rsidR="003F6E1F" w:rsidRPr="0084490B" w:rsidRDefault="003F6E1F" w:rsidP="00120F8A">
            <w:pPr>
              <w:rPr>
                <w:sz w:val="20"/>
              </w:rPr>
            </w:pPr>
          </w:p>
        </w:tc>
        <w:tc>
          <w:tcPr>
            <w:tcW w:w="2330" w:type="pct"/>
          </w:tcPr>
          <w:p w:rsidR="003F6E1F" w:rsidRPr="0084490B" w:rsidRDefault="003F6E1F" w:rsidP="00120F8A">
            <w:pPr>
              <w:jc w:val="both"/>
              <w:rPr>
                <w:sz w:val="20"/>
              </w:rPr>
            </w:pPr>
            <w:proofErr w:type="spellStart"/>
            <w:r w:rsidRPr="0084490B">
              <w:rPr>
                <w:sz w:val="20"/>
              </w:rPr>
              <w:t>Appel</w:t>
            </w:r>
            <w:proofErr w:type="spellEnd"/>
            <w:r w:rsidRPr="0084490B">
              <w:rPr>
                <w:sz w:val="20"/>
              </w:rPr>
              <w:t xml:space="preserve"> </w:t>
            </w:r>
            <w:proofErr w:type="spellStart"/>
            <w:r w:rsidRPr="0084490B">
              <w:rPr>
                <w:sz w:val="20"/>
              </w:rPr>
              <w:t>rejeté</w:t>
            </w:r>
            <w:proofErr w:type="spellEnd"/>
          </w:p>
          <w:p w:rsidR="003F6E1F" w:rsidRPr="0084490B" w:rsidRDefault="003F6E1F" w:rsidP="00120F8A">
            <w:pPr>
              <w:jc w:val="both"/>
              <w:rPr>
                <w:sz w:val="20"/>
              </w:rPr>
            </w:pPr>
          </w:p>
        </w:tc>
      </w:tr>
      <w:tr w:rsidR="003F6E1F" w:rsidRPr="0084490B" w:rsidTr="00120F8A">
        <w:tc>
          <w:tcPr>
            <w:tcW w:w="2427" w:type="pct"/>
          </w:tcPr>
          <w:p w:rsidR="003F6E1F" w:rsidRPr="003F6E1F" w:rsidRDefault="003F6E1F" w:rsidP="00120F8A">
            <w:pPr>
              <w:jc w:val="both"/>
              <w:rPr>
                <w:sz w:val="20"/>
                <w:lang w:val="fr-CA"/>
              </w:rPr>
            </w:pPr>
            <w:r w:rsidRPr="003F6E1F">
              <w:rPr>
                <w:sz w:val="20"/>
                <w:lang w:val="fr-CA"/>
              </w:rPr>
              <w:t>8 novembre 2012</w:t>
            </w:r>
          </w:p>
          <w:p w:rsidR="003F6E1F" w:rsidRPr="003F6E1F" w:rsidRDefault="003F6E1F" w:rsidP="00120F8A">
            <w:pPr>
              <w:jc w:val="both"/>
              <w:rPr>
                <w:sz w:val="20"/>
                <w:lang w:val="fr-CA"/>
              </w:rPr>
            </w:pPr>
            <w:r w:rsidRPr="003F6E1F">
              <w:rPr>
                <w:sz w:val="20"/>
                <w:lang w:val="fr-CA"/>
              </w:rPr>
              <w:t>Cour suprême du Canada</w:t>
            </w:r>
          </w:p>
        </w:tc>
        <w:tc>
          <w:tcPr>
            <w:tcW w:w="243" w:type="pct"/>
          </w:tcPr>
          <w:p w:rsidR="003F6E1F" w:rsidRPr="003F6E1F" w:rsidRDefault="003F6E1F" w:rsidP="00120F8A">
            <w:pPr>
              <w:rPr>
                <w:sz w:val="20"/>
                <w:lang w:val="fr-CA"/>
              </w:rPr>
            </w:pPr>
          </w:p>
        </w:tc>
        <w:tc>
          <w:tcPr>
            <w:tcW w:w="2330" w:type="pct"/>
          </w:tcPr>
          <w:p w:rsidR="003F6E1F" w:rsidRPr="0084490B" w:rsidRDefault="003F6E1F" w:rsidP="00120F8A">
            <w:pPr>
              <w:jc w:val="both"/>
              <w:rPr>
                <w:sz w:val="20"/>
              </w:rPr>
            </w:pPr>
            <w:proofErr w:type="spellStart"/>
            <w:r w:rsidRPr="0084490B">
              <w:rPr>
                <w:sz w:val="20"/>
              </w:rPr>
              <w:t>Demande</w:t>
            </w:r>
            <w:proofErr w:type="spellEnd"/>
            <w:r w:rsidRPr="0084490B">
              <w:rPr>
                <w:sz w:val="20"/>
              </w:rPr>
              <w:t xml:space="preserve"> </w:t>
            </w:r>
            <w:proofErr w:type="spellStart"/>
            <w:r w:rsidRPr="0084490B">
              <w:rPr>
                <w:sz w:val="20"/>
              </w:rPr>
              <w:t>d’autorisation</w:t>
            </w:r>
            <w:proofErr w:type="spellEnd"/>
            <w:r w:rsidRPr="0084490B">
              <w:rPr>
                <w:sz w:val="20"/>
              </w:rPr>
              <w:t xml:space="preserve"> </w:t>
            </w:r>
            <w:proofErr w:type="spellStart"/>
            <w:r w:rsidRPr="0084490B">
              <w:rPr>
                <w:sz w:val="20"/>
              </w:rPr>
              <w:t>d’appel</w:t>
            </w:r>
            <w:proofErr w:type="spellEnd"/>
            <w:r w:rsidRPr="0084490B">
              <w:rPr>
                <w:sz w:val="20"/>
              </w:rPr>
              <w:t xml:space="preserve"> </w:t>
            </w:r>
            <w:proofErr w:type="spellStart"/>
            <w:r w:rsidRPr="0084490B">
              <w:rPr>
                <w:sz w:val="20"/>
              </w:rPr>
              <w:t>déposée</w:t>
            </w:r>
            <w:proofErr w:type="spellEnd"/>
          </w:p>
          <w:p w:rsidR="003F6E1F" w:rsidRPr="0084490B" w:rsidRDefault="003F6E1F" w:rsidP="00120F8A">
            <w:pPr>
              <w:jc w:val="both"/>
              <w:rPr>
                <w:sz w:val="20"/>
              </w:rPr>
            </w:pPr>
          </w:p>
        </w:tc>
      </w:tr>
    </w:tbl>
    <w:p w:rsidR="00EA65C4" w:rsidRDefault="00EA65C4" w:rsidP="008D292F">
      <w:pPr>
        <w:rPr>
          <w:sz w:val="20"/>
          <w:szCs w:val="20"/>
        </w:rPr>
      </w:pPr>
    </w:p>
    <w:p w:rsidR="00EA65C4" w:rsidRDefault="0028676C" w:rsidP="008D292F">
      <w:pPr>
        <w:rPr>
          <w:sz w:val="20"/>
          <w:szCs w:val="20"/>
        </w:rPr>
      </w:pPr>
      <w:r w:rsidRPr="0028676C">
        <w:rPr>
          <w:sz w:val="20"/>
          <w:szCs w:val="20"/>
          <w:lang w:val="fr-CA"/>
        </w:rPr>
        <w:pict>
          <v:rect id="_x0000_i1046" style="width:2in;height:1pt" o:hrpct="0" o:hralign="center" o:hrstd="t" o:hrnoshade="t" o:hr="t" fillcolor="black [3213]" stroked="f"/>
        </w:pict>
      </w:r>
    </w:p>
    <w:p w:rsidR="00EA65C4" w:rsidRDefault="00EA65C4"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71E7B" w:rsidRPr="001857F0" w:rsidTr="00AA4F37">
        <w:trPr>
          <w:cantSplit/>
        </w:trPr>
        <w:tc>
          <w:tcPr>
            <w:tcW w:w="1458" w:type="dxa"/>
          </w:tcPr>
          <w:p w:rsidR="00771E7B" w:rsidRPr="001857F0" w:rsidRDefault="00771E7B" w:rsidP="00AA4F37">
            <w:pPr>
              <w:rPr>
                <w:sz w:val="20"/>
                <w:szCs w:val="20"/>
              </w:rPr>
            </w:pPr>
            <w:r w:rsidRPr="001857F0">
              <w:rPr>
                <w:rStyle w:val="SCCFileNumberChar"/>
                <w:sz w:val="20"/>
                <w:szCs w:val="20"/>
              </w:rPr>
              <w:t>35132</w:t>
            </w:r>
          </w:p>
          <w:p w:rsidR="00771E7B" w:rsidRPr="001857F0" w:rsidRDefault="00771E7B" w:rsidP="00AA4F37">
            <w:pPr>
              <w:rPr>
                <w:b/>
                <w:sz w:val="20"/>
                <w:szCs w:val="20"/>
                <w:lang w:val="fr-CA"/>
              </w:rPr>
            </w:pPr>
          </w:p>
        </w:tc>
        <w:tc>
          <w:tcPr>
            <w:tcW w:w="8118" w:type="dxa"/>
          </w:tcPr>
          <w:p w:rsidR="00771E7B" w:rsidRPr="001857F0" w:rsidRDefault="00771E7B" w:rsidP="00AA4F37">
            <w:pPr>
              <w:rPr>
                <w:sz w:val="20"/>
                <w:szCs w:val="20"/>
              </w:rPr>
            </w:pPr>
            <w:r w:rsidRPr="00771E7B">
              <w:rPr>
                <w:rStyle w:val="SCCLsocChar"/>
                <w:sz w:val="20"/>
                <w:szCs w:val="20"/>
                <w:lang w:val="en-CA"/>
              </w:rPr>
              <w:t xml:space="preserve">Mohammad Hassan </w:t>
            </w:r>
            <w:proofErr w:type="spellStart"/>
            <w:r w:rsidRPr="00771E7B">
              <w:rPr>
                <w:rStyle w:val="SCCLsocChar"/>
                <w:sz w:val="20"/>
                <w:szCs w:val="20"/>
                <w:lang w:val="en-CA"/>
              </w:rPr>
              <w:t>Mian</w:t>
            </w:r>
            <w:proofErr w:type="spellEnd"/>
            <w:r w:rsidRPr="00771E7B">
              <w:rPr>
                <w:rStyle w:val="SCCLsocChar"/>
                <w:sz w:val="20"/>
                <w:szCs w:val="20"/>
                <w:lang w:val="en-CA"/>
              </w:rPr>
              <w:t xml:space="preserve"> v. Her Majesty the Queen</w:t>
            </w:r>
            <w:r w:rsidRPr="001857F0">
              <w:rPr>
                <w:sz w:val="20"/>
                <w:szCs w:val="20"/>
              </w:rPr>
              <w:t xml:space="preserve"> (Alta.) (Criminal) (By Leave)</w:t>
            </w:r>
          </w:p>
          <w:p w:rsidR="00771E7B" w:rsidRPr="001857F0" w:rsidRDefault="00771E7B" w:rsidP="00AA4F37">
            <w:pPr>
              <w:rPr>
                <w:sz w:val="20"/>
                <w:szCs w:val="20"/>
              </w:rPr>
            </w:pPr>
          </w:p>
        </w:tc>
      </w:tr>
      <w:tr w:rsidR="00771E7B" w:rsidRPr="001857F0" w:rsidTr="00AA4F37">
        <w:trPr>
          <w:cantSplit/>
        </w:trPr>
        <w:tc>
          <w:tcPr>
            <w:tcW w:w="1458" w:type="dxa"/>
          </w:tcPr>
          <w:p w:rsidR="00771E7B" w:rsidRPr="001857F0" w:rsidRDefault="00771E7B" w:rsidP="00AA4F37">
            <w:pPr>
              <w:rPr>
                <w:sz w:val="20"/>
                <w:szCs w:val="20"/>
              </w:rPr>
            </w:pPr>
            <w:r w:rsidRPr="001857F0">
              <w:rPr>
                <w:sz w:val="20"/>
                <w:szCs w:val="20"/>
              </w:rPr>
              <w:t>Coram :</w:t>
            </w:r>
          </w:p>
        </w:tc>
        <w:tc>
          <w:tcPr>
            <w:tcW w:w="8118" w:type="dxa"/>
          </w:tcPr>
          <w:p w:rsidR="00771E7B" w:rsidRPr="001857F0" w:rsidRDefault="00771E7B" w:rsidP="00AA4F37">
            <w:pPr>
              <w:rPr>
                <w:sz w:val="20"/>
                <w:szCs w:val="20"/>
              </w:rPr>
            </w:pPr>
            <w:r w:rsidRPr="00771E7B">
              <w:rPr>
                <w:rStyle w:val="SCCCoramChar"/>
                <w:sz w:val="20"/>
                <w:szCs w:val="20"/>
                <w:lang w:val="en-CA"/>
              </w:rPr>
              <w:t xml:space="preserve">McLachlin C.J. and </w:t>
            </w:r>
            <w:proofErr w:type="spellStart"/>
            <w:r w:rsidRPr="00771E7B">
              <w:rPr>
                <w:rStyle w:val="SCCCoramChar"/>
                <w:sz w:val="20"/>
                <w:szCs w:val="20"/>
                <w:lang w:val="en-CA"/>
              </w:rPr>
              <w:t>Abella</w:t>
            </w:r>
            <w:proofErr w:type="spellEnd"/>
            <w:r w:rsidRPr="00771E7B">
              <w:rPr>
                <w:rStyle w:val="SCCCoramChar"/>
                <w:sz w:val="20"/>
                <w:szCs w:val="20"/>
                <w:lang w:val="en-CA"/>
              </w:rPr>
              <w:t xml:space="preserve"> and Cromwell JJ.</w:t>
            </w:r>
          </w:p>
          <w:p w:rsidR="00771E7B" w:rsidRPr="001857F0" w:rsidRDefault="00771E7B" w:rsidP="00AA4F37">
            <w:pPr>
              <w:rPr>
                <w:sz w:val="20"/>
                <w:szCs w:val="20"/>
                <w:u w:val="single"/>
              </w:rPr>
            </w:pPr>
          </w:p>
        </w:tc>
      </w:tr>
      <w:tr w:rsidR="00771E7B" w:rsidRPr="00B6040C" w:rsidTr="00AA4F37">
        <w:trPr>
          <w:cantSplit/>
        </w:trPr>
        <w:tc>
          <w:tcPr>
            <w:tcW w:w="9576" w:type="dxa"/>
            <w:gridSpan w:val="2"/>
          </w:tcPr>
          <w:p w:rsidR="00771E7B" w:rsidRPr="001857F0" w:rsidRDefault="00771E7B" w:rsidP="00AA4F37">
            <w:pPr>
              <w:pStyle w:val="SCCShortJudgment"/>
              <w:rPr>
                <w:szCs w:val="20"/>
              </w:rPr>
            </w:pPr>
            <w:r w:rsidRPr="001857F0">
              <w:rPr>
                <w:szCs w:val="20"/>
              </w:rPr>
              <w:t>After hearing the parties on the application for leave to appeal on May 13, 2013, the application for leave to appeal from the judgment of the Court of Appeal of Alberta (Edmonton), Number 1103-0137-A, 2012 ABCA 302, dated October 18, 2012, is granted without costs.</w:t>
            </w:r>
          </w:p>
          <w:p w:rsidR="00771E7B" w:rsidRPr="001857F0" w:rsidRDefault="00771E7B" w:rsidP="00AA4F37">
            <w:pPr>
              <w:pStyle w:val="SCCShortJudgment"/>
              <w:ind w:firstLine="0"/>
              <w:rPr>
                <w:szCs w:val="20"/>
              </w:rPr>
            </w:pPr>
          </w:p>
          <w:p w:rsidR="00771E7B" w:rsidRPr="001857F0" w:rsidRDefault="00771E7B" w:rsidP="00AA4F37">
            <w:pPr>
              <w:pStyle w:val="SCCShortJudgment"/>
              <w:rPr>
                <w:szCs w:val="20"/>
                <w:lang w:val="fr-CA"/>
              </w:rPr>
            </w:pPr>
            <w:r w:rsidRPr="001857F0">
              <w:rPr>
                <w:szCs w:val="20"/>
                <w:lang w:val="fr-CA"/>
              </w:rPr>
              <w:t>Après audition des parties sur la demande d’autorisation d’appel le 13 mai 2013, la demande d’autorisation d’appel de l’arrêt de la Cour d'appel de l’Alberta (Edmonton), numéro 1103-0137-A, 2012 ABCA 302, daté du 18 octobre 2012, est accueillie sans dépens.</w:t>
            </w:r>
          </w:p>
        </w:tc>
      </w:tr>
    </w:tbl>
    <w:p w:rsidR="00EA65C4" w:rsidRPr="00771E7B" w:rsidRDefault="00EA65C4" w:rsidP="00EA65C4">
      <w:pPr>
        <w:rPr>
          <w:sz w:val="20"/>
          <w:szCs w:val="20"/>
          <w:lang w:val="fr-CA"/>
        </w:rPr>
      </w:pPr>
    </w:p>
    <w:p w:rsidR="00EA65C4" w:rsidRPr="001B157C" w:rsidRDefault="00EA65C4" w:rsidP="00EA65C4">
      <w:pPr>
        <w:rPr>
          <w:sz w:val="20"/>
          <w:szCs w:val="20"/>
          <w:u w:val="single"/>
        </w:rPr>
      </w:pPr>
      <w:r w:rsidRPr="001B157C">
        <w:rPr>
          <w:sz w:val="20"/>
          <w:szCs w:val="20"/>
          <w:u w:val="single"/>
        </w:rPr>
        <w:t>CASE SUMMARY</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F6E1F" w:rsidRPr="0084490B" w:rsidTr="00120F8A">
        <w:tc>
          <w:tcPr>
            <w:tcW w:w="5000" w:type="pct"/>
            <w:gridSpan w:val="3"/>
          </w:tcPr>
          <w:p w:rsidR="003F6E1F" w:rsidRPr="0084490B" w:rsidRDefault="003F6E1F" w:rsidP="00120F8A">
            <w:pPr>
              <w:jc w:val="both"/>
              <w:rPr>
                <w:rFonts w:eastAsia="Calibri"/>
                <w:sz w:val="20"/>
              </w:rPr>
            </w:pPr>
            <w:r w:rsidRPr="0084490B">
              <w:rPr>
                <w:rFonts w:eastAsia="Calibri"/>
                <w:i/>
                <w:sz w:val="20"/>
              </w:rPr>
              <w:t xml:space="preserve">Charter of Rights and Freedoms </w:t>
            </w:r>
            <w:r w:rsidRPr="0084490B">
              <w:rPr>
                <w:rFonts w:eastAsia="Calibri"/>
                <w:sz w:val="20"/>
              </w:rPr>
              <w:t xml:space="preserve">– Right to be informed of reasons for arrest – Right to counsel – Applicant’s ss. 10(a) and 10(b) </w:t>
            </w:r>
            <w:r w:rsidRPr="0084490B">
              <w:rPr>
                <w:rFonts w:eastAsia="Calibri"/>
                <w:i/>
                <w:sz w:val="20"/>
              </w:rPr>
              <w:t>Charter</w:t>
            </w:r>
            <w:r w:rsidRPr="0084490B">
              <w:rPr>
                <w:rFonts w:eastAsia="Calibri"/>
                <w:sz w:val="20"/>
              </w:rPr>
              <w:t xml:space="preserve"> rights breached – At trial evidence excluded pursuant to s. 24(2) of the </w:t>
            </w:r>
            <w:r w:rsidRPr="0084490B">
              <w:rPr>
                <w:rFonts w:eastAsia="Calibri"/>
                <w:i/>
                <w:sz w:val="20"/>
              </w:rPr>
              <w:t>Charter</w:t>
            </w:r>
            <w:r w:rsidRPr="0084490B">
              <w:rPr>
                <w:rFonts w:eastAsia="Calibri"/>
                <w:sz w:val="20"/>
              </w:rPr>
              <w:t xml:space="preserve"> – Appeal allowed and new trial ordered – Application of the rule against cross-examining a witness on the veracity of another witness’s testimony – Whether an appellate court has the discretion to raise an issue not raised by the parties, and if so, when and how should that discretion be exercised – Does permitting a Crown witness to comment on the veracity of another witness’s testimony constitute an error of law, and if so, when does this error justify a new trial – Whether there are issues of public importance raised.</w:t>
            </w:r>
          </w:p>
        </w:tc>
      </w:tr>
      <w:tr w:rsidR="003F6E1F" w:rsidRPr="0084490B" w:rsidTr="00120F8A">
        <w:tc>
          <w:tcPr>
            <w:tcW w:w="5000" w:type="pct"/>
            <w:gridSpan w:val="3"/>
          </w:tcPr>
          <w:p w:rsidR="003F6E1F" w:rsidRPr="0084490B" w:rsidRDefault="003F6E1F" w:rsidP="00120F8A">
            <w:pPr>
              <w:jc w:val="both"/>
              <w:rPr>
                <w:rFonts w:eastAsia="Calibri"/>
                <w:sz w:val="20"/>
              </w:rPr>
            </w:pPr>
          </w:p>
        </w:tc>
      </w:tr>
      <w:tr w:rsidR="003F6E1F" w:rsidRPr="0084490B" w:rsidTr="00120F8A">
        <w:tc>
          <w:tcPr>
            <w:tcW w:w="5000" w:type="pct"/>
            <w:gridSpan w:val="3"/>
          </w:tcPr>
          <w:p w:rsidR="003F6E1F" w:rsidRPr="0084490B" w:rsidRDefault="003F6E1F" w:rsidP="00120F8A">
            <w:pPr>
              <w:jc w:val="both"/>
              <w:rPr>
                <w:rFonts w:eastAsia="Calibri"/>
                <w:sz w:val="20"/>
              </w:rPr>
            </w:pPr>
            <w:r w:rsidRPr="0084490B">
              <w:rPr>
                <w:rFonts w:eastAsia="Calibri"/>
                <w:sz w:val="20"/>
              </w:rPr>
              <w:t xml:space="preserve">The applicant was charged with possession of cocaine for the purposes of trafficking and possession of currency obtained by the commission of an offence.  The trial judge found the applicant’s ss. 10(a) and 10(b) </w:t>
            </w:r>
            <w:r w:rsidRPr="0084490B">
              <w:rPr>
                <w:rFonts w:eastAsia="Calibri"/>
                <w:i/>
                <w:sz w:val="20"/>
              </w:rPr>
              <w:t>Charter</w:t>
            </w:r>
            <w:r w:rsidRPr="0084490B">
              <w:rPr>
                <w:rFonts w:eastAsia="Calibri"/>
                <w:sz w:val="20"/>
              </w:rPr>
              <w:t xml:space="preserve"> rights had been breached.  The trial judge excluded the evidence pursuant to s. 24(2) of the </w:t>
            </w:r>
            <w:r w:rsidRPr="0084490B">
              <w:rPr>
                <w:rFonts w:eastAsia="Calibri"/>
                <w:i/>
                <w:sz w:val="20"/>
              </w:rPr>
              <w:t>Charter</w:t>
            </w:r>
            <w:r w:rsidRPr="0084490B">
              <w:rPr>
                <w:rFonts w:eastAsia="Calibri"/>
                <w:sz w:val="20"/>
              </w:rPr>
              <w:t>.  The applicant was acquitted at trial.  The Court of Appeal held that the trial judge erred in law by admitting and considering irrelevant and inadmissible evidence.  The appeal was allowed and a new trial was ordered.</w:t>
            </w:r>
          </w:p>
          <w:p w:rsidR="003F6E1F" w:rsidRPr="0084490B" w:rsidRDefault="003F6E1F" w:rsidP="00120F8A">
            <w:pPr>
              <w:jc w:val="both"/>
              <w:rPr>
                <w:rFonts w:eastAsia="Calibri"/>
                <w:sz w:val="20"/>
              </w:rPr>
            </w:pPr>
          </w:p>
        </w:tc>
      </w:tr>
      <w:tr w:rsidR="003F6E1F" w:rsidRPr="0084490B" w:rsidTr="00120F8A">
        <w:tc>
          <w:tcPr>
            <w:tcW w:w="2427" w:type="pct"/>
          </w:tcPr>
          <w:p w:rsidR="003F6E1F" w:rsidRPr="0084490B" w:rsidRDefault="003F6E1F" w:rsidP="00120F8A">
            <w:pPr>
              <w:jc w:val="both"/>
              <w:rPr>
                <w:rFonts w:eastAsia="Calibri"/>
                <w:sz w:val="20"/>
              </w:rPr>
            </w:pPr>
            <w:r w:rsidRPr="0084490B">
              <w:rPr>
                <w:rFonts w:eastAsia="Calibri"/>
                <w:sz w:val="20"/>
              </w:rPr>
              <w:t>April 29, 2011</w:t>
            </w:r>
          </w:p>
          <w:p w:rsidR="003F6E1F" w:rsidRPr="0084490B" w:rsidRDefault="003F6E1F" w:rsidP="00120F8A">
            <w:pPr>
              <w:jc w:val="both"/>
              <w:rPr>
                <w:rFonts w:eastAsia="Calibri"/>
                <w:sz w:val="20"/>
              </w:rPr>
            </w:pPr>
            <w:r w:rsidRPr="0084490B">
              <w:rPr>
                <w:rFonts w:eastAsia="Calibri"/>
                <w:sz w:val="20"/>
              </w:rPr>
              <w:t>Court of Queen’s Bench of Alberta</w:t>
            </w:r>
          </w:p>
          <w:p w:rsidR="003F6E1F" w:rsidRPr="0084490B" w:rsidRDefault="003F6E1F" w:rsidP="00120F8A">
            <w:pPr>
              <w:jc w:val="both"/>
              <w:rPr>
                <w:rFonts w:eastAsia="Calibri"/>
                <w:sz w:val="20"/>
              </w:rPr>
            </w:pPr>
            <w:r w:rsidRPr="0084490B">
              <w:rPr>
                <w:rFonts w:eastAsia="Calibri"/>
                <w:sz w:val="20"/>
              </w:rPr>
              <w:t>(Macklin J.)</w:t>
            </w:r>
          </w:p>
          <w:p w:rsidR="003F6E1F" w:rsidRPr="0084490B" w:rsidRDefault="003F6E1F" w:rsidP="00120F8A">
            <w:pPr>
              <w:jc w:val="both"/>
              <w:rPr>
                <w:rFonts w:eastAsia="Calibri"/>
                <w:sz w:val="20"/>
              </w:rPr>
            </w:pPr>
            <w:r w:rsidRPr="0084490B">
              <w:rPr>
                <w:rFonts w:eastAsia="Calibri"/>
                <w:sz w:val="20"/>
              </w:rPr>
              <w:t>2011 ABQB 290</w:t>
            </w:r>
          </w:p>
          <w:p w:rsidR="003F6E1F" w:rsidRPr="0084490B" w:rsidRDefault="003F6E1F" w:rsidP="00120F8A">
            <w:pPr>
              <w:jc w:val="both"/>
              <w:rPr>
                <w:rFonts w:eastAsia="Calibri"/>
                <w:sz w:val="20"/>
              </w:rPr>
            </w:pPr>
          </w:p>
        </w:tc>
        <w:tc>
          <w:tcPr>
            <w:tcW w:w="243" w:type="pct"/>
          </w:tcPr>
          <w:p w:rsidR="003F6E1F" w:rsidRPr="0084490B" w:rsidRDefault="003F6E1F" w:rsidP="00120F8A">
            <w:pPr>
              <w:jc w:val="both"/>
              <w:rPr>
                <w:rFonts w:eastAsia="Calibri"/>
                <w:sz w:val="20"/>
              </w:rPr>
            </w:pPr>
          </w:p>
        </w:tc>
        <w:tc>
          <w:tcPr>
            <w:tcW w:w="2330" w:type="pct"/>
          </w:tcPr>
          <w:p w:rsidR="003F6E1F" w:rsidRPr="0084490B" w:rsidRDefault="003F6E1F" w:rsidP="00120F8A">
            <w:pPr>
              <w:jc w:val="both"/>
              <w:rPr>
                <w:rFonts w:eastAsia="Calibri"/>
                <w:sz w:val="20"/>
              </w:rPr>
            </w:pPr>
            <w:proofErr w:type="spellStart"/>
            <w:r w:rsidRPr="0084490B">
              <w:rPr>
                <w:rFonts w:eastAsia="Calibri"/>
                <w:i/>
                <w:sz w:val="20"/>
              </w:rPr>
              <w:t>Voir</w:t>
            </w:r>
            <w:proofErr w:type="spellEnd"/>
            <w:r w:rsidRPr="0084490B">
              <w:rPr>
                <w:rFonts w:eastAsia="Calibri"/>
                <w:i/>
                <w:sz w:val="20"/>
              </w:rPr>
              <w:t xml:space="preserve"> dire</w:t>
            </w:r>
            <w:r w:rsidRPr="0084490B">
              <w:rPr>
                <w:rFonts w:eastAsia="Calibri"/>
                <w:sz w:val="20"/>
              </w:rPr>
              <w:t xml:space="preserve"> ruling: applicant’s ss. 10(a) and 10(b) </w:t>
            </w:r>
            <w:r w:rsidRPr="0084490B">
              <w:rPr>
                <w:rFonts w:eastAsia="Calibri"/>
                <w:i/>
                <w:sz w:val="20"/>
              </w:rPr>
              <w:t>Charter</w:t>
            </w:r>
            <w:r w:rsidRPr="0084490B">
              <w:rPr>
                <w:rFonts w:eastAsia="Calibri"/>
                <w:sz w:val="20"/>
              </w:rPr>
              <w:t xml:space="preserve"> rights breached; evidence excluded pursuant to s. 24(2); acquittals entered</w:t>
            </w:r>
          </w:p>
          <w:p w:rsidR="003F6E1F" w:rsidRPr="0084490B" w:rsidRDefault="003F6E1F" w:rsidP="00120F8A">
            <w:pPr>
              <w:jc w:val="both"/>
              <w:rPr>
                <w:rFonts w:eastAsia="Calibri"/>
                <w:sz w:val="20"/>
              </w:rPr>
            </w:pPr>
          </w:p>
        </w:tc>
      </w:tr>
      <w:tr w:rsidR="003F6E1F" w:rsidRPr="0084490B" w:rsidTr="00120F8A">
        <w:tc>
          <w:tcPr>
            <w:tcW w:w="2427" w:type="pct"/>
          </w:tcPr>
          <w:p w:rsidR="003F6E1F" w:rsidRPr="0084490B" w:rsidRDefault="003F6E1F" w:rsidP="00120F8A">
            <w:pPr>
              <w:jc w:val="both"/>
              <w:rPr>
                <w:rFonts w:eastAsia="Calibri"/>
                <w:sz w:val="20"/>
              </w:rPr>
            </w:pPr>
            <w:r w:rsidRPr="0084490B">
              <w:rPr>
                <w:rFonts w:eastAsia="Calibri"/>
                <w:sz w:val="20"/>
              </w:rPr>
              <w:t>October 18, 2012</w:t>
            </w:r>
          </w:p>
          <w:p w:rsidR="003F6E1F" w:rsidRPr="0084490B" w:rsidRDefault="003F6E1F" w:rsidP="00120F8A">
            <w:pPr>
              <w:jc w:val="both"/>
              <w:rPr>
                <w:rFonts w:eastAsia="Calibri"/>
                <w:sz w:val="20"/>
              </w:rPr>
            </w:pPr>
            <w:r w:rsidRPr="0084490B">
              <w:rPr>
                <w:rFonts w:eastAsia="Calibri"/>
                <w:sz w:val="20"/>
              </w:rPr>
              <w:t>Court of Appeal of Alberta (Edmonton)</w:t>
            </w:r>
          </w:p>
          <w:p w:rsidR="003F6E1F" w:rsidRPr="0084490B" w:rsidRDefault="003F6E1F" w:rsidP="00120F8A">
            <w:pPr>
              <w:jc w:val="both"/>
              <w:rPr>
                <w:rFonts w:eastAsia="Calibri"/>
                <w:sz w:val="20"/>
                <w:lang w:val="fr-CA"/>
              </w:rPr>
            </w:pPr>
            <w:r w:rsidRPr="0084490B">
              <w:rPr>
                <w:rFonts w:eastAsia="Calibri"/>
                <w:sz w:val="20"/>
                <w:lang w:val="fr-CA"/>
              </w:rPr>
              <w:t xml:space="preserve">(Côté, O'Brien, </w:t>
            </w:r>
            <w:proofErr w:type="spellStart"/>
            <w:r w:rsidRPr="0084490B">
              <w:rPr>
                <w:rFonts w:eastAsia="Calibri"/>
                <w:sz w:val="20"/>
                <w:lang w:val="fr-CA"/>
              </w:rPr>
              <w:t>Belzil</w:t>
            </w:r>
            <w:proofErr w:type="spellEnd"/>
            <w:r w:rsidRPr="0084490B">
              <w:rPr>
                <w:rFonts w:eastAsia="Calibri"/>
                <w:sz w:val="20"/>
                <w:lang w:val="fr-CA"/>
              </w:rPr>
              <w:t xml:space="preserve"> JJ.A.)</w:t>
            </w:r>
          </w:p>
          <w:p w:rsidR="003F6E1F" w:rsidRPr="0084490B" w:rsidRDefault="003F6E1F" w:rsidP="00120F8A">
            <w:pPr>
              <w:jc w:val="both"/>
              <w:rPr>
                <w:rFonts w:eastAsia="Calibri"/>
                <w:sz w:val="20"/>
              </w:rPr>
            </w:pPr>
            <w:r w:rsidRPr="0084490B">
              <w:rPr>
                <w:rFonts w:eastAsia="Calibri"/>
                <w:sz w:val="20"/>
              </w:rPr>
              <w:t>2012 ABCA 302</w:t>
            </w:r>
          </w:p>
          <w:p w:rsidR="003F6E1F" w:rsidRPr="0084490B" w:rsidRDefault="003F6E1F" w:rsidP="00120F8A">
            <w:pPr>
              <w:jc w:val="both"/>
              <w:rPr>
                <w:rFonts w:eastAsia="Calibri"/>
                <w:sz w:val="20"/>
              </w:rPr>
            </w:pPr>
          </w:p>
        </w:tc>
        <w:tc>
          <w:tcPr>
            <w:tcW w:w="243" w:type="pct"/>
          </w:tcPr>
          <w:p w:rsidR="003F6E1F" w:rsidRPr="0084490B" w:rsidRDefault="003F6E1F" w:rsidP="00120F8A">
            <w:pPr>
              <w:jc w:val="both"/>
              <w:rPr>
                <w:rFonts w:eastAsia="Calibri"/>
                <w:sz w:val="20"/>
              </w:rPr>
            </w:pPr>
          </w:p>
        </w:tc>
        <w:tc>
          <w:tcPr>
            <w:tcW w:w="2330" w:type="pct"/>
          </w:tcPr>
          <w:p w:rsidR="003F6E1F" w:rsidRPr="0084490B" w:rsidRDefault="003F6E1F" w:rsidP="00120F8A">
            <w:pPr>
              <w:jc w:val="both"/>
              <w:rPr>
                <w:rFonts w:eastAsia="Calibri"/>
                <w:sz w:val="20"/>
              </w:rPr>
            </w:pPr>
            <w:r w:rsidRPr="0084490B">
              <w:rPr>
                <w:rFonts w:eastAsia="Calibri"/>
                <w:sz w:val="20"/>
              </w:rPr>
              <w:t>Appeal allowed; acquittals set aside and a new trial ordered</w:t>
            </w:r>
          </w:p>
        </w:tc>
      </w:tr>
      <w:tr w:rsidR="003F6E1F" w:rsidRPr="0084490B" w:rsidTr="00120F8A">
        <w:tc>
          <w:tcPr>
            <w:tcW w:w="2427" w:type="pct"/>
          </w:tcPr>
          <w:p w:rsidR="003F6E1F" w:rsidRPr="0084490B" w:rsidRDefault="003F6E1F" w:rsidP="00120F8A">
            <w:pPr>
              <w:jc w:val="both"/>
              <w:rPr>
                <w:rFonts w:eastAsia="Calibri"/>
                <w:sz w:val="20"/>
              </w:rPr>
            </w:pPr>
            <w:r w:rsidRPr="0084490B">
              <w:rPr>
                <w:rFonts w:eastAsia="Calibri"/>
                <w:sz w:val="20"/>
              </w:rPr>
              <w:t>December 14, 2012</w:t>
            </w:r>
          </w:p>
          <w:p w:rsidR="003F6E1F" w:rsidRPr="0084490B" w:rsidRDefault="003F6E1F" w:rsidP="00120F8A">
            <w:pPr>
              <w:jc w:val="both"/>
              <w:rPr>
                <w:rFonts w:eastAsia="Calibri"/>
                <w:sz w:val="20"/>
              </w:rPr>
            </w:pPr>
            <w:r w:rsidRPr="0084490B">
              <w:rPr>
                <w:rFonts w:eastAsia="Calibri"/>
                <w:sz w:val="20"/>
              </w:rPr>
              <w:t>Supreme Court of Canada</w:t>
            </w:r>
          </w:p>
        </w:tc>
        <w:tc>
          <w:tcPr>
            <w:tcW w:w="243" w:type="pct"/>
          </w:tcPr>
          <w:p w:rsidR="003F6E1F" w:rsidRPr="0084490B" w:rsidRDefault="003F6E1F" w:rsidP="00120F8A">
            <w:pPr>
              <w:jc w:val="both"/>
              <w:rPr>
                <w:rFonts w:eastAsia="Calibri"/>
                <w:sz w:val="20"/>
              </w:rPr>
            </w:pPr>
          </w:p>
        </w:tc>
        <w:tc>
          <w:tcPr>
            <w:tcW w:w="2330" w:type="pct"/>
          </w:tcPr>
          <w:p w:rsidR="003F6E1F" w:rsidRPr="0084490B" w:rsidRDefault="003F6E1F" w:rsidP="00120F8A">
            <w:pPr>
              <w:jc w:val="both"/>
              <w:rPr>
                <w:rFonts w:eastAsia="Calibri"/>
                <w:sz w:val="20"/>
              </w:rPr>
            </w:pPr>
            <w:r w:rsidRPr="0084490B">
              <w:rPr>
                <w:rFonts w:eastAsia="Calibri"/>
                <w:sz w:val="20"/>
              </w:rPr>
              <w:t>Motion for an oral hearing of an application for leave to appeal leave and application for leave to appeal filed</w:t>
            </w:r>
          </w:p>
        </w:tc>
      </w:tr>
    </w:tbl>
    <w:p w:rsidR="00EA65C4" w:rsidRDefault="00EA65C4" w:rsidP="00EA65C4">
      <w:pPr>
        <w:rPr>
          <w:sz w:val="20"/>
          <w:szCs w:val="20"/>
        </w:rPr>
      </w:pPr>
    </w:p>
    <w:p w:rsidR="00EA65C4" w:rsidRPr="00C50A5C" w:rsidRDefault="0028676C" w:rsidP="00EA65C4">
      <w:pPr>
        <w:rPr>
          <w:sz w:val="20"/>
          <w:szCs w:val="20"/>
        </w:rPr>
      </w:pPr>
      <w:r w:rsidRPr="0028676C">
        <w:rPr>
          <w:sz w:val="20"/>
          <w:szCs w:val="20"/>
          <w:lang w:val="fr-CA"/>
        </w:rPr>
        <w:pict>
          <v:rect id="_x0000_i1047" style="width:2in;height:1pt" o:hrpct="0" o:hralign="center" o:hrstd="t" o:hrnoshade="t" o:hr="t" fillcolor="black [3213]" stroked="f"/>
        </w:pict>
      </w:r>
    </w:p>
    <w:p w:rsidR="00EA65C4" w:rsidRDefault="00EA65C4" w:rsidP="00EA65C4">
      <w:pPr>
        <w:rPr>
          <w:sz w:val="20"/>
          <w:szCs w:val="20"/>
        </w:rPr>
      </w:pPr>
    </w:p>
    <w:p w:rsidR="00EA65C4" w:rsidRPr="001B157C" w:rsidRDefault="00EA65C4" w:rsidP="00EA65C4">
      <w:pPr>
        <w:rPr>
          <w:sz w:val="20"/>
          <w:szCs w:val="20"/>
          <w:u w:val="single"/>
          <w:lang w:val="fr-CA"/>
        </w:rPr>
      </w:pPr>
      <w:r w:rsidRPr="001B157C">
        <w:rPr>
          <w:sz w:val="20"/>
          <w:szCs w:val="20"/>
          <w:u w:val="single"/>
          <w:lang w:val="fr-CA"/>
        </w:rPr>
        <w:t>RÉSUMÉ DE L’AFFAIRE</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F6E1F" w:rsidRPr="00B6040C" w:rsidTr="00120F8A">
        <w:tc>
          <w:tcPr>
            <w:tcW w:w="5000" w:type="pct"/>
            <w:gridSpan w:val="3"/>
          </w:tcPr>
          <w:p w:rsidR="003F6E1F" w:rsidRPr="0084490B" w:rsidRDefault="003F6E1F" w:rsidP="00120F8A">
            <w:pPr>
              <w:jc w:val="both"/>
              <w:rPr>
                <w:rFonts w:eastAsia="Calibri"/>
                <w:sz w:val="20"/>
                <w:lang w:val="fr-CA"/>
              </w:rPr>
            </w:pPr>
            <w:r w:rsidRPr="0084490B">
              <w:rPr>
                <w:rFonts w:eastAsia="Calibri"/>
                <w:i/>
                <w:sz w:val="20"/>
                <w:lang w:val="fr-CA"/>
              </w:rPr>
              <w:t xml:space="preserve">Charte des droits et libertés </w:t>
            </w:r>
            <w:r w:rsidRPr="0084490B">
              <w:rPr>
                <w:rFonts w:eastAsia="Calibri"/>
                <w:sz w:val="20"/>
                <w:lang w:val="fr-CA"/>
              </w:rPr>
              <w:t>– Droit d’être informé des motifs de son arrestation – Droit à l’assistance d’un avocat – Contravention aux droits garantis au demandeur par les alinéas 10</w:t>
            </w:r>
            <w:r w:rsidRPr="0084490B">
              <w:rPr>
                <w:rFonts w:eastAsia="Calibri"/>
                <w:i/>
                <w:sz w:val="20"/>
                <w:lang w:val="fr-CA"/>
              </w:rPr>
              <w:t>a</w:t>
            </w:r>
            <w:r w:rsidRPr="0084490B">
              <w:rPr>
                <w:rFonts w:eastAsia="Calibri"/>
                <w:sz w:val="20"/>
                <w:lang w:val="fr-CA"/>
              </w:rPr>
              <w:t>) et 10</w:t>
            </w:r>
            <w:r w:rsidRPr="0084490B">
              <w:rPr>
                <w:rFonts w:eastAsia="Calibri"/>
                <w:i/>
                <w:sz w:val="20"/>
                <w:lang w:val="fr-CA"/>
              </w:rPr>
              <w:t>b</w:t>
            </w:r>
            <w:r w:rsidRPr="0084490B">
              <w:rPr>
                <w:rFonts w:eastAsia="Calibri"/>
                <w:sz w:val="20"/>
                <w:lang w:val="fr-CA"/>
              </w:rPr>
              <w:t xml:space="preserve">) de la </w:t>
            </w:r>
            <w:r w:rsidRPr="0084490B">
              <w:rPr>
                <w:rFonts w:eastAsia="Calibri"/>
                <w:i/>
                <w:sz w:val="20"/>
                <w:lang w:val="fr-CA"/>
              </w:rPr>
              <w:t>Charte</w:t>
            </w:r>
            <w:r w:rsidRPr="0084490B">
              <w:rPr>
                <w:rFonts w:eastAsia="Calibri"/>
                <w:sz w:val="20"/>
                <w:lang w:val="fr-CA"/>
              </w:rPr>
              <w:t xml:space="preserve"> – Preuve écartée au procès en vertu du par. 24(2) de la </w:t>
            </w:r>
            <w:r w:rsidRPr="0084490B">
              <w:rPr>
                <w:rFonts w:eastAsia="Calibri"/>
                <w:i/>
                <w:sz w:val="20"/>
                <w:lang w:val="fr-CA"/>
              </w:rPr>
              <w:t xml:space="preserve">Charte </w:t>
            </w:r>
            <w:r w:rsidRPr="0084490B">
              <w:rPr>
                <w:rFonts w:eastAsia="Calibri"/>
                <w:sz w:val="20"/>
                <w:lang w:val="fr-CA"/>
              </w:rPr>
              <w:t>– Appel accueilli et tenue d’un nouveau procès ordonnée – Application de la règle interdisant le contre-interrogatoire d’un témoin sur la véracité de la déposition d’un autre témoin – La cour d’appel a-t-elle le pouvoir discrétionnaire de soulever une question qui ne l’a pas été par les parties? Dans l’affirmative, dans quelles circonstances et de quelle manière ce pouvoir doit-il être exercé? – Le fait de permettre à un témoin à charge de commenter la véracité de la déposition d’un autre témoin constitue-t-il une erreur de droit? Dans l’affirmative, à quel point une telle erreur justifie-t-elle la tenue d’un nouveau procès? – Des questions d’importance pour le public sont-elles soulevées?</w:t>
            </w:r>
          </w:p>
        </w:tc>
      </w:tr>
      <w:tr w:rsidR="003F6E1F" w:rsidRPr="00B6040C" w:rsidTr="00120F8A">
        <w:tc>
          <w:tcPr>
            <w:tcW w:w="5000" w:type="pct"/>
            <w:gridSpan w:val="3"/>
          </w:tcPr>
          <w:p w:rsidR="003F6E1F" w:rsidRPr="0084490B" w:rsidRDefault="003F6E1F" w:rsidP="00120F8A">
            <w:pPr>
              <w:jc w:val="both"/>
              <w:rPr>
                <w:rFonts w:eastAsia="Calibri"/>
                <w:sz w:val="20"/>
                <w:lang w:val="fr-CA"/>
              </w:rPr>
            </w:pPr>
          </w:p>
        </w:tc>
      </w:tr>
      <w:tr w:rsidR="003F6E1F" w:rsidRPr="00B6040C" w:rsidTr="00120F8A">
        <w:tc>
          <w:tcPr>
            <w:tcW w:w="5000" w:type="pct"/>
            <w:gridSpan w:val="3"/>
          </w:tcPr>
          <w:p w:rsidR="003F6E1F" w:rsidRPr="0084490B" w:rsidRDefault="003F6E1F" w:rsidP="00120F8A">
            <w:pPr>
              <w:jc w:val="both"/>
              <w:rPr>
                <w:rFonts w:eastAsia="Calibri"/>
                <w:sz w:val="20"/>
                <w:lang w:val="fr-CA"/>
              </w:rPr>
            </w:pPr>
            <w:r w:rsidRPr="0084490B">
              <w:rPr>
                <w:rFonts w:eastAsia="Calibri"/>
                <w:sz w:val="20"/>
                <w:lang w:val="fr-CA"/>
              </w:rPr>
              <w:t>Le demandeur a été accusé de possession de cocaïne en vue d’en faire le trafic et de possession de monnaie obtenue par la perpétration d’une infraction.  Au procès, le tribunal a conclu que les droits que les alinéas 10</w:t>
            </w:r>
            <w:r w:rsidRPr="0084490B">
              <w:rPr>
                <w:rFonts w:eastAsia="Calibri"/>
                <w:i/>
                <w:sz w:val="20"/>
                <w:lang w:val="fr-CA"/>
              </w:rPr>
              <w:t>a</w:t>
            </w:r>
            <w:r w:rsidRPr="0084490B">
              <w:rPr>
                <w:rFonts w:eastAsia="Calibri"/>
                <w:sz w:val="20"/>
                <w:lang w:val="fr-CA"/>
              </w:rPr>
              <w:t>) et 10</w:t>
            </w:r>
            <w:r w:rsidRPr="0084490B">
              <w:rPr>
                <w:rFonts w:eastAsia="Calibri"/>
                <w:i/>
                <w:sz w:val="20"/>
                <w:lang w:val="fr-CA"/>
              </w:rPr>
              <w:t>b</w:t>
            </w:r>
            <w:r w:rsidRPr="0084490B">
              <w:rPr>
                <w:rFonts w:eastAsia="Calibri"/>
                <w:sz w:val="20"/>
                <w:lang w:val="fr-CA"/>
              </w:rPr>
              <w:t xml:space="preserve">) de la </w:t>
            </w:r>
            <w:r w:rsidRPr="0084490B">
              <w:rPr>
                <w:rFonts w:eastAsia="Calibri"/>
                <w:i/>
                <w:sz w:val="20"/>
                <w:lang w:val="fr-CA"/>
              </w:rPr>
              <w:t>Charte</w:t>
            </w:r>
            <w:r w:rsidRPr="0084490B">
              <w:rPr>
                <w:rFonts w:eastAsia="Calibri"/>
                <w:sz w:val="20"/>
                <w:lang w:val="fr-CA"/>
              </w:rPr>
              <w:t xml:space="preserve"> garantissent au demandeur avaient été violés.  Il a donc écarté la preuve en vertu du par. 24(2) de la </w:t>
            </w:r>
            <w:r w:rsidRPr="0084490B">
              <w:rPr>
                <w:rFonts w:eastAsia="Calibri"/>
                <w:i/>
                <w:sz w:val="20"/>
                <w:lang w:val="fr-CA"/>
              </w:rPr>
              <w:t>Charte</w:t>
            </w:r>
            <w:r w:rsidRPr="0084490B">
              <w:rPr>
                <w:rFonts w:eastAsia="Calibri"/>
                <w:sz w:val="20"/>
                <w:lang w:val="fr-CA"/>
              </w:rPr>
              <w:t xml:space="preserve">.  Le demandeur a été acquitté.  La Cour d’appel était d’avis que le tribunal avait fait erreur en droit en admettant et en tenant compte d’éléments de preuve non pertinents et inadmissibles.  L’appel a été accueilli, et un nouveau procès a été ordonné.  </w:t>
            </w:r>
          </w:p>
          <w:p w:rsidR="003F6E1F" w:rsidRPr="0084490B" w:rsidRDefault="003F6E1F" w:rsidP="00120F8A">
            <w:pPr>
              <w:jc w:val="both"/>
              <w:rPr>
                <w:rFonts w:eastAsia="Calibri"/>
                <w:sz w:val="20"/>
                <w:lang w:val="fr-CA"/>
              </w:rPr>
            </w:pPr>
          </w:p>
        </w:tc>
      </w:tr>
      <w:tr w:rsidR="003F6E1F" w:rsidRPr="00B6040C" w:rsidTr="00120F8A">
        <w:tc>
          <w:tcPr>
            <w:tcW w:w="2427" w:type="pct"/>
          </w:tcPr>
          <w:p w:rsidR="003F6E1F" w:rsidRPr="0084490B" w:rsidRDefault="003F6E1F" w:rsidP="00120F8A">
            <w:pPr>
              <w:jc w:val="both"/>
              <w:rPr>
                <w:rFonts w:eastAsia="Calibri"/>
                <w:sz w:val="20"/>
                <w:lang w:val="fr-CA"/>
              </w:rPr>
            </w:pPr>
            <w:r w:rsidRPr="0084490B">
              <w:rPr>
                <w:rFonts w:eastAsia="Calibri"/>
                <w:sz w:val="20"/>
                <w:lang w:val="fr-CA"/>
              </w:rPr>
              <w:t>Le 29 avril 2011</w:t>
            </w:r>
          </w:p>
          <w:p w:rsidR="003F6E1F" w:rsidRPr="0084490B" w:rsidRDefault="003F6E1F" w:rsidP="00120F8A">
            <w:pPr>
              <w:jc w:val="both"/>
              <w:rPr>
                <w:rFonts w:eastAsia="Calibri"/>
                <w:sz w:val="20"/>
                <w:lang w:val="fr-CA"/>
              </w:rPr>
            </w:pPr>
            <w:r w:rsidRPr="0084490B">
              <w:rPr>
                <w:rFonts w:eastAsia="Calibri"/>
                <w:sz w:val="20"/>
                <w:lang w:val="fr-CA"/>
              </w:rPr>
              <w:t>Cour du Banc de la Reine de l’Alberta</w:t>
            </w:r>
          </w:p>
          <w:p w:rsidR="003F6E1F" w:rsidRPr="0084490B" w:rsidRDefault="003F6E1F" w:rsidP="00120F8A">
            <w:pPr>
              <w:jc w:val="both"/>
              <w:rPr>
                <w:rFonts w:eastAsia="Calibri"/>
                <w:sz w:val="20"/>
              </w:rPr>
            </w:pPr>
            <w:r w:rsidRPr="0084490B">
              <w:rPr>
                <w:rFonts w:eastAsia="Calibri"/>
                <w:sz w:val="20"/>
              </w:rPr>
              <w:t>(</w:t>
            </w:r>
            <w:proofErr w:type="spellStart"/>
            <w:r w:rsidRPr="0084490B">
              <w:rPr>
                <w:rFonts w:eastAsia="Calibri"/>
                <w:sz w:val="20"/>
              </w:rPr>
              <w:t>Juge</w:t>
            </w:r>
            <w:proofErr w:type="spellEnd"/>
            <w:r w:rsidRPr="0084490B">
              <w:rPr>
                <w:rFonts w:eastAsia="Calibri"/>
                <w:sz w:val="20"/>
              </w:rPr>
              <w:t xml:space="preserve"> Macklin)</w:t>
            </w:r>
          </w:p>
          <w:p w:rsidR="003F6E1F" w:rsidRPr="0084490B" w:rsidRDefault="003F6E1F" w:rsidP="00120F8A">
            <w:pPr>
              <w:jc w:val="both"/>
              <w:rPr>
                <w:rFonts w:eastAsia="Calibri"/>
                <w:sz w:val="20"/>
              </w:rPr>
            </w:pPr>
            <w:r w:rsidRPr="0084490B">
              <w:rPr>
                <w:rFonts w:eastAsia="Calibri"/>
                <w:sz w:val="20"/>
              </w:rPr>
              <w:t>2011 ABQB 290</w:t>
            </w:r>
          </w:p>
        </w:tc>
        <w:tc>
          <w:tcPr>
            <w:tcW w:w="243" w:type="pct"/>
          </w:tcPr>
          <w:p w:rsidR="003F6E1F" w:rsidRPr="0084490B" w:rsidRDefault="003F6E1F" w:rsidP="00120F8A">
            <w:pPr>
              <w:jc w:val="both"/>
              <w:rPr>
                <w:rFonts w:eastAsia="Calibri"/>
                <w:sz w:val="20"/>
              </w:rPr>
            </w:pPr>
          </w:p>
        </w:tc>
        <w:tc>
          <w:tcPr>
            <w:tcW w:w="2330" w:type="pct"/>
          </w:tcPr>
          <w:p w:rsidR="003F6E1F" w:rsidRPr="0084490B" w:rsidRDefault="003F6E1F" w:rsidP="00120F8A">
            <w:pPr>
              <w:jc w:val="both"/>
              <w:rPr>
                <w:rFonts w:eastAsia="Calibri"/>
                <w:sz w:val="20"/>
                <w:lang w:val="fr-CA"/>
              </w:rPr>
            </w:pPr>
            <w:r w:rsidRPr="0084490B">
              <w:rPr>
                <w:rFonts w:eastAsia="Calibri"/>
                <w:sz w:val="20"/>
                <w:lang w:val="fr-CA"/>
              </w:rPr>
              <w:t>Décision sur le voir-dire : les droits que les alinéas 10</w:t>
            </w:r>
            <w:r w:rsidRPr="0084490B">
              <w:rPr>
                <w:rFonts w:eastAsia="Calibri"/>
                <w:i/>
                <w:sz w:val="20"/>
                <w:lang w:val="fr-CA"/>
              </w:rPr>
              <w:t>a</w:t>
            </w:r>
            <w:r w:rsidRPr="0084490B">
              <w:rPr>
                <w:rFonts w:eastAsia="Calibri"/>
                <w:sz w:val="20"/>
                <w:lang w:val="fr-CA"/>
              </w:rPr>
              <w:t>) et 10</w:t>
            </w:r>
            <w:r w:rsidRPr="0084490B">
              <w:rPr>
                <w:rFonts w:eastAsia="Calibri"/>
                <w:i/>
                <w:sz w:val="20"/>
                <w:lang w:val="fr-CA"/>
              </w:rPr>
              <w:t>b</w:t>
            </w:r>
            <w:r w:rsidRPr="0084490B">
              <w:rPr>
                <w:rFonts w:eastAsia="Calibri"/>
                <w:sz w:val="20"/>
                <w:lang w:val="fr-CA"/>
              </w:rPr>
              <w:t xml:space="preserve">) de la </w:t>
            </w:r>
            <w:r w:rsidRPr="0084490B">
              <w:rPr>
                <w:rFonts w:eastAsia="Calibri"/>
                <w:i/>
                <w:sz w:val="20"/>
                <w:lang w:val="fr-CA"/>
              </w:rPr>
              <w:t>Charte</w:t>
            </w:r>
            <w:r w:rsidRPr="0084490B">
              <w:rPr>
                <w:rFonts w:eastAsia="Calibri"/>
                <w:sz w:val="20"/>
                <w:lang w:val="fr-CA"/>
              </w:rPr>
              <w:t xml:space="preserve"> garantissent au demandeur ont été violés; la preuve est écartée en vertu du par. 24(2); des acquittements sont inscrits</w:t>
            </w:r>
          </w:p>
          <w:p w:rsidR="003F6E1F" w:rsidRPr="0084490B" w:rsidRDefault="003F6E1F" w:rsidP="00120F8A">
            <w:pPr>
              <w:jc w:val="both"/>
              <w:rPr>
                <w:rFonts w:eastAsia="Calibri"/>
                <w:sz w:val="20"/>
                <w:lang w:val="fr-CA"/>
              </w:rPr>
            </w:pPr>
          </w:p>
        </w:tc>
      </w:tr>
      <w:tr w:rsidR="003F6E1F" w:rsidRPr="00B6040C" w:rsidTr="00120F8A">
        <w:tc>
          <w:tcPr>
            <w:tcW w:w="2427" w:type="pct"/>
          </w:tcPr>
          <w:p w:rsidR="003F6E1F" w:rsidRPr="0084490B" w:rsidRDefault="003F6E1F" w:rsidP="00120F8A">
            <w:pPr>
              <w:jc w:val="both"/>
              <w:rPr>
                <w:rFonts w:eastAsia="Calibri"/>
                <w:sz w:val="20"/>
                <w:lang w:val="fr-CA"/>
              </w:rPr>
            </w:pPr>
            <w:r w:rsidRPr="0084490B">
              <w:rPr>
                <w:rFonts w:eastAsia="Calibri"/>
                <w:sz w:val="20"/>
                <w:lang w:val="fr-CA"/>
              </w:rPr>
              <w:t>Le 18 octobre 2012</w:t>
            </w:r>
          </w:p>
          <w:p w:rsidR="003F6E1F" w:rsidRPr="0084490B" w:rsidRDefault="003F6E1F" w:rsidP="00120F8A">
            <w:pPr>
              <w:jc w:val="both"/>
              <w:rPr>
                <w:rFonts w:eastAsia="Calibri"/>
                <w:sz w:val="20"/>
                <w:lang w:val="fr-CA"/>
              </w:rPr>
            </w:pPr>
            <w:r w:rsidRPr="0084490B">
              <w:rPr>
                <w:rFonts w:eastAsia="Calibri"/>
                <w:sz w:val="20"/>
                <w:lang w:val="fr-CA"/>
              </w:rPr>
              <w:t>Cour d’appel de l’Alberta (Edmonton)</w:t>
            </w:r>
          </w:p>
          <w:p w:rsidR="003F6E1F" w:rsidRPr="0084490B" w:rsidRDefault="003F6E1F" w:rsidP="00120F8A">
            <w:pPr>
              <w:jc w:val="both"/>
              <w:rPr>
                <w:rFonts w:eastAsia="Calibri"/>
                <w:sz w:val="20"/>
                <w:lang w:val="fr-CA"/>
              </w:rPr>
            </w:pPr>
            <w:r w:rsidRPr="0084490B">
              <w:rPr>
                <w:rFonts w:eastAsia="Calibri"/>
                <w:sz w:val="20"/>
                <w:lang w:val="fr-CA"/>
              </w:rPr>
              <w:t xml:space="preserve">(Juges Côté, O'Brien et </w:t>
            </w:r>
            <w:proofErr w:type="spellStart"/>
            <w:r w:rsidRPr="0084490B">
              <w:rPr>
                <w:rFonts w:eastAsia="Calibri"/>
                <w:sz w:val="20"/>
                <w:lang w:val="fr-CA"/>
              </w:rPr>
              <w:t>Belzil</w:t>
            </w:r>
            <w:proofErr w:type="spellEnd"/>
            <w:r w:rsidRPr="0084490B">
              <w:rPr>
                <w:rFonts w:eastAsia="Calibri"/>
                <w:sz w:val="20"/>
                <w:lang w:val="fr-CA"/>
              </w:rPr>
              <w:t>)</w:t>
            </w:r>
          </w:p>
          <w:p w:rsidR="003F6E1F" w:rsidRPr="0084490B" w:rsidRDefault="003F6E1F" w:rsidP="00120F8A">
            <w:pPr>
              <w:jc w:val="both"/>
              <w:rPr>
                <w:rFonts w:eastAsia="Calibri"/>
                <w:sz w:val="20"/>
              </w:rPr>
            </w:pPr>
            <w:r w:rsidRPr="0084490B">
              <w:rPr>
                <w:rFonts w:eastAsia="Calibri"/>
                <w:sz w:val="20"/>
              </w:rPr>
              <w:t>2012 ABCA 302</w:t>
            </w:r>
          </w:p>
          <w:p w:rsidR="003F6E1F" w:rsidRPr="0084490B" w:rsidRDefault="003F6E1F" w:rsidP="00120F8A">
            <w:pPr>
              <w:jc w:val="both"/>
              <w:rPr>
                <w:rFonts w:eastAsia="Calibri"/>
                <w:sz w:val="20"/>
              </w:rPr>
            </w:pPr>
          </w:p>
        </w:tc>
        <w:tc>
          <w:tcPr>
            <w:tcW w:w="243" w:type="pct"/>
          </w:tcPr>
          <w:p w:rsidR="003F6E1F" w:rsidRPr="0084490B" w:rsidRDefault="003F6E1F" w:rsidP="00120F8A">
            <w:pPr>
              <w:jc w:val="both"/>
              <w:rPr>
                <w:rFonts w:eastAsia="Calibri"/>
                <w:sz w:val="20"/>
              </w:rPr>
            </w:pPr>
          </w:p>
        </w:tc>
        <w:tc>
          <w:tcPr>
            <w:tcW w:w="2330" w:type="pct"/>
          </w:tcPr>
          <w:p w:rsidR="003F6E1F" w:rsidRPr="0084490B" w:rsidRDefault="003F6E1F" w:rsidP="00120F8A">
            <w:pPr>
              <w:jc w:val="both"/>
              <w:rPr>
                <w:rFonts w:eastAsia="Calibri"/>
                <w:sz w:val="20"/>
                <w:lang w:val="fr-CA"/>
              </w:rPr>
            </w:pPr>
            <w:r w:rsidRPr="0084490B">
              <w:rPr>
                <w:rFonts w:eastAsia="Calibri"/>
                <w:sz w:val="20"/>
                <w:lang w:val="fr-CA"/>
              </w:rPr>
              <w:t>Appel accueilli; les acquittements sont annulés et la tenue d’un nouveau procès est ordonnée</w:t>
            </w:r>
          </w:p>
        </w:tc>
      </w:tr>
      <w:tr w:rsidR="003F6E1F" w:rsidRPr="00B6040C" w:rsidTr="00120F8A">
        <w:tc>
          <w:tcPr>
            <w:tcW w:w="2427" w:type="pct"/>
          </w:tcPr>
          <w:p w:rsidR="003F6E1F" w:rsidRPr="0084490B" w:rsidRDefault="003F6E1F" w:rsidP="00120F8A">
            <w:pPr>
              <w:jc w:val="both"/>
              <w:rPr>
                <w:rFonts w:eastAsia="Calibri"/>
                <w:sz w:val="20"/>
                <w:lang w:val="fr-CA"/>
              </w:rPr>
            </w:pPr>
            <w:r w:rsidRPr="0084490B">
              <w:rPr>
                <w:rFonts w:eastAsia="Calibri"/>
                <w:sz w:val="20"/>
                <w:lang w:val="fr-CA"/>
              </w:rPr>
              <w:t>Le 14 décembre 2012</w:t>
            </w:r>
          </w:p>
          <w:p w:rsidR="003F6E1F" w:rsidRPr="0084490B" w:rsidRDefault="003F6E1F" w:rsidP="00120F8A">
            <w:pPr>
              <w:jc w:val="both"/>
              <w:rPr>
                <w:rFonts w:eastAsia="Calibri"/>
                <w:sz w:val="20"/>
                <w:lang w:val="fr-CA"/>
              </w:rPr>
            </w:pPr>
            <w:r w:rsidRPr="0084490B">
              <w:rPr>
                <w:rFonts w:eastAsia="Calibri"/>
                <w:sz w:val="20"/>
                <w:lang w:val="fr-CA"/>
              </w:rPr>
              <w:t>Cour suprême du Canada</w:t>
            </w:r>
          </w:p>
        </w:tc>
        <w:tc>
          <w:tcPr>
            <w:tcW w:w="243" w:type="pct"/>
          </w:tcPr>
          <w:p w:rsidR="003F6E1F" w:rsidRPr="0084490B" w:rsidRDefault="003F6E1F" w:rsidP="00120F8A">
            <w:pPr>
              <w:jc w:val="both"/>
              <w:rPr>
                <w:rFonts w:eastAsia="Calibri"/>
                <w:sz w:val="20"/>
                <w:lang w:val="fr-CA"/>
              </w:rPr>
            </w:pPr>
          </w:p>
        </w:tc>
        <w:tc>
          <w:tcPr>
            <w:tcW w:w="2330" w:type="pct"/>
          </w:tcPr>
          <w:p w:rsidR="003F6E1F" w:rsidRPr="0084490B" w:rsidRDefault="003F6E1F" w:rsidP="00120F8A">
            <w:pPr>
              <w:jc w:val="both"/>
              <w:rPr>
                <w:rFonts w:eastAsia="Calibri"/>
                <w:sz w:val="20"/>
                <w:lang w:val="fr-CA"/>
              </w:rPr>
            </w:pPr>
            <w:r w:rsidRPr="0084490B">
              <w:rPr>
                <w:rFonts w:eastAsia="Calibri"/>
                <w:sz w:val="20"/>
                <w:lang w:val="fr-CA"/>
              </w:rPr>
              <w:t xml:space="preserve">Dépôt de la requête en audition orale de la demande d’autorisation d’appel et de la demande d’autorisation d’appel </w:t>
            </w:r>
          </w:p>
        </w:tc>
      </w:tr>
    </w:tbl>
    <w:p w:rsidR="00EA65C4" w:rsidRPr="003F6E1F" w:rsidRDefault="00EA65C4" w:rsidP="00EA65C4">
      <w:pPr>
        <w:rPr>
          <w:sz w:val="20"/>
          <w:szCs w:val="20"/>
          <w:lang w:val="fr-CA"/>
        </w:rPr>
      </w:pPr>
    </w:p>
    <w:p w:rsidR="00EA65C4" w:rsidRDefault="0028676C" w:rsidP="00EA65C4">
      <w:pPr>
        <w:rPr>
          <w:sz w:val="20"/>
          <w:szCs w:val="20"/>
        </w:rPr>
      </w:pPr>
      <w:r w:rsidRPr="0028676C">
        <w:rPr>
          <w:sz w:val="20"/>
          <w:szCs w:val="20"/>
          <w:lang w:val="fr-CA"/>
        </w:rPr>
        <w:pict>
          <v:rect id="_x0000_i1048" style="width:2in;height:1pt" o:hrpct="0" o:hralign="center" o:hrstd="t" o:hrnoshade="t" o:hr="t" fillcolor="black [3213]" stroked="f"/>
        </w:pict>
      </w:r>
    </w:p>
    <w:p w:rsidR="00EA65C4" w:rsidRDefault="00EA65C4" w:rsidP="00EA65C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71E7B" w:rsidRPr="00771E7B" w:rsidTr="00AA4F37">
        <w:trPr>
          <w:cantSplit/>
        </w:trPr>
        <w:tc>
          <w:tcPr>
            <w:tcW w:w="1458" w:type="dxa"/>
          </w:tcPr>
          <w:p w:rsidR="00771E7B" w:rsidRPr="00771E7B" w:rsidRDefault="00771E7B" w:rsidP="00AA4F37">
            <w:pPr>
              <w:rPr>
                <w:sz w:val="20"/>
                <w:szCs w:val="20"/>
              </w:rPr>
            </w:pPr>
            <w:r w:rsidRPr="00771E7B">
              <w:rPr>
                <w:rStyle w:val="SCCFileNumberChar"/>
                <w:sz w:val="20"/>
                <w:szCs w:val="20"/>
              </w:rPr>
              <w:t>35158</w:t>
            </w:r>
          </w:p>
          <w:p w:rsidR="00771E7B" w:rsidRPr="00771E7B" w:rsidRDefault="00771E7B" w:rsidP="00AA4F37">
            <w:pPr>
              <w:rPr>
                <w:b/>
                <w:sz w:val="20"/>
                <w:szCs w:val="20"/>
                <w:lang w:val="fr-CA"/>
              </w:rPr>
            </w:pPr>
          </w:p>
        </w:tc>
        <w:tc>
          <w:tcPr>
            <w:tcW w:w="8118" w:type="dxa"/>
          </w:tcPr>
          <w:p w:rsidR="00771E7B" w:rsidRPr="00771E7B" w:rsidRDefault="00771E7B" w:rsidP="00AA4F37">
            <w:pPr>
              <w:jc w:val="both"/>
              <w:rPr>
                <w:sz w:val="20"/>
                <w:szCs w:val="20"/>
              </w:rPr>
            </w:pPr>
            <w:proofErr w:type="spellStart"/>
            <w:r w:rsidRPr="00771E7B">
              <w:rPr>
                <w:rStyle w:val="SCCLsocChar"/>
                <w:sz w:val="20"/>
                <w:szCs w:val="20"/>
                <w:lang w:val="en-CA"/>
              </w:rPr>
              <w:t>Fednav</w:t>
            </w:r>
            <w:proofErr w:type="spellEnd"/>
            <w:r w:rsidRPr="00771E7B">
              <w:rPr>
                <w:rStyle w:val="SCCLsocChar"/>
                <w:sz w:val="20"/>
                <w:szCs w:val="20"/>
                <w:lang w:val="en-CA"/>
              </w:rPr>
              <w:t xml:space="preserve"> International Ltd. v. </w:t>
            </w:r>
            <w:proofErr w:type="spellStart"/>
            <w:r w:rsidRPr="00771E7B">
              <w:rPr>
                <w:rStyle w:val="SCCLsocChar"/>
                <w:sz w:val="20"/>
                <w:szCs w:val="20"/>
                <w:lang w:val="en-CA"/>
              </w:rPr>
              <w:t>Companhia</w:t>
            </w:r>
            <w:proofErr w:type="spellEnd"/>
            <w:r w:rsidRPr="00771E7B">
              <w:rPr>
                <w:rStyle w:val="SCCLsocChar"/>
                <w:sz w:val="20"/>
                <w:szCs w:val="20"/>
                <w:lang w:val="en-CA"/>
              </w:rPr>
              <w:t xml:space="preserve"> </w:t>
            </w:r>
            <w:proofErr w:type="spellStart"/>
            <w:r w:rsidRPr="00771E7B">
              <w:rPr>
                <w:rStyle w:val="SCCLsocChar"/>
                <w:sz w:val="20"/>
                <w:szCs w:val="20"/>
                <w:lang w:val="en-CA"/>
              </w:rPr>
              <w:t>Siderurgica</w:t>
            </w:r>
            <w:proofErr w:type="spellEnd"/>
            <w:r w:rsidRPr="00771E7B">
              <w:rPr>
                <w:rStyle w:val="SCCLsocChar"/>
                <w:sz w:val="20"/>
                <w:szCs w:val="20"/>
                <w:lang w:val="en-CA"/>
              </w:rPr>
              <w:t xml:space="preserve"> </w:t>
            </w:r>
            <w:proofErr w:type="spellStart"/>
            <w:r w:rsidRPr="00771E7B">
              <w:rPr>
                <w:rStyle w:val="SCCLsocChar"/>
                <w:sz w:val="20"/>
                <w:szCs w:val="20"/>
                <w:lang w:val="en-CA"/>
              </w:rPr>
              <w:t>Paulista</w:t>
            </w:r>
            <w:proofErr w:type="spellEnd"/>
            <w:r w:rsidRPr="00771E7B">
              <w:rPr>
                <w:rStyle w:val="SCCLsocChar"/>
                <w:sz w:val="20"/>
                <w:szCs w:val="20"/>
                <w:lang w:val="en-CA"/>
              </w:rPr>
              <w:t xml:space="preserve"> - </w:t>
            </w:r>
            <w:proofErr w:type="spellStart"/>
            <w:r w:rsidRPr="00771E7B">
              <w:rPr>
                <w:rStyle w:val="SCCLsocChar"/>
                <w:sz w:val="20"/>
                <w:szCs w:val="20"/>
                <w:lang w:val="en-CA"/>
              </w:rPr>
              <w:t>Cosipa</w:t>
            </w:r>
            <w:proofErr w:type="spellEnd"/>
            <w:r w:rsidRPr="00771E7B">
              <w:rPr>
                <w:rStyle w:val="SCCLsocChar"/>
                <w:sz w:val="20"/>
                <w:szCs w:val="20"/>
                <w:lang w:val="en-CA"/>
              </w:rPr>
              <w:t xml:space="preserve"> AND BETWEEN </w:t>
            </w:r>
            <w:proofErr w:type="spellStart"/>
            <w:r w:rsidRPr="00771E7B">
              <w:rPr>
                <w:rStyle w:val="SCCLsocChar"/>
                <w:sz w:val="20"/>
                <w:szCs w:val="20"/>
                <w:lang w:val="en-CA"/>
              </w:rPr>
              <w:t>Companhia</w:t>
            </w:r>
            <w:proofErr w:type="spellEnd"/>
            <w:r w:rsidRPr="00771E7B">
              <w:rPr>
                <w:rStyle w:val="SCCLsocChar"/>
                <w:sz w:val="20"/>
                <w:szCs w:val="20"/>
                <w:lang w:val="en-CA"/>
              </w:rPr>
              <w:t xml:space="preserve"> </w:t>
            </w:r>
            <w:proofErr w:type="spellStart"/>
            <w:r w:rsidRPr="00771E7B">
              <w:rPr>
                <w:rStyle w:val="SCCLsocChar"/>
                <w:sz w:val="20"/>
                <w:szCs w:val="20"/>
                <w:lang w:val="en-CA"/>
              </w:rPr>
              <w:t>Siderurgica</w:t>
            </w:r>
            <w:proofErr w:type="spellEnd"/>
            <w:r w:rsidRPr="00771E7B">
              <w:rPr>
                <w:rStyle w:val="SCCLsocChar"/>
                <w:sz w:val="20"/>
                <w:szCs w:val="20"/>
                <w:lang w:val="en-CA"/>
              </w:rPr>
              <w:t xml:space="preserve"> </w:t>
            </w:r>
            <w:proofErr w:type="spellStart"/>
            <w:r w:rsidRPr="00771E7B">
              <w:rPr>
                <w:rStyle w:val="SCCLsocChar"/>
                <w:sz w:val="20"/>
                <w:szCs w:val="20"/>
                <w:lang w:val="en-CA"/>
              </w:rPr>
              <w:t>Paulista</w:t>
            </w:r>
            <w:proofErr w:type="spellEnd"/>
            <w:r w:rsidRPr="00771E7B">
              <w:rPr>
                <w:rStyle w:val="SCCLsocChar"/>
                <w:sz w:val="20"/>
                <w:szCs w:val="20"/>
                <w:lang w:val="en-CA"/>
              </w:rPr>
              <w:t xml:space="preserve"> - </w:t>
            </w:r>
            <w:proofErr w:type="spellStart"/>
            <w:r w:rsidRPr="00771E7B">
              <w:rPr>
                <w:rStyle w:val="SCCLsocChar"/>
                <w:sz w:val="20"/>
                <w:szCs w:val="20"/>
                <w:lang w:val="en-CA"/>
              </w:rPr>
              <w:t>Cosipa</w:t>
            </w:r>
            <w:proofErr w:type="spellEnd"/>
            <w:r w:rsidRPr="00771E7B">
              <w:rPr>
                <w:rStyle w:val="SCCLsocChar"/>
                <w:sz w:val="20"/>
                <w:szCs w:val="20"/>
                <w:lang w:val="en-CA"/>
              </w:rPr>
              <w:t xml:space="preserve"> v. Canada Moon Shipping Co. </w:t>
            </w:r>
            <w:r w:rsidRPr="00771E7B">
              <w:rPr>
                <w:rStyle w:val="SCCLsocChar"/>
                <w:sz w:val="20"/>
                <w:szCs w:val="20"/>
              </w:rPr>
              <w:t>Ltd</w:t>
            </w:r>
            <w:r w:rsidRPr="00771E7B">
              <w:rPr>
                <w:sz w:val="20"/>
                <w:szCs w:val="20"/>
              </w:rPr>
              <w:t xml:space="preserve"> (F.C.) (Civil) (By Leave)</w:t>
            </w:r>
          </w:p>
          <w:p w:rsidR="00771E7B" w:rsidRPr="00771E7B" w:rsidRDefault="00771E7B" w:rsidP="00AA4F37">
            <w:pPr>
              <w:jc w:val="both"/>
              <w:rPr>
                <w:sz w:val="20"/>
                <w:szCs w:val="20"/>
              </w:rPr>
            </w:pPr>
          </w:p>
        </w:tc>
      </w:tr>
      <w:tr w:rsidR="00771E7B" w:rsidRPr="00771E7B" w:rsidTr="00AA4F37">
        <w:trPr>
          <w:cantSplit/>
        </w:trPr>
        <w:tc>
          <w:tcPr>
            <w:tcW w:w="1458" w:type="dxa"/>
          </w:tcPr>
          <w:p w:rsidR="00771E7B" w:rsidRPr="00771E7B" w:rsidRDefault="00771E7B" w:rsidP="00AA4F37">
            <w:pPr>
              <w:rPr>
                <w:sz w:val="20"/>
                <w:szCs w:val="20"/>
              </w:rPr>
            </w:pPr>
            <w:r w:rsidRPr="00771E7B">
              <w:rPr>
                <w:sz w:val="20"/>
                <w:szCs w:val="20"/>
              </w:rPr>
              <w:t>Coram :</w:t>
            </w:r>
          </w:p>
        </w:tc>
        <w:tc>
          <w:tcPr>
            <w:tcW w:w="8118" w:type="dxa"/>
          </w:tcPr>
          <w:p w:rsidR="00771E7B" w:rsidRPr="00771E7B" w:rsidRDefault="00771E7B" w:rsidP="00AA4F37">
            <w:pPr>
              <w:rPr>
                <w:sz w:val="20"/>
                <w:szCs w:val="20"/>
              </w:rPr>
            </w:pPr>
            <w:proofErr w:type="spellStart"/>
            <w:r w:rsidRPr="00771E7B">
              <w:rPr>
                <w:rStyle w:val="SCCCoramChar"/>
                <w:sz w:val="20"/>
                <w:szCs w:val="20"/>
                <w:lang w:val="en-CA"/>
              </w:rPr>
              <w:t>LeBel</w:t>
            </w:r>
            <w:proofErr w:type="spellEnd"/>
            <w:r w:rsidRPr="00771E7B">
              <w:rPr>
                <w:rStyle w:val="SCCCoramChar"/>
                <w:sz w:val="20"/>
                <w:szCs w:val="20"/>
                <w:lang w:val="en-CA"/>
              </w:rPr>
              <w:t>, Karakatsanis and Wagner JJ.</w:t>
            </w:r>
          </w:p>
          <w:p w:rsidR="00771E7B" w:rsidRPr="00771E7B" w:rsidRDefault="00771E7B" w:rsidP="00AA4F37">
            <w:pPr>
              <w:rPr>
                <w:sz w:val="20"/>
                <w:szCs w:val="20"/>
                <w:u w:val="single"/>
              </w:rPr>
            </w:pPr>
          </w:p>
        </w:tc>
      </w:tr>
      <w:tr w:rsidR="00771E7B" w:rsidRPr="00B6040C" w:rsidTr="00AA4F37">
        <w:trPr>
          <w:cantSplit/>
        </w:trPr>
        <w:tc>
          <w:tcPr>
            <w:tcW w:w="9576" w:type="dxa"/>
            <w:gridSpan w:val="2"/>
          </w:tcPr>
          <w:p w:rsidR="00771E7B" w:rsidRPr="00771E7B" w:rsidRDefault="00771E7B" w:rsidP="00AA4F37">
            <w:pPr>
              <w:pStyle w:val="SCCShortJudgment"/>
              <w:rPr>
                <w:szCs w:val="20"/>
              </w:rPr>
            </w:pPr>
            <w:r w:rsidRPr="00771E7B">
              <w:rPr>
                <w:szCs w:val="20"/>
              </w:rPr>
              <w:t>The applications for leave to appeal from the judgment of the Federal Court of Appeal, Number A-378-11, 2012 FCA 284, dated November 8, 2012, are dismissed without costs.</w:t>
            </w:r>
          </w:p>
          <w:p w:rsidR="00771E7B" w:rsidRPr="00771E7B" w:rsidRDefault="00771E7B" w:rsidP="00AA4F37">
            <w:pPr>
              <w:pStyle w:val="SCCShortJudgment"/>
              <w:ind w:firstLine="0"/>
              <w:rPr>
                <w:szCs w:val="20"/>
              </w:rPr>
            </w:pPr>
          </w:p>
          <w:p w:rsidR="00771E7B" w:rsidRPr="00771E7B" w:rsidRDefault="00771E7B" w:rsidP="00AA4F37">
            <w:pPr>
              <w:pStyle w:val="SCCShortJudgment"/>
              <w:rPr>
                <w:szCs w:val="20"/>
                <w:lang w:val="fr-CA"/>
              </w:rPr>
            </w:pPr>
            <w:r w:rsidRPr="00771E7B">
              <w:rPr>
                <w:szCs w:val="20"/>
                <w:lang w:val="fr-CA"/>
              </w:rPr>
              <w:t>Les demandes d’autorisation d’appel de l’arrêt de la Cour d’appel fédérale, numéro A-378-11, 2012 CAF 284, daté du 8 novembre 2012, sont rejetées sans dépens.</w:t>
            </w:r>
          </w:p>
        </w:tc>
      </w:tr>
    </w:tbl>
    <w:p w:rsidR="00EA65C4" w:rsidRPr="00771E7B" w:rsidRDefault="00EA65C4" w:rsidP="00EA65C4">
      <w:pPr>
        <w:rPr>
          <w:sz w:val="20"/>
          <w:szCs w:val="20"/>
          <w:lang w:val="fr-CA"/>
        </w:rPr>
      </w:pPr>
    </w:p>
    <w:p w:rsidR="00EA65C4" w:rsidRPr="001B157C" w:rsidRDefault="00EA65C4" w:rsidP="00EA65C4">
      <w:pPr>
        <w:rPr>
          <w:sz w:val="20"/>
          <w:szCs w:val="20"/>
          <w:u w:val="single"/>
        </w:rPr>
      </w:pPr>
      <w:r w:rsidRPr="001B157C">
        <w:rPr>
          <w:sz w:val="20"/>
          <w:szCs w:val="20"/>
          <w:u w:val="single"/>
        </w:rPr>
        <w:t>CASE SUMMARY</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6B0EA7" w:rsidRPr="0084490B" w:rsidTr="00120F8A">
        <w:tc>
          <w:tcPr>
            <w:tcW w:w="5000" w:type="pct"/>
            <w:gridSpan w:val="3"/>
          </w:tcPr>
          <w:p w:rsidR="006B0EA7" w:rsidRPr="0084490B" w:rsidRDefault="006B0EA7" w:rsidP="00120F8A">
            <w:pPr>
              <w:jc w:val="both"/>
              <w:rPr>
                <w:rFonts w:eastAsia="Calibri"/>
                <w:sz w:val="20"/>
              </w:rPr>
            </w:pPr>
            <w:r w:rsidRPr="0084490B">
              <w:rPr>
                <w:rFonts w:eastAsia="Calibri"/>
                <w:sz w:val="20"/>
              </w:rPr>
              <w:t xml:space="preserve">Maritime law — Shipping — Contracts — Arbitration — </w:t>
            </w:r>
            <w:proofErr w:type="spellStart"/>
            <w:r w:rsidRPr="0084490B">
              <w:rPr>
                <w:rFonts w:eastAsia="Calibri"/>
                <w:sz w:val="20"/>
              </w:rPr>
              <w:t>Cosipa</w:t>
            </w:r>
            <w:proofErr w:type="spellEnd"/>
            <w:r w:rsidRPr="0084490B">
              <w:rPr>
                <w:rFonts w:eastAsia="Calibri"/>
                <w:sz w:val="20"/>
              </w:rPr>
              <w:t xml:space="preserve"> entered into charter-party contract with </w:t>
            </w:r>
            <w:proofErr w:type="spellStart"/>
            <w:r w:rsidRPr="0084490B">
              <w:rPr>
                <w:rFonts w:eastAsia="Calibri"/>
                <w:sz w:val="20"/>
              </w:rPr>
              <w:t>Fednav</w:t>
            </w:r>
            <w:proofErr w:type="spellEnd"/>
            <w:r w:rsidRPr="0084490B">
              <w:rPr>
                <w:rFonts w:eastAsia="Calibri"/>
                <w:sz w:val="20"/>
              </w:rPr>
              <w:t xml:space="preserve"> to transport steel from Brazil to Canada by ship owned by Canada Moon — The charter-party made loading and offloading steel responsibility of </w:t>
            </w:r>
            <w:proofErr w:type="spellStart"/>
            <w:r w:rsidRPr="0084490B">
              <w:rPr>
                <w:rFonts w:eastAsia="Calibri"/>
                <w:sz w:val="20"/>
              </w:rPr>
              <w:t>Cosipa</w:t>
            </w:r>
            <w:proofErr w:type="spellEnd"/>
            <w:r w:rsidRPr="0084490B">
              <w:rPr>
                <w:rFonts w:eastAsia="Calibri"/>
                <w:sz w:val="20"/>
              </w:rPr>
              <w:t xml:space="preserve"> and </w:t>
            </w:r>
            <w:proofErr w:type="spellStart"/>
            <w:r w:rsidRPr="0084490B">
              <w:rPr>
                <w:rFonts w:eastAsia="Calibri"/>
                <w:sz w:val="20"/>
              </w:rPr>
              <w:t>Fednav</w:t>
            </w:r>
            <w:proofErr w:type="spellEnd"/>
            <w:r w:rsidRPr="0084490B">
              <w:rPr>
                <w:rFonts w:eastAsia="Calibri"/>
                <w:sz w:val="20"/>
              </w:rPr>
              <w:t xml:space="preserve"> responsible for covering steel with plastic — When dispute arose between </w:t>
            </w:r>
            <w:proofErr w:type="spellStart"/>
            <w:r w:rsidRPr="0084490B">
              <w:rPr>
                <w:rFonts w:eastAsia="Calibri"/>
                <w:sz w:val="20"/>
              </w:rPr>
              <w:t>Cosipa</w:t>
            </w:r>
            <w:proofErr w:type="spellEnd"/>
            <w:r w:rsidRPr="0084490B">
              <w:rPr>
                <w:rFonts w:eastAsia="Calibri"/>
                <w:sz w:val="20"/>
              </w:rPr>
              <w:t xml:space="preserve"> and </w:t>
            </w:r>
            <w:proofErr w:type="spellStart"/>
            <w:r w:rsidRPr="0084490B">
              <w:rPr>
                <w:rFonts w:eastAsia="Calibri"/>
                <w:sz w:val="20"/>
              </w:rPr>
              <w:t>Fednav</w:t>
            </w:r>
            <w:proofErr w:type="spellEnd"/>
            <w:r w:rsidRPr="0084490B">
              <w:rPr>
                <w:rFonts w:eastAsia="Calibri"/>
                <w:sz w:val="20"/>
              </w:rPr>
              <w:t xml:space="preserve"> about plastic covers, </w:t>
            </w:r>
            <w:proofErr w:type="spellStart"/>
            <w:r w:rsidRPr="0084490B">
              <w:rPr>
                <w:rFonts w:eastAsia="Calibri"/>
                <w:sz w:val="20"/>
              </w:rPr>
              <w:t>Cosipa</w:t>
            </w:r>
            <w:proofErr w:type="spellEnd"/>
            <w:r w:rsidRPr="0084490B">
              <w:rPr>
                <w:rFonts w:eastAsia="Calibri"/>
                <w:sz w:val="20"/>
              </w:rPr>
              <w:t xml:space="preserve"> issued letter of intent to </w:t>
            </w:r>
            <w:proofErr w:type="spellStart"/>
            <w:r w:rsidRPr="0084490B">
              <w:rPr>
                <w:rFonts w:eastAsia="Calibri"/>
                <w:sz w:val="20"/>
              </w:rPr>
              <w:t>Fednav</w:t>
            </w:r>
            <w:proofErr w:type="spellEnd"/>
            <w:r w:rsidRPr="0084490B">
              <w:rPr>
                <w:rFonts w:eastAsia="Calibri"/>
                <w:sz w:val="20"/>
              </w:rPr>
              <w:t xml:space="preserve"> to relieve it and Canada Moon from liability for damage to steel — Two bills of lading issued to T. Co Metals who commenced action for compensation from Canada Moon and </w:t>
            </w:r>
            <w:proofErr w:type="spellStart"/>
            <w:r w:rsidRPr="0084490B">
              <w:rPr>
                <w:rFonts w:eastAsia="Calibri"/>
                <w:sz w:val="20"/>
              </w:rPr>
              <w:t>Fednav</w:t>
            </w:r>
            <w:proofErr w:type="spellEnd"/>
            <w:r w:rsidRPr="0084490B">
              <w:rPr>
                <w:rFonts w:eastAsia="Calibri"/>
                <w:sz w:val="20"/>
              </w:rPr>
              <w:t xml:space="preserve"> for damage — Canada Moon and </w:t>
            </w:r>
            <w:proofErr w:type="spellStart"/>
            <w:r w:rsidRPr="0084490B">
              <w:rPr>
                <w:rFonts w:eastAsia="Calibri"/>
                <w:sz w:val="20"/>
              </w:rPr>
              <w:t>Fednav</w:t>
            </w:r>
            <w:proofErr w:type="spellEnd"/>
            <w:r w:rsidRPr="0084490B">
              <w:rPr>
                <w:rFonts w:eastAsia="Calibri"/>
                <w:sz w:val="20"/>
              </w:rPr>
              <w:t xml:space="preserve"> filed third-party claims against </w:t>
            </w:r>
            <w:proofErr w:type="spellStart"/>
            <w:r w:rsidRPr="0084490B">
              <w:rPr>
                <w:rFonts w:eastAsia="Calibri"/>
                <w:sz w:val="20"/>
              </w:rPr>
              <w:t>Cosipa</w:t>
            </w:r>
            <w:proofErr w:type="spellEnd"/>
            <w:r w:rsidRPr="0084490B">
              <w:rPr>
                <w:rFonts w:eastAsia="Calibri"/>
                <w:sz w:val="20"/>
              </w:rPr>
              <w:t xml:space="preserve"> — </w:t>
            </w:r>
            <w:proofErr w:type="spellStart"/>
            <w:r w:rsidRPr="0084490B">
              <w:rPr>
                <w:rFonts w:eastAsia="Calibri"/>
                <w:sz w:val="20"/>
              </w:rPr>
              <w:t>Cosipa</w:t>
            </w:r>
            <w:proofErr w:type="spellEnd"/>
            <w:r w:rsidRPr="0084490B">
              <w:rPr>
                <w:rFonts w:eastAsia="Calibri"/>
                <w:sz w:val="20"/>
              </w:rPr>
              <w:t xml:space="preserve"> moved for stay of claims on basis that parties had agreed to submit disputes to arbitration in New York — Whether charter-party and bills of lading within scope of  </w:t>
            </w:r>
            <w:r w:rsidRPr="0084490B">
              <w:rPr>
                <w:rFonts w:eastAsia="Calibri"/>
                <w:i/>
                <w:sz w:val="20"/>
              </w:rPr>
              <w:t xml:space="preserve">Marine Liability Act </w:t>
            </w:r>
            <w:r w:rsidRPr="0084490B">
              <w:rPr>
                <w:rFonts w:eastAsia="Calibri"/>
                <w:sz w:val="20"/>
              </w:rPr>
              <w:t xml:space="preserve">— If so, whether Brazil courts more appropriate forum — Whether arbitration clause applies — </w:t>
            </w:r>
            <w:r w:rsidRPr="0084490B">
              <w:rPr>
                <w:rFonts w:eastAsia="Calibri"/>
                <w:i/>
                <w:sz w:val="20"/>
              </w:rPr>
              <w:t>Marine Liability Act</w:t>
            </w:r>
            <w:r w:rsidRPr="0084490B">
              <w:rPr>
                <w:rFonts w:eastAsia="Calibri"/>
                <w:sz w:val="20"/>
              </w:rPr>
              <w:t>, S.C. 2001, c. 6.</w:t>
            </w:r>
          </w:p>
        </w:tc>
      </w:tr>
      <w:tr w:rsidR="006B0EA7" w:rsidRPr="0084490B" w:rsidTr="00120F8A">
        <w:tc>
          <w:tcPr>
            <w:tcW w:w="5000" w:type="pct"/>
            <w:gridSpan w:val="3"/>
          </w:tcPr>
          <w:p w:rsidR="006B0EA7" w:rsidRPr="0084490B" w:rsidRDefault="006B0EA7" w:rsidP="00120F8A">
            <w:pPr>
              <w:jc w:val="both"/>
              <w:rPr>
                <w:rFonts w:eastAsia="Calibri"/>
                <w:sz w:val="20"/>
              </w:rPr>
            </w:pPr>
          </w:p>
        </w:tc>
      </w:tr>
      <w:tr w:rsidR="006B0EA7" w:rsidRPr="0084490B" w:rsidTr="00120F8A">
        <w:tc>
          <w:tcPr>
            <w:tcW w:w="5000" w:type="pct"/>
            <w:gridSpan w:val="3"/>
          </w:tcPr>
          <w:p w:rsidR="006B0EA7" w:rsidRPr="0084490B" w:rsidRDefault="006B0EA7" w:rsidP="00120F8A">
            <w:pPr>
              <w:jc w:val="both"/>
              <w:rPr>
                <w:rFonts w:eastAsia="Calibri"/>
                <w:sz w:val="20"/>
              </w:rPr>
            </w:pPr>
            <w:proofErr w:type="spellStart"/>
            <w:r w:rsidRPr="0084490B">
              <w:rPr>
                <w:rFonts w:eastAsia="Calibri"/>
                <w:sz w:val="20"/>
              </w:rPr>
              <w:t>Cosipa</w:t>
            </w:r>
            <w:proofErr w:type="spellEnd"/>
            <w:r w:rsidRPr="0084490B">
              <w:rPr>
                <w:rFonts w:eastAsia="Calibri"/>
                <w:sz w:val="20"/>
              </w:rPr>
              <w:t xml:space="preserve"> entered into a charter-party contract with </w:t>
            </w:r>
            <w:proofErr w:type="spellStart"/>
            <w:r w:rsidRPr="0084490B">
              <w:rPr>
                <w:rFonts w:eastAsia="Calibri"/>
                <w:sz w:val="20"/>
              </w:rPr>
              <w:t>Fednav</w:t>
            </w:r>
            <w:proofErr w:type="spellEnd"/>
            <w:r w:rsidRPr="0084490B">
              <w:rPr>
                <w:rFonts w:eastAsia="Calibri"/>
                <w:sz w:val="20"/>
              </w:rPr>
              <w:t xml:space="preserve"> to transport steel by ship owned by Canada Moon.  The charter-party made loading and offloading the steel the responsibility of </w:t>
            </w:r>
            <w:proofErr w:type="spellStart"/>
            <w:r w:rsidRPr="0084490B">
              <w:rPr>
                <w:rFonts w:eastAsia="Calibri"/>
                <w:sz w:val="20"/>
              </w:rPr>
              <w:t>Cosipa</w:t>
            </w:r>
            <w:proofErr w:type="spellEnd"/>
            <w:r w:rsidRPr="0084490B">
              <w:rPr>
                <w:rFonts w:eastAsia="Calibri"/>
                <w:sz w:val="20"/>
              </w:rPr>
              <w:t xml:space="preserve">, while </w:t>
            </w:r>
            <w:proofErr w:type="spellStart"/>
            <w:r w:rsidRPr="0084490B">
              <w:rPr>
                <w:rFonts w:eastAsia="Calibri"/>
                <w:sz w:val="20"/>
              </w:rPr>
              <w:t>Fednav</w:t>
            </w:r>
            <w:proofErr w:type="spellEnd"/>
            <w:r w:rsidRPr="0084490B">
              <w:rPr>
                <w:rFonts w:eastAsia="Calibri"/>
                <w:sz w:val="20"/>
              </w:rPr>
              <w:t xml:space="preserve"> was responsible for covering the steel with plastic.  When a dispute arose between </w:t>
            </w:r>
            <w:proofErr w:type="spellStart"/>
            <w:r w:rsidRPr="0084490B">
              <w:rPr>
                <w:rFonts w:eastAsia="Calibri"/>
                <w:sz w:val="20"/>
              </w:rPr>
              <w:t>Cosipa</w:t>
            </w:r>
            <w:proofErr w:type="spellEnd"/>
            <w:r w:rsidRPr="0084490B">
              <w:rPr>
                <w:rFonts w:eastAsia="Calibri"/>
                <w:sz w:val="20"/>
              </w:rPr>
              <w:t xml:space="preserve"> and </w:t>
            </w:r>
            <w:proofErr w:type="spellStart"/>
            <w:r w:rsidRPr="0084490B">
              <w:rPr>
                <w:rFonts w:eastAsia="Calibri"/>
                <w:sz w:val="20"/>
              </w:rPr>
              <w:t>Fednav</w:t>
            </w:r>
            <w:proofErr w:type="spellEnd"/>
            <w:r w:rsidRPr="0084490B">
              <w:rPr>
                <w:rFonts w:eastAsia="Calibri"/>
                <w:sz w:val="20"/>
              </w:rPr>
              <w:t xml:space="preserve"> about the use of plastic covers, </w:t>
            </w:r>
            <w:proofErr w:type="spellStart"/>
            <w:r w:rsidRPr="0084490B">
              <w:rPr>
                <w:rFonts w:eastAsia="Calibri"/>
                <w:sz w:val="20"/>
              </w:rPr>
              <w:t>Cosipa</w:t>
            </w:r>
            <w:proofErr w:type="spellEnd"/>
            <w:r w:rsidRPr="0084490B">
              <w:rPr>
                <w:rFonts w:eastAsia="Calibri"/>
                <w:sz w:val="20"/>
              </w:rPr>
              <w:t xml:space="preserve"> issued a letter of intent to </w:t>
            </w:r>
            <w:proofErr w:type="spellStart"/>
            <w:r w:rsidRPr="0084490B">
              <w:rPr>
                <w:rFonts w:eastAsia="Calibri"/>
                <w:sz w:val="20"/>
              </w:rPr>
              <w:t>Fednav</w:t>
            </w:r>
            <w:proofErr w:type="spellEnd"/>
            <w:r w:rsidRPr="0084490B">
              <w:rPr>
                <w:rFonts w:eastAsia="Calibri"/>
                <w:sz w:val="20"/>
              </w:rPr>
              <w:t xml:space="preserve">, confirming that it would relieve </w:t>
            </w:r>
            <w:proofErr w:type="spellStart"/>
            <w:r w:rsidRPr="0084490B">
              <w:rPr>
                <w:rFonts w:eastAsia="Calibri"/>
                <w:sz w:val="20"/>
              </w:rPr>
              <w:t>Fednav</w:t>
            </w:r>
            <w:proofErr w:type="spellEnd"/>
            <w:r w:rsidRPr="0084490B">
              <w:rPr>
                <w:rFonts w:eastAsia="Calibri"/>
                <w:sz w:val="20"/>
              </w:rPr>
              <w:t xml:space="preserve"> and Canada Moon from any liability for damage to the steel from covers as long as the ship’s ventilation system was properly functioning during transport.  Two bills of lading were issued to T. Co Metals who commenced an action for compensation from Canada Moon and </w:t>
            </w:r>
            <w:proofErr w:type="spellStart"/>
            <w:r w:rsidRPr="0084490B">
              <w:rPr>
                <w:rFonts w:eastAsia="Calibri"/>
                <w:sz w:val="20"/>
              </w:rPr>
              <w:t>Fednav</w:t>
            </w:r>
            <w:proofErr w:type="spellEnd"/>
            <w:r w:rsidRPr="0084490B">
              <w:rPr>
                <w:rFonts w:eastAsia="Calibri"/>
                <w:sz w:val="20"/>
              </w:rPr>
              <w:t xml:space="preserve"> for damage to the steel.  Canada Moon and </w:t>
            </w:r>
            <w:proofErr w:type="spellStart"/>
            <w:r w:rsidRPr="0084490B">
              <w:rPr>
                <w:rFonts w:eastAsia="Calibri"/>
                <w:sz w:val="20"/>
              </w:rPr>
              <w:t>Fednav</w:t>
            </w:r>
            <w:proofErr w:type="spellEnd"/>
            <w:r w:rsidRPr="0084490B">
              <w:rPr>
                <w:rFonts w:eastAsia="Calibri"/>
                <w:sz w:val="20"/>
              </w:rPr>
              <w:t xml:space="preserve"> defended and filed a third-party claim against </w:t>
            </w:r>
            <w:proofErr w:type="spellStart"/>
            <w:r w:rsidRPr="0084490B">
              <w:rPr>
                <w:rFonts w:eastAsia="Calibri"/>
                <w:sz w:val="20"/>
              </w:rPr>
              <w:t>Cosipa</w:t>
            </w:r>
            <w:proofErr w:type="spellEnd"/>
            <w:r w:rsidRPr="0084490B">
              <w:rPr>
                <w:rFonts w:eastAsia="Calibri"/>
                <w:sz w:val="20"/>
              </w:rPr>
              <w:t xml:space="preserve">. </w:t>
            </w:r>
            <w:proofErr w:type="spellStart"/>
            <w:r w:rsidRPr="0084490B">
              <w:rPr>
                <w:rFonts w:eastAsia="Calibri"/>
                <w:sz w:val="20"/>
              </w:rPr>
              <w:t>Cosipa</w:t>
            </w:r>
            <w:proofErr w:type="spellEnd"/>
            <w:r w:rsidRPr="0084490B">
              <w:rPr>
                <w:rFonts w:eastAsia="Calibri"/>
                <w:sz w:val="20"/>
              </w:rPr>
              <w:t xml:space="preserve"> moved for a stay of the claims on the basis that the parties had agreed to submit disputes arising under the charter-party to arbitration in New York.  A </w:t>
            </w:r>
            <w:proofErr w:type="spellStart"/>
            <w:r w:rsidRPr="0084490B">
              <w:rPr>
                <w:rFonts w:eastAsia="Calibri"/>
                <w:sz w:val="20"/>
              </w:rPr>
              <w:t>Prothonotary</w:t>
            </w:r>
            <w:proofErr w:type="spellEnd"/>
            <w:r w:rsidRPr="0084490B">
              <w:rPr>
                <w:rFonts w:eastAsia="Calibri"/>
                <w:sz w:val="20"/>
              </w:rPr>
              <w:t xml:space="preserve"> dismissed </w:t>
            </w:r>
            <w:proofErr w:type="spellStart"/>
            <w:r w:rsidRPr="0084490B">
              <w:rPr>
                <w:rFonts w:eastAsia="Calibri"/>
                <w:sz w:val="20"/>
              </w:rPr>
              <w:t>Cosipa’s</w:t>
            </w:r>
            <w:proofErr w:type="spellEnd"/>
            <w:r w:rsidRPr="0084490B">
              <w:rPr>
                <w:rFonts w:eastAsia="Calibri"/>
                <w:sz w:val="20"/>
              </w:rPr>
              <w:t xml:space="preserve"> motion, but a Federal Court judge later allowed it.  The judge considered the charter-party to govern the relationship between </w:t>
            </w:r>
            <w:proofErr w:type="spellStart"/>
            <w:r w:rsidRPr="0084490B">
              <w:rPr>
                <w:rFonts w:eastAsia="Calibri"/>
                <w:sz w:val="20"/>
              </w:rPr>
              <w:t>Cosipa</w:t>
            </w:r>
            <w:proofErr w:type="spellEnd"/>
            <w:r w:rsidRPr="0084490B">
              <w:rPr>
                <w:rFonts w:eastAsia="Calibri"/>
                <w:sz w:val="20"/>
              </w:rPr>
              <w:t xml:space="preserve">, Canada Moon and </w:t>
            </w:r>
            <w:proofErr w:type="spellStart"/>
            <w:r w:rsidRPr="0084490B">
              <w:rPr>
                <w:rFonts w:eastAsia="Calibri"/>
                <w:sz w:val="20"/>
              </w:rPr>
              <w:t>Fednav</w:t>
            </w:r>
            <w:proofErr w:type="spellEnd"/>
            <w:r w:rsidRPr="0084490B">
              <w:rPr>
                <w:rFonts w:eastAsia="Calibri"/>
                <w:sz w:val="20"/>
              </w:rPr>
              <w:t xml:space="preserve">, and that the letter of intent was merely an amendment to the charter-party, not a standalone agreement.  He stayed the third-party claim pending the conclusion of arbitration.  The Federal Court of Appeal allowed the stay of </w:t>
            </w:r>
            <w:proofErr w:type="spellStart"/>
            <w:r w:rsidRPr="0084490B">
              <w:rPr>
                <w:rFonts w:eastAsia="Calibri"/>
                <w:sz w:val="20"/>
              </w:rPr>
              <w:t>Fednav’s</w:t>
            </w:r>
            <w:proofErr w:type="spellEnd"/>
            <w:r w:rsidRPr="0084490B">
              <w:rPr>
                <w:rFonts w:eastAsia="Calibri"/>
                <w:sz w:val="20"/>
              </w:rPr>
              <w:t xml:space="preserve"> third-party claim, but not that of Canada Moon. </w:t>
            </w:r>
          </w:p>
          <w:p w:rsidR="006B0EA7" w:rsidRPr="0084490B" w:rsidRDefault="006B0EA7" w:rsidP="00120F8A">
            <w:pPr>
              <w:jc w:val="both"/>
              <w:rPr>
                <w:rFonts w:eastAsia="Calibri"/>
                <w:sz w:val="20"/>
              </w:rPr>
            </w:pPr>
          </w:p>
        </w:tc>
      </w:tr>
      <w:tr w:rsidR="006B0EA7" w:rsidRPr="0084490B" w:rsidTr="00120F8A">
        <w:tblPrEx>
          <w:tblCellMar>
            <w:bottom w:w="0" w:type="dxa"/>
          </w:tblCellMar>
        </w:tblPrEx>
        <w:tc>
          <w:tcPr>
            <w:tcW w:w="2390" w:type="pct"/>
          </w:tcPr>
          <w:p w:rsidR="006B0EA7" w:rsidRPr="0084490B" w:rsidRDefault="006B0EA7" w:rsidP="00120F8A">
            <w:pPr>
              <w:jc w:val="both"/>
              <w:rPr>
                <w:rFonts w:eastAsia="Calibri"/>
                <w:sz w:val="20"/>
              </w:rPr>
            </w:pPr>
            <w:r w:rsidRPr="0084490B">
              <w:rPr>
                <w:rFonts w:eastAsia="Calibri"/>
                <w:sz w:val="20"/>
              </w:rPr>
              <w:t>March 10, 2011</w:t>
            </w:r>
          </w:p>
          <w:p w:rsidR="006B0EA7" w:rsidRPr="0084490B" w:rsidRDefault="006B0EA7" w:rsidP="00120F8A">
            <w:pPr>
              <w:jc w:val="both"/>
              <w:rPr>
                <w:rFonts w:eastAsia="Calibri"/>
                <w:sz w:val="20"/>
              </w:rPr>
            </w:pPr>
            <w:r w:rsidRPr="0084490B">
              <w:rPr>
                <w:rFonts w:eastAsia="Calibri"/>
                <w:sz w:val="20"/>
              </w:rPr>
              <w:t>Federal Court</w:t>
            </w:r>
          </w:p>
          <w:p w:rsidR="006B0EA7" w:rsidRPr="0084490B" w:rsidRDefault="006B0EA7" w:rsidP="00120F8A">
            <w:pPr>
              <w:jc w:val="both"/>
              <w:rPr>
                <w:rFonts w:eastAsia="Calibri"/>
                <w:sz w:val="20"/>
              </w:rPr>
            </w:pPr>
            <w:r w:rsidRPr="0084490B">
              <w:rPr>
                <w:rFonts w:eastAsia="Calibri"/>
                <w:sz w:val="20"/>
              </w:rPr>
              <w:t>(</w:t>
            </w:r>
            <w:proofErr w:type="spellStart"/>
            <w:r w:rsidRPr="0084490B">
              <w:rPr>
                <w:rFonts w:eastAsia="Calibri"/>
                <w:sz w:val="20"/>
              </w:rPr>
              <w:t>Prothonotary</w:t>
            </w:r>
            <w:proofErr w:type="spellEnd"/>
            <w:r w:rsidRPr="0084490B">
              <w:rPr>
                <w:rFonts w:eastAsia="Calibri"/>
                <w:sz w:val="20"/>
              </w:rPr>
              <w:t xml:space="preserve"> </w:t>
            </w:r>
            <w:proofErr w:type="spellStart"/>
            <w:r w:rsidRPr="0084490B">
              <w:rPr>
                <w:rFonts w:eastAsia="Calibri"/>
                <w:sz w:val="20"/>
              </w:rPr>
              <w:t>Morneau</w:t>
            </w:r>
            <w:proofErr w:type="spellEnd"/>
            <w:r w:rsidRPr="0084490B">
              <w:rPr>
                <w:rFonts w:eastAsia="Calibri"/>
                <w:sz w:val="20"/>
              </w:rPr>
              <w:t>)</w:t>
            </w:r>
          </w:p>
          <w:p w:rsidR="006B0EA7" w:rsidRPr="0084490B" w:rsidRDefault="006B0EA7" w:rsidP="00120F8A">
            <w:pPr>
              <w:jc w:val="both"/>
              <w:rPr>
                <w:rFonts w:eastAsia="Calibri"/>
                <w:sz w:val="20"/>
              </w:rPr>
            </w:pPr>
            <w:r w:rsidRPr="0084490B">
              <w:rPr>
                <w:rFonts w:eastAsia="Calibri"/>
                <w:sz w:val="20"/>
              </w:rPr>
              <w:t>2011 FC 291</w:t>
            </w:r>
          </w:p>
          <w:p w:rsidR="006B0EA7" w:rsidRPr="0084490B" w:rsidRDefault="006B0EA7" w:rsidP="00120F8A">
            <w:pPr>
              <w:jc w:val="both"/>
              <w:rPr>
                <w:rFonts w:eastAsia="Calibri"/>
                <w:sz w:val="20"/>
              </w:rPr>
            </w:pPr>
          </w:p>
        </w:tc>
        <w:tc>
          <w:tcPr>
            <w:tcW w:w="270" w:type="pct"/>
          </w:tcPr>
          <w:p w:rsidR="006B0EA7" w:rsidRPr="0084490B" w:rsidRDefault="006B0EA7" w:rsidP="00120F8A">
            <w:pPr>
              <w:jc w:val="both"/>
              <w:rPr>
                <w:rFonts w:eastAsia="Calibri"/>
                <w:sz w:val="20"/>
              </w:rPr>
            </w:pPr>
          </w:p>
        </w:tc>
        <w:tc>
          <w:tcPr>
            <w:tcW w:w="2340" w:type="pct"/>
          </w:tcPr>
          <w:p w:rsidR="006B0EA7" w:rsidRPr="0084490B" w:rsidRDefault="006B0EA7" w:rsidP="00120F8A">
            <w:pPr>
              <w:jc w:val="both"/>
              <w:rPr>
                <w:rFonts w:eastAsia="Calibri"/>
                <w:sz w:val="20"/>
              </w:rPr>
            </w:pPr>
            <w:proofErr w:type="spellStart"/>
            <w:r w:rsidRPr="0084490B">
              <w:rPr>
                <w:rFonts w:eastAsia="Calibri"/>
                <w:sz w:val="20"/>
              </w:rPr>
              <w:t>Cosipa’s</w:t>
            </w:r>
            <w:proofErr w:type="spellEnd"/>
            <w:r w:rsidRPr="0084490B">
              <w:rPr>
                <w:rFonts w:eastAsia="Calibri"/>
                <w:sz w:val="20"/>
              </w:rPr>
              <w:t xml:space="preserve"> motion for stay of third-party proceedings in favour of arbitration proceedings dismissed.</w:t>
            </w:r>
          </w:p>
        </w:tc>
      </w:tr>
      <w:tr w:rsidR="006B0EA7" w:rsidRPr="0084490B" w:rsidTr="00120F8A">
        <w:tblPrEx>
          <w:tblCellMar>
            <w:bottom w:w="0" w:type="dxa"/>
          </w:tblCellMar>
        </w:tblPrEx>
        <w:tc>
          <w:tcPr>
            <w:tcW w:w="2390" w:type="pct"/>
          </w:tcPr>
          <w:p w:rsidR="006B0EA7" w:rsidRPr="0084490B" w:rsidRDefault="006B0EA7" w:rsidP="00120F8A">
            <w:pPr>
              <w:jc w:val="both"/>
              <w:rPr>
                <w:rFonts w:eastAsia="Calibri"/>
                <w:sz w:val="20"/>
              </w:rPr>
            </w:pPr>
            <w:r w:rsidRPr="0084490B">
              <w:rPr>
                <w:rFonts w:eastAsia="Calibri"/>
                <w:sz w:val="20"/>
              </w:rPr>
              <w:t>September 12, 2011</w:t>
            </w:r>
          </w:p>
          <w:p w:rsidR="006B0EA7" w:rsidRPr="0084490B" w:rsidRDefault="006B0EA7" w:rsidP="00120F8A">
            <w:pPr>
              <w:jc w:val="both"/>
              <w:rPr>
                <w:rFonts w:eastAsia="Calibri"/>
                <w:sz w:val="20"/>
              </w:rPr>
            </w:pPr>
            <w:r w:rsidRPr="0084490B">
              <w:rPr>
                <w:rFonts w:eastAsia="Calibri"/>
                <w:sz w:val="20"/>
              </w:rPr>
              <w:t>Federal Court</w:t>
            </w:r>
          </w:p>
          <w:p w:rsidR="006B0EA7" w:rsidRPr="0084490B" w:rsidRDefault="006B0EA7" w:rsidP="00120F8A">
            <w:pPr>
              <w:jc w:val="both"/>
              <w:rPr>
                <w:rFonts w:eastAsia="Calibri"/>
                <w:sz w:val="20"/>
              </w:rPr>
            </w:pPr>
            <w:r w:rsidRPr="0084490B">
              <w:rPr>
                <w:rFonts w:eastAsia="Calibri"/>
                <w:sz w:val="20"/>
              </w:rPr>
              <w:t>(Scott J.)</w:t>
            </w:r>
          </w:p>
          <w:p w:rsidR="006B0EA7" w:rsidRPr="0084490B" w:rsidRDefault="006B0EA7" w:rsidP="00120F8A">
            <w:pPr>
              <w:jc w:val="both"/>
              <w:rPr>
                <w:rFonts w:eastAsia="Calibri"/>
                <w:sz w:val="20"/>
              </w:rPr>
            </w:pPr>
            <w:r w:rsidRPr="0084490B">
              <w:rPr>
                <w:rFonts w:eastAsia="Calibri"/>
                <w:sz w:val="20"/>
              </w:rPr>
              <w:t>2011 FC 1067</w:t>
            </w:r>
          </w:p>
          <w:p w:rsidR="006B0EA7" w:rsidRPr="0084490B" w:rsidRDefault="006B0EA7" w:rsidP="00120F8A">
            <w:pPr>
              <w:jc w:val="both"/>
              <w:rPr>
                <w:rFonts w:eastAsia="Calibri"/>
                <w:sz w:val="20"/>
              </w:rPr>
            </w:pPr>
          </w:p>
        </w:tc>
        <w:tc>
          <w:tcPr>
            <w:tcW w:w="270" w:type="pct"/>
          </w:tcPr>
          <w:p w:rsidR="006B0EA7" w:rsidRPr="0084490B" w:rsidRDefault="006B0EA7" w:rsidP="00120F8A">
            <w:pPr>
              <w:jc w:val="both"/>
              <w:rPr>
                <w:rFonts w:eastAsia="Calibri"/>
                <w:sz w:val="20"/>
              </w:rPr>
            </w:pPr>
          </w:p>
        </w:tc>
        <w:tc>
          <w:tcPr>
            <w:tcW w:w="2340" w:type="pct"/>
          </w:tcPr>
          <w:p w:rsidR="006B0EA7" w:rsidRPr="0084490B" w:rsidRDefault="006B0EA7" w:rsidP="00120F8A">
            <w:pPr>
              <w:jc w:val="both"/>
              <w:rPr>
                <w:rFonts w:eastAsia="Calibri"/>
                <w:sz w:val="20"/>
              </w:rPr>
            </w:pPr>
            <w:r w:rsidRPr="0084490B">
              <w:rPr>
                <w:rFonts w:eastAsia="Calibri"/>
                <w:sz w:val="20"/>
              </w:rPr>
              <w:t>Appeal allowed and stay granted.</w:t>
            </w:r>
          </w:p>
        </w:tc>
      </w:tr>
      <w:tr w:rsidR="006B0EA7" w:rsidRPr="0084490B" w:rsidTr="00120F8A">
        <w:tblPrEx>
          <w:tblCellMar>
            <w:bottom w:w="0" w:type="dxa"/>
          </w:tblCellMar>
        </w:tblPrEx>
        <w:tc>
          <w:tcPr>
            <w:tcW w:w="2390" w:type="pct"/>
          </w:tcPr>
          <w:p w:rsidR="006B0EA7" w:rsidRPr="0084490B" w:rsidRDefault="006B0EA7" w:rsidP="00120F8A">
            <w:pPr>
              <w:jc w:val="both"/>
              <w:rPr>
                <w:rFonts w:eastAsia="Calibri"/>
                <w:sz w:val="20"/>
              </w:rPr>
            </w:pPr>
            <w:r w:rsidRPr="0084490B">
              <w:rPr>
                <w:rFonts w:eastAsia="Calibri"/>
                <w:sz w:val="20"/>
              </w:rPr>
              <w:t>November 8, 2012</w:t>
            </w:r>
          </w:p>
          <w:p w:rsidR="006B0EA7" w:rsidRPr="0084490B" w:rsidRDefault="006B0EA7" w:rsidP="00120F8A">
            <w:pPr>
              <w:jc w:val="both"/>
              <w:rPr>
                <w:rFonts w:eastAsia="Calibri"/>
                <w:sz w:val="20"/>
              </w:rPr>
            </w:pPr>
            <w:r w:rsidRPr="0084490B">
              <w:rPr>
                <w:rFonts w:eastAsia="Calibri"/>
                <w:sz w:val="20"/>
              </w:rPr>
              <w:t>Federal Court of Appeal</w:t>
            </w:r>
          </w:p>
          <w:p w:rsidR="006B0EA7" w:rsidRPr="0084490B" w:rsidRDefault="006B0EA7" w:rsidP="00120F8A">
            <w:pPr>
              <w:jc w:val="both"/>
              <w:rPr>
                <w:rFonts w:eastAsia="Calibri"/>
                <w:sz w:val="20"/>
              </w:rPr>
            </w:pPr>
            <w:r w:rsidRPr="0084490B">
              <w:rPr>
                <w:rFonts w:eastAsia="Calibri"/>
                <w:sz w:val="20"/>
              </w:rPr>
              <w:t xml:space="preserve">(Pelletier, Gauthier and </w:t>
            </w:r>
            <w:proofErr w:type="spellStart"/>
            <w:r w:rsidRPr="0084490B">
              <w:rPr>
                <w:rFonts w:eastAsia="Calibri"/>
                <w:sz w:val="20"/>
              </w:rPr>
              <w:t>Mainville</w:t>
            </w:r>
            <w:proofErr w:type="spellEnd"/>
            <w:r w:rsidRPr="0084490B">
              <w:rPr>
                <w:rFonts w:eastAsia="Calibri"/>
                <w:sz w:val="20"/>
              </w:rPr>
              <w:t xml:space="preserve"> JJ.A.)</w:t>
            </w:r>
          </w:p>
          <w:p w:rsidR="006B0EA7" w:rsidRPr="0084490B" w:rsidRDefault="006B0EA7" w:rsidP="00120F8A">
            <w:pPr>
              <w:jc w:val="both"/>
              <w:rPr>
                <w:rFonts w:eastAsia="Calibri"/>
                <w:sz w:val="20"/>
              </w:rPr>
            </w:pPr>
            <w:r w:rsidRPr="0084490B">
              <w:rPr>
                <w:rFonts w:eastAsia="Calibri"/>
                <w:sz w:val="20"/>
              </w:rPr>
              <w:t>2012 FCA 284</w:t>
            </w:r>
          </w:p>
          <w:p w:rsidR="006B0EA7" w:rsidRPr="0084490B" w:rsidRDefault="006B0EA7" w:rsidP="00120F8A">
            <w:pPr>
              <w:jc w:val="both"/>
              <w:rPr>
                <w:rFonts w:eastAsia="Calibri"/>
                <w:sz w:val="20"/>
              </w:rPr>
            </w:pPr>
          </w:p>
        </w:tc>
        <w:tc>
          <w:tcPr>
            <w:tcW w:w="270" w:type="pct"/>
          </w:tcPr>
          <w:p w:rsidR="006B0EA7" w:rsidRPr="0084490B" w:rsidRDefault="006B0EA7" w:rsidP="00120F8A">
            <w:pPr>
              <w:jc w:val="both"/>
              <w:rPr>
                <w:rFonts w:eastAsia="Calibri"/>
                <w:sz w:val="20"/>
              </w:rPr>
            </w:pPr>
          </w:p>
        </w:tc>
        <w:tc>
          <w:tcPr>
            <w:tcW w:w="2340" w:type="pct"/>
          </w:tcPr>
          <w:p w:rsidR="006B0EA7" w:rsidRPr="0084490B" w:rsidRDefault="006B0EA7" w:rsidP="00120F8A">
            <w:pPr>
              <w:jc w:val="both"/>
              <w:rPr>
                <w:rFonts w:eastAsia="Calibri"/>
                <w:sz w:val="20"/>
              </w:rPr>
            </w:pPr>
            <w:r w:rsidRPr="0084490B">
              <w:rPr>
                <w:rFonts w:eastAsia="Calibri"/>
                <w:sz w:val="20"/>
              </w:rPr>
              <w:t>Appeal allowed in part; Canada Moon’s third-party claim no longer stayed.</w:t>
            </w:r>
          </w:p>
          <w:p w:rsidR="006B0EA7" w:rsidRPr="0084490B" w:rsidRDefault="006B0EA7" w:rsidP="00120F8A">
            <w:pPr>
              <w:jc w:val="both"/>
              <w:rPr>
                <w:rFonts w:eastAsia="Calibri"/>
                <w:sz w:val="20"/>
              </w:rPr>
            </w:pPr>
          </w:p>
        </w:tc>
      </w:tr>
      <w:tr w:rsidR="006B0EA7" w:rsidRPr="0084490B" w:rsidTr="00120F8A">
        <w:tblPrEx>
          <w:tblCellMar>
            <w:bottom w:w="0" w:type="dxa"/>
          </w:tblCellMar>
        </w:tblPrEx>
        <w:tc>
          <w:tcPr>
            <w:tcW w:w="2390" w:type="pct"/>
          </w:tcPr>
          <w:p w:rsidR="006B0EA7" w:rsidRPr="0084490B" w:rsidRDefault="006B0EA7" w:rsidP="00120F8A">
            <w:pPr>
              <w:jc w:val="both"/>
              <w:rPr>
                <w:rFonts w:eastAsia="Calibri"/>
                <w:sz w:val="20"/>
              </w:rPr>
            </w:pPr>
            <w:r w:rsidRPr="0084490B">
              <w:rPr>
                <w:rFonts w:eastAsia="Calibri"/>
                <w:sz w:val="20"/>
              </w:rPr>
              <w:t>January 7, 2013</w:t>
            </w:r>
          </w:p>
          <w:p w:rsidR="006B0EA7" w:rsidRPr="0084490B" w:rsidRDefault="006B0EA7" w:rsidP="00120F8A">
            <w:pPr>
              <w:jc w:val="both"/>
              <w:rPr>
                <w:rFonts w:eastAsia="Calibri"/>
                <w:sz w:val="20"/>
              </w:rPr>
            </w:pPr>
            <w:r w:rsidRPr="0084490B">
              <w:rPr>
                <w:rFonts w:eastAsia="Calibri"/>
                <w:sz w:val="20"/>
              </w:rPr>
              <w:t>Supreme Court of Canada</w:t>
            </w:r>
          </w:p>
        </w:tc>
        <w:tc>
          <w:tcPr>
            <w:tcW w:w="270" w:type="pct"/>
          </w:tcPr>
          <w:p w:rsidR="006B0EA7" w:rsidRPr="0084490B" w:rsidRDefault="006B0EA7" w:rsidP="00120F8A">
            <w:pPr>
              <w:jc w:val="both"/>
              <w:rPr>
                <w:rFonts w:eastAsia="Calibri"/>
                <w:sz w:val="20"/>
              </w:rPr>
            </w:pPr>
          </w:p>
        </w:tc>
        <w:tc>
          <w:tcPr>
            <w:tcW w:w="2340" w:type="pct"/>
          </w:tcPr>
          <w:p w:rsidR="006B0EA7" w:rsidRPr="0084490B" w:rsidRDefault="006B0EA7" w:rsidP="00120F8A">
            <w:pPr>
              <w:jc w:val="both"/>
              <w:rPr>
                <w:rFonts w:eastAsia="Calibri"/>
                <w:sz w:val="20"/>
              </w:rPr>
            </w:pPr>
            <w:proofErr w:type="spellStart"/>
            <w:r w:rsidRPr="0084490B">
              <w:rPr>
                <w:rFonts w:eastAsia="Calibri"/>
                <w:sz w:val="20"/>
              </w:rPr>
              <w:t>Fednav</w:t>
            </w:r>
            <w:proofErr w:type="spellEnd"/>
            <w:r w:rsidRPr="0084490B">
              <w:rPr>
                <w:rFonts w:eastAsia="Calibri"/>
                <w:sz w:val="20"/>
              </w:rPr>
              <w:t xml:space="preserve"> and </w:t>
            </w:r>
            <w:proofErr w:type="spellStart"/>
            <w:r w:rsidRPr="0084490B">
              <w:rPr>
                <w:rFonts w:eastAsia="Calibri"/>
                <w:sz w:val="20"/>
              </w:rPr>
              <w:t>Cosipa</w:t>
            </w:r>
            <w:proofErr w:type="spellEnd"/>
            <w:r w:rsidRPr="0084490B">
              <w:rPr>
                <w:rFonts w:eastAsia="Calibri"/>
                <w:sz w:val="20"/>
              </w:rPr>
              <w:t xml:space="preserve"> applications for leave to appeal filed.</w:t>
            </w:r>
          </w:p>
        </w:tc>
      </w:tr>
    </w:tbl>
    <w:p w:rsidR="00EA65C4" w:rsidRDefault="00EA65C4" w:rsidP="00EA65C4">
      <w:pPr>
        <w:rPr>
          <w:sz w:val="20"/>
          <w:szCs w:val="20"/>
        </w:rPr>
      </w:pPr>
    </w:p>
    <w:p w:rsidR="00EA65C4" w:rsidRPr="00C50A5C" w:rsidRDefault="0028676C" w:rsidP="00EA65C4">
      <w:pPr>
        <w:rPr>
          <w:sz w:val="20"/>
          <w:szCs w:val="20"/>
        </w:rPr>
      </w:pPr>
      <w:r w:rsidRPr="0028676C">
        <w:rPr>
          <w:sz w:val="20"/>
          <w:szCs w:val="20"/>
          <w:lang w:val="fr-CA"/>
        </w:rPr>
        <w:pict>
          <v:rect id="_x0000_i1049" style="width:2in;height:1pt" o:hrpct="0" o:hralign="center" o:hrstd="t" o:hrnoshade="t" o:hr="t" fillcolor="black [3213]" stroked="f"/>
        </w:pict>
      </w:r>
    </w:p>
    <w:p w:rsidR="00EA65C4" w:rsidRDefault="00EA65C4" w:rsidP="00EA65C4">
      <w:pPr>
        <w:rPr>
          <w:sz w:val="20"/>
          <w:szCs w:val="20"/>
        </w:rPr>
      </w:pPr>
    </w:p>
    <w:p w:rsidR="00EA65C4" w:rsidRPr="001B157C" w:rsidRDefault="00EA65C4" w:rsidP="00EA65C4">
      <w:pPr>
        <w:rPr>
          <w:sz w:val="20"/>
          <w:szCs w:val="20"/>
          <w:u w:val="single"/>
          <w:lang w:val="fr-CA"/>
        </w:rPr>
      </w:pPr>
      <w:r w:rsidRPr="001B157C">
        <w:rPr>
          <w:sz w:val="20"/>
          <w:szCs w:val="20"/>
          <w:u w:val="single"/>
          <w:lang w:val="fr-CA"/>
        </w:rPr>
        <w:t>RÉSUMÉ DE L’AFFAIRE</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6B0EA7" w:rsidRPr="00B6040C" w:rsidTr="00120F8A">
        <w:tc>
          <w:tcPr>
            <w:tcW w:w="5000" w:type="pct"/>
            <w:gridSpan w:val="3"/>
          </w:tcPr>
          <w:p w:rsidR="006B0EA7" w:rsidRPr="0084490B" w:rsidRDefault="006B0EA7" w:rsidP="00120F8A">
            <w:pPr>
              <w:jc w:val="both"/>
              <w:rPr>
                <w:rFonts w:eastAsia="Calibri"/>
                <w:sz w:val="20"/>
                <w:lang w:val="fr-FR"/>
              </w:rPr>
            </w:pPr>
            <w:r w:rsidRPr="0084490B">
              <w:rPr>
                <w:rFonts w:eastAsia="Calibri"/>
                <w:sz w:val="20"/>
                <w:lang w:val="fr-FR"/>
              </w:rPr>
              <w:t xml:space="preserve">Droit maritime — Transport des marchandises — Contrats — Arbitrage — </w:t>
            </w:r>
            <w:proofErr w:type="spellStart"/>
            <w:r w:rsidRPr="0084490B">
              <w:rPr>
                <w:rFonts w:eastAsia="Calibri"/>
                <w:sz w:val="20"/>
                <w:lang w:val="fr-FR"/>
              </w:rPr>
              <w:t>Cosipa</w:t>
            </w:r>
            <w:proofErr w:type="spellEnd"/>
            <w:r w:rsidRPr="0084490B">
              <w:rPr>
                <w:rFonts w:eastAsia="Calibri"/>
                <w:sz w:val="20"/>
                <w:lang w:val="fr-FR"/>
              </w:rPr>
              <w:t xml:space="preserve"> a conclu une charte-partie avec </w:t>
            </w:r>
            <w:proofErr w:type="spellStart"/>
            <w:r w:rsidRPr="0084490B">
              <w:rPr>
                <w:rFonts w:eastAsia="Calibri"/>
                <w:sz w:val="20"/>
                <w:lang w:val="fr-FR"/>
              </w:rPr>
              <w:t>Fednav</w:t>
            </w:r>
            <w:proofErr w:type="spellEnd"/>
            <w:r w:rsidRPr="0084490B">
              <w:rPr>
                <w:rFonts w:eastAsia="Calibri"/>
                <w:sz w:val="20"/>
                <w:lang w:val="fr-FR"/>
              </w:rPr>
              <w:t xml:space="preserve"> pour faire transporter de l’acier du Brésil au Canada au moyen d’un navire appartenant à Canada Moon — Selon la charte-partie, la responsabilité de charger et de décharger l’acier incombait à </w:t>
            </w:r>
            <w:proofErr w:type="spellStart"/>
            <w:r w:rsidRPr="0084490B">
              <w:rPr>
                <w:rFonts w:eastAsia="Calibri"/>
                <w:sz w:val="20"/>
                <w:lang w:val="fr-FR"/>
              </w:rPr>
              <w:t>Cosipa</w:t>
            </w:r>
            <w:proofErr w:type="spellEnd"/>
            <w:r w:rsidRPr="0084490B">
              <w:rPr>
                <w:rFonts w:eastAsia="Calibri"/>
                <w:sz w:val="20"/>
                <w:lang w:val="fr-FR"/>
              </w:rPr>
              <w:t xml:space="preserve"> tandis que </w:t>
            </w:r>
            <w:proofErr w:type="spellStart"/>
            <w:r w:rsidRPr="0084490B">
              <w:rPr>
                <w:rFonts w:eastAsia="Calibri"/>
                <w:sz w:val="20"/>
                <w:lang w:val="fr-FR"/>
              </w:rPr>
              <w:t>Fednav</w:t>
            </w:r>
            <w:proofErr w:type="spellEnd"/>
            <w:r w:rsidRPr="0084490B">
              <w:rPr>
                <w:rFonts w:eastAsia="Calibri"/>
                <w:sz w:val="20"/>
                <w:lang w:val="fr-FR"/>
              </w:rPr>
              <w:t xml:space="preserve"> devait recouvrir l’acier de plastique — Lorsqu’un conflit est intervenu entre elle et </w:t>
            </w:r>
            <w:proofErr w:type="spellStart"/>
            <w:r w:rsidRPr="0084490B">
              <w:rPr>
                <w:rFonts w:eastAsia="Calibri"/>
                <w:sz w:val="20"/>
                <w:lang w:val="fr-FR"/>
              </w:rPr>
              <w:t>Fednav</w:t>
            </w:r>
            <w:proofErr w:type="spellEnd"/>
            <w:r w:rsidRPr="0084490B">
              <w:rPr>
                <w:rFonts w:eastAsia="Calibri"/>
                <w:sz w:val="20"/>
                <w:lang w:val="fr-FR"/>
              </w:rPr>
              <w:t xml:space="preserve"> au sujet des couvertures en plastique, </w:t>
            </w:r>
            <w:proofErr w:type="spellStart"/>
            <w:r w:rsidRPr="0084490B">
              <w:rPr>
                <w:rFonts w:eastAsia="Calibri"/>
                <w:sz w:val="20"/>
                <w:lang w:val="fr-FR"/>
              </w:rPr>
              <w:t>Cosipa</w:t>
            </w:r>
            <w:proofErr w:type="spellEnd"/>
            <w:r w:rsidRPr="0084490B">
              <w:rPr>
                <w:rFonts w:eastAsia="Calibri"/>
                <w:sz w:val="20"/>
                <w:lang w:val="fr-FR"/>
              </w:rPr>
              <w:t xml:space="preserve"> a envoyé une lettre d’intention à </w:t>
            </w:r>
            <w:proofErr w:type="spellStart"/>
            <w:r w:rsidRPr="0084490B">
              <w:rPr>
                <w:rFonts w:eastAsia="Calibri"/>
                <w:sz w:val="20"/>
                <w:lang w:val="fr-FR"/>
              </w:rPr>
              <w:t>Fednav</w:t>
            </w:r>
            <w:proofErr w:type="spellEnd"/>
            <w:r w:rsidRPr="0084490B">
              <w:rPr>
                <w:rFonts w:eastAsia="Calibri"/>
                <w:sz w:val="20"/>
                <w:lang w:val="fr-FR"/>
              </w:rPr>
              <w:t xml:space="preserve"> pour dégager celle-ci et Canada Moon de toute responsabilité pour les dommages causés à l’acier — Deux connaissements délivrés à T. Co </w:t>
            </w:r>
            <w:proofErr w:type="spellStart"/>
            <w:r w:rsidRPr="0084490B">
              <w:rPr>
                <w:rFonts w:eastAsia="Calibri"/>
                <w:sz w:val="20"/>
                <w:lang w:val="fr-FR"/>
              </w:rPr>
              <w:t>Metals</w:t>
            </w:r>
            <w:proofErr w:type="spellEnd"/>
            <w:r w:rsidRPr="0084490B">
              <w:rPr>
                <w:rFonts w:eastAsia="Calibri"/>
                <w:sz w:val="20"/>
                <w:lang w:val="fr-FR"/>
              </w:rPr>
              <w:t xml:space="preserve">, qui a intenté une action en vue de se faire indemniser par Canada Moon et </w:t>
            </w:r>
            <w:proofErr w:type="spellStart"/>
            <w:r w:rsidRPr="0084490B">
              <w:rPr>
                <w:rFonts w:eastAsia="Calibri"/>
                <w:sz w:val="20"/>
                <w:lang w:val="fr-FR"/>
              </w:rPr>
              <w:t>Fednav</w:t>
            </w:r>
            <w:proofErr w:type="spellEnd"/>
            <w:r w:rsidRPr="0084490B">
              <w:rPr>
                <w:rFonts w:eastAsia="Calibri"/>
                <w:sz w:val="20"/>
                <w:lang w:val="fr-FR"/>
              </w:rPr>
              <w:t xml:space="preserve"> pour les dommages qu’elle a subis — Canada Moon et </w:t>
            </w:r>
            <w:proofErr w:type="spellStart"/>
            <w:r w:rsidRPr="0084490B">
              <w:rPr>
                <w:rFonts w:eastAsia="Calibri"/>
                <w:sz w:val="20"/>
                <w:lang w:val="fr-FR"/>
              </w:rPr>
              <w:t>Fednav</w:t>
            </w:r>
            <w:proofErr w:type="spellEnd"/>
            <w:r w:rsidRPr="0084490B">
              <w:rPr>
                <w:rFonts w:eastAsia="Calibri"/>
                <w:sz w:val="20"/>
                <w:lang w:val="fr-FR"/>
              </w:rPr>
              <w:t xml:space="preserve"> ont présenté des demandes de mise en cause contre </w:t>
            </w:r>
            <w:proofErr w:type="spellStart"/>
            <w:r w:rsidRPr="0084490B">
              <w:rPr>
                <w:rFonts w:eastAsia="Calibri"/>
                <w:sz w:val="20"/>
                <w:lang w:val="fr-FR"/>
              </w:rPr>
              <w:t>Cosipa</w:t>
            </w:r>
            <w:proofErr w:type="spellEnd"/>
            <w:r w:rsidRPr="0084490B">
              <w:rPr>
                <w:rFonts w:eastAsia="Calibri"/>
                <w:sz w:val="20"/>
                <w:lang w:val="fr-FR"/>
              </w:rPr>
              <w:t xml:space="preserve"> — </w:t>
            </w:r>
            <w:proofErr w:type="spellStart"/>
            <w:r w:rsidRPr="0084490B">
              <w:rPr>
                <w:rFonts w:eastAsia="Calibri"/>
                <w:sz w:val="20"/>
                <w:lang w:val="fr-FR"/>
              </w:rPr>
              <w:t>Cosipa</w:t>
            </w:r>
            <w:proofErr w:type="spellEnd"/>
            <w:r w:rsidRPr="0084490B">
              <w:rPr>
                <w:rFonts w:eastAsia="Calibri"/>
                <w:sz w:val="20"/>
                <w:lang w:val="fr-FR"/>
              </w:rPr>
              <w:t xml:space="preserve"> a sollicité la suspension des demandes au motif que les parties avaient convenu de soumettre les litiges à l’arbitrage à New York — La charte-partie et les connaissements tombent-ils sous le coup de la </w:t>
            </w:r>
            <w:r w:rsidRPr="0084490B">
              <w:rPr>
                <w:rFonts w:eastAsia="Calibri"/>
                <w:i/>
                <w:sz w:val="20"/>
                <w:lang w:val="fr-FR"/>
              </w:rPr>
              <w:t>Loi sur la responsabilité en matière maritime</w:t>
            </w:r>
            <w:r w:rsidRPr="0084490B">
              <w:rPr>
                <w:rFonts w:eastAsia="Calibri"/>
                <w:sz w:val="20"/>
                <w:lang w:val="fr-FR"/>
              </w:rPr>
              <w:t xml:space="preserve">? — Dans l’affirmative, les tribunaux du Brésil constituent-ils des ressorts plus appropriés? — La clause d’arbitrage s’applique-t-elle? — </w:t>
            </w:r>
            <w:r w:rsidRPr="0084490B">
              <w:rPr>
                <w:rFonts w:eastAsia="Calibri"/>
                <w:i/>
                <w:sz w:val="20"/>
                <w:lang w:val="fr-FR"/>
              </w:rPr>
              <w:t>Loi sur la responsabilité en matière maritime</w:t>
            </w:r>
            <w:r w:rsidRPr="0084490B">
              <w:rPr>
                <w:rFonts w:eastAsia="Calibri"/>
                <w:sz w:val="20"/>
                <w:lang w:val="fr-FR"/>
              </w:rPr>
              <w:t>, L.C. 2001, ch. 6.</w:t>
            </w:r>
          </w:p>
        </w:tc>
      </w:tr>
      <w:tr w:rsidR="006B0EA7" w:rsidRPr="00B6040C" w:rsidTr="00120F8A">
        <w:tc>
          <w:tcPr>
            <w:tcW w:w="5000" w:type="pct"/>
            <w:gridSpan w:val="3"/>
          </w:tcPr>
          <w:p w:rsidR="006B0EA7" w:rsidRPr="0084490B" w:rsidRDefault="006B0EA7" w:rsidP="00120F8A">
            <w:pPr>
              <w:jc w:val="both"/>
              <w:rPr>
                <w:rFonts w:eastAsia="Calibri"/>
                <w:sz w:val="20"/>
                <w:lang w:val="fr-FR"/>
              </w:rPr>
            </w:pPr>
          </w:p>
        </w:tc>
      </w:tr>
      <w:tr w:rsidR="006B0EA7" w:rsidRPr="00B6040C" w:rsidTr="00120F8A">
        <w:tc>
          <w:tcPr>
            <w:tcW w:w="5000" w:type="pct"/>
            <w:gridSpan w:val="3"/>
          </w:tcPr>
          <w:p w:rsidR="006B0EA7" w:rsidRPr="0084490B" w:rsidRDefault="006B0EA7" w:rsidP="00120F8A">
            <w:pPr>
              <w:jc w:val="both"/>
              <w:rPr>
                <w:rFonts w:eastAsia="Calibri"/>
                <w:sz w:val="20"/>
                <w:lang w:val="fr-FR"/>
              </w:rPr>
            </w:pPr>
            <w:proofErr w:type="spellStart"/>
            <w:r w:rsidRPr="0084490B">
              <w:rPr>
                <w:rFonts w:eastAsia="Calibri"/>
                <w:sz w:val="20"/>
                <w:lang w:val="fr-FR"/>
              </w:rPr>
              <w:t>Cosipa</w:t>
            </w:r>
            <w:proofErr w:type="spellEnd"/>
            <w:r w:rsidRPr="0084490B">
              <w:rPr>
                <w:rFonts w:eastAsia="Calibri"/>
                <w:sz w:val="20"/>
                <w:lang w:val="fr-FR"/>
              </w:rPr>
              <w:t xml:space="preserve"> a conclu une charte-partie avec </w:t>
            </w:r>
            <w:proofErr w:type="spellStart"/>
            <w:r w:rsidRPr="0084490B">
              <w:rPr>
                <w:rFonts w:eastAsia="Calibri"/>
                <w:sz w:val="20"/>
                <w:lang w:val="fr-FR"/>
              </w:rPr>
              <w:t>Fednav</w:t>
            </w:r>
            <w:proofErr w:type="spellEnd"/>
            <w:r w:rsidRPr="0084490B">
              <w:rPr>
                <w:rFonts w:eastAsia="Calibri"/>
                <w:sz w:val="20"/>
                <w:lang w:val="fr-FR"/>
              </w:rPr>
              <w:t xml:space="preserve"> pour faire transporter de l’acier au moyen d’un navire appartenant à Canada Moon.  Selon la charte-partie, la responsabilité de charger et de décharger l’acier incombait à </w:t>
            </w:r>
            <w:proofErr w:type="spellStart"/>
            <w:r w:rsidRPr="0084490B">
              <w:rPr>
                <w:rFonts w:eastAsia="Calibri"/>
                <w:sz w:val="20"/>
                <w:lang w:val="fr-FR"/>
              </w:rPr>
              <w:t>Cosipa</w:t>
            </w:r>
            <w:proofErr w:type="spellEnd"/>
            <w:r w:rsidRPr="0084490B">
              <w:rPr>
                <w:rFonts w:eastAsia="Calibri"/>
                <w:sz w:val="20"/>
                <w:lang w:val="fr-FR"/>
              </w:rPr>
              <w:t xml:space="preserve"> tandis que </w:t>
            </w:r>
            <w:proofErr w:type="spellStart"/>
            <w:r w:rsidRPr="0084490B">
              <w:rPr>
                <w:rFonts w:eastAsia="Calibri"/>
                <w:sz w:val="20"/>
                <w:lang w:val="fr-FR"/>
              </w:rPr>
              <w:t>Fednav</w:t>
            </w:r>
            <w:proofErr w:type="spellEnd"/>
            <w:r w:rsidRPr="0084490B">
              <w:rPr>
                <w:rFonts w:eastAsia="Calibri"/>
                <w:sz w:val="20"/>
                <w:lang w:val="fr-FR"/>
              </w:rPr>
              <w:t xml:space="preserve"> devait recouvrir l’acier de plastique.  Lorsqu’un conflit est intervenu entre elle et </w:t>
            </w:r>
            <w:proofErr w:type="spellStart"/>
            <w:r w:rsidRPr="0084490B">
              <w:rPr>
                <w:rFonts w:eastAsia="Calibri"/>
                <w:sz w:val="20"/>
                <w:lang w:val="fr-FR"/>
              </w:rPr>
              <w:t>Fednav</w:t>
            </w:r>
            <w:proofErr w:type="spellEnd"/>
            <w:r w:rsidRPr="0084490B">
              <w:rPr>
                <w:rFonts w:eastAsia="Calibri"/>
                <w:sz w:val="20"/>
                <w:lang w:val="fr-FR"/>
              </w:rPr>
              <w:t xml:space="preserve"> à propos de l’utilisation de couvertures en plastique, </w:t>
            </w:r>
            <w:proofErr w:type="spellStart"/>
            <w:r w:rsidRPr="0084490B">
              <w:rPr>
                <w:rFonts w:eastAsia="Calibri"/>
                <w:sz w:val="20"/>
                <w:lang w:val="fr-FR"/>
              </w:rPr>
              <w:t>Cosipa</w:t>
            </w:r>
            <w:proofErr w:type="spellEnd"/>
            <w:r w:rsidRPr="0084490B">
              <w:rPr>
                <w:rFonts w:eastAsia="Calibri"/>
                <w:sz w:val="20"/>
                <w:lang w:val="fr-FR"/>
              </w:rPr>
              <w:t xml:space="preserve"> a envoyé une lettre d’intention à </w:t>
            </w:r>
            <w:proofErr w:type="spellStart"/>
            <w:r w:rsidRPr="0084490B">
              <w:rPr>
                <w:rFonts w:eastAsia="Calibri"/>
                <w:sz w:val="20"/>
                <w:lang w:val="fr-FR"/>
              </w:rPr>
              <w:t>Fednav</w:t>
            </w:r>
            <w:proofErr w:type="spellEnd"/>
            <w:r w:rsidRPr="0084490B">
              <w:rPr>
                <w:rFonts w:eastAsia="Calibri"/>
                <w:sz w:val="20"/>
                <w:lang w:val="fr-FR"/>
              </w:rPr>
              <w:t xml:space="preserve"> pour confirmer qu’elle dégagerait cette dernière et Canada Moon de toute responsabilité pour les dommages causés à l’acier par les couvertures, pourvu que le système de ventilation du navire fonctionne bien durant la traversée.  Deux connaissements furent délivrés à T. Co </w:t>
            </w:r>
            <w:proofErr w:type="spellStart"/>
            <w:r w:rsidRPr="0084490B">
              <w:rPr>
                <w:rFonts w:eastAsia="Calibri"/>
                <w:sz w:val="20"/>
                <w:lang w:val="fr-FR"/>
              </w:rPr>
              <w:t>Metals</w:t>
            </w:r>
            <w:proofErr w:type="spellEnd"/>
            <w:r w:rsidRPr="0084490B">
              <w:rPr>
                <w:rFonts w:eastAsia="Calibri"/>
                <w:sz w:val="20"/>
                <w:lang w:val="fr-FR"/>
              </w:rPr>
              <w:t xml:space="preserve">, qui a intenté une action en vue de se faire indemniser par Canada Moon et </w:t>
            </w:r>
            <w:proofErr w:type="spellStart"/>
            <w:r w:rsidRPr="0084490B">
              <w:rPr>
                <w:rFonts w:eastAsia="Calibri"/>
                <w:sz w:val="20"/>
                <w:lang w:val="fr-FR"/>
              </w:rPr>
              <w:t>Fednav</w:t>
            </w:r>
            <w:proofErr w:type="spellEnd"/>
            <w:r w:rsidRPr="0084490B">
              <w:rPr>
                <w:rFonts w:eastAsia="Calibri"/>
                <w:sz w:val="20"/>
                <w:lang w:val="fr-FR"/>
              </w:rPr>
              <w:t xml:space="preserve"> pour les dommages causés à l’acier.  Canada Moon et </w:t>
            </w:r>
            <w:proofErr w:type="spellStart"/>
            <w:r w:rsidRPr="0084490B">
              <w:rPr>
                <w:rFonts w:eastAsia="Calibri"/>
                <w:sz w:val="20"/>
                <w:lang w:val="fr-FR"/>
              </w:rPr>
              <w:t>Fednav</w:t>
            </w:r>
            <w:proofErr w:type="spellEnd"/>
            <w:r w:rsidRPr="0084490B">
              <w:rPr>
                <w:rFonts w:eastAsia="Calibri"/>
                <w:sz w:val="20"/>
                <w:lang w:val="fr-FR"/>
              </w:rPr>
              <w:t xml:space="preserve"> ont défendu et présenté toutes deux une demande de mise en cause contre </w:t>
            </w:r>
            <w:proofErr w:type="spellStart"/>
            <w:r w:rsidRPr="0084490B">
              <w:rPr>
                <w:rFonts w:eastAsia="Calibri"/>
                <w:sz w:val="20"/>
                <w:lang w:val="fr-FR"/>
              </w:rPr>
              <w:t>Cosipa</w:t>
            </w:r>
            <w:proofErr w:type="spellEnd"/>
            <w:r w:rsidRPr="0084490B">
              <w:rPr>
                <w:rFonts w:eastAsia="Calibri"/>
                <w:sz w:val="20"/>
                <w:lang w:val="fr-FR"/>
              </w:rPr>
              <w:t xml:space="preserve">, qui en a sollicité la suspension au motif que les parties avaient convenu de soumettre les litiges découlant de la charte-partie à l’arbitrage à New York.  Un protonotaire a rejeté la requête de </w:t>
            </w:r>
            <w:proofErr w:type="spellStart"/>
            <w:r w:rsidRPr="0084490B">
              <w:rPr>
                <w:rFonts w:eastAsia="Calibri"/>
                <w:sz w:val="20"/>
                <w:lang w:val="fr-FR"/>
              </w:rPr>
              <w:t>Cosipa</w:t>
            </w:r>
            <w:proofErr w:type="spellEnd"/>
            <w:r w:rsidRPr="0084490B">
              <w:rPr>
                <w:rFonts w:eastAsia="Calibri"/>
                <w:sz w:val="20"/>
                <w:lang w:val="fr-FR"/>
              </w:rPr>
              <w:t xml:space="preserve">, mais un juge de la Cour fédérale l’a accueillie par la suite.  Le juge a estimé que la charte-partie régissait les rapports entre </w:t>
            </w:r>
            <w:proofErr w:type="spellStart"/>
            <w:r w:rsidRPr="0084490B">
              <w:rPr>
                <w:rFonts w:eastAsia="Calibri"/>
                <w:sz w:val="20"/>
                <w:lang w:val="fr-FR"/>
              </w:rPr>
              <w:t>Cosipa</w:t>
            </w:r>
            <w:proofErr w:type="spellEnd"/>
            <w:r w:rsidRPr="0084490B">
              <w:rPr>
                <w:rFonts w:eastAsia="Calibri"/>
                <w:sz w:val="20"/>
                <w:lang w:val="fr-FR"/>
              </w:rPr>
              <w:t xml:space="preserve">, Canada Moon et </w:t>
            </w:r>
            <w:proofErr w:type="spellStart"/>
            <w:r w:rsidRPr="0084490B">
              <w:rPr>
                <w:rFonts w:eastAsia="Calibri"/>
                <w:sz w:val="20"/>
                <w:lang w:val="fr-FR"/>
              </w:rPr>
              <w:t>Fednav</w:t>
            </w:r>
            <w:proofErr w:type="spellEnd"/>
            <w:r w:rsidRPr="0084490B">
              <w:rPr>
                <w:rFonts w:eastAsia="Calibri"/>
                <w:sz w:val="20"/>
                <w:lang w:val="fr-FR"/>
              </w:rPr>
              <w:t xml:space="preserve">, et que la lettre d’intention constituait non pas une entente autonome, mais simplement une modification à la charte-partie.  Il a suspendu la demande de mise en cause en attendant l’issue de l’arbitrage.  La Cour d’appel fédérale a confirmé la suspension de la demande de mise en cause de </w:t>
            </w:r>
            <w:proofErr w:type="spellStart"/>
            <w:r w:rsidRPr="0084490B">
              <w:rPr>
                <w:rFonts w:eastAsia="Calibri"/>
                <w:sz w:val="20"/>
                <w:lang w:val="fr-FR"/>
              </w:rPr>
              <w:t>Fednav</w:t>
            </w:r>
            <w:proofErr w:type="spellEnd"/>
            <w:r w:rsidRPr="0084490B">
              <w:rPr>
                <w:rFonts w:eastAsia="Calibri"/>
                <w:sz w:val="20"/>
                <w:lang w:val="fr-FR"/>
              </w:rPr>
              <w:t xml:space="preserve">, mais non celle de Canada Moon. </w:t>
            </w:r>
          </w:p>
          <w:p w:rsidR="006B0EA7" w:rsidRPr="0084490B" w:rsidRDefault="006B0EA7" w:rsidP="00120F8A">
            <w:pPr>
              <w:jc w:val="both"/>
              <w:rPr>
                <w:rFonts w:eastAsia="Calibri"/>
                <w:sz w:val="20"/>
                <w:lang w:val="fr-FR"/>
              </w:rPr>
            </w:pPr>
          </w:p>
        </w:tc>
      </w:tr>
      <w:tr w:rsidR="006B0EA7" w:rsidRPr="00B6040C" w:rsidTr="00120F8A">
        <w:tblPrEx>
          <w:tblCellMar>
            <w:bottom w:w="0" w:type="dxa"/>
          </w:tblCellMar>
        </w:tblPrEx>
        <w:tc>
          <w:tcPr>
            <w:tcW w:w="2390" w:type="pct"/>
          </w:tcPr>
          <w:p w:rsidR="006B0EA7" w:rsidRPr="0084490B" w:rsidRDefault="006B0EA7" w:rsidP="00120F8A">
            <w:pPr>
              <w:jc w:val="both"/>
              <w:rPr>
                <w:rFonts w:eastAsia="Calibri"/>
                <w:sz w:val="20"/>
                <w:lang w:val="fr-FR"/>
              </w:rPr>
            </w:pPr>
            <w:r w:rsidRPr="0084490B">
              <w:rPr>
                <w:rFonts w:eastAsia="Calibri"/>
                <w:sz w:val="20"/>
                <w:lang w:val="fr-FR"/>
              </w:rPr>
              <w:t>10 mars 2011</w:t>
            </w:r>
          </w:p>
          <w:p w:rsidR="006B0EA7" w:rsidRPr="0084490B" w:rsidRDefault="006B0EA7" w:rsidP="00120F8A">
            <w:pPr>
              <w:jc w:val="both"/>
              <w:rPr>
                <w:rFonts w:eastAsia="Calibri"/>
                <w:sz w:val="20"/>
                <w:lang w:val="fr-FR"/>
              </w:rPr>
            </w:pPr>
            <w:r w:rsidRPr="0084490B">
              <w:rPr>
                <w:rFonts w:eastAsia="Calibri"/>
                <w:sz w:val="20"/>
                <w:lang w:val="fr-FR"/>
              </w:rPr>
              <w:t>Cour fédérale</w:t>
            </w:r>
          </w:p>
          <w:p w:rsidR="006B0EA7" w:rsidRPr="0084490B" w:rsidRDefault="006B0EA7" w:rsidP="00120F8A">
            <w:pPr>
              <w:jc w:val="both"/>
              <w:rPr>
                <w:rFonts w:eastAsia="Calibri"/>
                <w:sz w:val="20"/>
                <w:lang w:val="fr-FR"/>
              </w:rPr>
            </w:pPr>
            <w:r w:rsidRPr="0084490B">
              <w:rPr>
                <w:rFonts w:eastAsia="Calibri"/>
                <w:sz w:val="20"/>
                <w:lang w:val="fr-FR"/>
              </w:rPr>
              <w:t xml:space="preserve">(Protonotaire </w:t>
            </w:r>
            <w:proofErr w:type="spellStart"/>
            <w:r w:rsidRPr="0084490B">
              <w:rPr>
                <w:rFonts w:eastAsia="Calibri"/>
                <w:sz w:val="20"/>
                <w:lang w:val="fr-FR"/>
              </w:rPr>
              <w:t>Morneau</w:t>
            </w:r>
            <w:proofErr w:type="spellEnd"/>
            <w:r w:rsidRPr="0084490B">
              <w:rPr>
                <w:rFonts w:eastAsia="Calibri"/>
                <w:sz w:val="20"/>
                <w:lang w:val="fr-FR"/>
              </w:rPr>
              <w:t>)</w:t>
            </w:r>
          </w:p>
          <w:p w:rsidR="006B0EA7" w:rsidRPr="0084490B" w:rsidRDefault="006B0EA7" w:rsidP="00120F8A">
            <w:pPr>
              <w:jc w:val="both"/>
              <w:rPr>
                <w:rFonts w:eastAsia="Calibri"/>
                <w:sz w:val="20"/>
              </w:rPr>
            </w:pPr>
            <w:r w:rsidRPr="0084490B">
              <w:rPr>
                <w:rFonts w:eastAsia="Calibri"/>
                <w:sz w:val="20"/>
              </w:rPr>
              <w:t>2011 CF 291</w:t>
            </w:r>
          </w:p>
          <w:p w:rsidR="006B0EA7" w:rsidRPr="0084490B" w:rsidRDefault="006B0EA7" w:rsidP="00120F8A">
            <w:pPr>
              <w:jc w:val="both"/>
              <w:rPr>
                <w:rFonts w:eastAsia="Calibri"/>
                <w:sz w:val="20"/>
              </w:rPr>
            </w:pPr>
          </w:p>
        </w:tc>
        <w:tc>
          <w:tcPr>
            <w:tcW w:w="270" w:type="pct"/>
          </w:tcPr>
          <w:p w:rsidR="006B0EA7" w:rsidRPr="0084490B" w:rsidRDefault="006B0EA7" w:rsidP="00120F8A">
            <w:pPr>
              <w:jc w:val="both"/>
              <w:rPr>
                <w:rFonts w:eastAsia="Calibri"/>
                <w:sz w:val="20"/>
              </w:rPr>
            </w:pPr>
          </w:p>
        </w:tc>
        <w:tc>
          <w:tcPr>
            <w:tcW w:w="2340" w:type="pct"/>
          </w:tcPr>
          <w:p w:rsidR="006B0EA7" w:rsidRPr="0084490B" w:rsidRDefault="006B0EA7" w:rsidP="00120F8A">
            <w:pPr>
              <w:jc w:val="both"/>
              <w:rPr>
                <w:rFonts w:eastAsia="Calibri"/>
                <w:sz w:val="20"/>
                <w:lang w:val="fr-FR"/>
              </w:rPr>
            </w:pPr>
            <w:r w:rsidRPr="0084490B">
              <w:rPr>
                <w:rFonts w:eastAsia="Calibri"/>
                <w:sz w:val="20"/>
                <w:lang w:val="fr-FR"/>
              </w:rPr>
              <w:t xml:space="preserve">Requête de </w:t>
            </w:r>
            <w:proofErr w:type="spellStart"/>
            <w:r w:rsidRPr="0084490B">
              <w:rPr>
                <w:rFonts w:eastAsia="Calibri"/>
                <w:sz w:val="20"/>
                <w:lang w:val="fr-FR"/>
              </w:rPr>
              <w:t>Cosipa</w:t>
            </w:r>
            <w:proofErr w:type="spellEnd"/>
            <w:r w:rsidRPr="0084490B">
              <w:rPr>
                <w:rFonts w:eastAsia="Calibri"/>
                <w:sz w:val="20"/>
                <w:lang w:val="fr-FR"/>
              </w:rPr>
              <w:t xml:space="preserve"> pour faire arrêter les procédures de mise en cause en faveur de l’instance d’arbitrage rejetée.</w:t>
            </w:r>
          </w:p>
        </w:tc>
      </w:tr>
      <w:tr w:rsidR="006B0EA7" w:rsidRPr="00B6040C" w:rsidTr="00120F8A">
        <w:tblPrEx>
          <w:tblCellMar>
            <w:bottom w:w="0" w:type="dxa"/>
          </w:tblCellMar>
        </w:tblPrEx>
        <w:tc>
          <w:tcPr>
            <w:tcW w:w="2390" w:type="pct"/>
          </w:tcPr>
          <w:p w:rsidR="006B0EA7" w:rsidRPr="0084490B" w:rsidRDefault="006B0EA7" w:rsidP="00120F8A">
            <w:pPr>
              <w:jc w:val="both"/>
              <w:rPr>
                <w:rFonts w:eastAsia="Calibri"/>
                <w:sz w:val="20"/>
                <w:lang w:val="fr-FR"/>
              </w:rPr>
            </w:pPr>
            <w:r w:rsidRPr="0084490B">
              <w:rPr>
                <w:rFonts w:eastAsia="Calibri"/>
                <w:sz w:val="20"/>
                <w:lang w:val="fr-FR"/>
              </w:rPr>
              <w:t>12 septembre 2011</w:t>
            </w:r>
          </w:p>
          <w:p w:rsidR="006B0EA7" w:rsidRPr="0084490B" w:rsidRDefault="006B0EA7" w:rsidP="00120F8A">
            <w:pPr>
              <w:jc w:val="both"/>
              <w:rPr>
                <w:rFonts w:eastAsia="Calibri"/>
                <w:sz w:val="20"/>
                <w:lang w:val="fr-FR"/>
              </w:rPr>
            </w:pPr>
            <w:r w:rsidRPr="0084490B">
              <w:rPr>
                <w:rFonts w:eastAsia="Calibri"/>
                <w:sz w:val="20"/>
                <w:lang w:val="fr-FR"/>
              </w:rPr>
              <w:t>Cour fédérale</w:t>
            </w:r>
          </w:p>
          <w:p w:rsidR="006B0EA7" w:rsidRPr="0084490B" w:rsidRDefault="006B0EA7" w:rsidP="00120F8A">
            <w:pPr>
              <w:jc w:val="both"/>
              <w:rPr>
                <w:rFonts w:eastAsia="Calibri"/>
                <w:sz w:val="20"/>
                <w:lang w:val="fr-FR"/>
              </w:rPr>
            </w:pPr>
            <w:r w:rsidRPr="0084490B">
              <w:rPr>
                <w:rFonts w:eastAsia="Calibri"/>
                <w:sz w:val="20"/>
                <w:lang w:val="fr-FR"/>
              </w:rPr>
              <w:t>(Juge Scott)</w:t>
            </w:r>
          </w:p>
          <w:p w:rsidR="006B0EA7" w:rsidRPr="0084490B" w:rsidRDefault="006B0EA7" w:rsidP="00120F8A">
            <w:pPr>
              <w:jc w:val="both"/>
              <w:rPr>
                <w:rFonts w:eastAsia="Calibri"/>
                <w:sz w:val="20"/>
              </w:rPr>
            </w:pPr>
            <w:r w:rsidRPr="0084490B">
              <w:rPr>
                <w:rFonts w:eastAsia="Calibri"/>
                <w:sz w:val="20"/>
              </w:rPr>
              <w:t>2011 CF 1067</w:t>
            </w:r>
          </w:p>
          <w:p w:rsidR="006B0EA7" w:rsidRPr="0084490B" w:rsidRDefault="006B0EA7" w:rsidP="00120F8A">
            <w:pPr>
              <w:jc w:val="both"/>
              <w:rPr>
                <w:rFonts w:eastAsia="Calibri"/>
                <w:sz w:val="20"/>
              </w:rPr>
            </w:pPr>
          </w:p>
        </w:tc>
        <w:tc>
          <w:tcPr>
            <w:tcW w:w="270" w:type="pct"/>
          </w:tcPr>
          <w:p w:rsidR="006B0EA7" w:rsidRPr="0084490B" w:rsidRDefault="006B0EA7" w:rsidP="00120F8A">
            <w:pPr>
              <w:jc w:val="both"/>
              <w:rPr>
                <w:rFonts w:eastAsia="Calibri"/>
                <w:sz w:val="20"/>
              </w:rPr>
            </w:pPr>
          </w:p>
        </w:tc>
        <w:tc>
          <w:tcPr>
            <w:tcW w:w="2340" w:type="pct"/>
          </w:tcPr>
          <w:p w:rsidR="006B0EA7" w:rsidRPr="0084490B" w:rsidRDefault="006B0EA7" w:rsidP="00120F8A">
            <w:pPr>
              <w:jc w:val="both"/>
              <w:rPr>
                <w:rFonts w:eastAsia="Calibri"/>
                <w:sz w:val="20"/>
                <w:lang w:val="fr-FR"/>
              </w:rPr>
            </w:pPr>
            <w:r w:rsidRPr="0084490B">
              <w:rPr>
                <w:rFonts w:eastAsia="Calibri"/>
                <w:sz w:val="20"/>
                <w:lang w:val="fr-FR"/>
              </w:rPr>
              <w:t>Appel accueilli et arrêt des procédures accordé.</w:t>
            </w:r>
          </w:p>
        </w:tc>
      </w:tr>
      <w:tr w:rsidR="006B0EA7" w:rsidRPr="00B6040C" w:rsidTr="00120F8A">
        <w:tblPrEx>
          <w:tblCellMar>
            <w:bottom w:w="0" w:type="dxa"/>
          </w:tblCellMar>
        </w:tblPrEx>
        <w:tc>
          <w:tcPr>
            <w:tcW w:w="2390" w:type="pct"/>
          </w:tcPr>
          <w:p w:rsidR="006B0EA7" w:rsidRPr="0084490B" w:rsidRDefault="006B0EA7" w:rsidP="00120F8A">
            <w:pPr>
              <w:jc w:val="both"/>
              <w:rPr>
                <w:rFonts w:eastAsia="Calibri"/>
                <w:sz w:val="20"/>
                <w:lang w:val="fr-FR"/>
              </w:rPr>
            </w:pPr>
            <w:r w:rsidRPr="0084490B">
              <w:rPr>
                <w:rFonts w:eastAsia="Calibri"/>
                <w:sz w:val="20"/>
                <w:lang w:val="fr-FR"/>
              </w:rPr>
              <w:t>8 novembre 2012</w:t>
            </w:r>
          </w:p>
          <w:p w:rsidR="006B0EA7" w:rsidRPr="0084490B" w:rsidRDefault="006B0EA7" w:rsidP="00120F8A">
            <w:pPr>
              <w:jc w:val="both"/>
              <w:rPr>
                <w:rFonts w:eastAsia="Calibri"/>
                <w:sz w:val="20"/>
                <w:lang w:val="fr-FR"/>
              </w:rPr>
            </w:pPr>
            <w:r w:rsidRPr="0084490B">
              <w:rPr>
                <w:rFonts w:eastAsia="Calibri"/>
                <w:sz w:val="20"/>
                <w:lang w:val="fr-FR"/>
              </w:rPr>
              <w:t>Cour d’appel fédérale</w:t>
            </w:r>
          </w:p>
          <w:p w:rsidR="006B0EA7" w:rsidRPr="0084490B" w:rsidRDefault="006B0EA7" w:rsidP="00120F8A">
            <w:pPr>
              <w:jc w:val="both"/>
              <w:rPr>
                <w:rFonts w:eastAsia="Calibri"/>
                <w:sz w:val="20"/>
                <w:lang w:val="fr-FR"/>
              </w:rPr>
            </w:pPr>
            <w:r w:rsidRPr="0084490B">
              <w:rPr>
                <w:rFonts w:eastAsia="Calibri"/>
                <w:sz w:val="20"/>
                <w:lang w:val="fr-FR"/>
              </w:rPr>
              <w:t>(Juges Pelletier, Gauthier et Mainville)</w:t>
            </w:r>
          </w:p>
          <w:p w:rsidR="006B0EA7" w:rsidRPr="0084490B" w:rsidRDefault="006B0EA7" w:rsidP="00120F8A">
            <w:pPr>
              <w:jc w:val="both"/>
              <w:rPr>
                <w:rFonts w:eastAsia="Calibri"/>
                <w:sz w:val="20"/>
              </w:rPr>
            </w:pPr>
            <w:r w:rsidRPr="0084490B">
              <w:rPr>
                <w:rFonts w:eastAsia="Calibri"/>
                <w:sz w:val="20"/>
              </w:rPr>
              <w:t>2012 CAF 284</w:t>
            </w:r>
          </w:p>
          <w:p w:rsidR="006B0EA7" w:rsidRPr="0084490B" w:rsidRDefault="006B0EA7" w:rsidP="00120F8A">
            <w:pPr>
              <w:jc w:val="both"/>
              <w:rPr>
                <w:rFonts w:eastAsia="Calibri"/>
                <w:sz w:val="20"/>
              </w:rPr>
            </w:pPr>
          </w:p>
        </w:tc>
        <w:tc>
          <w:tcPr>
            <w:tcW w:w="270" w:type="pct"/>
          </w:tcPr>
          <w:p w:rsidR="006B0EA7" w:rsidRPr="0084490B" w:rsidRDefault="006B0EA7" w:rsidP="00120F8A">
            <w:pPr>
              <w:jc w:val="both"/>
              <w:rPr>
                <w:rFonts w:eastAsia="Calibri"/>
                <w:sz w:val="20"/>
              </w:rPr>
            </w:pPr>
          </w:p>
        </w:tc>
        <w:tc>
          <w:tcPr>
            <w:tcW w:w="2340" w:type="pct"/>
          </w:tcPr>
          <w:p w:rsidR="006B0EA7" w:rsidRPr="0084490B" w:rsidRDefault="006B0EA7" w:rsidP="00120F8A">
            <w:pPr>
              <w:jc w:val="both"/>
              <w:rPr>
                <w:rFonts w:eastAsia="Calibri"/>
                <w:sz w:val="20"/>
                <w:lang w:val="fr-FR"/>
              </w:rPr>
            </w:pPr>
            <w:r w:rsidRPr="0084490B">
              <w:rPr>
                <w:rFonts w:eastAsia="Calibri"/>
                <w:sz w:val="20"/>
                <w:lang w:val="fr-FR"/>
              </w:rPr>
              <w:t>Appel accueilli en partie; suspension de la demande de mise en cause de Canada Moon levée.</w:t>
            </w:r>
          </w:p>
          <w:p w:rsidR="006B0EA7" w:rsidRPr="0084490B" w:rsidRDefault="006B0EA7" w:rsidP="00120F8A">
            <w:pPr>
              <w:jc w:val="both"/>
              <w:rPr>
                <w:rFonts w:eastAsia="Calibri"/>
                <w:sz w:val="20"/>
                <w:lang w:val="fr-FR"/>
              </w:rPr>
            </w:pPr>
          </w:p>
        </w:tc>
      </w:tr>
      <w:tr w:rsidR="006B0EA7" w:rsidRPr="00B6040C" w:rsidTr="00120F8A">
        <w:tblPrEx>
          <w:tblCellMar>
            <w:bottom w:w="0" w:type="dxa"/>
          </w:tblCellMar>
        </w:tblPrEx>
        <w:tc>
          <w:tcPr>
            <w:tcW w:w="2390" w:type="pct"/>
          </w:tcPr>
          <w:p w:rsidR="006B0EA7" w:rsidRPr="0084490B" w:rsidRDefault="006B0EA7" w:rsidP="00120F8A">
            <w:pPr>
              <w:jc w:val="both"/>
              <w:rPr>
                <w:rFonts w:eastAsia="Calibri"/>
                <w:sz w:val="20"/>
                <w:lang w:val="fr-FR"/>
              </w:rPr>
            </w:pPr>
          </w:p>
          <w:p w:rsidR="006B0EA7" w:rsidRPr="0084490B" w:rsidRDefault="006B0EA7" w:rsidP="00120F8A">
            <w:pPr>
              <w:jc w:val="both"/>
              <w:rPr>
                <w:rFonts w:eastAsia="Calibri"/>
                <w:sz w:val="20"/>
                <w:lang w:val="fr-FR"/>
              </w:rPr>
            </w:pPr>
            <w:r w:rsidRPr="0084490B">
              <w:rPr>
                <w:rFonts w:eastAsia="Calibri"/>
                <w:sz w:val="20"/>
                <w:lang w:val="fr-FR"/>
              </w:rPr>
              <w:t>7 janvier 2013</w:t>
            </w:r>
          </w:p>
          <w:p w:rsidR="006B0EA7" w:rsidRPr="0084490B" w:rsidRDefault="006B0EA7" w:rsidP="00120F8A">
            <w:pPr>
              <w:jc w:val="both"/>
              <w:rPr>
                <w:rFonts w:eastAsia="Calibri"/>
                <w:sz w:val="20"/>
                <w:lang w:val="fr-FR"/>
              </w:rPr>
            </w:pPr>
            <w:r w:rsidRPr="0084490B">
              <w:rPr>
                <w:rFonts w:eastAsia="Calibri"/>
                <w:sz w:val="20"/>
                <w:lang w:val="fr-FR"/>
              </w:rPr>
              <w:t>Cour suprême du Canada</w:t>
            </w:r>
          </w:p>
        </w:tc>
        <w:tc>
          <w:tcPr>
            <w:tcW w:w="270" w:type="pct"/>
          </w:tcPr>
          <w:p w:rsidR="006B0EA7" w:rsidRPr="0084490B" w:rsidRDefault="006B0EA7" w:rsidP="00120F8A">
            <w:pPr>
              <w:jc w:val="both"/>
              <w:rPr>
                <w:rFonts w:eastAsia="Calibri"/>
                <w:sz w:val="20"/>
                <w:lang w:val="fr-FR"/>
              </w:rPr>
            </w:pPr>
          </w:p>
        </w:tc>
        <w:tc>
          <w:tcPr>
            <w:tcW w:w="2340" w:type="pct"/>
          </w:tcPr>
          <w:p w:rsidR="006B0EA7" w:rsidRPr="0084490B" w:rsidRDefault="006B0EA7" w:rsidP="00120F8A">
            <w:pPr>
              <w:jc w:val="both"/>
              <w:rPr>
                <w:rFonts w:eastAsia="Calibri"/>
                <w:sz w:val="20"/>
                <w:lang w:val="fr-FR"/>
              </w:rPr>
            </w:pPr>
          </w:p>
          <w:p w:rsidR="006B0EA7" w:rsidRPr="0084490B" w:rsidRDefault="006B0EA7" w:rsidP="00120F8A">
            <w:pPr>
              <w:jc w:val="both"/>
              <w:rPr>
                <w:rFonts w:eastAsia="Calibri"/>
                <w:sz w:val="20"/>
                <w:lang w:val="fr-FR"/>
              </w:rPr>
            </w:pPr>
            <w:r w:rsidRPr="0084490B">
              <w:rPr>
                <w:rFonts w:eastAsia="Calibri"/>
                <w:sz w:val="20"/>
                <w:lang w:val="fr-FR"/>
              </w:rPr>
              <w:t xml:space="preserve">Demandes d’autorisation d’appel déposées par </w:t>
            </w:r>
            <w:proofErr w:type="spellStart"/>
            <w:r w:rsidRPr="0084490B">
              <w:rPr>
                <w:rFonts w:eastAsia="Calibri"/>
                <w:sz w:val="20"/>
                <w:lang w:val="fr-FR"/>
              </w:rPr>
              <w:t>Fednav</w:t>
            </w:r>
            <w:proofErr w:type="spellEnd"/>
            <w:r w:rsidRPr="0084490B">
              <w:rPr>
                <w:rFonts w:eastAsia="Calibri"/>
                <w:sz w:val="20"/>
                <w:lang w:val="fr-FR"/>
              </w:rPr>
              <w:t xml:space="preserve"> et </w:t>
            </w:r>
            <w:proofErr w:type="spellStart"/>
            <w:r w:rsidRPr="0084490B">
              <w:rPr>
                <w:rFonts w:eastAsia="Calibri"/>
                <w:sz w:val="20"/>
                <w:lang w:val="fr-FR"/>
              </w:rPr>
              <w:t>Cosipa</w:t>
            </w:r>
            <w:proofErr w:type="spellEnd"/>
            <w:r w:rsidRPr="0084490B">
              <w:rPr>
                <w:rFonts w:eastAsia="Calibri"/>
                <w:sz w:val="20"/>
                <w:lang w:val="fr-FR"/>
              </w:rPr>
              <w:t>.</w:t>
            </w:r>
          </w:p>
        </w:tc>
      </w:tr>
    </w:tbl>
    <w:p w:rsidR="00EA65C4" w:rsidRPr="006B0EA7" w:rsidRDefault="00EA65C4" w:rsidP="00EA65C4">
      <w:pPr>
        <w:rPr>
          <w:sz w:val="20"/>
          <w:szCs w:val="20"/>
          <w:lang w:val="fr-CA"/>
        </w:rPr>
      </w:pPr>
    </w:p>
    <w:p w:rsidR="00EA65C4" w:rsidRDefault="0028676C" w:rsidP="00EA65C4">
      <w:pPr>
        <w:rPr>
          <w:sz w:val="20"/>
          <w:szCs w:val="20"/>
        </w:rPr>
      </w:pPr>
      <w:r w:rsidRPr="0028676C">
        <w:rPr>
          <w:sz w:val="20"/>
          <w:szCs w:val="20"/>
          <w:lang w:val="fr-CA"/>
        </w:rPr>
        <w:pict>
          <v:rect id="_x0000_i1050" style="width:2in;height:1pt" o:hrpct="0" o:hralign="center" o:hrstd="t" o:hrnoshade="t" o:hr="t" fillcolor="black [3213]" stroked="f"/>
        </w:pict>
      </w:r>
    </w:p>
    <w:p w:rsidR="00EA65C4" w:rsidRDefault="00EA65C4" w:rsidP="00EA65C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C3CC2" w:rsidRPr="008748E6" w:rsidTr="00AA4F37">
        <w:trPr>
          <w:cantSplit/>
        </w:trPr>
        <w:tc>
          <w:tcPr>
            <w:tcW w:w="1458" w:type="dxa"/>
          </w:tcPr>
          <w:p w:rsidR="006C3CC2" w:rsidRPr="008748E6" w:rsidRDefault="006C3CC2" w:rsidP="00AA4F37">
            <w:pPr>
              <w:rPr>
                <w:sz w:val="20"/>
                <w:szCs w:val="20"/>
              </w:rPr>
            </w:pPr>
            <w:r w:rsidRPr="008748E6">
              <w:rPr>
                <w:rStyle w:val="SCCFileNumberChar"/>
                <w:sz w:val="20"/>
                <w:szCs w:val="20"/>
              </w:rPr>
              <w:t>35166</w:t>
            </w:r>
          </w:p>
          <w:p w:rsidR="006C3CC2" w:rsidRPr="008748E6" w:rsidRDefault="006C3CC2" w:rsidP="00AA4F37">
            <w:pPr>
              <w:rPr>
                <w:b/>
                <w:sz w:val="20"/>
                <w:szCs w:val="20"/>
                <w:lang w:val="fr-CA"/>
              </w:rPr>
            </w:pPr>
          </w:p>
        </w:tc>
        <w:tc>
          <w:tcPr>
            <w:tcW w:w="8118" w:type="dxa"/>
          </w:tcPr>
          <w:p w:rsidR="006C3CC2" w:rsidRPr="008748E6" w:rsidRDefault="006C3CC2" w:rsidP="00AA4F37">
            <w:pPr>
              <w:rPr>
                <w:sz w:val="20"/>
                <w:szCs w:val="20"/>
              </w:rPr>
            </w:pPr>
            <w:proofErr w:type="spellStart"/>
            <w:r w:rsidRPr="006C3CC2">
              <w:rPr>
                <w:rStyle w:val="SCCLsocChar"/>
                <w:sz w:val="20"/>
                <w:szCs w:val="20"/>
                <w:lang w:val="en-CA"/>
              </w:rPr>
              <w:t>Steffan</w:t>
            </w:r>
            <w:proofErr w:type="spellEnd"/>
            <w:r w:rsidRPr="006C3CC2">
              <w:rPr>
                <w:rStyle w:val="SCCLsocChar"/>
                <w:sz w:val="20"/>
                <w:szCs w:val="20"/>
                <w:lang w:val="en-CA"/>
              </w:rPr>
              <w:t xml:space="preserve"> </w:t>
            </w:r>
            <w:proofErr w:type="spellStart"/>
            <w:r w:rsidRPr="006C3CC2">
              <w:rPr>
                <w:rStyle w:val="SCCLsocChar"/>
                <w:sz w:val="20"/>
                <w:szCs w:val="20"/>
                <w:lang w:val="en-CA"/>
              </w:rPr>
              <w:t>Stanislav</w:t>
            </w:r>
            <w:proofErr w:type="spellEnd"/>
            <w:r w:rsidRPr="006C3CC2">
              <w:rPr>
                <w:rStyle w:val="SCCLsocChar"/>
                <w:sz w:val="20"/>
                <w:szCs w:val="20"/>
                <w:lang w:val="en-CA"/>
              </w:rPr>
              <w:t xml:space="preserve"> </w:t>
            </w:r>
            <w:proofErr w:type="spellStart"/>
            <w:r w:rsidRPr="006C3CC2">
              <w:rPr>
                <w:rStyle w:val="SCCLsocChar"/>
                <w:sz w:val="20"/>
                <w:szCs w:val="20"/>
                <w:lang w:val="en-CA"/>
              </w:rPr>
              <w:t>Ranauta</w:t>
            </w:r>
            <w:proofErr w:type="spellEnd"/>
            <w:r w:rsidRPr="006C3CC2">
              <w:rPr>
                <w:rStyle w:val="SCCLsocChar"/>
                <w:sz w:val="20"/>
                <w:szCs w:val="20"/>
                <w:lang w:val="en-CA"/>
              </w:rPr>
              <w:t xml:space="preserve"> v. Her Majesty the Queen</w:t>
            </w:r>
            <w:r w:rsidRPr="008748E6">
              <w:rPr>
                <w:sz w:val="20"/>
                <w:szCs w:val="20"/>
              </w:rPr>
              <w:t xml:space="preserve"> (Alta.) (Criminal) (By Leave)</w:t>
            </w:r>
          </w:p>
          <w:p w:rsidR="006C3CC2" w:rsidRPr="008748E6" w:rsidRDefault="006C3CC2" w:rsidP="00AA4F37">
            <w:pPr>
              <w:rPr>
                <w:sz w:val="20"/>
                <w:szCs w:val="20"/>
              </w:rPr>
            </w:pPr>
          </w:p>
        </w:tc>
      </w:tr>
      <w:tr w:rsidR="006C3CC2" w:rsidRPr="008748E6" w:rsidTr="00AA4F37">
        <w:trPr>
          <w:cantSplit/>
        </w:trPr>
        <w:tc>
          <w:tcPr>
            <w:tcW w:w="1458" w:type="dxa"/>
          </w:tcPr>
          <w:p w:rsidR="006C3CC2" w:rsidRPr="008748E6" w:rsidRDefault="006C3CC2" w:rsidP="00AA4F37">
            <w:pPr>
              <w:rPr>
                <w:sz w:val="20"/>
                <w:szCs w:val="20"/>
              </w:rPr>
            </w:pPr>
            <w:r w:rsidRPr="008748E6">
              <w:rPr>
                <w:sz w:val="20"/>
                <w:szCs w:val="20"/>
              </w:rPr>
              <w:t>Coram :</w:t>
            </w:r>
          </w:p>
        </w:tc>
        <w:tc>
          <w:tcPr>
            <w:tcW w:w="8118" w:type="dxa"/>
          </w:tcPr>
          <w:p w:rsidR="006C3CC2" w:rsidRPr="008748E6" w:rsidRDefault="006C3CC2" w:rsidP="00AA4F37">
            <w:pPr>
              <w:rPr>
                <w:sz w:val="20"/>
                <w:szCs w:val="20"/>
              </w:rPr>
            </w:pPr>
            <w:r w:rsidRPr="006C3CC2">
              <w:rPr>
                <w:rStyle w:val="SCCCoramChar"/>
                <w:sz w:val="20"/>
                <w:szCs w:val="20"/>
                <w:lang w:val="en-CA"/>
              </w:rPr>
              <w:t>Fish, Rothstein and Moldaver JJ.</w:t>
            </w:r>
          </w:p>
          <w:p w:rsidR="006C3CC2" w:rsidRPr="008748E6" w:rsidRDefault="006C3CC2" w:rsidP="00AA4F37">
            <w:pPr>
              <w:rPr>
                <w:sz w:val="20"/>
                <w:szCs w:val="20"/>
                <w:u w:val="single"/>
              </w:rPr>
            </w:pPr>
          </w:p>
        </w:tc>
      </w:tr>
      <w:tr w:rsidR="006C3CC2" w:rsidRPr="00B6040C" w:rsidTr="00AA4F37">
        <w:trPr>
          <w:cantSplit/>
        </w:trPr>
        <w:tc>
          <w:tcPr>
            <w:tcW w:w="9576" w:type="dxa"/>
            <w:gridSpan w:val="2"/>
          </w:tcPr>
          <w:p w:rsidR="006C3CC2" w:rsidRPr="008748E6" w:rsidRDefault="006C3CC2" w:rsidP="00AA4F37">
            <w:pPr>
              <w:pStyle w:val="SCCShortJudgment"/>
              <w:rPr>
                <w:szCs w:val="20"/>
              </w:rPr>
            </w:pPr>
            <w:r w:rsidRPr="008748E6">
              <w:rPr>
                <w:szCs w:val="20"/>
              </w:rPr>
              <w:t>The application for leave to appeal from the judgment of the Court of Appeal of Alberta (Edmonton), Number 1203-0057-A, 2012 ABCA 326, dated November 13, 2012, is dismissed without costs.</w:t>
            </w:r>
          </w:p>
          <w:p w:rsidR="006C3CC2" w:rsidRPr="008748E6" w:rsidRDefault="006C3CC2" w:rsidP="00AA4F37">
            <w:pPr>
              <w:pStyle w:val="SCCShortJudgment"/>
              <w:ind w:firstLine="0"/>
              <w:rPr>
                <w:szCs w:val="20"/>
              </w:rPr>
            </w:pPr>
          </w:p>
          <w:p w:rsidR="006C3CC2" w:rsidRPr="008748E6" w:rsidRDefault="006C3CC2" w:rsidP="00AA4F37">
            <w:pPr>
              <w:pStyle w:val="SCCShortJudgment"/>
              <w:rPr>
                <w:szCs w:val="20"/>
                <w:lang w:val="fr-CA"/>
              </w:rPr>
            </w:pPr>
            <w:r w:rsidRPr="008748E6">
              <w:rPr>
                <w:szCs w:val="20"/>
                <w:lang w:val="fr-CA"/>
              </w:rPr>
              <w:t>La demande d’autorisation d’appel de l’arrêt de la Cour d'appel de l’Alberta (Edmonton), numéro 1203-0057-A, 2012 ABCA 326, daté du 13 novembre 2012, est rejetée sans dépens.</w:t>
            </w:r>
          </w:p>
        </w:tc>
      </w:tr>
    </w:tbl>
    <w:p w:rsidR="00EA65C4" w:rsidRPr="006C3CC2" w:rsidRDefault="00EA65C4" w:rsidP="00EA65C4">
      <w:pPr>
        <w:rPr>
          <w:sz w:val="20"/>
          <w:szCs w:val="20"/>
          <w:lang w:val="fr-CA"/>
        </w:rPr>
      </w:pPr>
    </w:p>
    <w:p w:rsidR="00EA65C4" w:rsidRPr="001B157C" w:rsidRDefault="00EA65C4" w:rsidP="00EA65C4">
      <w:pPr>
        <w:rPr>
          <w:sz w:val="20"/>
          <w:szCs w:val="20"/>
          <w:u w:val="single"/>
        </w:rPr>
      </w:pPr>
      <w:r w:rsidRPr="001B157C">
        <w:rPr>
          <w:sz w:val="20"/>
          <w:szCs w:val="20"/>
          <w:u w:val="single"/>
        </w:rPr>
        <w:t>CASE SUMMARY</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6B0EA7" w:rsidRPr="0084490B" w:rsidTr="00120F8A">
        <w:tc>
          <w:tcPr>
            <w:tcW w:w="5000" w:type="pct"/>
            <w:gridSpan w:val="3"/>
          </w:tcPr>
          <w:p w:rsidR="006B0EA7" w:rsidRPr="0084490B" w:rsidRDefault="006B0EA7" w:rsidP="00120F8A">
            <w:pPr>
              <w:jc w:val="both"/>
              <w:rPr>
                <w:rFonts w:eastAsia="Calibri"/>
                <w:sz w:val="20"/>
              </w:rPr>
            </w:pPr>
            <w:r w:rsidRPr="0084490B">
              <w:rPr>
                <w:rFonts w:eastAsia="Calibri"/>
                <w:sz w:val="20"/>
              </w:rPr>
              <w:t>Criminal Law – Sentencing – Whether sentencing of a foreign national must take into account any natural and probable consequences of the conviction and possible sentences – Whether a sentence should be expressed favorably to the offender (except in exceptional cases) where the substantive features of the sentence can be achieved through different formal expressions of the sentence and the offender's immigration status turns on the sentence</w:t>
            </w:r>
            <w:r w:rsidRPr="0084490B">
              <w:rPr>
                <w:rFonts w:eastAsia="Calibri"/>
                <w:spacing w:val="24"/>
                <w:sz w:val="20"/>
              </w:rPr>
              <w:t>.</w:t>
            </w:r>
          </w:p>
        </w:tc>
      </w:tr>
      <w:tr w:rsidR="006B0EA7" w:rsidRPr="0084490B" w:rsidTr="00120F8A">
        <w:tc>
          <w:tcPr>
            <w:tcW w:w="5000" w:type="pct"/>
            <w:gridSpan w:val="3"/>
          </w:tcPr>
          <w:p w:rsidR="006B0EA7" w:rsidRPr="0084490B" w:rsidRDefault="006B0EA7" w:rsidP="00120F8A">
            <w:pPr>
              <w:jc w:val="both"/>
              <w:rPr>
                <w:rFonts w:eastAsia="Calibri"/>
                <w:sz w:val="20"/>
              </w:rPr>
            </w:pPr>
          </w:p>
        </w:tc>
      </w:tr>
      <w:tr w:rsidR="006B0EA7" w:rsidRPr="0084490B" w:rsidTr="00120F8A">
        <w:tc>
          <w:tcPr>
            <w:tcW w:w="5000" w:type="pct"/>
            <w:gridSpan w:val="3"/>
          </w:tcPr>
          <w:p w:rsidR="006B0EA7" w:rsidRPr="0084490B" w:rsidRDefault="006B0EA7" w:rsidP="00120F8A">
            <w:pPr>
              <w:jc w:val="both"/>
              <w:rPr>
                <w:rFonts w:eastAsia="Calibri"/>
                <w:sz w:val="20"/>
              </w:rPr>
            </w:pPr>
            <w:r w:rsidRPr="0084490B">
              <w:rPr>
                <w:rFonts w:eastAsia="Calibri"/>
                <w:sz w:val="20"/>
              </w:rPr>
              <w:t xml:space="preserve">The applicant was subject to a removal order that was stayed on condition that he not be convicted of another offence and sentenced to more than six months.  He pleaded guilty to five counts of theft under $5,000.  Based on a joint submission, he was sentenced to one year imprisonment to be served under a conditional sentence order.  An immigration officer advised the applicant that the sentences breached the condition of the stay of the removal order and that the removal order was effective immediately without further appeal.  The applicant appealed his sentence and sought to replace the global one-year sentence with consecutive sentences of less than six months cumulatively totaling one year.  The Court of Appeal dismissed his appeal.  </w:t>
            </w:r>
          </w:p>
          <w:p w:rsidR="006B0EA7" w:rsidRPr="0084490B" w:rsidRDefault="006B0EA7" w:rsidP="00120F8A">
            <w:pPr>
              <w:jc w:val="both"/>
              <w:rPr>
                <w:rFonts w:eastAsia="Calibri"/>
                <w:sz w:val="20"/>
              </w:rPr>
            </w:pPr>
          </w:p>
        </w:tc>
      </w:tr>
      <w:tr w:rsidR="006B0EA7" w:rsidRPr="0084490B" w:rsidTr="00120F8A">
        <w:tblPrEx>
          <w:tblCellMar>
            <w:bottom w:w="0" w:type="dxa"/>
          </w:tblCellMar>
        </w:tblPrEx>
        <w:tc>
          <w:tcPr>
            <w:tcW w:w="2390" w:type="pct"/>
          </w:tcPr>
          <w:p w:rsidR="006B0EA7" w:rsidRPr="0084490B" w:rsidRDefault="006B0EA7" w:rsidP="00120F8A">
            <w:pPr>
              <w:jc w:val="both"/>
              <w:rPr>
                <w:rFonts w:eastAsia="Calibri"/>
                <w:sz w:val="20"/>
              </w:rPr>
            </w:pPr>
            <w:r w:rsidRPr="0084490B">
              <w:rPr>
                <w:rFonts w:eastAsia="Calibri"/>
                <w:sz w:val="20"/>
              </w:rPr>
              <w:t>February 15, 2012</w:t>
            </w:r>
          </w:p>
          <w:p w:rsidR="006B0EA7" w:rsidRPr="0084490B" w:rsidRDefault="006B0EA7" w:rsidP="00120F8A">
            <w:pPr>
              <w:jc w:val="both"/>
              <w:rPr>
                <w:rFonts w:eastAsia="Calibri"/>
                <w:sz w:val="20"/>
              </w:rPr>
            </w:pPr>
            <w:r w:rsidRPr="0084490B">
              <w:rPr>
                <w:rFonts w:eastAsia="Calibri"/>
                <w:sz w:val="20"/>
              </w:rPr>
              <w:t>Provincial Court of Alberta</w:t>
            </w:r>
          </w:p>
          <w:p w:rsidR="006B0EA7" w:rsidRPr="0084490B" w:rsidRDefault="006B0EA7" w:rsidP="00120F8A">
            <w:pPr>
              <w:jc w:val="both"/>
              <w:rPr>
                <w:rFonts w:eastAsia="Calibri"/>
                <w:sz w:val="20"/>
              </w:rPr>
            </w:pPr>
            <w:r w:rsidRPr="0084490B">
              <w:rPr>
                <w:rFonts w:eastAsia="Calibri"/>
                <w:sz w:val="20"/>
              </w:rPr>
              <w:t>(Maher J.)</w:t>
            </w:r>
          </w:p>
          <w:p w:rsidR="006B0EA7" w:rsidRPr="0084490B" w:rsidRDefault="006B0EA7" w:rsidP="00120F8A">
            <w:pPr>
              <w:jc w:val="both"/>
              <w:rPr>
                <w:rFonts w:eastAsia="Calibri"/>
                <w:sz w:val="20"/>
              </w:rPr>
            </w:pPr>
          </w:p>
        </w:tc>
        <w:tc>
          <w:tcPr>
            <w:tcW w:w="270" w:type="pct"/>
          </w:tcPr>
          <w:p w:rsidR="006B0EA7" w:rsidRPr="0084490B" w:rsidRDefault="006B0EA7" w:rsidP="00120F8A">
            <w:pPr>
              <w:jc w:val="both"/>
              <w:rPr>
                <w:rFonts w:eastAsia="Calibri"/>
                <w:sz w:val="20"/>
              </w:rPr>
            </w:pPr>
          </w:p>
        </w:tc>
        <w:tc>
          <w:tcPr>
            <w:tcW w:w="2340" w:type="pct"/>
          </w:tcPr>
          <w:p w:rsidR="006B0EA7" w:rsidRPr="0084490B" w:rsidRDefault="006B0EA7" w:rsidP="00120F8A">
            <w:pPr>
              <w:jc w:val="both"/>
              <w:rPr>
                <w:rFonts w:eastAsia="Calibri"/>
                <w:sz w:val="20"/>
              </w:rPr>
            </w:pPr>
            <w:r w:rsidRPr="0084490B">
              <w:rPr>
                <w:rFonts w:eastAsia="Calibri"/>
                <w:sz w:val="20"/>
              </w:rPr>
              <w:t>Sentence for five counts of theft under $5000 to one-year imprisonment to be served under conditional sentence order</w:t>
            </w:r>
          </w:p>
        </w:tc>
      </w:tr>
      <w:tr w:rsidR="006B0EA7" w:rsidRPr="0084490B" w:rsidTr="00120F8A">
        <w:tblPrEx>
          <w:tblCellMar>
            <w:bottom w:w="0" w:type="dxa"/>
          </w:tblCellMar>
        </w:tblPrEx>
        <w:tc>
          <w:tcPr>
            <w:tcW w:w="2390" w:type="pct"/>
          </w:tcPr>
          <w:p w:rsidR="006B0EA7" w:rsidRPr="0084490B" w:rsidRDefault="006B0EA7" w:rsidP="00120F8A">
            <w:pPr>
              <w:jc w:val="both"/>
              <w:rPr>
                <w:rFonts w:eastAsia="Calibri"/>
                <w:sz w:val="20"/>
              </w:rPr>
            </w:pPr>
            <w:r w:rsidRPr="0084490B">
              <w:rPr>
                <w:rFonts w:eastAsia="Calibri"/>
                <w:sz w:val="20"/>
              </w:rPr>
              <w:t>November 13, 2012</w:t>
            </w:r>
          </w:p>
          <w:p w:rsidR="006B0EA7" w:rsidRPr="0084490B" w:rsidRDefault="006B0EA7" w:rsidP="00120F8A">
            <w:pPr>
              <w:jc w:val="both"/>
              <w:rPr>
                <w:rFonts w:eastAsia="Calibri"/>
                <w:sz w:val="20"/>
              </w:rPr>
            </w:pPr>
            <w:r w:rsidRPr="0084490B">
              <w:rPr>
                <w:rFonts w:eastAsia="Calibri"/>
                <w:sz w:val="20"/>
              </w:rPr>
              <w:t>Court of Appeal of Alberta (Edmonton)</w:t>
            </w:r>
          </w:p>
          <w:p w:rsidR="006B0EA7" w:rsidRPr="0084490B" w:rsidRDefault="006B0EA7" w:rsidP="00120F8A">
            <w:pPr>
              <w:jc w:val="both"/>
              <w:rPr>
                <w:rFonts w:eastAsia="Calibri"/>
                <w:sz w:val="20"/>
              </w:rPr>
            </w:pPr>
            <w:r w:rsidRPr="0084490B">
              <w:rPr>
                <w:rFonts w:eastAsia="Calibri"/>
                <w:sz w:val="20"/>
              </w:rPr>
              <w:t>(</w:t>
            </w:r>
            <w:proofErr w:type="spellStart"/>
            <w:r w:rsidRPr="0084490B">
              <w:rPr>
                <w:rFonts w:eastAsia="Calibri"/>
                <w:sz w:val="20"/>
              </w:rPr>
              <w:t>Côté</w:t>
            </w:r>
            <w:proofErr w:type="spellEnd"/>
            <w:r w:rsidRPr="0084490B">
              <w:rPr>
                <w:rFonts w:eastAsia="Calibri"/>
                <w:sz w:val="20"/>
              </w:rPr>
              <w:t xml:space="preserve">, </w:t>
            </w:r>
            <w:proofErr w:type="spellStart"/>
            <w:r w:rsidRPr="0084490B">
              <w:rPr>
                <w:rFonts w:eastAsia="Calibri"/>
                <w:sz w:val="20"/>
              </w:rPr>
              <w:t>Costigan</w:t>
            </w:r>
            <w:proofErr w:type="spellEnd"/>
            <w:r w:rsidRPr="0084490B">
              <w:rPr>
                <w:rFonts w:eastAsia="Calibri"/>
                <w:sz w:val="20"/>
              </w:rPr>
              <w:t xml:space="preserve">, </w:t>
            </w:r>
            <w:proofErr w:type="spellStart"/>
            <w:r w:rsidRPr="0084490B">
              <w:rPr>
                <w:rFonts w:eastAsia="Calibri"/>
                <w:sz w:val="20"/>
              </w:rPr>
              <w:t>Rowbotham</w:t>
            </w:r>
            <w:proofErr w:type="spellEnd"/>
            <w:r w:rsidRPr="0084490B">
              <w:rPr>
                <w:rFonts w:eastAsia="Calibri"/>
                <w:sz w:val="20"/>
              </w:rPr>
              <w:t xml:space="preserve"> JJ.A.)</w:t>
            </w:r>
          </w:p>
          <w:p w:rsidR="006B0EA7" w:rsidRPr="0084490B" w:rsidRDefault="006B0EA7" w:rsidP="00120F8A">
            <w:pPr>
              <w:jc w:val="both"/>
              <w:rPr>
                <w:rFonts w:eastAsia="Calibri"/>
                <w:sz w:val="20"/>
              </w:rPr>
            </w:pPr>
            <w:r w:rsidRPr="0084490B">
              <w:rPr>
                <w:rFonts w:eastAsia="Calibri"/>
                <w:sz w:val="20"/>
              </w:rPr>
              <w:t>2012 ABCA 326; 1203-0057-A</w:t>
            </w:r>
          </w:p>
          <w:p w:rsidR="006B0EA7" w:rsidRPr="0084490B" w:rsidRDefault="006B0EA7" w:rsidP="00120F8A">
            <w:pPr>
              <w:jc w:val="both"/>
              <w:rPr>
                <w:rFonts w:eastAsia="Calibri"/>
                <w:sz w:val="20"/>
              </w:rPr>
            </w:pPr>
          </w:p>
        </w:tc>
        <w:tc>
          <w:tcPr>
            <w:tcW w:w="270" w:type="pct"/>
          </w:tcPr>
          <w:p w:rsidR="006B0EA7" w:rsidRPr="0084490B" w:rsidRDefault="006B0EA7" w:rsidP="00120F8A">
            <w:pPr>
              <w:jc w:val="both"/>
              <w:rPr>
                <w:rFonts w:eastAsia="Calibri"/>
                <w:sz w:val="20"/>
              </w:rPr>
            </w:pPr>
          </w:p>
        </w:tc>
        <w:tc>
          <w:tcPr>
            <w:tcW w:w="2340" w:type="pct"/>
          </w:tcPr>
          <w:p w:rsidR="006B0EA7" w:rsidRPr="0084490B" w:rsidRDefault="006B0EA7" w:rsidP="00120F8A">
            <w:pPr>
              <w:jc w:val="both"/>
              <w:rPr>
                <w:rFonts w:eastAsia="Calibri"/>
                <w:sz w:val="20"/>
              </w:rPr>
            </w:pPr>
            <w:r w:rsidRPr="0084490B">
              <w:rPr>
                <w:rFonts w:eastAsia="Calibri"/>
                <w:sz w:val="20"/>
              </w:rPr>
              <w:t>Appeal from sentence dismissed</w:t>
            </w:r>
          </w:p>
          <w:p w:rsidR="006B0EA7" w:rsidRPr="0084490B" w:rsidRDefault="006B0EA7" w:rsidP="00120F8A">
            <w:pPr>
              <w:jc w:val="both"/>
              <w:rPr>
                <w:rFonts w:eastAsia="Calibri"/>
                <w:sz w:val="20"/>
              </w:rPr>
            </w:pPr>
          </w:p>
        </w:tc>
      </w:tr>
      <w:tr w:rsidR="006B0EA7" w:rsidRPr="0084490B" w:rsidTr="00120F8A">
        <w:tblPrEx>
          <w:tblCellMar>
            <w:bottom w:w="0" w:type="dxa"/>
          </w:tblCellMar>
        </w:tblPrEx>
        <w:tc>
          <w:tcPr>
            <w:tcW w:w="2390" w:type="pct"/>
          </w:tcPr>
          <w:p w:rsidR="006B0EA7" w:rsidRPr="0084490B" w:rsidRDefault="006B0EA7" w:rsidP="00120F8A">
            <w:pPr>
              <w:jc w:val="both"/>
              <w:rPr>
                <w:rFonts w:eastAsia="Calibri"/>
                <w:sz w:val="20"/>
              </w:rPr>
            </w:pPr>
            <w:r w:rsidRPr="0084490B">
              <w:rPr>
                <w:rFonts w:eastAsia="Calibri"/>
                <w:sz w:val="20"/>
              </w:rPr>
              <w:t>January 14, 2013</w:t>
            </w:r>
          </w:p>
          <w:p w:rsidR="006B0EA7" w:rsidRPr="0084490B" w:rsidRDefault="006B0EA7" w:rsidP="00120F8A">
            <w:pPr>
              <w:jc w:val="both"/>
              <w:rPr>
                <w:rFonts w:eastAsia="Calibri"/>
                <w:sz w:val="20"/>
              </w:rPr>
            </w:pPr>
            <w:r w:rsidRPr="0084490B">
              <w:rPr>
                <w:rFonts w:eastAsia="Calibri"/>
                <w:sz w:val="20"/>
              </w:rPr>
              <w:t>Supreme Court of Canada</w:t>
            </w:r>
          </w:p>
        </w:tc>
        <w:tc>
          <w:tcPr>
            <w:tcW w:w="270" w:type="pct"/>
          </w:tcPr>
          <w:p w:rsidR="006B0EA7" w:rsidRPr="0084490B" w:rsidRDefault="006B0EA7" w:rsidP="00120F8A">
            <w:pPr>
              <w:jc w:val="both"/>
              <w:rPr>
                <w:rFonts w:eastAsia="Calibri"/>
                <w:sz w:val="20"/>
              </w:rPr>
            </w:pPr>
          </w:p>
        </w:tc>
        <w:tc>
          <w:tcPr>
            <w:tcW w:w="2340" w:type="pct"/>
          </w:tcPr>
          <w:p w:rsidR="006B0EA7" w:rsidRPr="0084490B" w:rsidRDefault="006B0EA7" w:rsidP="00120F8A">
            <w:pPr>
              <w:jc w:val="both"/>
              <w:rPr>
                <w:rFonts w:eastAsia="Calibri"/>
                <w:sz w:val="20"/>
              </w:rPr>
            </w:pPr>
            <w:r w:rsidRPr="0084490B">
              <w:rPr>
                <w:rFonts w:eastAsia="Calibri"/>
                <w:sz w:val="20"/>
              </w:rPr>
              <w:t>Application for leave to appeal filed</w:t>
            </w:r>
          </w:p>
          <w:p w:rsidR="006B0EA7" w:rsidRPr="0084490B" w:rsidRDefault="006B0EA7" w:rsidP="00120F8A">
            <w:pPr>
              <w:jc w:val="both"/>
              <w:rPr>
                <w:rFonts w:eastAsia="Calibri"/>
                <w:sz w:val="20"/>
              </w:rPr>
            </w:pPr>
          </w:p>
        </w:tc>
      </w:tr>
    </w:tbl>
    <w:p w:rsidR="00EA65C4" w:rsidRDefault="00EA65C4" w:rsidP="00EA65C4">
      <w:pPr>
        <w:rPr>
          <w:sz w:val="20"/>
          <w:szCs w:val="20"/>
        </w:rPr>
      </w:pPr>
    </w:p>
    <w:p w:rsidR="00EA65C4" w:rsidRPr="00C50A5C" w:rsidRDefault="0028676C" w:rsidP="00EA65C4">
      <w:pPr>
        <w:rPr>
          <w:sz w:val="20"/>
          <w:szCs w:val="20"/>
        </w:rPr>
      </w:pPr>
      <w:r w:rsidRPr="0028676C">
        <w:rPr>
          <w:sz w:val="20"/>
          <w:szCs w:val="20"/>
          <w:lang w:val="fr-CA"/>
        </w:rPr>
        <w:pict>
          <v:rect id="_x0000_i1051" style="width:2in;height:1pt" o:hrpct="0" o:hralign="center" o:hrstd="t" o:hrnoshade="t" o:hr="t" fillcolor="black [3213]" stroked="f"/>
        </w:pict>
      </w:r>
    </w:p>
    <w:p w:rsidR="00EA65C4" w:rsidRDefault="00EA65C4" w:rsidP="00EA65C4">
      <w:pPr>
        <w:rPr>
          <w:sz w:val="20"/>
          <w:szCs w:val="20"/>
        </w:rPr>
      </w:pPr>
    </w:p>
    <w:p w:rsidR="00EA65C4" w:rsidRPr="001B157C" w:rsidRDefault="00EA65C4" w:rsidP="00EA65C4">
      <w:pPr>
        <w:rPr>
          <w:sz w:val="20"/>
          <w:szCs w:val="20"/>
          <w:u w:val="single"/>
          <w:lang w:val="fr-CA"/>
        </w:rPr>
      </w:pPr>
      <w:r w:rsidRPr="001B157C">
        <w:rPr>
          <w:sz w:val="20"/>
          <w:szCs w:val="20"/>
          <w:u w:val="single"/>
          <w:lang w:val="fr-CA"/>
        </w:rPr>
        <w:t>RÉSUMÉ DE L’AFFAIRE</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6B0EA7" w:rsidRPr="00B6040C" w:rsidTr="00120F8A">
        <w:tc>
          <w:tcPr>
            <w:tcW w:w="5000" w:type="pct"/>
            <w:gridSpan w:val="3"/>
          </w:tcPr>
          <w:p w:rsidR="006B0EA7" w:rsidRPr="0084490B" w:rsidRDefault="006B0EA7" w:rsidP="00120F8A">
            <w:pPr>
              <w:jc w:val="both"/>
              <w:rPr>
                <w:rFonts w:eastAsia="Calibri"/>
                <w:sz w:val="20"/>
                <w:lang w:val="fr-CA"/>
              </w:rPr>
            </w:pPr>
            <w:r w:rsidRPr="0084490B">
              <w:rPr>
                <w:rFonts w:eastAsia="Calibri"/>
                <w:sz w:val="20"/>
                <w:lang w:val="fr-CA"/>
              </w:rPr>
              <w:t>Droit criminel – Détermination de la peine – La détermination de la peine à infliger à un ressortissant étranger doit-elle tenir compte des conséquences qu’entraîneront naturellement et probablement la déclaration de culpabilité et les peines éventuelles? – La sentence peut-elle être formulée en termes favorables au délinquant (sauf dans des cas exceptionnels) lorsque différentes combinaisons peuvent assurer les éléments essentiels de la peine et que le statut d’immigration du délinquant dépend de la peine infligée?</w:t>
            </w:r>
          </w:p>
        </w:tc>
      </w:tr>
      <w:tr w:rsidR="006B0EA7" w:rsidRPr="00B6040C" w:rsidTr="00120F8A">
        <w:tc>
          <w:tcPr>
            <w:tcW w:w="5000" w:type="pct"/>
            <w:gridSpan w:val="3"/>
          </w:tcPr>
          <w:p w:rsidR="006B0EA7" w:rsidRPr="0084490B" w:rsidRDefault="006B0EA7" w:rsidP="00120F8A">
            <w:pPr>
              <w:jc w:val="both"/>
              <w:rPr>
                <w:rFonts w:eastAsia="Calibri"/>
                <w:sz w:val="20"/>
                <w:lang w:val="fr-CA"/>
              </w:rPr>
            </w:pPr>
          </w:p>
        </w:tc>
      </w:tr>
      <w:tr w:rsidR="006B0EA7" w:rsidRPr="0084490B" w:rsidTr="00120F8A">
        <w:tc>
          <w:tcPr>
            <w:tcW w:w="5000" w:type="pct"/>
            <w:gridSpan w:val="3"/>
          </w:tcPr>
          <w:p w:rsidR="006B0EA7" w:rsidRPr="0084490B" w:rsidRDefault="006B0EA7" w:rsidP="00120F8A">
            <w:pPr>
              <w:jc w:val="both"/>
              <w:rPr>
                <w:rFonts w:eastAsia="Calibri"/>
                <w:sz w:val="20"/>
                <w:lang w:val="fr-CA"/>
              </w:rPr>
            </w:pPr>
            <w:r w:rsidRPr="0084490B">
              <w:rPr>
                <w:rFonts w:eastAsia="Calibri"/>
                <w:sz w:val="20"/>
                <w:lang w:val="fr-CA"/>
              </w:rPr>
              <w:t>Le demandeur était visé par une ordonnance d’expulsion à laquelle il avait été sursis à condition qu’il ne soit pas reconnu coupable et condamné à une peine de plus de six mois d’emprisonnement.  Il a plaidé coupable à cinq chefs de vol d’une valeur de moins de 5 000 $. Sur le fondement d’observations conjointes, il a été condamné à une peine d’emprisonnement d’un an avec sursis.  Un agent d’immigration a informé le demandeur que les peines contrevenaient à la condition dont était assorti le sursis à l’ordonnance d’expulsion et que l’ordonnance d’expulsion prenait effet sans délai et sans droit d’appel.  Le demandeur a interjeté appel de la peine, cherchant à remplacer la peine globale d’un an par des peines consécutives de moins de six mois totalisant un an.  La Cour d’appel a rejeté son appel.</w:t>
            </w:r>
          </w:p>
          <w:p w:rsidR="006B0EA7" w:rsidRPr="0084490B" w:rsidRDefault="006B0EA7" w:rsidP="00120F8A">
            <w:pPr>
              <w:jc w:val="both"/>
              <w:rPr>
                <w:rFonts w:eastAsia="Calibri"/>
                <w:sz w:val="20"/>
                <w:lang w:val="fr-CA"/>
              </w:rPr>
            </w:pPr>
          </w:p>
        </w:tc>
      </w:tr>
      <w:tr w:rsidR="006B0EA7" w:rsidRPr="00B6040C" w:rsidTr="00120F8A">
        <w:tblPrEx>
          <w:tblCellMar>
            <w:bottom w:w="0" w:type="dxa"/>
          </w:tblCellMar>
        </w:tblPrEx>
        <w:tc>
          <w:tcPr>
            <w:tcW w:w="2390" w:type="pct"/>
          </w:tcPr>
          <w:p w:rsidR="006B0EA7" w:rsidRPr="0084490B" w:rsidRDefault="006B0EA7" w:rsidP="00120F8A">
            <w:pPr>
              <w:jc w:val="both"/>
              <w:rPr>
                <w:rFonts w:eastAsia="Calibri"/>
                <w:sz w:val="20"/>
                <w:lang w:val="fr-CA"/>
              </w:rPr>
            </w:pPr>
            <w:r w:rsidRPr="0084490B">
              <w:rPr>
                <w:rFonts w:eastAsia="Calibri"/>
                <w:sz w:val="20"/>
                <w:lang w:val="fr-CA"/>
              </w:rPr>
              <w:t>15 février 2012</w:t>
            </w:r>
          </w:p>
          <w:p w:rsidR="006B0EA7" w:rsidRPr="0084490B" w:rsidRDefault="006B0EA7" w:rsidP="00120F8A">
            <w:pPr>
              <w:jc w:val="both"/>
              <w:rPr>
                <w:rFonts w:eastAsia="Calibri"/>
                <w:sz w:val="20"/>
                <w:lang w:val="fr-CA"/>
              </w:rPr>
            </w:pPr>
            <w:r w:rsidRPr="0084490B">
              <w:rPr>
                <w:rFonts w:eastAsia="Calibri"/>
                <w:sz w:val="20"/>
                <w:lang w:val="fr-CA"/>
              </w:rPr>
              <w:t>Cour provinciale de l’Alberta</w:t>
            </w:r>
          </w:p>
          <w:p w:rsidR="006B0EA7" w:rsidRPr="0084490B" w:rsidRDefault="006B0EA7" w:rsidP="00120F8A">
            <w:pPr>
              <w:jc w:val="both"/>
              <w:rPr>
                <w:rFonts w:eastAsia="Calibri"/>
                <w:sz w:val="20"/>
                <w:lang w:val="fr-CA"/>
              </w:rPr>
            </w:pPr>
            <w:r w:rsidRPr="0084490B">
              <w:rPr>
                <w:rFonts w:eastAsia="Calibri"/>
                <w:sz w:val="20"/>
                <w:lang w:val="fr-CA"/>
              </w:rPr>
              <w:t xml:space="preserve">(juge </w:t>
            </w:r>
            <w:proofErr w:type="spellStart"/>
            <w:r w:rsidRPr="0084490B">
              <w:rPr>
                <w:rFonts w:eastAsia="Calibri"/>
                <w:sz w:val="20"/>
                <w:lang w:val="fr-CA"/>
              </w:rPr>
              <w:t>Maher</w:t>
            </w:r>
            <w:proofErr w:type="spellEnd"/>
            <w:r w:rsidRPr="0084490B">
              <w:rPr>
                <w:rFonts w:eastAsia="Calibri"/>
                <w:sz w:val="20"/>
                <w:lang w:val="fr-CA"/>
              </w:rPr>
              <w:t>)</w:t>
            </w:r>
          </w:p>
          <w:p w:rsidR="006B0EA7" w:rsidRPr="0084490B" w:rsidRDefault="006B0EA7" w:rsidP="00120F8A">
            <w:pPr>
              <w:jc w:val="both"/>
              <w:rPr>
                <w:rFonts w:eastAsia="Calibri"/>
                <w:sz w:val="20"/>
                <w:lang w:val="fr-CA"/>
              </w:rPr>
            </w:pPr>
          </w:p>
        </w:tc>
        <w:tc>
          <w:tcPr>
            <w:tcW w:w="270" w:type="pct"/>
          </w:tcPr>
          <w:p w:rsidR="006B0EA7" w:rsidRPr="0084490B" w:rsidRDefault="006B0EA7" w:rsidP="00120F8A">
            <w:pPr>
              <w:jc w:val="both"/>
              <w:rPr>
                <w:rFonts w:eastAsia="Calibri"/>
                <w:sz w:val="20"/>
                <w:lang w:val="fr-CA"/>
              </w:rPr>
            </w:pPr>
          </w:p>
        </w:tc>
        <w:tc>
          <w:tcPr>
            <w:tcW w:w="2340" w:type="pct"/>
          </w:tcPr>
          <w:p w:rsidR="006B0EA7" w:rsidRPr="0084490B" w:rsidRDefault="006B0EA7" w:rsidP="00120F8A">
            <w:pPr>
              <w:jc w:val="both"/>
              <w:rPr>
                <w:rFonts w:eastAsia="Calibri"/>
                <w:sz w:val="20"/>
                <w:lang w:val="fr-CA"/>
              </w:rPr>
            </w:pPr>
            <w:r w:rsidRPr="0084490B">
              <w:rPr>
                <w:rFonts w:eastAsia="Calibri"/>
                <w:sz w:val="20"/>
                <w:lang w:val="fr-CA"/>
              </w:rPr>
              <w:t>Peine d’un an d’emprisonnement avec sursis infligée relativement à cinq condamnations pour des vols de moins de 5 000 $.</w:t>
            </w:r>
          </w:p>
        </w:tc>
      </w:tr>
      <w:tr w:rsidR="006B0EA7" w:rsidRPr="0084490B" w:rsidTr="00120F8A">
        <w:tblPrEx>
          <w:tblCellMar>
            <w:bottom w:w="0" w:type="dxa"/>
          </w:tblCellMar>
        </w:tblPrEx>
        <w:tc>
          <w:tcPr>
            <w:tcW w:w="2390" w:type="pct"/>
          </w:tcPr>
          <w:p w:rsidR="006B0EA7" w:rsidRPr="0084490B" w:rsidRDefault="006B0EA7" w:rsidP="00120F8A">
            <w:pPr>
              <w:jc w:val="both"/>
              <w:rPr>
                <w:rFonts w:eastAsia="Calibri"/>
                <w:sz w:val="20"/>
                <w:lang w:val="fr-CA"/>
              </w:rPr>
            </w:pPr>
            <w:r w:rsidRPr="0084490B">
              <w:rPr>
                <w:rFonts w:eastAsia="Calibri"/>
                <w:sz w:val="20"/>
                <w:lang w:val="fr-CA"/>
              </w:rPr>
              <w:t>13 novembre 2012</w:t>
            </w:r>
          </w:p>
          <w:p w:rsidR="006B0EA7" w:rsidRPr="0084490B" w:rsidRDefault="006B0EA7" w:rsidP="00120F8A">
            <w:pPr>
              <w:jc w:val="both"/>
              <w:rPr>
                <w:rFonts w:eastAsia="Calibri"/>
                <w:sz w:val="20"/>
                <w:lang w:val="fr-CA"/>
              </w:rPr>
            </w:pPr>
            <w:r w:rsidRPr="0084490B">
              <w:rPr>
                <w:rFonts w:eastAsia="Calibri"/>
                <w:sz w:val="20"/>
                <w:lang w:val="fr-CA"/>
              </w:rPr>
              <w:t>Cour d’appel de l’Alberta (Edmonton)</w:t>
            </w:r>
          </w:p>
          <w:p w:rsidR="006B0EA7" w:rsidRPr="0084490B" w:rsidRDefault="006B0EA7" w:rsidP="00120F8A">
            <w:pPr>
              <w:jc w:val="both"/>
              <w:rPr>
                <w:rFonts w:eastAsia="Calibri"/>
                <w:sz w:val="20"/>
                <w:lang w:val="fr-CA"/>
              </w:rPr>
            </w:pPr>
            <w:r w:rsidRPr="0084490B">
              <w:rPr>
                <w:rFonts w:eastAsia="Calibri"/>
                <w:sz w:val="20"/>
                <w:lang w:val="fr-CA"/>
              </w:rPr>
              <w:t xml:space="preserve">(juges Côté, </w:t>
            </w:r>
            <w:proofErr w:type="spellStart"/>
            <w:r w:rsidRPr="0084490B">
              <w:rPr>
                <w:rFonts w:eastAsia="Calibri"/>
                <w:sz w:val="20"/>
                <w:lang w:val="fr-CA"/>
              </w:rPr>
              <w:t>Costigan</w:t>
            </w:r>
            <w:proofErr w:type="spellEnd"/>
            <w:r w:rsidRPr="0084490B">
              <w:rPr>
                <w:rFonts w:eastAsia="Calibri"/>
                <w:sz w:val="20"/>
                <w:lang w:val="fr-CA"/>
              </w:rPr>
              <w:t xml:space="preserve"> et </w:t>
            </w:r>
            <w:proofErr w:type="spellStart"/>
            <w:r w:rsidRPr="0084490B">
              <w:rPr>
                <w:rFonts w:eastAsia="Calibri"/>
                <w:sz w:val="20"/>
                <w:lang w:val="fr-CA"/>
              </w:rPr>
              <w:t>Rowbotham</w:t>
            </w:r>
            <w:proofErr w:type="spellEnd"/>
            <w:r w:rsidRPr="0084490B">
              <w:rPr>
                <w:rFonts w:eastAsia="Calibri"/>
                <w:sz w:val="20"/>
                <w:lang w:val="fr-CA"/>
              </w:rPr>
              <w:t>)</w:t>
            </w:r>
          </w:p>
          <w:p w:rsidR="006B0EA7" w:rsidRPr="0084490B" w:rsidRDefault="006B0EA7" w:rsidP="00120F8A">
            <w:pPr>
              <w:jc w:val="both"/>
              <w:rPr>
                <w:rFonts w:eastAsia="Calibri"/>
                <w:sz w:val="20"/>
                <w:lang w:val="fr-CA"/>
              </w:rPr>
            </w:pPr>
            <w:r w:rsidRPr="0084490B">
              <w:rPr>
                <w:rFonts w:eastAsia="Calibri"/>
                <w:sz w:val="20"/>
                <w:lang w:val="fr-CA"/>
              </w:rPr>
              <w:t>2012 ABCA 326; 1203-0057-A</w:t>
            </w:r>
          </w:p>
          <w:p w:rsidR="006B0EA7" w:rsidRPr="0084490B" w:rsidRDefault="006B0EA7" w:rsidP="00120F8A">
            <w:pPr>
              <w:jc w:val="both"/>
              <w:rPr>
                <w:rFonts w:eastAsia="Calibri"/>
                <w:sz w:val="20"/>
                <w:lang w:val="fr-CA"/>
              </w:rPr>
            </w:pPr>
          </w:p>
        </w:tc>
        <w:tc>
          <w:tcPr>
            <w:tcW w:w="270" w:type="pct"/>
          </w:tcPr>
          <w:p w:rsidR="006B0EA7" w:rsidRPr="0084490B" w:rsidRDefault="006B0EA7" w:rsidP="00120F8A">
            <w:pPr>
              <w:jc w:val="both"/>
              <w:rPr>
                <w:rFonts w:eastAsia="Calibri"/>
                <w:sz w:val="20"/>
                <w:lang w:val="fr-CA"/>
              </w:rPr>
            </w:pPr>
          </w:p>
        </w:tc>
        <w:tc>
          <w:tcPr>
            <w:tcW w:w="2340" w:type="pct"/>
          </w:tcPr>
          <w:p w:rsidR="006B0EA7" w:rsidRPr="0084490B" w:rsidRDefault="006B0EA7" w:rsidP="00120F8A">
            <w:pPr>
              <w:jc w:val="both"/>
              <w:rPr>
                <w:rFonts w:eastAsia="Calibri"/>
                <w:sz w:val="20"/>
                <w:lang w:val="fr-CA"/>
              </w:rPr>
            </w:pPr>
            <w:r w:rsidRPr="0084490B">
              <w:rPr>
                <w:rFonts w:eastAsia="Calibri"/>
                <w:sz w:val="20"/>
                <w:lang w:val="fr-CA"/>
              </w:rPr>
              <w:t>Appel de la peine rejeté</w:t>
            </w:r>
          </w:p>
          <w:p w:rsidR="006B0EA7" w:rsidRPr="0084490B" w:rsidRDefault="006B0EA7" w:rsidP="00120F8A">
            <w:pPr>
              <w:jc w:val="both"/>
              <w:rPr>
                <w:rFonts w:eastAsia="Calibri"/>
                <w:sz w:val="20"/>
                <w:lang w:val="fr-CA"/>
              </w:rPr>
            </w:pPr>
          </w:p>
        </w:tc>
      </w:tr>
      <w:tr w:rsidR="006B0EA7" w:rsidRPr="0084490B" w:rsidTr="00120F8A">
        <w:tblPrEx>
          <w:tblCellMar>
            <w:bottom w:w="0" w:type="dxa"/>
          </w:tblCellMar>
        </w:tblPrEx>
        <w:tc>
          <w:tcPr>
            <w:tcW w:w="2390" w:type="pct"/>
          </w:tcPr>
          <w:p w:rsidR="006B0EA7" w:rsidRPr="0084490B" w:rsidRDefault="006B0EA7" w:rsidP="00120F8A">
            <w:pPr>
              <w:jc w:val="both"/>
              <w:rPr>
                <w:rFonts w:eastAsia="Calibri"/>
                <w:sz w:val="20"/>
                <w:lang w:val="fr-CA"/>
              </w:rPr>
            </w:pPr>
            <w:r w:rsidRPr="0084490B">
              <w:rPr>
                <w:rFonts w:eastAsia="Calibri"/>
                <w:sz w:val="20"/>
                <w:lang w:val="fr-CA"/>
              </w:rPr>
              <w:t>14 janvier 2013</w:t>
            </w:r>
          </w:p>
          <w:p w:rsidR="006B0EA7" w:rsidRPr="0084490B" w:rsidRDefault="006B0EA7" w:rsidP="00120F8A">
            <w:pPr>
              <w:jc w:val="both"/>
              <w:rPr>
                <w:rFonts w:eastAsia="Calibri"/>
                <w:sz w:val="20"/>
                <w:lang w:val="fr-CA"/>
              </w:rPr>
            </w:pPr>
            <w:r w:rsidRPr="0084490B">
              <w:rPr>
                <w:rFonts w:eastAsia="Calibri"/>
                <w:sz w:val="20"/>
                <w:lang w:val="fr-CA"/>
              </w:rPr>
              <w:t>Cour suprême du Canada</w:t>
            </w:r>
          </w:p>
        </w:tc>
        <w:tc>
          <w:tcPr>
            <w:tcW w:w="270" w:type="pct"/>
          </w:tcPr>
          <w:p w:rsidR="006B0EA7" w:rsidRPr="0084490B" w:rsidRDefault="006B0EA7" w:rsidP="00120F8A">
            <w:pPr>
              <w:jc w:val="both"/>
              <w:rPr>
                <w:rFonts w:eastAsia="Calibri"/>
                <w:sz w:val="20"/>
                <w:lang w:val="fr-CA"/>
              </w:rPr>
            </w:pPr>
          </w:p>
        </w:tc>
        <w:tc>
          <w:tcPr>
            <w:tcW w:w="2340" w:type="pct"/>
          </w:tcPr>
          <w:p w:rsidR="006B0EA7" w:rsidRPr="0084490B" w:rsidRDefault="006B0EA7" w:rsidP="00120F8A">
            <w:pPr>
              <w:jc w:val="both"/>
              <w:rPr>
                <w:rFonts w:eastAsia="Calibri"/>
                <w:sz w:val="20"/>
                <w:lang w:val="fr-CA"/>
              </w:rPr>
            </w:pPr>
            <w:r w:rsidRPr="0084490B">
              <w:rPr>
                <w:rFonts w:eastAsia="Calibri"/>
                <w:sz w:val="20"/>
                <w:lang w:val="fr-CA"/>
              </w:rPr>
              <w:t>Demande d’autorisation d’appel déposée</w:t>
            </w:r>
          </w:p>
          <w:p w:rsidR="006B0EA7" w:rsidRPr="0084490B" w:rsidRDefault="006B0EA7" w:rsidP="00120F8A">
            <w:pPr>
              <w:jc w:val="both"/>
              <w:rPr>
                <w:rFonts w:eastAsia="Calibri"/>
                <w:sz w:val="20"/>
                <w:lang w:val="fr-CA"/>
              </w:rPr>
            </w:pPr>
          </w:p>
        </w:tc>
      </w:tr>
    </w:tbl>
    <w:p w:rsidR="00EA65C4" w:rsidRDefault="00EA65C4" w:rsidP="00EA65C4">
      <w:pPr>
        <w:rPr>
          <w:sz w:val="20"/>
          <w:szCs w:val="20"/>
        </w:rPr>
      </w:pPr>
    </w:p>
    <w:p w:rsidR="00EA65C4" w:rsidRDefault="0028676C" w:rsidP="00EA65C4">
      <w:pPr>
        <w:rPr>
          <w:sz w:val="20"/>
          <w:szCs w:val="20"/>
        </w:rPr>
      </w:pPr>
      <w:r w:rsidRPr="0028676C">
        <w:rPr>
          <w:sz w:val="20"/>
          <w:szCs w:val="20"/>
          <w:lang w:val="fr-CA"/>
        </w:rPr>
        <w:pict>
          <v:rect id="_x0000_i1052" style="width:2in;height:1pt" o:hrpct="0" o:hralign="center" o:hrstd="t" o:hrnoshade="t" o:hr="t" fillcolor="black [3213]" stroked="f"/>
        </w:pict>
      </w:r>
    </w:p>
    <w:p w:rsidR="00EA65C4" w:rsidRDefault="00EA65C4" w:rsidP="00EA65C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C3CC2" w:rsidRPr="00B6040C" w:rsidTr="00AA4F37">
        <w:trPr>
          <w:cantSplit/>
        </w:trPr>
        <w:tc>
          <w:tcPr>
            <w:tcW w:w="1458" w:type="dxa"/>
          </w:tcPr>
          <w:p w:rsidR="006C3CC2" w:rsidRPr="008748E6" w:rsidRDefault="006C3CC2" w:rsidP="00AA4F37">
            <w:pPr>
              <w:rPr>
                <w:sz w:val="20"/>
                <w:szCs w:val="20"/>
              </w:rPr>
            </w:pPr>
            <w:r w:rsidRPr="008748E6">
              <w:rPr>
                <w:rStyle w:val="SCCFileNumberChar"/>
                <w:sz w:val="20"/>
                <w:szCs w:val="20"/>
              </w:rPr>
              <w:t>35168</w:t>
            </w:r>
          </w:p>
          <w:p w:rsidR="006C3CC2" w:rsidRPr="008748E6" w:rsidRDefault="006C3CC2" w:rsidP="00AA4F37">
            <w:pPr>
              <w:rPr>
                <w:b/>
                <w:sz w:val="20"/>
                <w:szCs w:val="20"/>
                <w:lang w:val="fr-CA"/>
              </w:rPr>
            </w:pPr>
          </w:p>
        </w:tc>
        <w:tc>
          <w:tcPr>
            <w:tcW w:w="8118" w:type="dxa"/>
          </w:tcPr>
          <w:p w:rsidR="006C3CC2" w:rsidRPr="008748E6" w:rsidRDefault="006C3CC2" w:rsidP="00AA4F37">
            <w:pPr>
              <w:jc w:val="both"/>
              <w:rPr>
                <w:sz w:val="20"/>
                <w:szCs w:val="20"/>
                <w:lang w:val="fr-CA"/>
              </w:rPr>
            </w:pPr>
            <w:r w:rsidRPr="008748E6">
              <w:rPr>
                <w:rStyle w:val="SCCLsocChar"/>
                <w:sz w:val="20"/>
                <w:szCs w:val="20"/>
              </w:rPr>
              <w:t>Michel Dumont et Solange Tremblay c. Procureur général du Québec et Procureur général du Canada</w:t>
            </w:r>
            <w:r w:rsidRPr="008748E6">
              <w:rPr>
                <w:sz w:val="20"/>
                <w:szCs w:val="20"/>
                <w:lang w:val="fr-CA"/>
              </w:rPr>
              <w:t xml:space="preserve"> (</w:t>
            </w:r>
            <w:proofErr w:type="spellStart"/>
            <w:r w:rsidRPr="008748E6">
              <w:rPr>
                <w:sz w:val="20"/>
                <w:szCs w:val="20"/>
                <w:lang w:val="fr-CA"/>
              </w:rPr>
              <w:t>Qc</w:t>
            </w:r>
            <w:proofErr w:type="spellEnd"/>
            <w:r w:rsidRPr="008748E6">
              <w:rPr>
                <w:sz w:val="20"/>
                <w:szCs w:val="20"/>
                <w:lang w:val="fr-CA"/>
              </w:rPr>
              <w:t>) (Civile) (Autorisation)</w:t>
            </w:r>
          </w:p>
          <w:p w:rsidR="006C3CC2" w:rsidRPr="008748E6" w:rsidRDefault="006C3CC2" w:rsidP="00AA4F37">
            <w:pPr>
              <w:jc w:val="both"/>
              <w:rPr>
                <w:sz w:val="20"/>
                <w:szCs w:val="20"/>
                <w:lang w:val="fr-CA"/>
              </w:rPr>
            </w:pPr>
          </w:p>
        </w:tc>
      </w:tr>
      <w:tr w:rsidR="006C3CC2" w:rsidRPr="00B6040C" w:rsidTr="00AA4F37">
        <w:trPr>
          <w:cantSplit/>
        </w:trPr>
        <w:tc>
          <w:tcPr>
            <w:tcW w:w="1458" w:type="dxa"/>
          </w:tcPr>
          <w:p w:rsidR="006C3CC2" w:rsidRPr="008748E6" w:rsidRDefault="006C3CC2" w:rsidP="00AA4F37">
            <w:pPr>
              <w:rPr>
                <w:sz w:val="20"/>
                <w:szCs w:val="20"/>
              </w:rPr>
            </w:pPr>
            <w:r w:rsidRPr="008748E6">
              <w:rPr>
                <w:sz w:val="20"/>
                <w:szCs w:val="20"/>
              </w:rPr>
              <w:t>Coram :</w:t>
            </w:r>
          </w:p>
        </w:tc>
        <w:tc>
          <w:tcPr>
            <w:tcW w:w="8118" w:type="dxa"/>
          </w:tcPr>
          <w:p w:rsidR="006C3CC2" w:rsidRPr="008748E6" w:rsidRDefault="006C3CC2" w:rsidP="00AA4F37">
            <w:pPr>
              <w:rPr>
                <w:sz w:val="20"/>
                <w:szCs w:val="20"/>
                <w:lang w:val="fr-CA"/>
              </w:rPr>
            </w:pPr>
            <w:r w:rsidRPr="008748E6">
              <w:rPr>
                <w:rStyle w:val="SCCCoramChar"/>
                <w:sz w:val="20"/>
                <w:szCs w:val="20"/>
              </w:rPr>
              <w:t>La juge en chef McLachlin et les juges Abella et Cromwell</w:t>
            </w:r>
          </w:p>
          <w:p w:rsidR="006C3CC2" w:rsidRPr="008748E6" w:rsidRDefault="006C3CC2" w:rsidP="00AA4F37">
            <w:pPr>
              <w:rPr>
                <w:sz w:val="20"/>
                <w:szCs w:val="20"/>
                <w:u w:val="single"/>
                <w:lang w:val="fr-CA"/>
              </w:rPr>
            </w:pPr>
          </w:p>
        </w:tc>
      </w:tr>
      <w:tr w:rsidR="006C3CC2" w:rsidRPr="008748E6" w:rsidTr="00AA4F37">
        <w:trPr>
          <w:cantSplit/>
        </w:trPr>
        <w:tc>
          <w:tcPr>
            <w:tcW w:w="9576" w:type="dxa"/>
            <w:gridSpan w:val="2"/>
          </w:tcPr>
          <w:p w:rsidR="006C3CC2" w:rsidRPr="008748E6" w:rsidRDefault="006C3CC2" w:rsidP="00AA4F37">
            <w:pPr>
              <w:pStyle w:val="SCCShortJudgment"/>
              <w:rPr>
                <w:szCs w:val="20"/>
                <w:lang w:val="fr-CA"/>
              </w:rPr>
            </w:pPr>
            <w:r w:rsidRPr="008748E6">
              <w:rPr>
                <w:szCs w:val="20"/>
                <w:lang w:val="fr-CA"/>
              </w:rPr>
              <w:t>La demande d’autorisation d’appel de l’arrêt de la Cour d’appel du Québec (Montréal), numéro 500-09-019938-091, 2012 QCCA 2039, daté du 16 novembre 2012, est rejetée avec dépens.</w:t>
            </w:r>
          </w:p>
          <w:p w:rsidR="006C3CC2" w:rsidRPr="008748E6" w:rsidRDefault="006C3CC2" w:rsidP="00AA4F37">
            <w:pPr>
              <w:pStyle w:val="SCCShortJudgment"/>
              <w:ind w:firstLine="0"/>
              <w:rPr>
                <w:szCs w:val="20"/>
                <w:lang w:val="fr-CA"/>
              </w:rPr>
            </w:pPr>
          </w:p>
          <w:p w:rsidR="006C3CC2" w:rsidRPr="008748E6" w:rsidRDefault="006C3CC2" w:rsidP="00AA4F37">
            <w:pPr>
              <w:pStyle w:val="SCCShortJudgment"/>
              <w:rPr>
                <w:szCs w:val="20"/>
              </w:rPr>
            </w:pPr>
            <w:r w:rsidRPr="008748E6">
              <w:rPr>
                <w:szCs w:val="20"/>
              </w:rPr>
              <w:t>The application for leave to appeal from the judgment of the Court of Appeal of Quebec (Montréal), Number 500-09-019938-091, 2012 QCCA 2039, dated November 16, 2012, is dismissed with costs.</w:t>
            </w:r>
          </w:p>
          <w:p w:rsidR="006C3CC2" w:rsidRPr="008748E6" w:rsidRDefault="006C3CC2" w:rsidP="00AA4F37">
            <w:pPr>
              <w:rPr>
                <w:sz w:val="20"/>
                <w:szCs w:val="20"/>
              </w:rPr>
            </w:pPr>
          </w:p>
        </w:tc>
      </w:tr>
    </w:tbl>
    <w:p w:rsidR="00EA65C4" w:rsidRDefault="00EA65C4" w:rsidP="00EA65C4">
      <w:pPr>
        <w:rPr>
          <w:sz w:val="20"/>
          <w:szCs w:val="20"/>
        </w:rPr>
      </w:pPr>
    </w:p>
    <w:p w:rsidR="00EA65C4" w:rsidRPr="001B157C" w:rsidRDefault="00EA65C4" w:rsidP="00EA65C4">
      <w:pPr>
        <w:rPr>
          <w:sz w:val="20"/>
          <w:szCs w:val="20"/>
          <w:u w:val="single"/>
        </w:rPr>
      </w:pPr>
      <w:r w:rsidRPr="001B157C">
        <w:rPr>
          <w:sz w:val="20"/>
          <w:szCs w:val="20"/>
          <w:u w:val="single"/>
        </w:rPr>
        <w:t>CASE SUMMARY</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76B3D" w:rsidRPr="0084490B" w:rsidTr="00120F8A">
        <w:tc>
          <w:tcPr>
            <w:tcW w:w="5000" w:type="pct"/>
            <w:gridSpan w:val="3"/>
          </w:tcPr>
          <w:p w:rsidR="00B76B3D" w:rsidRPr="0084490B" w:rsidRDefault="00B76B3D" w:rsidP="00120F8A">
            <w:pPr>
              <w:jc w:val="both"/>
              <w:rPr>
                <w:rFonts w:eastAsia="Calibri"/>
                <w:sz w:val="20"/>
              </w:rPr>
            </w:pPr>
            <w:r w:rsidRPr="0084490B">
              <w:rPr>
                <w:rFonts w:eastAsia="Calibri"/>
                <w:i/>
                <w:sz w:val="20"/>
              </w:rPr>
              <w:t>Canadian Charter</w:t>
            </w:r>
            <w:r w:rsidRPr="0084490B">
              <w:rPr>
                <w:rFonts w:eastAsia="Calibri"/>
                <w:sz w:val="20"/>
              </w:rPr>
              <w:t xml:space="preserve"> – Public international law – Criminal law – Reversal of conviction – Liability of authorities for conviction with or without fault – Accused convicted of sexual assault after being identified by victim and having his defences rejected – </w:t>
            </w:r>
            <w:proofErr w:type="spellStart"/>
            <w:r w:rsidRPr="0084490B">
              <w:rPr>
                <w:rFonts w:eastAsia="Calibri"/>
                <w:sz w:val="20"/>
              </w:rPr>
              <w:t>Accused’s</w:t>
            </w:r>
            <w:proofErr w:type="spellEnd"/>
            <w:r w:rsidRPr="0084490B">
              <w:rPr>
                <w:rFonts w:eastAsia="Calibri"/>
                <w:sz w:val="20"/>
              </w:rPr>
              <w:t xml:space="preserve"> appeal dismissed despite new fact raising doubt in victim’s mind – Verdict subsequently set aside and accused acquitted – Whether Crown required to inform both defence and Court of Appeal of discovery of flaw in its evidence – Whether Court of Appeal judgments inconsistent because one denying possibility and other accepting possibility that defence knew about existence of fresh evidence – Whether international treaty ratified by Canada can be used to interpret Charter even if treaty not formally implemented in domestic law – Whether compensation for victim of miscarriage of justice requires proof of fault in Canadian law – </w:t>
            </w:r>
            <w:r w:rsidRPr="0084490B">
              <w:rPr>
                <w:rFonts w:eastAsia="Calibri"/>
                <w:i/>
                <w:sz w:val="20"/>
              </w:rPr>
              <w:t>Constitution Act, 1982</w:t>
            </w:r>
            <w:r w:rsidRPr="0084490B">
              <w:rPr>
                <w:rFonts w:eastAsia="Calibri"/>
                <w:sz w:val="20"/>
              </w:rPr>
              <w:t xml:space="preserve">, ss. 7, 24(1) – </w:t>
            </w:r>
            <w:r w:rsidRPr="0084490B">
              <w:rPr>
                <w:rFonts w:eastAsia="Calibri"/>
                <w:i/>
                <w:sz w:val="20"/>
              </w:rPr>
              <w:t>International Covenant on Civil and Political Rights</w:t>
            </w:r>
            <w:r w:rsidRPr="0084490B">
              <w:rPr>
                <w:rFonts w:eastAsia="Calibri"/>
                <w:sz w:val="20"/>
              </w:rPr>
              <w:t>, UN 16</w:t>
            </w:r>
            <w:r w:rsidRPr="0084490B">
              <w:rPr>
                <w:rFonts w:eastAsia="Calibri"/>
                <w:sz w:val="20"/>
              </w:rPr>
              <w:noBreakHyphen/>
              <w:t>12</w:t>
            </w:r>
            <w:r w:rsidRPr="0084490B">
              <w:rPr>
                <w:rFonts w:eastAsia="Calibri"/>
                <w:sz w:val="20"/>
              </w:rPr>
              <w:noBreakHyphen/>
              <w:t>1966/23</w:t>
            </w:r>
            <w:r w:rsidRPr="0084490B">
              <w:rPr>
                <w:rFonts w:eastAsia="Calibri"/>
                <w:sz w:val="20"/>
              </w:rPr>
              <w:noBreakHyphen/>
              <w:t>03</w:t>
            </w:r>
            <w:r w:rsidRPr="0084490B">
              <w:rPr>
                <w:rFonts w:eastAsia="Calibri"/>
                <w:sz w:val="20"/>
              </w:rPr>
              <w:noBreakHyphen/>
              <w:t>1976, art. 14.6.</w:t>
            </w:r>
          </w:p>
        </w:tc>
      </w:tr>
      <w:tr w:rsidR="00B76B3D" w:rsidRPr="0084490B" w:rsidTr="00120F8A">
        <w:tc>
          <w:tcPr>
            <w:tcW w:w="5000" w:type="pct"/>
            <w:gridSpan w:val="3"/>
          </w:tcPr>
          <w:p w:rsidR="00B76B3D" w:rsidRPr="0084490B" w:rsidRDefault="00B76B3D" w:rsidP="00120F8A">
            <w:pPr>
              <w:jc w:val="both"/>
              <w:rPr>
                <w:rFonts w:eastAsia="Calibri"/>
                <w:sz w:val="20"/>
              </w:rPr>
            </w:pPr>
          </w:p>
        </w:tc>
      </w:tr>
      <w:tr w:rsidR="00B76B3D" w:rsidRPr="0084490B" w:rsidTr="00120F8A">
        <w:tc>
          <w:tcPr>
            <w:tcW w:w="5000" w:type="pct"/>
            <w:gridSpan w:val="3"/>
          </w:tcPr>
          <w:p w:rsidR="00B76B3D" w:rsidRPr="0084490B" w:rsidRDefault="00B76B3D" w:rsidP="00120F8A">
            <w:pPr>
              <w:jc w:val="both"/>
              <w:rPr>
                <w:rFonts w:eastAsia="Calibri"/>
                <w:sz w:val="20"/>
              </w:rPr>
            </w:pPr>
            <w:r w:rsidRPr="0084490B">
              <w:rPr>
                <w:rFonts w:eastAsia="Calibri"/>
                <w:sz w:val="20"/>
              </w:rPr>
              <w:t>In 1991, the applicant Mr. Dumont was convicted of sexual assault; his appeal was dismissed in 1994.  Before the appeal was heard, the victim expressed doubt about the identity of her assailant; the Crown requested further investigation and wrote to defence counsel about the matter, but it did not bring the matter before the Court of Appeal.  Mr. Dumont, who had been incarcerated for 34 months, was informed of the doubt expressed by the victim.  In 2001, he had his conviction reversed and then brought an action for more than $2 million in damages.</w:t>
            </w:r>
          </w:p>
          <w:p w:rsidR="00B76B3D" w:rsidRPr="0084490B" w:rsidRDefault="00B76B3D" w:rsidP="00120F8A">
            <w:pPr>
              <w:jc w:val="both"/>
              <w:rPr>
                <w:rFonts w:eastAsia="Calibri"/>
                <w:sz w:val="20"/>
              </w:rPr>
            </w:pPr>
          </w:p>
        </w:tc>
      </w:tr>
      <w:tr w:rsidR="00B76B3D" w:rsidRPr="0084490B" w:rsidTr="00120F8A">
        <w:tc>
          <w:tcPr>
            <w:tcW w:w="2427" w:type="pct"/>
          </w:tcPr>
          <w:p w:rsidR="00B76B3D" w:rsidRPr="0084490B" w:rsidRDefault="00B76B3D" w:rsidP="00120F8A">
            <w:pPr>
              <w:jc w:val="both"/>
              <w:rPr>
                <w:rFonts w:eastAsia="Calibri"/>
                <w:sz w:val="20"/>
              </w:rPr>
            </w:pPr>
            <w:r w:rsidRPr="0084490B">
              <w:rPr>
                <w:rFonts w:eastAsia="Calibri"/>
                <w:sz w:val="20"/>
              </w:rPr>
              <w:t>July 17, 2009</w:t>
            </w:r>
          </w:p>
          <w:p w:rsidR="00B76B3D" w:rsidRPr="0084490B" w:rsidRDefault="00B76B3D" w:rsidP="00120F8A">
            <w:pPr>
              <w:jc w:val="both"/>
              <w:rPr>
                <w:rFonts w:eastAsia="Calibri"/>
                <w:sz w:val="20"/>
              </w:rPr>
            </w:pPr>
            <w:r w:rsidRPr="0084490B">
              <w:rPr>
                <w:rFonts w:eastAsia="Calibri"/>
                <w:sz w:val="20"/>
              </w:rPr>
              <w:t>Quebec Superior Court</w:t>
            </w:r>
          </w:p>
          <w:p w:rsidR="00B76B3D" w:rsidRPr="0084490B" w:rsidRDefault="00B76B3D" w:rsidP="00120F8A">
            <w:pPr>
              <w:jc w:val="both"/>
              <w:rPr>
                <w:rFonts w:eastAsia="Calibri"/>
                <w:sz w:val="20"/>
              </w:rPr>
            </w:pPr>
            <w:r w:rsidRPr="0084490B">
              <w:rPr>
                <w:rFonts w:eastAsia="Calibri"/>
                <w:sz w:val="20"/>
              </w:rPr>
              <w:t>(Emery J.)</w:t>
            </w:r>
          </w:p>
          <w:p w:rsidR="00B76B3D" w:rsidRPr="0084490B" w:rsidRDefault="00B76B3D" w:rsidP="00120F8A">
            <w:pPr>
              <w:jc w:val="both"/>
              <w:rPr>
                <w:rFonts w:eastAsia="Calibri"/>
                <w:sz w:val="20"/>
              </w:rPr>
            </w:pPr>
            <w:r w:rsidRPr="0084490B">
              <w:rPr>
                <w:rFonts w:eastAsia="Calibri"/>
                <w:sz w:val="20"/>
              </w:rPr>
              <w:t>2009 QCCS 3213</w:t>
            </w:r>
          </w:p>
          <w:p w:rsidR="00B76B3D" w:rsidRPr="0084490B" w:rsidRDefault="00B76B3D" w:rsidP="00120F8A">
            <w:pPr>
              <w:jc w:val="both"/>
              <w:rPr>
                <w:rFonts w:eastAsia="Calibri"/>
                <w:sz w:val="20"/>
              </w:rPr>
            </w:pPr>
          </w:p>
        </w:tc>
        <w:tc>
          <w:tcPr>
            <w:tcW w:w="243" w:type="pct"/>
          </w:tcPr>
          <w:p w:rsidR="00B76B3D" w:rsidRPr="0084490B" w:rsidRDefault="00B76B3D" w:rsidP="00120F8A">
            <w:pPr>
              <w:jc w:val="both"/>
              <w:rPr>
                <w:rFonts w:eastAsia="Calibri"/>
                <w:sz w:val="20"/>
              </w:rPr>
            </w:pPr>
          </w:p>
        </w:tc>
        <w:tc>
          <w:tcPr>
            <w:tcW w:w="2330" w:type="pct"/>
          </w:tcPr>
          <w:p w:rsidR="00B76B3D" w:rsidRPr="0084490B" w:rsidRDefault="00B76B3D" w:rsidP="00120F8A">
            <w:pPr>
              <w:jc w:val="both"/>
              <w:rPr>
                <w:rFonts w:eastAsia="Calibri"/>
                <w:sz w:val="20"/>
              </w:rPr>
            </w:pPr>
            <w:r w:rsidRPr="0084490B">
              <w:rPr>
                <w:rFonts w:eastAsia="Calibri"/>
                <w:sz w:val="20"/>
              </w:rPr>
              <w:t>Applicants’ action dismissed</w:t>
            </w:r>
          </w:p>
        </w:tc>
      </w:tr>
      <w:tr w:rsidR="00B76B3D" w:rsidRPr="0084490B" w:rsidTr="00120F8A">
        <w:tc>
          <w:tcPr>
            <w:tcW w:w="2427" w:type="pct"/>
          </w:tcPr>
          <w:p w:rsidR="00B76B3D" w:rsidRPr="0084490B" w:rsidRDefault="00B76B3D" w:rsidP="00120F8A">
            <w:pPr>
              <w:jc w:val="both"/>
              <w:rPr>
                <w:rFonts w:eastAsia="Calibri"/>
                <w:sz w:val="20"/>
              </w:rPr>
            </w:pPr>
            <w:r w:rsidRPr="0084490B">
              <w:rPr>
                <w:rFonts w:eastAsia="Calibri"/>
                <w:sz w:val="20"/>
              </w:rPr>
              <w:t>November 16, 2012</w:t>
            </w:r>
          </w:p>
          <w:p w:rsidR="00B76B3D" w:rsidRPr="0084490B" w:rsidRDefault="00B76B3D" w:rsidP="00120F8A">
            <w:pPr>
              <w:jc w:val="both"/>
              <w:rPr>
                <w:rFonts w:eastAsia="Calibri"/>
                <w:sz w:val="20"/>
              </w:rPr>
            </w:pPr>
            <w:r w:rsidRPr="0084490B">
              <w:rPr>
                <w:rFonts w:eastAsia="Calibri"/>
                <w:sz w:val="20"/>
              </w:rPr>
              <w:t>Quebec Court of Appeal (Montréal)</w:t>
            </w:r>
          </w:p>
          <w:p w:rsidR="00B76B3D" w:rsidRPr="0084490B" w:rsidRDefault="00B76B3D" w:rsidP="00120F8A">
            <w:pPr>
              <w:jc w:val="both"/>
              <w:rPr>
                <w:rFonts w:eastAsia="Calibri"/>
                <w:sz w:val="20"/>
              </w:rPr>
            </w:pPr>
            <w:r w:rsidRPr="0084490B">
              <w:rPr>
                <w:rFonts w:eastAsia="Calibri"/>
                <w:sz w:val="20"/>
              </w:rPr>
              <w:t>(</w:t>
            </w:r>
            <w:proofErr w:type="spellStart"/>
            <w:r w:rsidRPr="0084490B">
              <w:rPr>
                <w:rFonts w:eastAsia="Calibri"/>
                <w:sz w:val="20"/>
              </w:rPr>
              <w:t>Dalphond</w:t>
            </w:r>
            <w:proofErr w:type="spellEnd"/>
            <w:r w:rsidRPr="0084490B">
              <w:rPr>
                <w:rFonts w:eastAsia="Calibri"/>
                <w:sz w:val="20"/>
              </w:rPr>
              <w:t xml:space="preserve">, </w:t>
            </w:r>
            <w:proofErr w:type="spellStart"/>
            <w:r w:rsidRPr="0084490B">
              <w:rPr>
                <w:rFonts w:eastAsia="Calibri"/>
                <w:sz w:val="20"/>
              </w:rPr>
              <w:t>Kasirer</w:t>
            </w:r>
            <w:proofErr w:type="spellEnd"/>
            <w:r w:rsidRPr="0084490B">
              <w:rPr>
                <w:rFonts w:eastAsia="Calibri"/>
                <w:sz w:val="20"/>
              </w:rPr>
              <w:t xml:space="preserve"> and Gagnon JJ.A.)</w:t>
            </w:r>
          </w:p>
          <w:p w:rsidR="00B76B3D" w:rsidRPr="0084490B" w:rsidRDefault="00B76B3D" w:rsidP="00120F8A">
            <w:pPr>
              <w:jc w:val="both"/>
              <w:rPr>
                <w:rFonts w:eastAsia="Calibri"/>
                <w:sz w:val="20"/>
              </w:rPr>
            </w:pPr>
            <w:r w:rsidRPr="0084490B">
              <w:rPr>
                <w:rFonts w:eastAsia="Calibri"/>
                <w:sz w:val="20"/>
              </w:rPr>
              <w:t>2012 QCCA 2039</w:t>
            </w:r>
          </w:p>
          <w:p w:rsidR="00B76B3D" w:rsidRPr="0084490B" w:rsidRDefault="00B76B3D" w:rsidP="00120F8A">
            <w:pPr>
              <w:jc w:val="both"/>
              <w:rPr>
                <w:rFonts w:eastAsia="Calibri"/>
                <w:sz w:val="20"/>
              </w:rPr>
            </w:pPr>
          </w:p>
        </w:tc>
        <w:tc>
          <w:tcPr>
            <w:tcW w:w="243" w:type="pct"/>
          </w:tcPr>
          <w:p w:rsidR="00B76B3D" w:rsidRPr="0084490B" w:rsidRDefault="00B76B3D" w:rsidP="00120F8A">
            <w:pPr>
              <w:jc w:val="both"/>
              <w:rPr>
                <w:rFonts w:eastAsia="Calibri"/>
                <w:sz w:val="20"/>
              </w:rPr>
            </w:pPr>
          </w:p>
        </w:tc>
        <w:tc>
          <w:tcPr>
            <w:tcW w:w="2330" w:type="pct"/>
          </w:tcPr>
          <w:p w:rsidR="00B76B3D" w:rsidRPr="0084490B" w:rsidRDefault="00B76B3D" w:rsidP="00120F8A">
            <w:pPr>
              <w:jc w:val="both"/>
              <w:rPr>
                <w:rFonts w:eastAsia="Calibri"/>
                <w:sz w:val="20"/>
              </w:rPr>
            </w:pPr>
            <w:r w:rsidRPr="0084490B">
              <w:rPr>
                <w:rFonts w:eastAsia="Calibri"/>
                <w:sz w:val="20"/>
              </w:rPr>
              <w:t>Appeal dismissed</w:t>
            </w:r>
          </w:p>
        </w:tc>
      </w:tr>
      <w:tr w:rsidR="00B76B3D" w:rsidRPr="0084490B" w:rsidTr="00120F8A">
        <w:tc>
          <w:tcPr>
            <w:tcW w:w="2427" w:type="pct"/>
          </w:tcPr>
          <w:p w:rsidR="00B76B3D" w:rsidRPr="0084490B" w:rsidRDefault="00B76B3D" w:rsidP="00120F8A">
            <w:pPr>
              <w:jc w:val="both"/>
              <w:rPr>
                <w:rFonts w:eastAsia="Calibri"/>
                <w:sz w:val="20"/>
              </w:rPr>
            </w:pPr>
            <w:r w:rsidRPr="0084490B">
              <w:rPr>
                <w:rFonts w:eastAsia="Calibri"/>
                <w:sz w:val="20"/>
              </w:rPr>
              <w:t>January 15, 2013</w:t>
            </w:r>
          </w:p>
          <w:p w:rsidR="00B76B3D" w:rsidRPr="0084490B" w:rsidRDefault="00B76B3D" w:rsidP="00120F8A">
            <w:pPr>
              <w:jc w:val="both"/>
              <w:rPr>
                <w:rFonts w:eastAsia="Calibri"/>
                <w:sz w:val="20"/>
              </w:rPr>
            </w:pPr>
            <w:r w:rsidRPr="0084490B">
              <w:rPr>
                <w:rFonts w:eastAsia="Calibri"/>
                <w:sz w:val="20"/>
              </w:rPr>
              <w:t>Supreme Court of Canada</w:t>
            </w:r>
          </w:p>
        </w:tc>
        <w:tc>
          <w:tcPr>
            <w:tcW w:w="243" w:type="pct"/>
          </w:tcPr>
          <w:p w:rsidR="00B76B3D" w:rsidRPr="0084490B" w:rsidRDefault="00B76B3D" w:rsidP="00120F8A">
            <w:pPr>
              <w:jc w:val="both"/>
              <w:rPr>
                <w:rFonts w:eastAsia="Calibri"/>
                <w:sz w:val="20"/>
              </w:rPr>
            </w:pPr>
          </w:p>
        </w:tc>
        <w:tc>
          <w:tcPr>
            <w:tcW w:w="2330" w:type="pct"/>
          </w:tcPr>
          <w:p w:rsidR="00B76B3D" w:rsidRPr="0084490B" w:rsidRDefault="00B76B3D" w:rsidP="00120F8A">
            <w:pPr>
              <w:jc w:val="both"/>
              <w:rPr>
                <w:rFonts w:eastAsia="Calibri"/>
                <w:sz w:val="20"/>
              </w:rPr>
            </w:pPr>
            <w:r w:rsidRPr="0084490B">
              <w:rPr>
                <w:rFonts w:eastAsia="Calibri"/>
                <w:sz w:val="20"/>
              </w:rPr>
              <w:t>Application for leave to appeal filed</w:t>
            </w:r>
          </w:p>
          <w:p w:rsidR="00B76B3D" w:rsidRPr="0084490B" w:rsidRDefault="00B76B3D" w:rsidP="00120F8A">
            <w:pPr>
              <w:jc w:val="both"/>
              <w:rPr>
                <w:rFonts w:eastAsia="Calibri"/>
                <w:sz w:val="20"/>
              </w:rPr>
            </w:pPr>
          </w:p>
        </w:tc>
      </w:tr>
    </w:tbl>
    <w:p w:rsidR="00EA65C4" w:rsidRDefault="00EA65C4" w:rsidP="00EA65C4">
      <w:pPr>
        <w:rPr>
          <w:sz w:val="20"/>
          <w:szCs w:val="20"/>
        </w:rPr>
      </w:pPr>
    </w:p>
    <w:p w:rsidR="00EA65C4" w:rsidRPr="00C50A5C" w:rsidRDefault="0028676C" w:rsidP="00EA65C4">
      <w:pPr>
        <w:rPr>
          <w:sz w:val="20"/>
          <w:szCs w:val="20"/>
        </w:rPr>
      </w:pPr>
      <w:r w:rsidRPr="0028676C">
        <w:rPr>
          <w:sz w:val="20"/>
          <w:szCs w:val="20"/>
          <w:lang w:val="fr-CA"/>
        </w:rPr>
        <w:pict>
          <v:rect id="_x0000_i1053" style="width:2in;height:1pt" o:hrpct="0" o:hralign="center" o:hrstd="t" o:hrnoshade="t" o:hr="t" fillcolor="black [3213]" stroked="f"/>
        </w:pict>
      </w:r>
    </w:p>
    <w:p w:rsidR="00EA65C4" w:rsidRDefault="00EA65C4" w:rsidP="00EA65C4">
      <w:pPr>
        <w:rPr>
          <w:sz w:val="20"/>
          <w:szCs w:val="20"/>
        </w:rPr>
      </w:pPr>
    </w:p>
    <w:p w:rsidR="00EA65C4" w:rsidRPr="001B157C" w:rsidRDefault="00EA65C4" w:rsidP="00EA65C4">
      <w:pPr>
        <w:rPr>
          <w:sz w:val="20"/>
          <w:szCs w:val="20"/>
          <w:u w:val="single"/>
          <w:lang w:val="fr-CA"/>
        </w:rPr>
      </w:pPr>
      <w:r w:rsidRPr="001B157C">
        <w:rPr>
          <w:sz w:val="20"/>
          <w:szCs w:val="20"/>
          <w:u w:val="single"/>
          <w:lang w:val="fr-CA"/>
        </w:rPr>
        <w:t>RÉSUMÉ DE L’AFFAIRE</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76B3D" w:rsidRPr="00B6040C" w:rsidTr="00120F8A">
        <w:tc>
          <w:tcPr>
            <w:tcW w:w="5000" w:type="pct"/>
            <w:gridSpan w:val="3"/>
          </w:tcPr>
          <w:p w:rsidR="00B76B3D" w:rsidRPr="0084490B" w:rsidRDefault="00B76B3D" w:rsidP="00120F8A">
            <w:pPr>
              <w:jc w:val="both"/>
              <w:rPr>
                <w:rFonts w:eastAsia="Calibri"/>
                <w:sz w:val="20"/>
                <w:lang w:val="fr-CA"/>
              </w:rPr>
            </w:pPr>
            <w:r w:rsidRPr="0084490B">
              <w:rPr>
                <w:rFonts w:eastAsia="Calibri"/>
                <w:i/>
                <w:sz w:val="20"/>
                <w:lang w:val="fr-CA"/>
              </w:rPr>
              <w:t>Charte canadienne</w:t>
            </w:r>
            <w:r w:rsidRPr="0084490B">
              <w:rPr>
                <w:rFonts w:eastAsia="Calibri"/>
                <w:sz w:val="20"/>
                <w:lang w:val="fr-CA"/>
              </w:rPr>
              <w:t xml:space="preserve"> – Droit international public – Droit criminel – Annulation d’une condamnation – Responsabilité des autorités dans la condamnation, avec ou sans égard à la faute – Accusé déclaré coupable d’agression sexuelle après son identification par la victime et le rejet de ses moyens de défense – Rejet de son appel malgré un fait nouveau ayant généré un doute dans l’esprit de la victime – Annulation subséquente du verdict et acquittement – La Couronne </w:t>
            </w:r>
            <w:proofErr w:type="spellStart"/>
            <w:r w:rsidRPr="0084490B">
              <w:rPr>
                <w:rFonts w:eastAsia="Calibri"/>
                <w:sz w:val="20"/>
                <w:lang w:val="fr-CA"/>
              </w:rPr>
              <w:t>doit</w:t>
            </w:r>
            <w:r w:rsidRPr="0084490B">
              <w:rPr>
                <w:rFonts w:eastAsia="Calibri"/>
                <w:sz w:val="20"/>
                <w:lang w:val="fr-CA"/>
              </w:rPr>
              <w:noBreakHyphen/>
              <w:t>elle</w:t>
            </w:r>
            <w:proofErr w:type="spellEnd"/>
            <w:r w:rsidRPr="0084490B">
              <w:rPr>
                <w:rFonts w:eastAsia="Calibri"/>
                <w:sz w:val="20"/>
                <w:lang w:val="fr-CA"/>
              </w:rPr>
              <w:t xml:space="preserve"> informer à la fois la défense et la Cour d’appel de la découverte d’une faille dans sa preuve? – Les jugements de la Cour d’appel </w:t>
            </w:r>
            <w:proofErr w:type="spellStart"/>
            <w:r w:rsidRPr="0084490B">
              <w:rPr>
                <w:rFonts w:eastAsia="Calibri"/>
                <w:sz w:val="20"/>
                <w:lang w:val="fr-CA"/>
              </w:rPr>
              <w:t>sont</w:t>
            </w:r>
            <w:r w:rsidRPr="0084490B">
              <w:rPr>
                <w:rFonts w:eastAsia="Calibri"/>
                <w:sz w:val="20"/>
                <w:lang w:val="fr-CA"/>
              </w:rPr>
              <w:noBreakHyphen/>
              <w:t>ils</w:t>
            </w:r>
            <w:proofErr w:type="spellEnd"/>
            <w:r w:rsidRPr="0084490B">
              <w:rPr>
                <w:rFonts w:eastAsia="Calibri"/>
                <w:sz w:val="20"/>
                <w:lang w:val="fr-CA"/>
              </w:rPr>
              <w:t xml:space="preserve"> incompatibles en ce que l’un nie et l’autre affirme la possibilité d’une connaissance par la défense de l’existence d’une nouvelle preuve? – Un traité international ratifié par le Canada </w:t>
            </w:r>
            <w:proofErr w:type="spellStart"/>
            <w:r w:rsidRPr="0084490B">
              <w:rPr>
                <w:rFonts w:eastAsia="Calibri"/>
                <w:sz w:val="20"/>
                <w:lang w:val="fr-CA"/>
              </w:rPr>
              <w:t>peut</w:t>
            </w:r>
            <w:r w:rsidRPr="0084490B">
              <w:rPr>
                <w:rFonts w:eastAsia="Calibri"/>
                <w:sz w:val="20"/>
                <w:lang w:val="fr-CA"/>
              </w:rPr>
              <w:noBreakHyphen/>
              <w:t>il</w:t>
            </w:r>
            <w:proofErr w:type="spellEnd"/>
            <w:r w:rsidRPr="0084490B">
              <w:rPr>
                <w:rFonts w:eastAsia="Calibri"/>
                <w:sz w:val="20"/>
                <w:lang w:val="fr-CA"/>
              </w:rPr>
              <w:t xml:space="preserve"> servir à interpréter la Charte même s’il n’est pas formellement mis en œuvre en droit interne? – L’indemnisation d’une victime d’erreur judiciaire </w:t>
            </w:r>
            <w:proofErr w:type="spellStart"/>
            <w:r w:rsidRPr="0084490B">
              <w:rPr>
                <w:rFonts w:eastAsia="Calibri"/>
                <w:sz w:val="20"/>
                <w:lang w:val="fr-CA"/>
              </w:rPr>
              <w:t>nécessite</w:t>
            </w:r>
            <w:r w:rsidRPr="0084490B">
              <w:rPr>
                <w:rFonts w:eastAsia="Calibri"/>
                <w:sz w:val="20"/>
                <w:lang w:val="fr-CA"/>
              </w:rPr>
              <w:noBreakHyphen/>
              <w:t>t</w:t>
            </w:r>
            <w:r w:rsidRPr="0084490B">
              <w:rPr>
                <w:rFonts w:eastAsia="Calibri"/>
                <w:sz w:val="20"/>
                <w:lang w:val="fr-CA"/>
              </w:rPr>
              <w:noBreakHyphen/>
              <w:t>elle</w:t>
            </w:r>
            <w:proofErr w:type="spellEnd"/>
            <w:r w:rsidRPr="0084490B">
              <w:rPr>
                <w:rFonts w:eastAsia="Calibri"/>
                <w:sz w:val="20"/>
                <w:lang w:val="fr-CA"/>
              </w:rPr>
              <w:t xml:space="preserve"> la preuve d’une faute en droit canadien? – </w:t>
            </w:r>
            <w:r w:rsidRPr="0084490B">
              <w:rPr>
                <w:rFonts w:eastAsia="Calibri"/>
                <w:i/>
                <w:sz w:val="20"/>
                <w:lang w:val="fr-CA"/>
              </w:rPr>
              <w:t>Loi constitutionnelle de 1982</w:t>
            </w:r>
            <w:r w:rsidRPr="0084490B">
              <w:rPr>
                <w:rFonts w:eastAsia="Calibri"/>
                <w:sz w:val="20"/>
                <w:lang w:val="fr-CA"/>
              </w:rPr>
              <w:t xml:space="preserve">, art. 7, par. 24 (1) – </w:t>
            </w:r>
            <w:r w:rsidRPr="0084490B">
              <w:rPr>
                <w:rFonts w:eastAsia="Calibri"/>
                <w:i/>
                <w:sz w:val="20"/>
                <w:lang w:val="fr-CA"/>
              </w:rPr>
              <w:t>Pacte international relatif aux droits civils et politiques</w:t>
            </w:r>
            <w:r w:rsidRPr="0084490B">
              <w:rPr>
                <w:rFonts w:eastAsia="Calibri"/>
                <w:sz w:val="20"/>
                <w:lang w:val="fr-CA"/>
              </w:rPr>
              <w:t>, ONU 16</w:t>
            </w:r>
            <w:r w:rsidRPr="0084490B">
              <w:rPr>
                <w:rFonts w:eastAsia="Calibri"/>
                <w:sz w:val="20"/>
                <w:lang w:val="fr-CA"/>
              </w:rPr>
              <w:noBreakHyphen/>
              <w:t>12</w:t>
            </w:r>
            <w:r w:rsidRPr="0084490B">
              <w:rPr>
                <w:rFonts w:eastAsia="Calibri"/>
                <w:sz w:val="20"/>
                <w:lang w:val="fr-CA"/>
              </w:rPr>
              <w:noBreakHyphen/>
              <w:t>1966/23</w:t>
            </w:r>
            <w:r w:rsidRPr="0084490B">
              <w:rPr>
                <w:rFonts w:eastAsia="Calibri"/>
                <w:sz w:val="20"/>
                <w:lang w:val="fr-CA"/>
              </w:rPr>
              <w:noBreakHyphen/>
              <w:t>03</w:t>
            </w:r>
            <w:r w:rsidRPr="0084490B">
              <w:rPr>
                <w:rFonts w:eastAsia="Calibri"/>
                <w:sz w:val="20"/>
                <w:lang w:val="fr-CA"/>
              </w:rPr>
              <w:noBreakHyphen/>
              <w:t>1976, art. 14.6.</w:t>
            </w:r>
          </w:p>
        </w:tc>
      </w:tr>
      <w:tr w:rsidR="00B76B3D" w:rsidRPr="00B6040C" w:rsidTr="00120F8A">
        <w:tc>
          <w:tcPr>
            <w:tcW w:w="5000" w:type="pct"/>
            <w:gridSpan w:val="3"/>
          </w:tcPr>
          <w:p w:rsidR="00B76B3D" w:rsidRPr="0084490B" w:rsidRDefault="00B76B3D" w:rsidP="00120F8A">
            <w:pPr>
              <w:jc w:val="both"/>
              <w:rPr>
                <w:rFonts w:eastAsia="Calibri"/>
                <w:sz w:val="20"/>
                <w:lang w:val="fr-CA"/>
              </w:rPr>
            </w:pPr>
          </w:p>
        </w:tc>
      </w:tr>
      <w:tr w:rsidR="00B76B3D" w:rsidRPr="00B6040C" w:rsidTr="00120F8A">
        <w:tc>
          <w:tcPr>
            <w:tcW w:w="5000" w:type="pct"/>
            <w:gridSpan w:val="3"/>
          </w:tcPr>
          <w:p w:rsidR="00B76B3D" w:rsidRPr="0084490B" w:rsidRDefault="00B76B3D" w:rsidP="00120F8A">
            <w:pPr>
              <w:jc w:val="both"/>
              <w:rPr>
                <w:rFonts w:eastAsia="Calibri"/>
                <w:sz w:val="20"/>
                <w:lang w:val="fr-CA"/>
              </w:rPr>
            </w:pPr>
            <w:r w:rsidRPr="0084490B">
              <w:rPr>
                <w:rFonts w:eastAsia="Calibri"/>
                <w:sz w:val="20"/>
                <w:lang w:val="fr-CA"/>
              </w:rPr>
              <w:t xml:space="preserve">En 1991, le demandeur est jugé coupable d’agression sexuelle; son appel est rejeté en 1994. Avant l’audition de l’appel, la victime a exprimé un doute sur l’identité de son agresseur; la Couronne a demandé un complément d’enquête et a écrit au procureur de la défense à ce sujet, mais n’a pas saisi </w:t>
            </w:r>
            <w:proofErr w:type="spellStart"/>
            <w:r w:rsidRPr="0084490B">
              <w:rPr>
                <w:rFonts w:eastAsia="Calibri"/>
                <w:sz w:val="20"/>
                <w:lang w:val="fr-CA"/>
              </w:rPr>
              <w:t>elle</w:t>
            </w:r>
            <w:r w:rsidRPr="0084490B">
              <w:rPr>
                <w:rFonts w:eastAsia="Calibri"/>
                <w:sz w:val="20"/>
                <w:lang w:val="fr-CA"/>
              </w:rPr>
              <w:noBreakHyphen/>
              <w:t>même</w:t>
            </w:r>
            <w:proofErr w:type="spellEnd"/>
            <w:r w:rsidRPr="0084490B">
              <w:rPr>
                <w:rFonts w:eastAsia="Calibri"/>
                <w:sz w:val="20"/>
                <w:lang w:val="fr-CA"/>
              </w:rPr>
              <w:t xml:space="preserve"> la Cour d’appel de la question.  Le demandeur, incarcéré pendant 34 mois, est informé du doute exprimé par la victime.  En 2001, il obtient une annulation de sa condamnation puis entreprend un recours en </w:t>
            </w:r>
            <w:proofErr w:type="spellStart"/>
            <w:r w:rsidRPr="0084490B">
              <w:rPr>
                <w:rFonts w:eastAsia="Calibri"/>
                <w:sz w:val="20"/>
                <w:lang w:val="fr-CA"/>
              </w:rPr>
              <w:t>dommages</w:t>
            </w:r>
            <w:r w:rsidRPr="0084490B">
              <w:rPr>
                <w:rFonts w:eastAsia="Calibri"/>
                <w:sz w:val="20"/>
                <w:lang w:val="fr-CA"/>
              </w:rPr>
              <w:noBreakHyphen/>
              <w:t>intérêts</w:t>
            </w:r>
            <w:proofErr w:type="spellEnd"/>
            <w:r w:rsidRPr="0084490B">
              <w:rPr>
                <w:rFonts w:eastAsia="Calibri"/>
                <w:sz w:val="20"/>
                <w:lang w:val="fr-CA"/>
              </w:rPr>
              <w:t xml:space="preserve"> de plus de 2 millions $.</w:t>
            </w:r>
          </w:p>
          <w:p w:rsidR="00B76B3D" w:rsidRPr="0084490B" w:rsidRDefault="00B76B3D" w:rsidP="00120F8A">
            <w:pPr>
              <w:jc w:val="both"/>
              <w:rPr>
                <w:rFonts w:eastAsia="Calibri"/>
                <w:sz w:val="20"/>
                <w:lang w:val="fr-CA"/>
              </w:rPr>
            </w:pPr>
          </w:p>
        </w:tc>
      </w:tr>
      <w:tr w:rsidR="00B76B3D" w:rsidRPr="0084490B" w:rsidTr="00120F8A">
        <w:tc>
          <w:tcPr>
            <w:tcW w:w="2427" w:type="pct"/>
          </w:tcPr>
          <w:p w:rsidR="00B76B3D" w:rsidRPr="0084490B" w:rsidRDefault="00B76B3D" w:rsidP="00120F8A">
            <w:pPr>
              <w:jc w:val="both"/>
              <w:rPr>
                <w:rFonts w:eastAsia="Calibri"/>
                <w:sz w:val="20"/>
                <w:lang w:val="fr-CA"/>
              </w:rPr>
            </w:pPr>
            <w:r w:rsidRPr="0084490B">
              <w:rPr>
                <w:rFonts w:eastAsia="Calibri"/>
                <w:sz w:val="20"/>
                <w:lang w:val="fr-CA"/>
              </w:rPr>
              <w:t>Le 17 juillet 2009</w:t>
            </w:r>
          </w:p>
          <w:p w:rsidR="00B76B3D" w:rsidRPr="0084490B" w:rsidRDefault="00B76B3D" w:rsidP="00120F8A">
            <w:pPr>
              <w:jc w:val="both"/>
              <w:rPr>
                <w:rFonts w:eastAsia="Calibri"/>
                <w:sz w:val="20"/>
                <w:lang w:val="fr-CA"/>
              </w:rPr>
            </w:pPr>
            <w:r w:rsidRPr="0084490B">
              <w:rPr>
                <w:rFonts w:eastAsia="Calibri"/>
                <w:sz w:val="20"/>
                <w:lang w:val="fr-CA"/>
              </w:rPr>
              <w:t>Cour supérieure du Québec</w:t>
            </w:r>
          </w:p>
          <w:p w:rsidR="00B76B3D" w:rsidRPr="0084490B" w:rsidRDefault="00B76B3D" w:rsidP="00120F8A">
            <w:pPr>
              <w:jc w:val="both"/>
              <w:rPr>
                <w:rFonts w:eastAsia="Calibri"/>
                <w:sz w:val="20"/>
                <w:lang w:val="fr-CA"/>
              </w:rPr>
            </w:pPr>
            <w:r w:rsidRPr="0084490B">
              <w:rPr>
                <w:rFonts w:eastAsia="Calibri"/>
                <w:sz w:val="20"/>
                <w:lang w:val="fr-CA"/>
              </w:rPr>
              <w:t>(Le juge Emery)</w:t>
            </w:r>
          </w:p>
          <w:p w:rsidR="00B76B3D" w:rsidRPr="0084490B" w:rsidRDefault="00B76B3D" w:rsidP="00120F8A">
            <w:pPr>
              <w:jc w:val="both"/>
              <w:rPr>
                <w:rFonts w:eastAsia="Calibri"/>
                <w:sz w:val="20"/>
                <w:lang w:val="fr-CA"/>
              </w:rPr>
            </w:pPr>
            <w:r w:rsidRPr="0084490B">
              <w:rPr>
                <w:rFonts w:eastAsia="Calibri"/>
                <w:sz w:val="20"/>
                <w:lang w:val="fr-CA"/>
              </w:rPr>
              <w:t>2009 QCCS 3213</w:t>
            </w:r>
          </w:p>
          <w:p w:rsidR="00B76B3D" w:rsidRPr="0084490B" w:rsidRDefault="00B76B3D" w:rsidP="00120F8A">
            <w:pPr>
              <w:jc w:val="both"/>
              <w:rPr>
                <w:rFonts w:eastAsia="Calibri"/>
                <w:sz w:val="20"/>
              </w:rPr>
            </w:pPr>
          </w:p>
        </w:tc>
        <w:tc>
          <w:tcPr>
            <w:tcW w:w="243" w:type="pct"/>
          </w:tcPr>
          <w:p w:rsidR="00B76B3D" w:rsidRPr="0084490B" w:rsidRDefault="00B76B3D" w:rsidP="00120F8A">
            <w:pPr>
              <w:jc w:val="both"/>
              <w:rPr>
                <w:rFonts w:eastAsia="Calibri"/>
                <w:sz w:val="20"/>
              </w:rPr>
            </w:pPr>
          </w:p>
        </w:tc>
        <w:tc>
          <w:tcPr>
            <w:tcW w:w="2330" w:type="pct"/>
          </w:tcPr>
          <w:p w:rsidR="00B76B3D" w:rsidRPr="0084490B" w:rsidRDefault="00B76B3D" w:rsidP="00120F8A">
            <w:pPr>
              <w:jc w:val="both"/>
              <w:rPr>
                <w:rFonts w:eastAsia="Calibri"/>
                <w:sz w:val="20"/>
                <w:lang w:val="fr-CA"/>
              </w:rPr>
            </w:pPr>
            <w:r w:rsidRPr="0084490B">
              <w:rPr>
                <w:rFonts w:eastAsia="Calibri"/>
                <w:sz w:val="20"/>
                <w:lang w:val="fr-CA"/>
              </w:rPr>
              <w:t>Action des demandeurs rejetée.</w:t>
            </w:r>
          </w:p>
        </w:tc>
      </w:tr>
      <w:tr w:rsidR="00B76B3D" w:rsidRPr="0084490B" w:rsidTr="00120F8A">
        <w:tc>
          <w:tcPr>
            <w:tcW w:w="2427" w:type="pct"/>
          </w:tcPr>
          <w:p w:rsidR="00B76B3D" w:rsidRPr="0084490B" w:rsidRDefault="00B76B3D" w:rsidP="00120F8A">
            <w:pPr>
              <w:jc w:val="both"/>
              <w:rPr>
                <w:rFonts w:eastAsia="Calibri"/>
                <w:sz w:val="20"/>
                <w:lang w:val="fr-CA"/>
              </w:rPr>
            </w:pPr>
            <w:r w:rsidRPr="0084490B">
              <w:rPr>
                <w:rFonts w:eastAsia="Calibri"/>
                <w:sz w:val="20"/>
                <w:lang w:val="fr-CA"/>
              </w:rPr>
              <w:t>Le 16 novembre 2012</w:t>
            </w:r>
          </w:p>
          <w:p w:rsidR="00B76B3D" w:rsidRPr="0084490B" w:rsidRDefault="00B76B3D" w:rsidP="00120F8A">
            <w:pPr>
              <w:jc w:val="both"/>
              <w:rPr>
                <w:rFonts w:eastAsia="Calibri"/>
                <w:sz w:val="20"/>
                <w:lang w:val="fr-CA"/>
              </w:rPr>
            </w:pPr>
            <w:r w:rsidRPr="0084490B">
              <w:rPr>
                <w:rFonts w:eastAsia="Calibri"/>
                <w:sz w:val="20"/>
                <w:lang w:val="fr-CA"/>
              </w:rPr>
              <w:t>Cour d’appel du Québec (Montréal)</w:t>
            </w:r>
          </w:p>
          <w:p w:rsidR="00B76B3D" w:rsidRPr="0084490B" w:rsidRDefault="00B76B3D" w:rsidP="00120F8A">
            <w:pPr>
              <w:jc w:val="both"/>
              <w:rPr>
                <w:rFonts w:eastAsia="Calibri"/>
                <w:sz w:val="20"/>
                <w:lang w:val="fr-CA"/>
              </w:rPr>
            </w:pPr>
            <w:r w:rsidRPr="0084490B">
              <w:rPr>
                <w:rFonts w:eastAsia="Calibri"/>
                <w:sz w:val="20"/>
                <w:lang w:val="fr-CA"/>
              </w:rPr>
              <w:t xml:space="preserve">(Les juges </w:t>
            </w:r>
            <w:proofErr w:type="spellStart"/>
            <w:r w:rsidRPr="0084490B">
              <w:rPr>
                <w:rFonts w:eastAsia="Calibri"/>
                <w:sz w:val="20"/>
                <w:lang w:val="fr-CA"/>
              </w:rPr>
              <w:t>Dalphond</w:t>
            </w:r>
            <w:proofErr w:type="spellEnd"/>
            <w:r w:rsidRPr="0084490B">
              <w:rPr>
                <w:rFonts w:eastAsia="Calibri"/>
                <w:sz w:val="20"/>
                <w:lang w:val="fr-CA"/>
              </w:rPr>
              <w:t xml:space="preserve">, </w:t>
            </w:r>
            <w:proofErr w:type="spellStart"/>
            <w:r w:rsidRPr="0084490B">
              <w:rPr>
                <w:rFonts w:eastAsia="Calibri"/>
                <w:sz w:val="20"/>
                <w:lang w:val="fr-CA"/>
              </w:rPr>
              <w:t>Kasirer</w:t>
            </w:r>
            <w:proofErr w:type="spellEnd"/>
            <w:r w:rsidRPr="0084490B">
              <w:rPr>
                <w:rFonts w:eastAsia="Calibri"/>
                <w:sz w:val="20"/>
                <w:lang w:val="fr-CA"/>
              </w:rPr>
              <w:t xml:space="preserve"> et Gagnon)</w:t>
            </w:r>
          </w:p>
          <w:p w:rsidR="00B76B3D" w:rsidRPr="0084490B" w:rsidRDefault="00B76B3D" w:rsidP="00120F8A">
            <w:pPr>
              <w:jc w:val="both"/>
              <w:rPr>
                <w:rFonts w:eastAsia="Calibri"/>
                <w:sz w:val="20"/>
                <w:lang w:val="fr-CA"/>
              </w:rPr>
            </w:pPr>
            <w:r w:rsidRPr="0084490B">
              <w:rPr>
                <w:rFonts w:eastAsia="Calibri"/>
                <w:sz w:val="20"/>
                <w:lang w:val="fr-CA"/>
              </w:rPr>
              <w:t>2012 QCCA 2039</w:t>
            </w:r>
          </w:p>
          <w:p w:rsidR="00B76B3D" w:rsidRPr="0084490B" w:rsidRDefault="00B76B3D" w:rsidP="00120F8A">
            <w:pPr>
              <w:jc w:val="both"/>
              <w:rPr>
                <w:rFonts w:eastAsia="Calibri"/>
                <w:sz w:val="20"/>
                <w:lang w:val="fr-FR"/>
              </w:rPr>
            </w:pPr>
          </w:p>
        </w:tc>
        <w:tc>
          <w:tcPr>
            <w:tcW w:w="243" w:type="pct"/>
          </w:tcPr>
          <w:p w:rsidR="00B76B3D" w:rsidRPr="0084490B" w:rsidRDefault="00B76B3D" w:rsidP="00120F8A">
            <w:pPr>
              <w:jc w:val="both"/>
              <w:rPr>
                <w:rFonts w:eastAsia="Calibri"/>
                <w:sz w:val="20"/>
                <w:lang w:val="fr-FR"/>
              </w:rPr>
            </w:pPr>
          </w:p>
        </w:tc>
        <w:tc>
          <w:tcPr>
            <w:tcW w:w="2330" w:type="pct"/>
          </w:tcPr>
          <w:p w:rsidR="00B76B3D" w:rsidRPr="0084490B" w:rsidRDefault="00B76B3D" w:rsidP="00120F8A">
            <w:pPr>
              <w:jc w:val="both"/>
              <w:rPr>
                <w:rFonts w:eastAsia="Calibri"/>
                <w:sz w:val="20"/>
                <w:lang w:val="fr-CA"/>
              </w:rPr>
            </w:pPr>
            <w:r w:rsidRPr="0084490B">
              <w:rPr>
                <w:rFonts w:eastAsia="Calibri"/>
                <w:sz w:val="20"/>
                <w:lang w:val="fr-CA"/>
              </w:rPr>
              <w:t>Appel rejeté.</w:t>
            </w:r>
          </w:p>
        </w:tc>
      </w:tr>
      <w:tr w:rsidR="00B76B3D" w:rsidRPr="0084490B" w:rsidTr="00120F8A">
        <w:tc>
          <w:tcPr>
            <w:tcW w:w="2427" w:type="pct"/>
          </w:tcPr>
          <w:p w:rsidR="00B76B3D" w:rsidRPr="0084490B" w:rsidRDefault="00B76B3D" w:rsidP="00120F8A">
            <w:pPr>
              <w:jc w:val="both"/>
              <w:rPr>
                <w:rFonts w:eastAsia="Calibri"/>
                <w:sz w:val="20"/>
                <w:lang w:val="fr-CA"/>
              </w:rPr>
            </w:pPr>
            <w:r w:rsidRPr="0084490B">
              <w:rPr>
                <w:rFonts w:eastAsia="Calibri"/>
                <w:sz w:val="20"/>
                <w:lang w:val="fr-CA"/>
              </w:rPr>
              <w:t>Le 15 janvier 2013</w:t>
            </w:r>
          </w:p>
          <w:p w:rsidR="00B76B3D" w:rsidRPr="0084490B" w:rsidRDefault="00B76B3D" w:rsidP="00120F8A">
            <w:pPr>
              <w:jc w:val="both"/>
              <w:rPr>
                <w:rFonts w:eastAsia="Calibri"/>
                <w:sz w:val="20"/>
                <w:lang w:val="fr-FR"/>
              </w:rPr>
            </w:pPr>
            <w:r w:rsidRPr="0084490B">
              <w:rPr>
                <w:rFonts w:eastAsia="Calibri"/>
                <w:sz w:val="20"/>
                <w:lang w:val="fr-CA"/>
              </w:rPr>
              <w:t>Cour suprême du Canada</w:t>
            </w:r>
          </w:p>
        </w:tc>
        <w:tc>
          <w:tcPr>
            <w:tcW w:w="243" w:type="pct"/>
          </w:tcPr>
          <w:p w:rsidR="00B76B3D" w:rsidRPr="0084490B" w:rsidRDefault="00B76B3D" w:rsidP="00120F8A">
            <w:pPr>
              <w:jc w:val="both"/>
              <w:rPr>
                <w:rFonts w:eastAsia="Calibri"/>
                <w:sz w:val="20"/>
                <w:lang w:val="fr-FR"/>
              </w:rPr>
            </w:pPr>
          </w:p>
        </w:tc>
        <w:tc>
          <w:tcPr>
            <w:tcW w:w="2330" w:type="pct"/>
          </w:tcPr>
          <w:p w:rsidR="00B76B3D" w:rsidRPr="0084490B" w:rsidRDefault="00B76B3D" w:rsidP="00120F8A">
            <w:pPr>
              <w:jc w:val="both"/>
              <w:rPr>
                <w:rFonts w:eastAsia="Calibri"/>
                <w:sz w:val="20"/>
                <w:lang w:val="fr-CA"/>
              </w:rPr>
            </w:pPr>
            <w:r w:rsidRPr="0084490B">
              <w:rPr>
                <w:rFonts w:eastAsia="Calibri"/>
                <w:sz w:val="20"/>
                <w:lang w:val="fr-CA"/>
              </w:rPr>
              <w:t>Demande d'autorisation d'appel déposée.</w:t>
            </w:r>
          </w:p>
          <w:p w:rsidR="00B76B3D" w:rsidRPr="0084490B" w:rsidRDefault="00B76B3D" w:rsidP="00120F8A">
            <w:pPr>
              <w:jc w:val="both"/>
              <w:rPr>
                <w:rFonts w:eastAsia="Calibri"/>
                <w:sz w:val="20"/>
                <w:lang w:val="fr-CA"/>
              </w:rPr>
            </w:pPr>
          </w:p>
        </w:tc>
      </w:tr>
    </w:tbl>
    <w:p w:rsidR="00EA65C4" w:rsidRDefault="00EA65C4" w:rsidP="00EA65C4">
      <w:pPr>
        <w:rPr>
          <w:sz w:val="20"/>
          <w:szCs w:val="20"/>
        </w:rPr>
      </w:pPr>
    </w:p>
    <w:p w:rsidR="00EA65C4" w:rsidRDefault="0028676C" w:rsidP="00EA65C4">
      <w:pPr>
        <w:rPr>
          <w:sz w:val="20"/>
          <w:szCs w:val="20"/>
        </w:rPr>
      </w:pPr>
      <w:r w:rsidRPr="0028676C">
        <w:rPr>
          <w:sz w:val="20"/>
          <w:szCs w:val="20"/>
          <w:lang w:val="fr-CA"/>
        </w:rPr>
        <w:pict>
          <v:rect id="_x0000_i1054" style="width:2in;height:1pt" o:hrpct="0" o:hralign="center" o:hrstd="t" o:hrnoshade="t" o:hr="t" fillcolor="black [3213]" stroked="f"/>
        </w:pict>
      </w:r>
    </w:p>
    <w:p w:rsidR="00EA65C4" w:rsidRDefault="00EA65C4" w:rsidP="00EA65C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C3CC2" w:rsidRPr="008748E6" w:rsidTr="00AA4F37">
        <w:trPr>
          <w:cantSplit/>
        </w:trPr>
        <w:tc>
          <w:tcPr>
            <w:tcW w:w="1458" w:type="dxa"/>
          </w:tcPr>
          <w:p w:rsidR="006C3CC2" w:rsidRPr="008748E6" w:rsidRDefault="006C3CC2" w:rsidP="00AA4F37">
            <w:pPr>
              <w:rPr>
                <w:sz w:val="20"/>
                <w:szCs w:val="20"/>
              </w:rPr>
            </w:pPr>
            <w:r w:rsidRPr="008748E6">
              <w:rPr>
                <w:rStyle w:val="SCCFileNumberChar"/>
                <w:sz w:val="20"/>
                <w:szCs w:val="20"/>
              </w:rPr>
              <w:t>35169</w:t>
            </w:r>
          </w:p>
          <w:p w:rsidR="006C3CC2" w:rsidRPr="008748E6" w:rsidRDefault="006C3CC2" w:rsidP="00AA4F37">
            <w:pPr>
              <w:rPr>
                <w:b/>
                <w:sz w:val="20"/>
                <w:szCs w:val="20"/>
                <w:lang w:val="fr-CA"/>
              </w:rPr>
            </w:pPr>
          </w:p>
        </w:tc>
        <w:tc>
          <w:tcPr>
            <w:tcW w:w="8118" w:type="dxa"/>
          </w:tcPr>
          <w:p w:rsidR="006C3CC2" w:rsidRPr="008748E6" w:rsidRDefault="006C3CC2" w:rsidP="00AA4F37">
            <w:pPr>
              <w:jc w:val="both"/>
              <w:rPr>
                <w:sz w:val="20"/>
                <w:szCs w:val="20"/>
              </w:rPr>
            </w:pPr>
            <w:r w:rsidRPr="006C3CC2">
              <w:rPr>
                <w:rStyle w:val="SCCLsocChar"/>
                <w:sz w:val="20"/>
                <w:szCs w:val="20"/>
                <w:lang w:val="en-CA"/>
              </w:rPr>
              <w:t xml:space="preserve">Workers' Compensation Board of British Columbia v. Rick </w:t>
            </w:r>
            <w:proofErr w:type="spellStart"/>
            <w:r w:rsidRPr="006C3CC2">
              <w:rPr>
                <w:rStyle w:val="SCCLsocChar"/>
                <w:sz w:val="20"/>
                <w:szCs w:val="20"/>
                <w:lang w:val="en-CA"/>
              </w:rPr>
              <w:t>Lysohirka</w:t>
            </w:r>
            <w:proofErr w:type="spellEnd"/>
            <w:r w:rsidRPr="008748E6">
              <w:rPr>
                <w:sz w:val="20"/>
                <w:szCs w:val="20"/>
              </w:rPr>
              <w:t xml:space="preserve"> (B.C.) (Civil) (By Leave)</w:t>
            </w:r>
          </w:p>
          <w:p w:rsidR="006C3CC2" w:rsidRPr="008748E6" w:rsidRDefault="006C3CC2" w:rsidP="00AA4F37">
            <w:pPr>
              <w:jc w:val="both"/>
              <w:rPr>
                <w:sz w:val="20"/>
                <w:szCs w:val="20"/>
              </w:rPr>
            </w:pPr>
          </w:p>
        </w:tc>
      </w:tr>
      <w:tr w:rsidR="006C3CC2" w:rsidRPr="008748E6" w:rsidTr="00AA4F37">
        <w:trPr>
          <w:cantSplit/>
        </w:trPr>
        <w:tc>
          <w:tcPr>
            <w:tcW w:w="1458" w:type="dxa"/>
          </w:tcPr>
          <w:p w:rsidR="006C3CC2" w:rsidRPr="008748E6" w:rsidRDefault="006C3CC2" w:rsidP="00AA4F37">
            <w:pPr>
              <w:rPr>
                <w:sz w:val="20"/>
                <w:szCs w:val="20"/>
              </w:rPr>
            </w:pPr>
            <w:r w:rsidRPr="008748E6">
              <w:rPr>
                <w:sz w:val="20"/>
                <w:szCs w:val="20"/>
              </w:rPr>
              <w:t>Coram :</w:t>
            </w:r>
          </w:p>
        </w:tc>
        <w:tc>
          <w:tcPr>
            <w:tcW w:w="8118" w:type="dxa"/>
          </w:tcPr>
          <w:p w:rsidR="006C3CC2" w:rsidRPr="008748E6" w:rsidRDefault="006C3CC2" w:rsidP="00AA4F37">
            <w:pPr>
              <w:rPr>
                <w:sz w:val="20"/>
                <w:szCs w:val="20"/>
              </w:rPr>
            </w:pPr>
            <w:r w:rsidRPr="006C3CC2">
              <w:rPr>
                <w:rStyle w:val="SCCCoramChar"/>
                <w:sz w:val="20"/>
                <w:szCs w:val="20"/>
                <w:lang w:val="en-CA"/>
              </w:rPr>
              <w:t xml:space="preserve">McLachlin C.J. and </w:t>
            </w:r>
            <w:proofErr w:type="spellStart"/>
            <w:r w:rsidRPr="006C3CC2">
              <w:rPr>
                <w:rStyle w:val="SCCCoramChar"/>
                <w:sz w:val="20"/>
                <w:szCs w:val="20"/>
                <w:lang w:val="en-CA"/>
              </w:rPr>
              <w:t>Abella</w:t>
            </w:r>
            <w:proofErr w:type="spellEnd"/>
            <w:r w:rsidRPr="006C3CC2">
              <w:rPr>
                <w:rStyle w:val="SCCCoramChar"/>
                <w:sz w:val="20"/>
                <w:szCs w:val="20"/>
                <w:lang w:val="en-CA"/>
              </w:rPr>
              <w:t xml:space="preserve"> and Cromwell JJ.</w:t>
            </w:r>
          </w:p>
          <w:p w:rsidR="006C3CC2" w:rsidRPr="008748E6" w:rsidRDefault="006C3CC2" w:rsidP="00AA4F37">
            <w:pPr>
              <w:rPr>
                <w:sz w:val="20"/>
                <w:szCs w:val="20"/>
                <w:u w:val="single"/>
              </w:rPr>
            </w:pPr>
          </w:p>
        </w:tc>
      </w:tr>
      <w:tr w:rsidR="006C3CC2" w:rsidRPr="00B6040C" w:rsidTr="00AA4F37">
        <w:trPr>
          <w:cantSplit/>
        </w:trPr>
        <w:tc>
          <w:tcPr>
            <w:tcW w:w="9576" w:type="dxa"/>
            <w:gridSpan w:val="2"/>
          </w:tcPr>
          <w:p w:rsidR="006C3CC2" w:rsidRPr="008748E6" w:rsidRDefault="006C3CC2" w:rsidP="00AA4F37">
            <w:pPr>
              <w:pStyle w:val="SCCShortJudgment"/>
              <w:rPr>
                <w:szCs w:val="20"/>
              </w:rPr>
            </w:pPr>
            <w:r w:rsidRPr="008748E6">
              <w:rPr>
                <w:szCs w:val="20"/>
              </w:rPr>
              <w:t>The motion for leave to intervene by the Workers’ Compensation Appeal Tribunal is dismissed.  The application for leave to appeal from the judgment of the Court of Appeal for British Columbia (Vancouver), Number CA039022, 2012 BCCA 457, dated November 14, 2012, is dismissed without costs.</w:t>
            </w:r>
          </w:p>
          <w:p w:rsidR="006C3CC2" w:rsidRPr="008748E6" w:rsidRDefault="006C3CC2" w:rsidP="00AA4F37">
            <w:pPr>
              <w:pStyle w:val="SCCShortJudgment"/>
              <w:ind w:firstLine="0"/>
              <w:rPr>
                <w:szCs w:val="20"/>
              </w:rPr>
            </w:pPr>
          </w:p>
          <w:p w:rsidR="006C3CC2" w:rsidRPr="008748E6" w:rsidRDefault="006C3CC2" w:rsidP="00AA4F37">
            <w:pPr>
              <w:pStyle w:val="SCCShortJudgment"/>
              <w:rPr>
                <w:szCs w:val="20"/>
                <w:lang w:val="fr-CA"/>
              </w:rPr>
            </w:pPr>
            <w:r w:rsidRPr="008748E6">
              <w:rPr>
                <w:szCs w:val="20"/>
                <w:lang w:val="fr-CA"/>
              </w:rPr>
              <w:t xml:space="preserve">La requête pour permission d’intervenir du </w:t>
            </w:r>
            <w:proofErr w:type="spellStart"/>
            <w:r w:rsidRPr="008748E6">
              <w:rPr>
                <w:szCs w:val="20"/>
                <w:lang w:val="fr-CA"/>
              </w:rPr>
              <w:t>Workers</w:t>
            </w:r>
            <w:proofErr w:type="spellEnd"/>
            <w:r w:rsidRPr="008748E6">
              <w:rPr>
                <w:szCs w:val="20"/>
                <w:lang w:val="fr-CA"/>
              </w:rPr>
              <w:t xml:space="preserve">’ Compensation </w:t>
            </w:r>
            <w:proofErr w:type="spellStart"/>
            <w:r w:rsidRPr="008748E6">
              <w:rPr>
                <w:szCs w:val="20"/>
                <w:lang w:val="fr-CA"/>
              </w:rPr>
              <w:t>Appeal</w:t>
            </w:r>
            <w:proofErr w:type="spellEnd"/>
            <w:r w:rsidRPr="008748E6">
              <w:rPr>
                <w:szCs w:val="20"/>
                <w:lang w:val="fr-CA"/>
              </w:rPr>
              <w:t xml:space="preserve"> Tribunal est rejetée.  La demande d’autorisation d’appel de l’arrêt de la Cour d’appel de la Colombie-Britannique (Vancouver), numéro CA039022, 2012 BCCA 457, daté du 14 novembre 2012, est rejetée sans dépens.</w:t>
            </w:r>
          </w:p>
        </w:tc>
      </w:tr>
    </w:tbl>
    <w:p w:rsidR="00EA65C4" w:rsidRPr="006C3CC2" w:rsidRDefault="00EA65C4" w:rsidP="00EA65C4">
      <w:pPr>
        <w:rPr>
          <w:sz w:val="20"/>
          <w:szCs w:val="20"/>
          <w:lang w:val="fr-CA"/>
        </w:rPr>
      </w:pPr>
    </w:p>
    <w:p w:rsidR="00EA65C4" w:rsidRPr="001B157C" w:rsidRDefault="00EA65C4" w:rsidP="00EA65C4">
      <w:pPr>
        <w:rPr>
          <w:sz w:val="20"/>
          <w:szCs w:val="20"/>
          <w:u w:val="single"/>
        </w:rPr>
      </w:pPr>
      <w:r w:rsidRPr="001B157C">
        <w:rPr>
          <w:sz w:val="20"/>
          <w:szCs w:val="20"/>
          <w:u w:val="single"/>
        </w:rPr>
        <w:t>CASE SUMMARY</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76B3D" w:rsidRPr="0084490B" w:rsidTr="00120F8A">
        <w:tc>
          <w:tcPr>
            <w:tcW w:w="5000" w:type="pct"/>
            <w:gridSpan w:val="3"/>
          </w:tcPr>
          <w:p w:rsidR="00B76B3D" w:rsidRPr="0084490B" w:rsidRDefault="00B76B3D" w:rsidP="00120F8A">
            <w:pPr>
              <w:jc w:val="both"/>
              <w:rPr>
                <w:rFonts w:eastAsia="Calibri"/>
                <w:sz w:val="20"/>
              </w:rPr>
            </w:pPr>
            <w:r w:rsidRPr="0084490B">
              <w:rPr>
                <w:rFonts w:eastAsia="Calibri"/>
                <w:sz w:val="20"/>
              </w:rPr>
              <w:t xml:space="preserve">Administrative law – Boards and tribunals – Jurisdiction – When this Court defined true questions of jurisdiction in </w:t>
            </w:r>
            <w:r w:rsidRPr="0084490B">
              <w:rPr>
                <w:rFonts w:eastAsia="Calibri"/>
                <w:i/>
                <w:sz w:val="20"/>
              </w:rPr>
              <w:t>Dunsmuir v. New Brunswick</w:t>
            </w:r>
            <w:r w:rsidRPr="0084490B">
              <w:rPr>
                <w:rFonts w:eastAsia="Calibri"/>
                <w:sz w:val="20"/>
              </w:rPr>
              <w:t>, 2008 SCC 9, [2008] 1 S.C.R. 190, did it intend to eliminate the concept of broader questions of jurisdiction expressed in the pre</w:t>
            </w:r>
            <w:r w:rsidRPr="0084490B">
              <w:rPr>
                <w:rFonts w:eastAsia="Calibri"/>
                <w:sz w:val="20"/>
              </w:rPr>
              <w:noBreakHyphen/>
            </w:r>
            <w:proofErr w:type="spellStart"/>
            <w:r w:rsidRPr="0084490B">
              <w:rPr>
                <w:rFonts w:eastAsia="Calibri"/>
                <w:i/>
                <w:sz w:val="20"/>
              </w:rPr>
              <w:t>Dunsmuir</w:t>
            </w:r>
            <w:proofErr w:type="spellEnd"/>
            <w:r w:rsidRPr="0084490B">
              <w:rPr>
                <w:rFonts w:eastAsia="Calibri"/>
                <w:sz w:val="20"/>
              </w:rPr>
              <w:t xml:space="preserve"> jurisprudence – Does a tribunal exceed its jurisdiction when it issues an unreasonable decision – Is the authority of a tribunal to reconsider its own decision to correct an error as described in </w:t>
            </w:r>
            <w:r w:rsidRPr="0084490B">
              <w:rPr>
                <w:rFonts w:eastAsia="Calibri"/>
                <w:i/>
                <w:sz w:val="20"/>
              </w:rPr>
              <w:t>Chandler v. Alberta Association of Architects</w:t>
            </w:r>
            <w:r w:rsidRPr="0084490B">
              <w:rPr>
                <w:rFonts w:eastAsia="Calibri"/>
                <w:sz w:val="20"/>
              </w:rPr>
              <w:t xml:space="preserve">, [1989] 2 S.C.R. 848 and the cases that follow it limited to true questions of jurisdiction – Does the concept of “true questions of jurisdiction” have a role to play outside of standard of review analysis – Should an administrative decision-maker be considered </w:t>
            </w:r>
            <w:proofErr w:type="spellStart"/>
            <w:r w:rsidRPr="0084490B">
              <w:rPr>
                <w:rFonts w:eastAsia="Calibri"/>
                <w:i/>
                <w:sz w:val="20"/>
              </w:rPr>
              <w:t>functus</w:t>
            </w:r>
            <w:proofErr w:type="spellEnd"/>
            <w:r w:rsidRPr="0084490B">
              <w:rPr>
                <w:rFonts w:eastAsia="Calibri"/>
                <w:i/>
                <w:sz w:val="20"/>
              </w:rPr>
              <w:t xml:space="preserve"> officio</w:t>
            </w:r>
            <w:r w:rsidRPr="0084490B">
              <w:rPr>
                <w:rFonts w:eastAsia="Calibri"/>
                <w:sz w:val="20"/>
              </w:rPr>
              <w:t xml:space="preserve"> and unable to reconsider a decision (except as explicitly provided by statute) if it makes an error that renders the decision a nullity but is not an error with respect to a “true question of jurisdiction”.</w:t>
            </w:r>
          </w:p>
        </w:tc>
      </w:tr>
      <w:tr w:rsidR="00B76B3D" w:rsidRPr="0084490B" w:rsidTr="00120F8A">
        <w:tc>
          <w:tcPr>
            <w:tcW w:w="5000" w:type="pct"/>
            <w:gridSpan w:val="3"/>
          </w:tcPr>
          <w:p w:rsidR="00B76B3D" w:rsidRPr="0084490B" w:rsidRDefault="00B76B3D" w:rsidP="00120F8A">
            <w:pPr>
              <w:jc w:val="both"/>
              <w:rPr>
                <w:rFonts w:eastAsia="Calibri"/>
                <w:sz w:val="20"/>
              </w:rPr>
            </w:pPr>
          </w:p>
        </w:tc>
      </w:tr>
      <w:tr w:rsidR="00B76B3D" w:rsidRPr="0084490B" w:rsidTr="00120F8A">
        <w:tc>
          <w:tcPr>
            <w:tcW w:w="5000" w:type="pct"/>
            <w:gridSpan w:val="3"/>
          </w:tcPr>
          <w:p w:rsidR="00B76B3D" w:rsidRPr="0084490B" w:rsidRDefault="00B76B3D" w:rsidP="00120F8A">
            <w:pPr>
              <w:jc w:val="both"/>
              <w:rPr>
                <w:rFonts w:eastAsia="Calibri"/>
                <w:sz w:val="20"/>
              </w:rPr>
            </w:pPr>
            <w:r w:rsidRPr="0084490B">
              <w:rPr>
                <w:rFonts w:eastAsia="Calibri"/>
                <w:sz w:val="20"/>
              </w:rPr>
              <w:t xml:space="preserve">This case arose from petitions for judicial review of two review decisions and a reconsideration decision of the Review Division of the applicant (the “Board”).  Those decisions denied the respondent retroactive vocational rehabilitation benefits in relation to a workplace injury, absent documentary evidence of active involvement in some rehabilitation.  The respondent brought a petition for judicial review, arguing that the review and reconsideration decisions created policy and were outside the jurisdiction of the Review Division.  He claimed his entitlement to the benefits crystallized upon the Board deciding he could not return to his pre-injury employment. </w:t>
            </w:r>
          </w:p>
          <w:p w:rsidR="00B76B3D" w:rsidRPr="0084490B" w:rsidRDefault="00B76B3D" w:rsidP="00120F8A">
            <w:pPr>
              <w:jc w:val="both"/>
              <w:rPr>
                <w:rFonts w:eastAsia="Calibri"/>
                <w:sz w:val="20"/>
              </w:rPr>
            </w:pPr>
          </w:p>
          <w:p w:rsidR="00B76B3D" w:rsidRPr="0084490B" w:rsidRDefault="00B76B3D" w:rsidP="00120F8A">
            <w:pPr>
              <w:jc w:val="both"/>
              <w:rPr>
                <w:rFonts w:eastAsia="Calibri"/>
                <w:sz w:val="20"/>
              </w:rPr>
            </w:pPr>
            <w:r w:rsidRPr="0084490B">
              <w:rPr>
                <w:rFonts w:eastAsia="Calibri"/>
                <w:sz w:val="20"/>
              </w:rPr>
              <w:t>The Supreme Court of British Columbia dismissed the petition.  The Court of Appeal held that the Review Division had been without jurisdiction to decide the reconsideration decision, but that as the two review decisions had been reasonable, the appeal was dismissed.  The Board appeals the decision with respect to the conclusion about lack of jurisdiction.  The respondent supports the leave application and the jurisdictional issue as one of public importance.</w:t>
            </w:r>
          </w:p>
          <w:p w:rsidR="00B76B3D" w:rsidRPr="0084490B" w:rsidRDefault="00B76B3D" w:rsidP="00120F8A">
            <w:pPr>
              <w:jc w:val="both"/>
              <w:rPr>
                <w:rFonts w:eastAsia="Calibri"/>
                <w:sz w:val="20"/>
              </w:rPr>
            </w:pPr>
          </w:p>
        </w:tc>
      </w:tr>
      <w:tr w:rsidR="00B76B3D" w:rsidRPr="0084490B" w:rsidTr="00120F8A">
        <w:tc>
          <w:tcPr>
            <w:tcW w:w="2427" w:type="pct"/>
          </w:tcPr>
          <w:p w:rsidR="00B76B3D" w:rsidRPr="0084490B" w:rsidRDefault="00B76B3D" w:rsidP="00120F8A">
            <w:pPr>
              <w:jc w:val="both"/>
              <w:rPr>
                <w:rFonts w:eastAsia="Calibri"/>
                <w:sz w:val="20"/>
              </w:rPr>
            </w:pPr>
            <w:r w:rsidRPr="0084490B">
              <w:rPr>
                <w:rFonts w:eastAsia="Calibri"/>
                <w:sz w:val="20"/>
              </w:rPr>
              <w:t>April 11, 2011</w:t>
            </w:r>
          </w:p>
          <w:p w:rsidR="00B76B3D" w:rsidRPr="0084490B" w:rsidRDefault="00B76B3D" w:rsidP="00120F8A">
            <w:pPr>
              <w:jc w:val="both"/>
              <w:rPr>
                <w:rFonts w:eastAsia="Calibri"/>
                <w:sz w:val="20"/>
              </w:rPr>
            </w:pPr>
            <w:r w:rsidRPr="0084490B">
              <w:rPr>
                <w:rFonts w:eastAsia="Calibri"/>
                <w:sz w:val="20"/>
              </w:rPr>
              <w:t>Supreme Court of British Columbia</w:t>
            </w:r>
          </w:p>
          <w:p w:rsidR="00B76B3D" w:rsidRPr="0084490B" w:rsidRDefault="00B76B3D" w:rsidP="00120F8A">
            <w:pPr>
              <w:jc w:val="both"/>
              <w:rPr>
                <w:rFonts w:eastAsia="Calibri"/>
                <w:sz w:val="20"/>
              </w:rPr>
            </w:pPr>
            <w:r w:rsidRPr="0084490B">
              <w:rPr>
                <w:rFonts w:eastAsia="Calibri"/>
                <w:sz w:val="20"/>
              </w:rPr>
              <w:t>(</w:t>
            </w:r>
            <w:proofErr w:type="spellStart"/>
            <w:r w:rsidRPr="0084490B">
              <w:rPr>
                <w:rFonts w:eastAsia="Calibri"/>
                <w:sz w:val="20"/>
              </w:rPr>
              <w:t>Beames</w:t>
            </w:r>
            <w:proofErr w:type="spellEnd"/>
            <w:r w:rsidRPr="0084490B">
              <w:rPr>
                <w:rFonts w:eastAsia="Calibri"/>
                <w:sz w:val="20"/>
              </w:rPr>
              <w:t xml:space="preserve"> J.)</w:t>
            </w:r>
          </w:p>
          <w:p w:rsidR="00B76B3D" w:rsidRPr="0084490B" w:rsidRDefault="00B76B3D" w:rsidP="00120F8A">
            <w:pPr>
              <w:jc w:val="both"/>
              <w:rPr>
                <w:rFonts w:eastAsia="Calibri"/>
                <w:sz w:val="20"/>
              </w:rPr>
            </w:pPr>
            <w:r w:rsidRPr="0084490B">
              <w:rPr>
                <w:rFonts w:eastAsia="Calibri"/>
                <w:sz w:val="20"/>
              </w:rPr>
              <w:t>2011 BCSC 453</w:t>
            </w:r>
          </w:p>
          <w:p w:rsidR="00B76B3D" w:rsidRPr="0084490B" w:rsidRDefault="00B76B3D" w:rsidP="00120F8A">
            <w:pPr>
              <w:jc w:val="both"/>
              <w:rPr>
                <w:rFonts w:eastAsia="Calibri"/>
                <w:sz w:val="20"/>
              </w:rPr>
            </w:pPr>
          </w:p>
        </w:tc>
        <w:tc>
          <w:tcPr>
            <w:tcW w:w="243" w:type="pct"/>
          </w:tcPr>
          <w:p w:rsidR="00B76B3D" w:rsidRPr="0084490B" w:rsidRDefault="00B76B3D" w:rsidP="00120F8A">
            <w:pPr>
              <w:jc w:val="both"/>
              <w:rPr>
                <w:rFonts w:eastAsia="Calibri"/>
                <w:sz w:val="20"/>
              </w:rPr>
            </w:pPr>
          </w:p>
        </w:tc>
        <w:tc>
          <w:tcPr>
            <w:tcW w:w="2330" w:type="pct"/>
          </w:tcPr>
          <w:p w:rsidR="00B76B3D" w:rsidRPr="0084490B" w:rsidRDefault="00B76B3D" w:rsidP="00120F8A">
            <w:pPr>
              <w:jc w:val="both"/>
              <w:rPr>
                <w:rFonts w:eastAsia="Calibri"/>
                <w:sz w:val="20"/>
              </w:rPr>
            </w:pPr>
            <w:r w:rsidRPr="0084490B">
              <w:rPr>
                <w:rFonts w:eastAsia="Calibri"/>
                <w:sz w:val="20"/>
              </w:rPr>
              <w:t>Petition for judicial review of three decisions of the Review Division of the Workers’ Compensation Board, dismissed</w:t>
            </w:r>
          </w:p>
        </w:tc>
      </w:tr>
      <w:tr w:rsidR="00B76B3D" w:rsidRPr="0084490B" w:rsidTr="00120F8A">
        <w:tc>
          <w:tcPr>
            <w:tcW w:w="2427" w:type="pct"/>
          </w:tcPr>
          <w:p w:rsidR="00B76B3D" w:rsidRPr="0084490B" w:rsidRDefault="00B76B3D" w:rsidP="00120F8A">
            <w:pPr>
              <w:jc w:val="both"/>
              <w:rPr>
                <w:rFonts w:eastAsia="Calibri"/>
                <w:sz w:val="20"/>
              </w:rPr>
            </w:pPr>
            <w:r w:rsidRPr="0084490B">
              <w:rPr>
                <w:rFonts w:eastAsia="Calibri"/>
                <w:sz w:val="20"/>
              </w:rPr>
              <w:t>November 14, 2012</w:t>
            </w:r>
          </w:p>
          <w:p w:rsidR="00B76B3D" w:rsidRPr="0084490B" w:rsidRDefault="00B76B3D" w:rsidP="00120F8A">
            <w:pPr>
              <w:jc w:val="both"/>
              <w:rPr>
                <w:rFonts w:eastAsia="Calibri"/>
                <w:sz w:val="20"/>
              </w:rPr>
            </w:pPr>
            <w:r w:rsidRPr="0084490B">
              <w:rPr>
                <w:rFonts w:eastAsia="Calibri"/>
                <w:sz w:val="20"/>
              </w:rPr>
              <w:t xml:space="preserve">Court of Appeal for British Columbia </w:t>
            </w:r>
          </w:p>
          <w:p w:rsidR="00B76B3D" w:rsidRPr="0084490B" w:rsidRDefault="00B76B3D" w:rsidP="00120F8A">
            <w:pPr>
              <w:jc w:val="both"/>
              <w:rPr>
                <w:rFonts w:eastAsia="Calibri"/>
                <w:sz w:val="20"/>
              </w:rPr>
            </w:pPr>
            <w:r w:rsidRPr="0084490B">
              <w:rPr>
                <w:rFonts w:eastAsia="Calibri"/>
                <w:sz w:val="20"/>
              </w:rPr>
              <w:t>(Vancouver)</w:t>
            </w:r>
          </w:p>
          <w:p w:rsidR="00B76B3D" w:rsidRPr="0084490B" w:rsidRDefault="00B76B3D" w:rsidP="00120F8A">
            <w:pPr>
              <w:jc w:val="both"/>
              <w:rPr>
                <w:rFonts w:eastAsia="Calibri"/>
                <w:sz w:val="20"/>
              </w:rPr>
            </w:pPr>
            <w:r w:rsidRPr="0084490B">
              <w:rPr>
                <w:rFonts w:eastAsia="Calibri"/>
                <w:sz w:val="20"/>
              </w:rPr>
              <w:t xml:space="preserve">(Prowse, Garson and </w:t>
            </w:r>
            <w:proofErr w:type="spellStart"/>
            <w:r w:rsidRPr="0084490B">
              <w:rPr>
                <w:rFonts w:eastAsia="Calibri"/>
                <w:sz w:val="20"/>
              </w:rPr>
              <w:t>Hinkson</w:t>
            </w:r>
            <w:proofErr w:type="spellEnd"/>
            <w:r w:rsidRPr="0084490B">
              <w:rPr>
                <w:rFonts w:eastAsia="Calibri"/>
                <w:sz w:val="20"/>
              </w:rPr>
              <w:t xml:space="preserve"> JJ.A.)</w:t>
            </w:r>
          </w:p>
          <w:p w:rsidR="00B76B3D" w:rsidRPr="0084490B" w:rsidRDefault="00B76B3D" w:rsidP="00120F8A">
            <w:pPr>
              <w:jc w:val="both"/>
              <w:rPr>
                <w:rFonts w:eastAsia="Calibri"/>
                <w:sz w:val="20"/>
              </w:rPr>
            </w:pPr>
            <w:r w:rsidRPr="0084490B">
              <w:rPr>
                <w:rFonts w:eastAsia="Calibri"/>
                <w:sz w:val="20"/>
              </w:rPr>
              <w:t>2012 BCCA 457; CA039022</w:t>
            </w:r>
          </w:p>
          <w:p w:rsidR="00B76B3D" w:rsidRPr="0084490B" w:rsidRDefault="00B76B3D" w:rsidP="00120F8A">
            <w:pPr>
              <w:jc w:val="both"/>
              <w:rPr>
                <w:rFonts w:eastAsia="Calibri"/>
                <w:sz w:val="20"/>
              </w:rPr>
            </w:pPr>
          </w:p>
        </w:tc>
        <w:tc>
          <w:tcPr>
            <w:tcW w:w="243" w:type="pct"/>
          </w:tcPr>
          <w:p w:rsidR="00B76B3D" w:rsidRPr="0084490B" w:rsidRDefault="00B76B3D" w:rsidP="00120F8A">
            <w:pPr>
              <w:jc w:val="both"/>
              <w:rPr>
                <w:rFonts w:eastAsia="Calibri"/>
                <w:sz w:val="20"/>
              </w:rPr>
            </w:pPr>
          </w:p>
        </w:tc>
        <w:tc>
          <w:tcPr>
            <w:tcW w:w="2330" w:type="pct"/>
          </w:tcPr>
          <w:p w:rsidR="00B76B3D" w:rsidRPr="0084490B" w:rsidRDefault="00B76B3D" w:rsidP="00120F8A">
            <w:pPr>
              <w:jc w:val="both"/>
              <w:rPr>
                <w:rFonts w:eastAsia="Calibri"/>
                <w:sz w:val="20"/>
              </w:rPr>
            </w:pPr>
            <w:r w:rsidRPr="0084490B">
              <w:rPr>
                <w:rFonts w:eastAsia="Calibri"/>
                <w:sz w:val="20"/>
              </w:rPr>
              <w:t>Appeal dismissed; Review Division declared without jurisdiction to reconsider its two earlier decisions</w:t>
            </w:r>
          </w:p>
          <w:p w:rsidR="00B76B3D" w:rsidRPr="0084490B" w:rsidRDefault="00B76B3D" w:rsidP="00120F8A">
            <w:pPr>
              <w:jc w:val="both"/>
              <w:rPr>
                <w:rFonts w:eastAsia="Calibri"/>
                <w:sz w:val="20"/>
              </w:rPr>
            </w:pPr>
          </w:p>
        </w:tc>
      </w:tr>
      <w:tr w:rsidR="00B76B3D" w:rsidRPr="0084490B" w:rsidTr="00120F8A">
        <w:tc>
          <w:tcPr>
            <w:tcW w:w="2427" w:type="pct"/>
          </w:tcPr>
          <w:p w:rsidR="00B76B3D" w:rsidRPr="0084490B" w:rsidRDefault="00B76B3D" w:rsidP="00120F8A">
            <w:pPr>
              <w:jc w:val="both"/>
              <w:rPr>
                <w:rFonts w:eastAsia="Calibri"/>
                <w:sz w:val="20"/>
              </w:rPr>
            </w:pPr>
            <w:r w:rsidRPr="0084490B">
              <w:rPr>
                <w:rFonts w:eastAsia="Calibri"/>
                <w:sz w:val="20"/>
              </w:rPr>
              <w:t>January 11, 2013</w:t>
            </w:r>
          </w:p>
          <w:p w:rsidR="00B76B3D" w:rsidRPr="0084490B" w:rsidRDefault="00B76B3D" w:rsidP="00120F8A">
            <w:pPr>
              <w:jc w:val="both"/>
              <w:rPr>
                <w:rFonts w:eastAsia="Calibri"/>
                <w:sz w:val="20"/>
              </w:rPr>
            </w:pPr>
            <w:r w:rsidRPr="0084490B">
              <w:rPr>
                <w:rFonts w:eastAsia="Calibri"/>
                <w:sz w:val="20"/>
              </w:rPr>
              <w:t>Supreme Court of Canada</w:t>
            </w:r>
          </w:p>
        </w:tc>
        <w:tc>
          <w:tcPr>
            <w:tcW w:w="243" w:type="pct"/>
          </w:tcPr>
          <w:p w:rsidR="00B76B3D" w:rsidRPr="0084490B" w:rsidRDefault="00B76B3D" w:rsidP="00120F8A">
            <w:pPr>
              <w:jc w:val="both"/>
              <w:rPr>
                <w:rFonts w:eastAsia="Calibri"/>
                <w:sz w:val="20"/>
              </w:rPr>
            </w:pPr>
          </w:p>
        </w:tc>
        <w:tc>
          <w:tcPr>
            <w:tcW w:w="2330" w:type="pct"/>
          </w:tcPr>
          <w:p w:rsidR="00B76B3D" w:rsidRPr="0084490B" w:rsidRDefault="00B76B3D" w:rsidP="00120F8A">
            <w:pPr>
              <w:jc w:val="both"/>
              <w:rPr>
                <w:rFonts w:eastAsia="Calibri"/>
                <w:sz w:val="20"/>
              </w:rPr>
            </w:pPr>
            <w:r w:rsidRPr="0084490B">
              <w:rPr>
                <w:rFonts w:eastAsia="Calibri"/>
                <w:sz w:val="20"/>
              </w:rPr>
              <w:t>Application for leave to appeal filed</w:t>
            </w:r>
          </w:p>
        </w:tc>
      </w:tr>
    </w:tbl>
    <w:p w:rsidR="00EA65C4" w:rsidRDefault="00EA65C4" w:rsidP="00EA65C4">
      <w:pPr>
        <w:rPr>
          <w:sz w:val="20"/>
          <w:szCs w:val="20"/>
        </w:rPr>
      </w:pPr>
    </w:p>
    <w:p w:rsidR="00EA65C4" w:rsidRPr="00C50A5C" w:rsidRDefault="0028676C" w:rsidP="00EA65C4">
      <w:pPr>
        <w:rPr>
          <w:sz w:val="20"/>
          <w:szCs w:val="20"/>
        </w:rPr>
      </w:pPr>
      <w:r w:rsidRPr="0028676C">
        <w:rPr>
          <w:sz w:val="20"/>
          <w:szCs w:val="20"/>
          <w:lang w:val="fr-CA"/>
        </w:rPr>
        <w:pict>
          <v:rect id="_x0000_i1055" style="width:2in;height:1pt" o:hrpct="0" o:hralign="center" o:hrstd="t" o:hrnoshade="t" o:hr="t" fillcolor="black [3213]" stroked="f"/>
        </w:pict>
      </w:r>
    </w:p>
    <w:p w:rsidR="00EA65C4" w:rsidRDefault="00EA65C4" w:rsidP="00EA65C4">
      <w:pPr>
        <w:rPr>
          <w:sz w:val="20"/>
          <w:szCs w:val="20"/>
        </w:rPr>
      </w:pPr>
    </w:p>
    <w:p w:rsidR="00EA65C4" w:rsidRPr="001B157C" w:rsidRDefault="00EA65C4" w:rsidP="00EA65C4">
      <w:pPr>
        <w:rPr>
          <w:sz w:val="20"/>
          <w:szCs w:val="20"/>
          <w:u w:val="single"/>
          <w:lang w:val="fr-CA"/>
        </w:rPr>
      </w:pPr>
      <w:r w:rsidRPr="001B157C">
        <w:rPr>
          <w:sz w:val="20"/>
          <w:szCs w:val="20"/>
          <w:u w:val="single"/>
          <w:lang w:val="fr-CA"/>
        </w:rPr>
        <w:t>RÉSUMÉ DE L’AFFAIRE</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76B3D" w:rsidRPr="00B6040C" w:rsidTr="00120F8A">
        <w:tc>
          <w:tcPr>
            <w:tcW w:w="5000" w:type="pct"/>
            <w:gridSpan w:val="3"/>
          </w:tcPr>
          <w:p w:rsidR="00B76B3D" w:rsidRPr="0084490B" w:rsidRDefault="00B76B3D" w:rsidP="00120F8A">
            <w:pPr>
              <w:jc w:val="both"/>
              <w:rPr>
                <w:rFonts w:eastAsia="Calibri"/>
                <w:sz w:val="20"/>
                <w:lang w:val="fr-FR"/>
              </w:rPr>
            </w:pPr>
            <w:r w:rsidRPr="0084490B">
              <w:rPr>
                <w:rFonts w:eastAsia="Calibri"/>
                <w:sz w:val="20"/>
                <w:lang w:val="fr-FR"/>
              </w:rPr>
              <w:t xml:space="preserve">Droit administratif – Organismes et tribunaux administratifs – Compétence – Quand la Cour a défini les questions touchant véritablement à la compétence dans </w:t>
            </w:r>
            <w:proofErr w:type="spellStart"/>
            <w:r w:rsidRPr="0084490B">
              <w:rPr>
                <w:rFonts w:eastAsia="Calibri"/>
                <w:i/>
                <w:sz w:val="20"/>
                <w:lang w:val="fr-FR"/>
              </w:rPr>
              <w:t>Dunsmuir</w:t>
            </w:r>
            <w:proofErr w:type="spellEnd"/>
            <w:r w:rsidRPr="0084490B">
              <w:rPr>
                <w:rFonts w:eastAsia="Calibri"/>
                <w:i/>
                <w:sz w:val="20"/>
                <w:lang w:val="fr-FR"/>
              </w:rPr>
              <w:t xml:space="preserve"> c. </w:t>
            </w:r>
            <w:proofErr w:type="spellStart"/>
            <w:r w:rsidRPr="0084490B">
              <w:rPr>
                <w:rFonts w:eastAsia="Calibri"/>
                <w:i/>
                <w:sz w:val="20"/>
                <w:lang w:val="fr-FR"/>
              </w:rPr>
              <w:t>Nouveau</w:t>
            </w:r>
            <w:r w:rsidRPr="0084490B">
              <w:rPr>
                <w:rFonts w:eastAsia="Calibri"/>
                <w:i/>
                <w:sz w:val="20"/>
                <w:lang w:val="fr-FR"/>
              </w:rPr>
              <w:noBreakHyphen/>
              <w:t>Brunswick</w:t>
            </w:r>
            <w:proofErr w:type="spellEnd"/>
            <w:r w:rsidRPr="0084490B">
              <w:rPr>
                <w:rFonts w:eastAsia="Calibri"/>
                <w:sz w:val="20"/>
                <w:lang w:val="fr-FR"/>
              </w:rPr>
              <w:t xml:space="preserve">, 2008 CSC 9, [2008] 1 R.C.S. 190, </w:t>
            </w:r>
            <w:proofErr w:type="spellStart"/>
            <w:r w:rsidRPr="0084490B">
              <w:rPr>
                <w:rFonts w:eastAsia="Calibri"/>
                <w:sz w:val="20"/>
                <w:lang w:val="fr-FR"/>
              </w:rPr>
              <w:t>avait</w:t>
            </w:r>
            <w:r w:rsidRPr="0084490B">
              <w:rPr>
                <w:rFonts w:eastAsia="Calibri"/>
                <w:sz w:val="20"/>
                <w:lang w:val="fr-FR"/>
              </w:rPr>
              <w:noBreakHyphen/>
              <w:t>elle</w:t>
            </w:r>
            <w:proofErr w:type="spellEnd"/>
            <w:r w:rsidRPr="0084490B">
              <w:rPr>
                <w:rFonts w:eastAsia="Calibri"/>
                <w:sz w:val="20"/>
                <w:lang w:val="fr-FR"/>
              </w:rPr>
              <w:t xml:space="preserve"> l’intention de supprimer la notion de question générale de compétence employée dans la jurisprudence antérieure à cet arrêt? – Un tribunal </w:t>
            </w:r>
            <w:proofErr w:type="spellStart"/>
            <w:r w:rsidRPr="0084490B">
              <w:rPr>
                <w:rFonts w:eastAsia="Calibri"/>
                <w:sz w:val="20"/>
                <w:lang w:val="fr-FR"/>
              </w:rPr>
              <w:t>outrepasse</w:t>
            </w:r>
            <w:r w:rsidRPr="0084490B">
              <w:rPr>
                <w:rFonts w:eastAsia="Calibri"/>
                <w:sz w:val="20"/>
                <w:lang w:val="fr-FR"/>
              </w:rPr>
              <w:noBreakHyphen/>
              <w:t>t</w:t>
            </w:r>
            <w:r w:rsidRPr="0084490B">
              <w:rPr>
                <w:rFonts w:eastAsia="Calibri"/>
                <w:sz w:val="20"/>
                <w:lang w:val="fr-FR"/>
              </w:rPr>
              <w:noBreakHyphen/>
              <w:t>il</w:t>
            </w:r>
            <w:proofErr w:type="spellEnd"/>
            <w:r w:rsidRPr="0084490B">
              <w:rPr>
                <w:rFonts w:eastAsia="Calibri"/>
                <w:sz w:val="20"/>
                <w:lang w:val="fr-FR"/>
              </w:rPr>
              <w:t xml:space="preserve"> sa compétence en rendant une décision déraisonnable? – Le pouvoir d’un tribunal de réexaminer sa propre décision pour corriger une erreur suivant l’arrêt </w:t>
            </w:r>
            <w:r w:rsidRPr="0084490B">
              <w:rPr>
                <w:rFonts w:eastAsia="Calibri"/>
                <w:i/>
                <w:sz w:val="20"/>
                <w:lang w:val="fr-FR"/>
              </w:rPr>
              <w:t xml:space="preserve">Chandler c. Alberta Association of </w:t>
            </w:r>
            <w:proofErr w:type="spellStart"/>
            <w:r w:rsidRPr="0084490B">
              <w:rPr>
                <w:rFonts w:eastAsia="Calibri"/>
                <w:i/>
                <w:sz w:val="20"/>
                <w:lang w:val="fr-FR"/>
              </w:rPr>
              <w:t>Architects</w:t>
            </w:r>
            <w:proofErr w:type="spellEnd"/>
            <w:r w:rsidRPr="0084490B">
              <w:rPr>
                <w:rFonts w:eastAsia="Calibri"/>
                <w:sz w:val="20"/>
                <w:lang w:val="fr-FR"/>
              </w:rPr>
              <w:t xml:space="preserve">, [1989] 2 R.C.S. 848, et la jurisprudence subséquente se </w:t>
            </w:r>
            <w:proofErr w:type="spellStart"/>
            <w:r w:rsidRPr="0084490B">
              <w:rPr>
                <w:rFonts w:eastAsia="Calibri"/>
                <w:sz w:val="20"/>
                <w:lang w:val="fr-FR"/>
              </w:rPr>
              <w:t>limite</w:t>
            </w:r>
            <w:r w:rsidRPr="0084490B">
              <w:rPr>
                <w:rFonts w:eastAsia="Calibri"/>
                <w:sz w:val="20"/>
                <w:lang w:val="fr-FR"/>
              </w:rPr>
              <w:noBreakHyphen/>
              <w:t>t</w:t>
            </w:r>
            <w:r w:rsidRPr="0084490B">
              <w:rPr>
                <w:rFonts w:eastAsia="Calibri"/>
                <w:sz w:val="20"/>
                <w:lang w:val="fr-FR"/>
              </w:rPr>
              <w:noBreakHyphen/>
              <w:t>il</w:t>
            </w:r>
            <w:proofErr w:type="spellEnd"/>
            <w:r w:rsidRPr="0084490B">
              <w:rPr>
                <w:rFonts w:eastAsia="Calibri"/>
                <w:sz w:val="20"/>
                <w:lang w:val="fr-FR"/>
              </w:rPr>
              <w:t xml:space="preserve"> aux véritables questions de compétence? – La notion de « question touchant véritablement à la compétence » </w:t>
            </w:r>
            <w:proofErr w:type="spellStart"/>
            <w:r w:rsidRPr="0084490B">
              <w:rPr>
                <w:rFonts w:eastAsia="Calibri"/>
                <w:sz w:val="20"/>
                <w:lang w:val="fr-FR"/>
              </w:rPr>
              <w:t>a</w:t>
            </w:r>
            <w:r w:rsidRPr="0084490B">
              <w:rPr>
                <w:rFonts w:eastAsia="Calibri"/>
                <w:sz w:val="20"/>
                <w:lang w:val="fr-FR"/>
              </w:rPr>
              <w:noBreakHyphen/>
              <w:t>t</w:t>
            </w:r>
            <w:r w:rsidRPr="0084490B">
              <w:rPr>
                <w:rFonts w:eastAsia="Calibri"/>
                <w:sz w:val="20"/>
                <w:lang w:val="fr-FR"/>
              </w:rPr>
              <w:noBreakHyphen/>
              <w:t>elle</w:t>
            </w:r>
            <w:proofErr w:type="spellEnd"/>
            <w:r w:rsidRPr="0084490B">
              <w:rPr>
                <w:rFonts w:eastAsia="Calibri"/>
                <w:sz w:val="20"/>
                <w:lang w:val="fr-FR"/>
              </w:rPr>
              <w:t xml:space="preserve"> un rôle à jouer à l’extérieur de l’analyse relative à la norme de contrôle? – Un décideur administratif </w:t>
            </w:r>
            <w:proofErr w:type="spellStart"/>
            <w:r w:rsidRPr="0084490B">
              <w:rPr>
                <w:rFonts w:eastAsia="Calibri"/>
                <w:sz w:val="20"/>
                <w:lang w:val="fr-FR"/>
              </w:rPr>
              <w:t>doit</w:t>
            </w:r>
            <w:r w:rsidRPr="0084490B">
              <w:rPr>
                <w:rFonts w:eastAsia="Calibri"/>
                <w:sz w:val="20"/>
                <w:lang w:val="fr-FR"/>
              </w:rPr>
              <w:noBreakHyphen/>
              <w:t>il</w:t>
            </w:r>
            <w:proofErr w:type="spellEnd"/>
            <w:r w:rsidRPr="0084490B">
              <w:rPr>
                <w:rFonts w:eastAsia="Calibri"/>
                <w:sz w:val="20"/>
                <w:lang w:val="fr-FR"/>
              </w:rPr>
              <w:t xml:space="preserve"> être jugé </w:t>
            </w:r>
            <w:proofErr w:type="spellStart"/>
            <w:r w:rsidRPr="0084490B">
              <w:rPr>
                <w:rFonts w:eastAsia="Calibri"/>
                <w:i/>
                <w:sz w:val="20"/>
                <w:lang w:val="fr-FR"/>
              </w:rPr>
              <w:t>functus</w:t>
            </w:r>
            <w:proofErr w:type="spellEnd"/>
            <w:r w:rsidRPr="0084490B">
              <w:rPr>
                <w:rFonts w:eastAsia="Calibri"/>
                <w:i/>
                <w:sz w:val="20"/>
                <w:lang w:val="fr-FR"/>
              </w:rPr>
              <w:t xml:space="preserve"> </w:t>
            </w:r>
            <w:proofErr w:type="spellStart"/>
            <w:r w:rsidRPr="0084490B">
              <w:rPr>
                <w:rFonts w:eastAsia="Calibri"/>
                <w:i/>
                <w:sz w:val="20"/>
                <w:lang w:val="fr-FR"/>
              </w:rPr>
              <w:t>officio</w:t>
            </w:r>
            <w:proofErr w:type="spellEnd"/>
            <w:r w:rsidRPr="0084490B">
              <w:rPr>
                <w:rFonts w:eastAsia="Calibri"/>
                <w:sz w:val="20"/>
                <w:lang w:val="fr-FR"/>
              </w:rPr>
              <w:t xml:space="preserve"> et inhabile à réexaminer une décision (sauf si le réexamen est expressément prévu par la loi) s’il commet une erreur entachant de nullité la décision bien qu’il ne s’agisse pas d’une erreur liée à une « question touchant véritablement à la compétence ».</w:t>
            </w:r>
          </w:p>
        </w:tc>
      </w:tr>
      <w:tr w:rsidR="00B76B3D" w:rsidRPr="00B6040C" w:rsidTr="00120F8A">
        <w:tc>
          <w:tcPr>
            <w:tcW w:w="5000" w:type="pct"/>
            <w:gridSpan w:val="3"/>
          </w:tcPr>
          <w:p w:rsidR="00B76B3D" w:rsidRPr="0084490B" w:rsidRDefault="00B76B3D" w:rsidP="00120F8A">
            <w:pPr>
              <w:jc w:val="both"/>
              <w:rPr>
                <w:rFonts w:eastAsia="Calibri"/>
                <w:sz w:val="20"/>
                <w:lang w:val="fr-CA"/>
              </w:rPr>
            </w:pPr>
          </w:p>
        </w:tc>
      </w:tr>
      <w:tr w:rsidR="00B76B3D" w:rsidRPr="00B6040C" w:rsidTr="00120F8A">
        <w:tc>
          <w:tcPr>
            <w:tcW w:w="5000" w:type="pct"/>
            <w:gridSpan w:val="3"/>
          </w:tcPr>
          <w:p w:rsidR="00B76B3D" w:rsidRPr="0084490B" w:rsidRDefault="00B76B3D" w:rsidP="00120F8A">
            <w:pPr>
              <w:jc w:val="both"/>
              <w:rPr>
                <w:rFonts w:eastAsia="Calibri"/>
                <w:sz w:val="20"/>
                <w:lang w:val="fr-FR"/>
              </w:rPr>
            </w:pPr>
            <w:r w:rsidRPr="0084490B">
              <w:rPr>
                <w:rFonts w:eastAsia="Calibri"/>
                <w:sz w:val="20"/>
                <w:lang w:val="fr-FR"/>
              </w:rPr>
              <w:t xml:space="preserve">Le pourvoi découle de demandes de contrôle judiciaire visant deux décisions de révision et une décision de réexamen rendues par la Section de révision de la demanderesse (la « Commission »).  Cette dernière y refuse à l’intimé le versement rétroactif de prestations  de réadaptation professionnelle pour une blessure subie au lieu de travail, faute d’une preuve documentaire de la participation active de l’intimé à des activités de réadaptation.  L’intimé a présenté une demande de contrôle judiciaire, soutenant que les décisions de révision et de réexamen constituaient de nouvelles politiques et outrepassaient la compétence de la Section de révision.  Il a prétendu que son droit aux prestations s’était cristallisé lorsque la Commission a décidé qu’il ne pouvait pas réintégrer l’emploi qu’il exerçait avant de se blesser.  </w:t>
            </w:r>
          </w:p>
          <w:p w:rsidR="00B76B3D" w:rsidRPr="0084490B" w:rsidRDefault="00B76B3D" w:rsidP="00120F8A">
            <w:pPr>
              <w:jc w:val="both"/>
              <w:rPr>
                <w:rFonts w:eastAsia="Calibri"/>
                <w:sz w:val="20"/>
                <w:lang w:val="fr-FR"/>
              </w:rPr>
            </w:pPr>
          </w:p>
          <w:p w:rsidR="00B76B3D" w:rsidRPr="0084490B" w:rsidRDefault="00B76B3D" w:rsidP="00120F8A">
            <w:pPr>
              <w:jc w:val="both"/>
              <w:rPr>
                <w:rFonts w:eastAsia="Calibri"/>
                <w:sz w:val="20"/>
                <w:lang w:val="fr-FR"/>
              </w:rPr>
            </w:pPr>
            <w:r w:rsidRPr="0084490B">
              <w:rPr>
                <w:rFonts w:eastAsia="Calibri"/>
                <w:sz w:val="20"/>
                <w:lang w:val="fr-FR"/>
              </w:rPr>
              <w:t xml:space="preserve">La Cour suprême de la </w:t>
            </w:r>
            <w:proofErr w:type="spellStart"/>
            <w:r w:rsidRPr="0084490B">
              <w:rPr>
                <w:rFonts w:eastAsia="Calibri"/>
                <w:sz w:val="20"/>
                <w:lang w:val="fr-FR"/>
              </w:rPr>
              <w:t>Colombie</w:t>
            </w:r>
            <w:r w:rsidRPr="0084490B">
              <w:rPr>
                <w:rFonts w:eastAsia="Calibri"/>
                <w:sz w:val="20"/>
                <w:lang w:val="fr-FR"/>
              </w:rPr>
              <w:noBreakHyphen/>
              <w:t>Britannique</w:t>
            </w:r>
            <w:proofErr w:type="spellEnd"/>
            <w:r w:rsidRPr="0084490B">
              <w:rPr>
                <w:rFonts w:eastAsia="Calibri"/>
                <w:sz w:val="20"/>
                <w:lang w:val="fr-FR"/>
              </w:rPr>
              <w:t xml:space="preserve"> a rejeté la demande de contrôle judiciaire.  La Cour d’appel a conclu que la Section de révision était incompétente pour statuer sur la décision de réexamen, mais elle a rejeté l’appel vu que les décisions de révision étaient raisonnables.  La Commission interjette appel de la décision relative à la conclusion sur l’absence de compétence.   L’intimé est également d’avis que la demande d’autorisation d’appel et la question de la compétence constituent une question d’importance pour le public.</w:t>
            </w:r>
          </w:p>
          <w:p w:rsidR="00B76B3D" w:rsidRPr="0084490B" w:rsidRDefault="00B76B3D" w:rsidP="00120F8A">
            <w:pPr>
              <w:jc w:val="both"/>
              <w:rPr>
                <w:rFonts w:eastAsia="Calibri"/>
                <w:sz w:val="20"/>
                <w:lang w:val="fr-FR"/>
              </w:rPr>
            </w:pPr>
          </w:p>
        </w:tc>
      </w:tr>
      <w:tr w:rsidR="00B76B3D" w:rsidRPr="00B6040C" w:rsidTr="00120F8A">
        <w:tc>
          <w:tcPr>
            <w:tcW w:w="2427" w:type="pct"/>
          </w:tcPr>
          <w:p w:rsidR="00B76B3D" w:rsidRPr="0084490B" w:rsidRDefault="00B76B3D" w:rsidP="00120F8A">
            <w:pPr>
              <w:jc w:val="both"/>
              <w:rPr>
                <w:rFonts w:eastAsia="Calibri"/>
                <w:sz w:val="20"/>
                <w:lang w:val="fr-FR"/>
              </w:rPr>
            </w:pPr>
            <w:r w:rsidRPr="0084490B">
              <w:rPr>
                <w:rFonts w:eastAsia="Calibri"/>
                <w:sz w:val="20"/>
                <w:lang w:val="fr-FR"/>
              </w:rPr>
              <w:t>11 avril 2011</w:t>
            </w:r>
          </w:p>
          <w:p w:rsidR="00B76B3D" w:rsidRPr="0084490B" w:rsidRDefault="00B76B3D" w:rsidP="00120F8A">
            <w:pPr>
              <w:jc w:val="both"/>
              <w:rPr>
                <w:rFonts w:eastAsia="Calibri"/>
                <w:sz w:val="20"/>
                <w:lang w:val="fr-FR"/>
              </w:rPr>
            </w:pPr>
            <w:r w:rsidRPr="0084490B">
              <w:rPr>
                <w:rFonts w:eastAsia="Calibri"/>
                <w:sz w:val="20"/>
                <w:lang w:val="fr-FR"/>
              </w:rPr>
              <w:t xml:space="preserve">Cour suprême de la </w:t>
            </w:r>
            <w:proofErr w:type="spellStart"/>
            <w:r w:rsidRPr="0084490B">
              <w:rPr>
                <w:rFonts w:eastAsia="Calibri"/>
                <w:sz w:val="20"/>
                <w:lang w:val="fr-FR"/>
              </w:rPr>
              <w:t>Colombie</w:t>
            </w:r>
            <w:r w:rsidRPr="0084490B">
              <w:rPr>
                <w:rFonts w:eastAsia="Calibri"/>
                <w:sz w:val="20"/>
                <w:lang w:val="fr-FR"/>
              </w:rPr>
              <w:noBreakHyphen/>
              <w:t>Britannique</w:t>
            </w:r>
            <w:proofErr w:type="spellEnd"/>
          </w:p>
          <w:p w:rsidR="00B76B3D" w:rsidRPr="0084490B" w:rsidRDefault="00B76B3D" w:rsidP="00120F8A">
            <w:pPr>
              <w:jc w:val="both"/>
              <w:rPr>
                <w:rFonts w:eastAsia="Calibri"/>
                <w:sz w:val="20"/>
              </w:rPr>
            </w:pPr>
            <w:r w:rsidRPr="0084490B">
              <w:rPr>
                <w:rFonts w:eastAsia="Calibri"/>
                <w:sz w:val="20"/>
              </w:rPr>
              <w:t>(</w:t>
            </w:r>
            <w:proofErr w:type="spellStart"/>
            <w:r w:rsidRPr="0084490B">
              <w:rPr>
                <w:rFonts w:eastAsia="Calibri"/>
                <w:sz w:val="20"/>
              </w:rPr>
              <w:t>Juge</w:t>
            </w:r>
            <w:proofErr w:type="spellEnd"/>
            <w:r w:rsidRPr="0084490B">
              <w:rPr>
                <w:rFonts w:eastAsia="Calibri"/>
                <w:sz w:val="20"/>
              </w:rPr>
              <w:t xml:space="preserve"> </w:t>
            </w:r>
            <w:proofErr w:type="spellStart"/>
            <w:r w:rsidRPr="0084490B">
              <w:rPr>
                <w:rFonts w:eastAsia="Calibri"/>
                <w:sz w:val="20"/>
              </w:rPr>
              <w:t>Beames</w:t>
            </w:r>
            <w:proofErr w:type="spellEnd"/>
            <w:r w:rsidRPr="0084490B">
              <w:rPr>
                <w:rFonts w:eastAsia="Calibri"/>
                <w:sz w:val="20"/>
              </w:rPr>
              <w:t>)</w:t>
            </w:r>
          </w:p>
          <w:p w:rsidR="00B76B3D" w:rsidRPr="0084490B" w:rsidRDefault="00B76B3D" w:rsidP="00120F8A">
            <w:pPr>
              <w:jc w:val="both"/>
              <w:rPr>
                <w:rFonts w:eastAsia="Calibri"/>
                <w:sz w:val="20"/>
              </w:rPr>
            </w:pPr>
            <w:r w:rsidRPr="0084490B">
              <w:rPr>
                <w:rFonts w:eastAsia="Calibri"/>
                <w:sz w:val="20"/>
              </w:rPr>
              <w:t>2011 BCSC 453</w:t>
            </w:r>
          </w:p>
          <w:p w:rsidR="00B76B3D" w:rsidRPr="0084490B" w:rsidRDefault="00B76B3D" w:rsidP="00120F8A">
            <w:pPr>
              <w:jc w:val="both"/>
              <w:rPr>
                <w:rFonts w:eastAsia="Calibri"/>
                <w:sz w:val="20"/>
              </w:rPr>
            </w:pPr>
          </w:p>
        </w:tc>
        <w:tc>
          <w:tcPr>
            <w:tcW w:w="243" w:type="pct"/>
          </w:tcPr>
          <w:p w:rsidR="00B76B3D" w:rsidRPr="0084490B" w:rsidRDefault="00B76B3D" w:rsidP="00120F8A">
            <w:pPr>
              <w:jc w:val="both"/>
              <w:rPr>
                <w:rFonts w:eastAsia="Calibri"/>
                <w:sz w:val="20"/>
              </w:rPr>
            </w:pPr>
          </w:p>
        </w:tc>
        <w:tc>
          <w:tcPr>
            <w:tcW w:w="2330" w:type="pct"/>
          </w:tcPr>
          <w:p w:rsidR="00B76B3D" w:rsidRPr="0084490B" w:rsidRDefault="00B76B3D" w:rsidP="00120F8A">
            <w:pPr>
              <w:jc w:val="both"/>
              <w:rPr>
                <w:rFonts w:eastAsia="Calibri"/>
                <w:sz w:val="20"/>
                <w:lang w:val="fr-FR"/>
              </w:rPr>
            </w:pPr>
            <w:r w:rsidRPr="0084490B">
              <w:rPr>
                <w:rFonts w:eastAsia="Calibri"/>
                <w:sz w:val="20"/>
                <w:lang w:val="fr-FR"/>
              </w:rPr>
              <w:t xml:space="preserve">Demande de contrôle judiciaire visant les trois décisions de la Section de révision de la </w:t>
            </w:r>
            <w:proofErr w:type="spellStart"/>
            <w:r w:rsidRPr="0084490B">
              <w:rPr>
                <w:rFonts w:eastAsia="Calibri"/>
                <w:sz w:val="20"/>
                <w:lang w:val="fr-FR"/>
              </w:rPr>
              <w:t>Workers</w:t>
            </w:r>
            <w:proofErr w:type="spellEnd"/>
            <w:r w:rsidRPr="0084490B">
              <w:rPr>
                <w:rFonts w:eastAsia="Calibri"/>
                <w:sz w:val="20"/>
                <w:lang w:val="fr-FR"/>
              </w:rPr>
              <w:t xml:space="preserve">’ Compensation </w:t>
            </w:r>
            <w:proofErr w:type="spellStart"/>
            <w:r w:rsidRPr="0084490B">
              <w:rPr>
                <w:rFonts w:eastAsia="Calibri"/>
                <w:sz w:val="20"/>
                <w:lang w:val="fr-FR"/>
              </w:rPr>
              <w:t>Board</w:t>
            </w:r>
            <w:proofErr w:type="spellEnd"/>
            <w:r w:rsidRPr="0084490B">
              <w:rPr>
                <w:rFonts w:eastAsia="Calibri"/>
                <w:sz w:val="20"/>
                <w:lang w:val="fr-FR"/>
              </w:rPr>
              <w:t>, rejetée</w:t>
            </w:r>
          </w:p>
          <w:p w:rsidR="00B76B3D" w:rsidRPr="0084490B" w:rsidRDefault="00B76B3D" w:rsidP="00120F8A">
            <w:pPr>
              <w:jc w:val="both"/>
              <w:rPr>
                <w:rFonts w:eastAsia="Calibri"/>
                <w:sz w:val="20"/>
                <w:lang w:val="fr-FR"/>
              </w:rPr>
            </w:pPr>
          </w:p>
        </w:tc>
      </w:tr>
      <w:tr w:rsidR="00B76B3D" w:rsidRPr="00B6040C" w:rsidTr="00120F8A">
        <w:tc>
          <w:tcPr>
            <w:tcW w:w="2427" w:type="pct"/>
          </w:tcPr>
          <w:p w:rsidR="00B76B3D" w:rsidRPr="0084490B" w:rsidRDefault="00B76B3D" w:rsidP="00120F8A">
            <w:pPr>
              <w:jc w:val="both"/>
              <w:rPr>
                <w:rFonts w:eastAsia="Calibri"/>
                <w:sz w:val="20"/>
                <w:lang w:val="fr-FR"/>
              </w:rPr>
            </w:pPr>
            <w:r w:rsidRPr="0084490B">
              <w:rPr>
                <w:rFonts w:eastAsia="Calibri"/>
                <w:sz w:val="20"/>
                <w:lang w:val="fr-FR"/>
              </w:rPr>
              <w:t>14 novembre 2012</w:t>
            </w:r>
          </w:p>
          <w:p w:rsidR="00B76B3D" w:rsidRPr="0084490B" w:rsidRDefault="00B76B3D" w:rsidP="00120F8A">
            <w:pPr>
              <w:jc w:val="both"/>
              <w:rPr>
                <w:rFonts w:eastAsia="Calibri"/>
                <w:sz w:val="20"/>
                <w:lang w:val="fr-FR"/>
              </w:rPr>
            </w:pPr>
            <w:r w:rsidRPr="0084490B">
              <w:rPr>
                <w:rFonts w:eastAsia="Calibri"/>
                <w:sz w:val="20"/>
                <w:lang w:val="fr-FR"/>
              </w:rPr>
              <w:t xml:space="preserve">Cour d’appel de la </w:t>
            </w:r>
            <w:proofErr w:type="spellStart"/>
            <w:r w:rsidRPr="0084490B">
              <w:rPr>
                <w:rFonts w:eastAsia="Calibri"/>
                <w:sz w:val="20"/>
                <w:lang w:val="fr-FR"/>
              </w:rPr>
              <w:t>Colombie</w:t>
            </w:r>
            <w:r w:rsidRPr="0084490B">
              <w:rPr>
                <w:rFonts w:eastAsia="Calibri"/>
                <w:sz w:val="20"/>
                <w:lang w:val="fr-FR"/>
              </w:rPr>
              <w:noBreakHyphen/>
              <w:t>Britannique</w:t>
            </w:r>
            <w:proofErr w:type="spellEnd"/>
            <w:r w:rsidRPr="0084490B">
              <w:rPr>
                <w:rFonts w:eastAsia="Calibri"/>
                <w:sz w:val="20"/>
                <w:lang w:val="fr-FR"/>
              </w:rPr>
              <w:t xml:space="preserve"> </w:t>
            </w:r>
          </w:p>
          <w:p w:rsidR="00B76B3D" w:rsidRPr="0084490B" w:rsidRDefault="00B76B3D" w:rsidP="00120F8A">
            <w:pPr>
              <w:jc w:val="both"/>
              <w:rPr>
                <w:rFonts w:eastAsia="Calibri"/>
                <w:sz w:val="20"/>
                <w:lang w:val="fr-FR"/>
              </w:rPr>
            </w:pPr>
            <w:r w:rsidRPr="0084490B">
              <w:rPr>
                <w:rFonts w:eastAsia="Calibri"/>
                <w:sz w:val="20"/>
                <w:lang w:val="fr-FR"/>
              </w:rPr>
              <w:t>(Vancouver)</w:t>
            </w:r>
          </w:p>
          <w:p w:rsidR="00B76B3D" w:rsidRPr="0084490B" w:rsidRDefault="00B76B3D" w:rsidP="00120F8A">
            <w:pPr>
              <w:jc w:val="both"/>
              <w:rPr>
                <w:rFonts w:eastAsia="Calibri"/>
                <w:sz w:val="20"/>
                <w:lang w:val="fr-FR"/>
              </w:rPr>
            </w:pPr>
            <w:r w:rsidRPr="0084490B">
              <w:rPr>
                <w:rFonts w:eastAsia="Calibri"/>
                <w:sz w:val="20"/>
                <w:lang w:val="fr-FR"/>
              </w:rPr>
              <w:t xml:space="preserve">(Juges </w:t>
            </w:r>
            <w:proofErr w:type="spellStart"/>
            <w:r w:rsidRPr="0084490B">
              <w:rPr>
                <w:rFonts w:eastAsia="Calibri"/>
                <w:sz w:val="20"/>
                <w:lang w:val="fr-FR"/>
              </w:rPr>
              <w:t>Prowse</w:t>
            </w:r>
            <w:proofErr w:type="spellEnd"/>
            <w:r w:rsidRPr="0084490B">
              <w:rPr>
                <w:rFonts w:eastAsia="Calibri"/>
                <w:sz w:val="20"/>
                <w:lang w:val="fr-FR"/>
              </w:rPr>
              <w:t xml:space="preserve">, </w:t>
            </w:r>
            <w:proofErr w:type="spellStart"/>
            <w:r w:rsidRPr="0084490B">
              <w:rPr>
                <w:rFonts w:eastAsia="Calibri"/>
                <w:sz w:val="20"/>
                <w:lang w:val="fr-FR"/>
              </w:rPr>
              <w:t>Garson</w:t>
            </w:r>
            <w:proofErr w:type="spellEnd"/>
            <w:r w:rsidRPr="0084490B">
              <w:rPr>
                <w:rFonts w:eastAsia="Calibri"/>
                <w:sz w:val="20"/>
                <w:lang w:val="fr-FR"/>
              </w:rPr>
              <w:t xml:space="preserve"> et </w:t>
            </w:r>
            <w:proofErr w:type="spellStart"/>
            <w:r w:rsidRPr="0084490B">
              <w:rPr>
                <w:rFonts w:eastAsia="Calibri"/>
                <w:sz w:val="20"/>
                <w:lang w:val="fr-FR"/>
              </w:rPr>
              <w:t>Hinkson</w:t>
            </w:r>
            <w:proofErr w:type="spellEnd"/>
            <w:r w:rsidRPr="0084490B">
              <w:rPr>
                <w:rFonts w:eastAsia="Calibri"/>
                <w:sz w:val="20"/>
                <w:lang w:val="fr-FR"/>
              </w:rPr>
              <w:t>)</w:t>
            </w:r>
          </w:p>
          <w:p w:rsidR="00B76B3D" w:rsidRPr="0084490B" w:rsidRDefault="00B76B3D" w:rsidP="00120F8A">
            <w:pPr>
              <w:jc w:val="both"/>
              <w:rPr>
                <w:rFonts w:eastAsia="Calibri"/>
                <w:sz w:val="20"/>
              </w:rPr>
            </w:pPr>
            <w:r w:rsidRPr="0084490B">
              <w:rPr>
                <w:rFonts w:eastAsia="Calibri"/>
                <w:sz w:val="20"/>
              </w:rPr>
              <w:t>2012 BCCA 457; CA039022</w:t>
            </w:r>
          </w:p>
          <w:p w:rsidR="00B76B3D" w:rsidRPr="0084490B" w:rsidRDefault="00B76B3D" w:rsidP="00120F8A">
            <w:pPr>
              <w:jc w:val="both"/>
              <w:rPr>
                <w:rFonts w:eastAsia="Calibri"/>
                <w:sz w:val="20"/>
              </w:rPr>
            </w:pPr>
          </w:p>
        </w:tc>
        <w:tc>
          <w:tcPr>
            <w:tcW w:w="243" w:type="pct"/>
          </w:tcPr>
          <w:p w:rsidR="00B76B3D" w:rsidRPr="0084490B" w:rsidRDefault="00B76B3D" w:rsidP="00120F8A">
            <w:pPr>
              <w:jc w:val="both"/>
              <w:rPr>
                <w:rFonts w:eastAsia="Calibri"/>
                <w:sz w:val="20"/>
              </w:rPr>
            </w:pPr>
          </w:p>
        </w:tc>
        <w:tc>
          <w:tcPr>
            <w:tcW w:w="2330" w:type="pct"/>
          </w:tcPr>
          <w:p w:rsidR="00B76B3D" w:rsidRPr="0084490B" w:rsidRDefault="00B76B3D" w:rsidP="00120F8A">
            <w:pPr>
              <w:jc w:val="both"/>
              <w:rPr>
                <w:rFonts w:eastAsia="Calibri"/>
                <w:sz w:val="20"/>
                <w:lang w:val="fr-FR"/>
              </w:rPr>
            </w:pPr>
            <w:r w:rsidRPr="0084490B">
              <w:rPr>
                <w:rFonts w:eastAsia="Calibri"/>
                <w:sz w:val="20"/>
                <w:lang w:val="fr-FR"/>
              </w:rPr>
              <w:t>Appel rejeté; Section de révision déclarée incompétente pour réexaminer ses deux décisions antérieures</w:t>
            </w:r>
          </w:p>
          <w:p w:rsidR="00B76B3D" w:rsidRPr="0084490B" w:rsidRDefault="00B76B3D" w:rsidP="00120F8A">
            <w:pPr>
              <w:jc w:val="both"/>
              <w:rPr>
                <w:rFonts w:eastAsia="Calibri"/>
                <w:sz w:val="20"/>
                <w:lang w:val="fr-FR"/>
              </w:rPr>
            </w:pPr>
          </w:p>
        </w:tc>
      </w:tr>
      <w:tr w:rsidR="00B76B3D" w:rsidRPr="0084490B" w:rsidTr="00120F8A">
        <w:tc>
          <w:tcPr>
            <w:tcW w:w="2427" w:type="pct"/>
          </w:tcPr>
          <w:p w:rsidR="00B76B3D" w:rsidRPr="0084490B" w:rsidRDefault="00B76B3D" w:rsidP="00120F8A">
            <w:pPr>
              <w:jc w:val="both"/>
              <w:rPr>
                <w:rFonts w:eastAsia="Calibri"/>
                <w:sz w:val="20"/>
                <w:lang w:val="fr-FR"/>
              </w:rPr>
            </w:pPr>
            <w:r w:rsidRPr="0084490B">
              <w:rPr>
                <w:rFonts w:eastAsia="Calibri"/>
                <w:sz w:val="20"/>
                <w:lang w:val="fr-FR"/>
              </w:rPr>
              <w:t>11 janvier 2013</w:t>
            </w:r>
          </w:p>
          <w:p w:rsidR="00B76B3D" w:rsidRPr="0084490B" w:rsidRDefault="00B76B3D" w:rsidP="00120F8A">
            <w:pPr>
              <w:jc w:val="both"/>
              <w:rPr>
                <w:rFonts w:eastAsia="Calibri"/>
                <w:sz w:val="20"/>
                <w:lang w:val="fr-FR"/>
              </w:rPr>
            </w:pPr>
            <w:r w:rsidRPr="0084490B">
              <w:rPr>
                <w:rFonts w:eastAsia="Calibri"/>
                <w:sz w:val="20"/>
                <w:lang w:val="fr-FR"/>
              </w:rPr>
              <w:t>Cour suprême du Canada</w:t>
            </w:r>
          </w:p>
        </w:tc>
        <w:tc>
          <w:tcPr>
            <w:tcW w:w="243" w:type="pct"/>
          </w:tcPr>
          <w:p w:rsidR="00B76B3D" w:rsidRPr="0084490B" w:rsidRDefault="00B76B3D" w:rsidP="00120F8A">
            <w:pPr>
              <w:jc w:val="both"/>
              <w:rPr>
                <w:rFonts w:eastAsia="Calibri"/>
                <w:sz w:val="20"/>
                <w:lang w:val="fr-FR"/>
              </w:rPr>
            </w:pPr>
          </w:p>
        </w:tc>
        <w:tc>
          <w:tcPr>
            <w:tcW w:w="2330" w:type="pct"/>
          </w:tcPr>
          <w:p w:rsidR="00B76B3D" w:rsidRPr="0084490B" w:rsidRDefault="00B76B3D" w:rsidP="00120F8A">
            <w:pPr>
              <w:jc w:val="both"/>
              <w:rPr>
                <w:rFonts w:eastAsia="Calibri"/>
                <w:sz w:val="20"/>
              </w:rPr>
            </w:pPr>
            <w:r w:rsidRPr="0084490B">
              <w:rPr>
                <w:rFonts w:eastAsia="Calibri"/>
                <w:sz w:val="20"/>
                <w:lang w:val="fr-FR"/>
              </w:rPr>
              <w:t xml:space="preserve">Demande d’autorisation d’appel déposée </w:t>
            </w:r>
          </w:p>
        </w:tc>
      </w:tr>
    </w:tbl>
    <w:p w:rsidR="00EA65C4" w:rsidRDefault="00EA65C4" w:rsidP="00EA65C4">
      <w:pPr>
        <w:rPr>
          <w:sz w:val="20"/>
          <w:szCs w:val="20"/>
        </w:rPr>
      </w:pPr>
    </w:p>
    <w:p w:rsidR="00EA65C4" w:rsidRDefault="0028676C" w:rsidP="00EA65C4">
      <w:pPr>
        <w:rPr>
          <w:sz w:val="20"/>
          <w:szCs w:val="20"/>
        </w:rPr>
      </w:pPr>
      <w:r w:rsidRPr="0028676C">
        <w:rPr>
          <w:sz w:val="20"/>
          <w:szCs w:val="20"/>
          <w:lang w:val="fr-CA"/>
        </w:rPr>
        <w:pict>
          <v:rect id="_x0000_i1056" style="width:2in;height:1pt" o:hrpct="0" o:hralign="center" o:hrstd="t" o:hrnoshade="t" o:hr="t" fillcolor="black [3213]" stroked="f"/>
        </w:pict>
      </w:r>
    </w:p>
    <w:p w:rsidR="00EA65C4" w:rsidRDefault="00EA65C4" w:rsidP="00EA65C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A0638" w:rsidRPr="008748E6" w:rsidTr="00AA4F37">
        <w:trPr>
          <w:cantSplit/>
        </w:trPr>
        <w:tc>
          <w:tcPr>
            <w:tcW w:w="1458" w:type="dxa"/>
          </w:tcPr>
          <w:p w:rsidR="003A0638" w:rsidRPr="008748E6" w:rsidRDefault="003A0638" w:rsidP="00AA4F37">
            <w:pPr>
              <w:rPr>
                <w:sz w:val="20"/>
                <w:szCs w:val="20"/>
              </w:rPr>
            </w:pPr>
            <w:r w:rsidRPr="008748E6">
              <w:rPr>
                <w:rStyle w:val="SCCFileNumberChar"/>
                <w:sz w:val="20"/>
                <w:szCs w:val="20"/>
              </w:rPr>
              <w:t>35173</w:t>
            </w:r>
          </w:p>
          <w:p w:rsidR="003A0638" w:rsidRPr="008748E6" w:rsidRDefault="003A0638" w:rsidP="00AA4F37">
            <w:pPr>
              <w:rPr>
                <w:b/>
                <w:sz w:val="20"/>
                <w:szCs w:val="20"/>
                <w:lang w:val="fr-CA"/>
              </w:rPr>
            </w:pPr>
          </w:p>
        </w:tc>
        <w:tc>
          <w:tcPr>
            <w:tcW w:w="8118" w:type="dxa"/>
          </w:tcPr>
          <w:p w:rsidR="003A0638" w:rsidRPr="008748E6" w:rsidRDefault="003A0638" w:rsidP="00AA4F37">
            <w:pPr>
              <w:rPr>
                <w:sz w:val="20"/>
                <w:szCs w:val="20"/>
              </w:rPr>
            </w:pPr>
            <w:r w:rsidRPr="003A0638">
              <w:rPr>
                <w:rStyle w:val="SCCLsocChar"/>
                <w:sz w:val="20"/>
                <w:szCs w:val="20"/>
                <w:lang w:val="en-CA"/>
              </w:rPr>
              <w:t>Karl Wilson v. Attorney General of Canada</w:t>
            </w:r>
            <w:r w:rsidRPr="008748E6">
              <w:rPr>
                <w:sz w:val="20"/>
                <w:szCs w:val="20"/>
              </w:rPr>
              <w:t xml:space="preserve"> (F.C.) (Civil) (By Leave)</w:t>
            </w:r>
          </w:p>
          <w:p w:rsidR="003A0638" w:rsidRPr="008748E6" w:rsidRDefault="003A0638" w:rsidP="00AA4F37">
            <w:pPr>
              <w:rPr>
                <w:sz w:val="20"/>
                <w:szCs w:val="20"/>
              </w:rPr>
            </w:pPr>
          </w:p>
        </w:tc>
      </w:tr>
      <w:tr w:rsidR="003A0638" w:rsidRPr="008748E6" w:rsidTr="00AA4F37">
        <w:trPr>
          <w:cantSplit/>
        </w:trPr>
        <w:tc>
          <w:tcPr>
            <w:tcW w:w="1458" w:type="dxa"/>
          </w:tcPr>
          <w:p w:rsidR="003A0638" w:rsidRPr="008748E6" w:rsidRDefault="003A0638" w:rsidP="00AA4F37">
            <w:pPr>
              <w:rPr>
                <w:sz w:val="20"/>
                <w:szCs w:val="20"/>
              </w:rPr>
            </w:pPr>
            <w:r w:rsidRPr="008748E6">
              <w:rPr>
                <w:sz w:val="20"/>
                <w:szCs w:val="20"/>
              </w:rPr>
              <w:t>Coram :</w:t>
            </w:r>
          </w:p>
        </w:tc>
        <w:tc>
          <w:tcPr>
            <w:tcW w:w="8118" w:type="dxa"/>
          </w:tcPr>
          <w:p w:rsidR="003A0638" w:rsidRPr="008748E6" w:rsidRDefault="003A0638" w:rsidP="00AA4F37">
            <w:pPr>
              <w:rPr>
                <w:sz w:val="20"/>
                <w:szCs w:val="20"/>
              </w:rPr>
            </w:pPr>
            <w:r w:rsidRPr="003A0638">
              <w:rPr>
                <w:rStyle w:val="SCCCoramChar"/>
                <w:sz w:val="20"/>
                <w:szCs w:val="20"/>
                <w:lang w:val="en-CA"/>
              </w:rPr>
              <w:t>Fish, Rothstein and Moldaver JJ.</w:t>
            </w:r>
          </w:p>
          <w:p w:rsidR="003A0638" w:rsidRPr="008748E6" w:rsidRDefault="003A0638" w:rsidP="00AA4F37">
            <w:pPr>
              <w:rPr>
                <w:sz w:val="20"/>
                <w:szCs w:val="20"/>
                <w:u w:val="single"/>
              </w:rPr>
            </w:pPr>
          </w:p>
        </w:tc>
      </w:tr>
      <w:tr w:rsidR="003A0638" w:rsidRPr="00B6040C" w:rsidTr="00AA4F37">
        <w:trPr>
          <w:cantSplit/>
        </w:trPr>
        <w:tc>
          <w:tcPr>
            <w:tcW w:w="9576" w:type="dxa"/>
            <w:gridSpan w:val="2"/>
          </w:tcPr>
          <w:p w:rsidR="003A0638" w:rsidRPr="008748E6" w:rsidRDefault="003A0638" w:rsidP="00AA4F37">
            <w:pPr>
              <w:pStyle w:val="SCCShortJudgment"/>
              <w:rPr>
                <w:szCs w:val="20"/>
              </w:rPr>
            </w:pPr>
            <w:r w:rsidRPr="008748E6">
              <w:rPr>
                <w:szCs w:val="20"/>
              </w:rPr>
              <w:t>The application for leave to appeal from the judgment of the Federal Court of Appeal, Number A-60-12, 2012 FCA 302, dated November 19, 2012, is dismissed with costs.</w:t>
            </w:r>
          </w:p>
          <w:p w:rsidR="003A0638" w:rsidRPr="008748E6" w:rsidRDefault="003A0638" w:rsidP="00AA4F37">
            <w:pPr>
              <w:pStyle w:val="SCCShortJudgment"/>
              <w:ind w:firstLine="0"/>
              <w:rPr>
                <w:szCs w:val="20"/>
              </w:rPr>
            </w:pPr>
          </w:p>
          <w:p w:rsidR="003A0638" w:rsidRPr="008748E6" w:rsidRDefault="003A0638" w:rsidP="00AA4F37">
            <w:pPr>
              <w:pStyle w:val="SCCShortJudgment"/>
              <w:rPr>
                <w:szCs w:val="20"/>
                <w:lang w:val="fr-CA"/>
              </w:rPr>
            </w:pPr>
            <w:r w:rsidRPr="008748E6">
              <w:rPr>
                <w:szCs w:val="20"/>
                <w:lang w:val="fr-CA"/>
              </w:rPr>
              <w:t>La demande d’autorisation d’appel de l’arrêt de la Cour d’appel fédérale, numéro A-60-12, 2012 CAF 302, daté du 19 novembre 2012, est rejetée avec dépens.</w:t>
            </w:r>
          </w:p>
        </w:tc>
      </w:tr>
    </w:tbl>
    <w:p w:rsidR="00EA65C4" w:rsidRPr="003A0638" w:rsidRDefault="00EA65C4" w:rsidP="00EA65C4">
      <w:pPr>
        <w:rPr>
          <w:sz w:val="20"/>
          <w:szCs w:val="20"/>
          <w:lang w:val="fr-CA"/>
        </w:rPr>
      </w:pPr>
    </w:p>
    <w:p w:rsidR="00EA65C4" w:rsidRPr="001B157C" w:rsidRDefault="00EA65C4" w:rsidP="00EA65C4">
      <w:pPr>
        <w:rPr>
          <w:sz w:val="20"/>
          <w:szCs w:val="20"/>
          <w:u w:val="single"/>
        </w:rPr>
      </w:pPr>
      <w:r w:rsidRPr="001B157C">
        <w:rPr>
          <w:sz w:val="20"/>
          <w:szCs w:val="20"/>
          <w:u w:val="single"/>
        </w:rPr>
        <w:t>CASE SUMMARY</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76B3D" w:rsidRPr="0084490B" w:rsidTr="00120F8A">
        <w:tc>
          <w:tcPr>
            <w:tcW w:w="5000" w:type="pct"/>
            <w:gridSpan w:val="3"/>
          </w:tcPr>
          <w:p w:rsidR="00B76B3D" w:rsidRPr="0084490B" w:rsidRDefault="00B76B3D" w:rsidP="00120F8A">
            <w:pPr>
              <w:jc w:val="both"/>
              <w:rPr>
                <w:rFonts w:eastAsia="Calibri"/>
                <w:sz w:val="20"/>
              </w:rPr>
            </w:pPr>
            <w:r w:rsidRPr="0084490B">
              <w:rPr>
                <w:rFonts w:eastAsia="Calibri"/>
                <w:sz w:val="20"/>
              </w:rPr>
              <w:t xml:space="preserve">Administrative law – Judicial Review – Procedure – Grievances - Did Correctional Service of Canada correctly follow the grievance procedure as set out in the legislation – Given the delays and missed deadlines does the grievance procedure work – Did the Federal Court on judicial review, and the Federal Court of Appeal, err in holding that the decision of Correctional Service of Canada was reasonable, given that the decision was to make no decision at all – Should superior courts in Canada be permitted to decline jurisdiction on habeas applications, including parole, contrary to </w:t>
            </w:r>
            <w:r w:rsidRPr="0084490B">
              <w:rPr>
                <w:rFonts w:eastAsia="Calibri"/>
                <w:i/>
                <w:sz w:val="20"/>
              </w:rPr>
              <w:t>May v. Ferndale Institution</w:t>
            </w:r>
            <w:r w:rsidRPr="0084490B">
              <w:rPr>
                <w:rFonts w:eastAsia="Calibri"/>
                <w:sz w:val="20"/>
              </w:rPr>
              <w:t>, 2005 SCC 82,</w:t>
            </w:r>
            <w:r w:rsidRPr="0084490B">
              <w:rPr>
                <w:rFonts w:eastAsia="Calibri"/>
                <w:i/>
                <w:sz w:val="20"/>
              </w:rPr>
              <w:t xml:space="preserve"> </w:t>
            </w:r>
            <w:r w:rsidRPr="0084490B">
              <w:rPr>
                <w:rFonts w:eastAsia="Calibri"/>
                <w:sz w:val="20"/>
              </w:rPr>
              <w:t xml:space="preserve">[2005] 3 S.C.R. 809 – </w:t>
            </w:r>
            <w:r w:rsidRPr="0084490B">
              <w:rPr>
                <w:rFonts w:eastAsia="Calibri"/>
                <w:i/>
                <w:sz w:val="20"/>
              </w:rPr>
              <w:t xml:space="preserve">Corrections and Conditional Release Act, </w:t>
            </w:r>
            <w:r w:rsidRPr="0084490B">
              <w:rPr>
                <w:rFonts w:eastAsia="Calibri"/>
                <w:sz w:val="20"/>
              </w:rPr>
              <w:t>S.C. 1992, c. 20.</w:t>
            </w:r>
          </w:p>
        </w:tc>
      </w:tr>
      <w:tr w:rsidR="00B76B3D" w:rsidRPr="0084490B" w:rsidTr="00120F8A">
        <w:tc>
          <w:tcPr>
            <w:tcW w:w="5000" w:type="pct"/>
            <w:gridSpan w:val="3"/>
          </w:tcPr>
          <w:p w:rsidR="00B76B3D" w:rsidRPr="0084490B" w:rsidRDefault="00B76B3D" w:rsidP="00120F8A">
            <w:pPr>
              <w:jc w:val="both"/>
              <w:rPr>
                <w:rFonts w:eastAsia="Calibri"/>
                <w:sz w:val="20"/>
              </w:rPr>
            </w:pPr>
          </w:p>
        </w:tc>
      </w:tr>
      <w:tr w:rsidR="00B76B3D" w:rsidRPr="0084490B" w:rsidTr="00120F8A">
        <w:tc>
          <w:tcPr>
            <w:tcW w:w="5000" w:type="pct"/>
            <w:gridSpan w:val="3"/>
          </w:tcPr>
          <w:p w:rsidR="00B76B3D" w:rsidRPr="0084490B" w:rsidRDefault="00B76B3D" w:rsidP="00120F8A">
            <w:pPr>
              <w:jc w:val="both"/>
              <w:rPr>
                <w:rFonts w:eastAsia="Calibri"/>
                <w:sz w:val="20"/>
              </w:rPr>
            </w:pPr>
            <w:r w:rsidRPr="0084490B">
              <w:rPr>
                <w:rFonts w:eastAsia="Calibri"/>
                <w:sz w:val="20"/>
              </w:rPr>
              <w:t xml:space="preserve">The applicant tried to have the reasons of his sentencing judge added to his institutional files and to remove other, allegedly inaccurate information relating to events leading to his conviction for manslaughter.  When his parole officer denied his request to add and take out information from his file, he did not grieve that decision. Instead he brought a grievance combining two distinct complaints (relating to a failure to provide a psychological assessment to a community residence centre and a reduction in his pay) which involved allegations of harassment and discrimination.  This first level grievance, and a second level grievance resulting from the applicant’s appeal, held that the allegations did not constitute allegations of harassment or discrimination.  The decision on a third level grievance determined that no further action was necessary in response to the grievance. It did so on the basis that:  </w:t>
            </w:r>
            <w:proofErr w:type="spellStart"/>
            <w:r w:rsidRPr="0084490B">
              <w:rPr>
                <w:rFonts w:eastAsia="Calibri"/>
                <w:sz w:val="20"/>
              </w:rPr>
              <w:t>i</w:t>
            </w:r>
            <w:proofErr w:type="spellEnd"/>
            <w:r w:rsidRPr="0084490B">
              <w:rPr>
                <w:rFonts w:eastAsia="Calibri"/>
                <w:sz w:val="20"/>
              </w:rPr>
              <w:t>) the applicant had not repeated the substantive issue raised by his original grievance and therefore must be satisfied with his reply; and ii) the complaints regarding the correction of his file were a new allegation that needed to be dealt with at the lowest level.  The applicant brought an application for judicial review of that decision.</w:t>
            </w:r>
          </w:p>
          <w:p w:rsidR="00B76B3D" w:rsidRPr="0084490B" w:rsidRDefault="00B76B3D" w:rsidP="00120F8A">
            <w:pPr>
              <w:jc w:val="both"/>
              <w:rPr>
                <w:rFonts w:eastAsia="Calibri"/>
                <w:sz w:val="20"/>
              </w:rPr>
            </w:pPr>
          </w:p>
          <w:p w:rsidR="00B76B3D" w:rsidRPr="0084490B" w:rsidRDefault="00B76B3D" w:rsidP="00120F8A">
            <w:pPr>
              <w:jc w:val="both"/>
              <w:rPr>
                <w:rFonts w:eastAsia="Calibri"/>
                <w:sz w:val="20"/>
              </w:rPr>
            </w:pPr>
            <w:r w:rsidRPr="0084490B">
              <w:rPr>
                <w:rFonts w:eastAsia="Calibri"/>
                <w:sz w:val="20"/>
              </w:rPr>
              <w:t>The Federal Court dismissed the application for judicial review, finding that Mr. Wilson was treated fairly in the process relating to the adjudication of his grievance and that the decision of the Assistant Commissioner of the Correctional Service Canada had been reasonable.  The Federal Court of Appeal dismissed the appeal.</w:t>
            </w:r>
          </w:p>
          <w:p w:rsidR="00B76B3D" w:rsidRPr="0084490B" w:rsidRDefault="00B76B3D" w:rsidP="00120F8A">
            <w:pPr>
              <w:jc w:val="both"/>
              <w:rPr>
                <w:rFonts w:eastAsia="Calibri"/>
                <w:sz w:val="20"/>
              </w:rPr>
            </w:pPr>
          </w:p>
        </w:tc>
      </w:tr>
      <w:tr w:rsidR="00B76B3D" w:rsidRPr="0084490B" w:rsidTr="00120F8A">
        <w:tc>
          <w:tcPr>
            <w:tcW w:w="2427" w:type="pct"/>
          </w:tcPr>
          <w:p w:rsidR="00B76B3D" w:rsidRPr="0084490B" w:rsidRDefault="00B76B3D" w:rsidP="00120F8A">
            <w:pPr>
              <w:jc w:val="both"/>
              <w:rPr>
                <w:rFonts w:eastAsia="Calibri"/>
                <w:sz w:val="20"/>
              </w:rPr>
            </w:pPr>
            <w:r w:rsidRPr="0084490B">
              <w:rPr>
                <w:rFonts w:eastAsia="Calibri"/>
                <w:sz w:val="20"/>
              </w:rPr>
              <w:t>January 16, 2012</w:t>
            </w:r>
          </w:p>
          <w:p w:rsidR="00B76B3D" w:rsidRPr="0084490B" w:rsidRDefault="00B76B3D" w:rsidP="00120F8A">
            <w:pPr>
              <w:jc w:val="both"/>
              <w:rPr>
                <w:rFonts w:eastAsia="Calibri"/>
                <w:sz w:val="20"/>
              </w:rPr>
            </w:pPr>
            <w:r w:rsidRPr="0084490B">
              <w:rPr>
                <w:rFonts w:eastAsia="Calibri"/>
                <w:sz w:val="20"/>
              </w:rPr>
              <w:t>Federal Court</w:t>
            </w:r>
          </w:p>
          <w:p w:rsidR="00B76B3D" w:rsidRPr="0084490B" w:rsidRDefault="00B76B3D" w:rsidP="00120F8A">
            <w:pPr>
              <w:jc w:val="both"/>
              <w:rPr>
                <w:rFonts w:eastAsia="Calibri"/>
                <w:sz w:val="20"/>
              </w:rPr>
            </w:pPr>
            <w:r w:rsidRPr="0084490B">
              <w:rPr>
                <w:rFonts w:eastAsia="Calibri"/>
                <w:sz w:val="20"/>
              </w:rPr>
              <w:t>(</w:t>
            </w:r>
            <w:proofErr w:type="spellStart"/>
            <w:r w:rsidRPr="0084490B">
              <w:rPr>
                <w:rFonts w:eastAsia="Calibri"/>
                <w:sz w:val="20"/>
              </w:rPr>
              <w:t>MacTavish</w:t>
            </w:r>
            <w:proofErr w:type="spellEnd"/>
            <w:r w:rsidRPr="0084490B">
              <w:rPr>
                <w:rFonts w:eastAsia="Calibri"/>
                <w:sz w:val="20"/>
              </w:rPr>
              <w:t xml:space="preserve"> J.)</w:t>
            </w:r>
          </w:p>
          <w:p w:rsidR="00B76B3D" w:rsidRPr="0084490B" w:rsidRDefault="00B76B3D" w:rsidP="00120F8A">
            <w:pPr>
              <w:jc w:val="both"/>
              <w:rPr>
                <w:rFonts w:eastAsia="Calibri"/>
                <w:sz w:val="20"/>
              </w:rPr>
            </w:pPr>
            <w:r w:rsidRPr="0084490B">
              <w:rPr>
                <w:rFonts w:eastAsia="Calibri"/>
                <w:sz w:val="20"/>
              </w:rPr>
              <w:t>2012 FC 57</w:t>
            </w:r>
          </w:p>
          <w:p w:rsidR="00B76B3D" w:rsidRPr="0084490B" w:rsidRDefault="00B76B3D" w:rsidP="00120F8A">
            <w:pPr>
              <w:jc w:val="both"/>
              <w:rPr>
                <w:rFonts w:eastAsia="Calibri"/>
                <w:sz w:val="20"/>
              </w:rPr>
            </w:pPr>
          </w:p>
        </w:tc>
        <w:tc>
          <w:tcPr>
            <w:tcW w:w="243" w:type="pct"/>
          </w:tcPr>
          <w:p w:rsidR="00B76B3D" w:rsidRPr="0084490B" w:rsidRDefault="00B76B3D" w:rsidP="00120F8A">
            <w:pPr>
              <w:jc w:val="both"/>
              <w:rPr>
                <w:rFonts w:eastAsia="Calibri"/>
                <w:sz w:val="20"/>
              </w:rPr>
            </w:pPr>
          </w:p>
        </w:tc>
        <w:tc>
          <w:tcPr>
            <w:tcW w:w="2330" w:type="pct"/>
          </w:tcPr>
          <w:p w:rsidR="00B76B3D" w:rsidRPr="0084490B" w:rsidRDefault="00B76B3D" w:rsidP="00120F8A">
            <w:pPr>
              <w:jc w:val="both"/>
              <w:rPr>
                <w:rFonts w:eastAsia="Calibri"/>
                <w:sz w:val="20"/>
              </w:rPr>
            </w:pPr>
            <w:r w:rsidRPr="0084490B">
              <w:rPr>
                <w:rFonts w:eastAsia="Calibri"/>
                <w:sz w:val="20"/>
              </w:rPr>
              <w:t>Applicant’s application for judicial review dismissed</w:t>
            </w:r>
          </w:p>
          <w:p w:rsidR="00B76B3D" w:rsidRPr="0084490B" w:rsidRDefault="00B76B3D" w:rsidP="00120F8A">
            <w:pPr>
              <w:jc w:val="both"/>
              <w:rPr>
                <w:rFonts w:eastAsia="Calibri"/>
                <w:sz w:val="20"/>
              </w:rPr>
            </w:pPr>
          </w:p>
        </w:tc>
      </w:tr>
      <w:tr w:rsidR="00B76B3D" w:rsidRPr="0084490B" w:rsidTr="00120F8A">
        <w:tc>
          <w:tcPr>
            <w:tcW w:w="2427" w:type="pct"/>
          </w:tcPr>
          <w:p w:rsidR="00B76B3D" w:rsidRPr="0084490B" w:rsidRDefault="00B76B3D" w:rsidP="00120F8A">
            <w:pPr>
              <w:jc w:val="both"/>
              <w:rPr>
                <w:rFonts w:eastAsia="Calibri"/>
                <w:sz w:val="20"/>
              </w:rPr>
            </w:pPr>
            <w:r w:rsidRPr="0084490B">
              <w:rPr>
                <w:rFonts w:eastAsia="Calibri"/>
                <w:sz w:val="20"/>
              </w:rPr>
              <w:t>November 19, 2012</w:t>
            </w:r>
          </w:p>
          <w:p w:rsidR="00B76B3D" w:rsidRPr="0084490B" w:rsidRDefault="00B76B3D" w:rsidP="00120F8A">
            <w:pPr>
              <w:jc w:val="both"/>
              <w:rPr>
                <w:rFonts w:eastAsia="Calibri"/>
                <w:sz w:val="20"/>
              </w:rPr>
            </w:pPr>
            <w:r w:rsidRPr="0084490B">
              <w:rPr>
                <w:rFonts w:eastAsia="Calibri"/>
                <w:sz w:val="20"/>
              </w:rPr>
              <w:t>Federal Court of Appeal</w:t>
            </w:r>
          </w:p>
          <w:p w:rsidR="00B76B3D" w:rsidRPr="0084490B" w:rsidRDefault="00B76B3D" w:rsidP="00120F8A">
            <w:pPr>
              <w:jc w:val="both"/>
              <w:rPr>
                <w:rFonts w:eastAsia="Calibri"/>
                <w:sz w:val="20"/>
              </w:rPr>
            </w:pPr>
            <w:r w:rsidRPr="0084490B">
              <w:rPr>
                <w:rFonts w:eastAsia="Calibri"/>
                <w:sz w:val="20"/>
              </w:rPr>
              <w:t xml:space="preserve">(Noël, </w:t>
            </w:r>
            <w:proofErr w:type="spellStart"/>
            <w:r w:rsidRPr="0084490B">
              <w:rPr>
                <w:rFonts w:eastAsia="Calibri"/>
                <w:sz w:val="20"/>
              </w:rPr>
              <w:t>Mainville</w:t>
            </w:r>
            <w:proofErr w:type="spellEnd"/>
            <w:r w:rsidRPr="0084490B">
              <w:rPr>
                <w:rFonts w:eastAsia="Calibri"/>
                <w:sz w:val="20"/>
              </w:rPr>
              <w:t xml:space="preserve"> and Webb JJ.A.)</w:t>
            </w:r>
          </w:p>
          <w:p w:rsidR="00B76B3D" w:rsidRPr="0084490B" w:rsidRDefault="00B76B3D" w:rsidP="00120F8A">
            <w:pPr>
              <w:jc w:val="both"/>
              <w:rPr>
                <w:rFonts w:eastAsia="Calibri"/>
                <w:sz w:val="20"/>
              </w:rPr>
            </w:pPr>
            <w:r w:rsidRPr="0084490B">
              <w:rPr>
                <w:rFonts w:eastAsia="Calibri"/>
                <w:sz w:val="20"/>
              </w:rPr>
              <w:t>2012 FCA 302</w:t>
            </w:r>
          </w:p>
          <w:p w:rsidR="00B76B3D" w:rsidRPr="0084490B" w:rsidRDefault="00B76B3D" w:rsidP="00120F8A">
            <w:pPr>
              <w:jc w:val="both"/>
              <w:rPr>
                <w:rFonts w:eastAsia="Calibri"/>
                <w:sz w:val="20"/>
              </w:rPr>
            </w:pPr>
          </w:p>
        </w:tc>
        <w:tc>
          <w:tcPr>
            <w:tcW w:w="243" w:type="pct"/>
          </w:tcPr>
          <w:p w:rsidR="00B76B3D" w:rsidRPr="0084490B" w:rsidRDefault="00B76B3D" w:rsidP="00120F8A">
            <w:pPr>
              <w:jc w:val="both"/>
              <w:rPr>
                <w:rFonts w:eastAsia="Calibri"/>
                <w:sz w:val="20"/>
              </w:rPr>
            </w:pPr>
          </w:p>
        </w:tc>
        <w:tc>
          <w:tcPr>
            <w:tcW w:w="2330" w:type="pct"/>
          </w:tcPr>
          <w:p w:rsidR="00B76B3D" w:rsidRPr="0084490B" w:rsidRDefault="00B76B3D" w:rsidP="00120F8A">
            <w:pPr>
              <w:jc w:val="both"/>
              <w:rPr>
                <w:rFonts w:eastAsia="Calibri"/>
                <w:sz w:val="20"/>
              </w:rPr>
            </w:pPr>
            <w:r w:rsidRPr="0084490B">
              <w:rPr>
                <w:rFonts w:eastAsia="Calibri"/>
                <w:sz w:val="20"/>
              </w:rPr>
              <w:t>Appeal dismissed</w:t>
            </w:r>
          </w:p>
          <w:p w:rsidR="00B76B3D" w:rsidRPr="0084490B" w:rsidRDefault="00B76B3D" w:rsidP="00120F8A">
            <w:pPr>
              <w:jc w:val="both"/>
              <w:rPr>
                <w:rFonts w:eastAsia="Calibri"/>
                <w:sz w:val="20"/>
              </w:rPr>
            </w:pPr>
          </w:p>
        </w:tc>
      </w:tr>
      <w:tr w:rsidR="00B76B3D" w:rsidRPr="0084490B" w:rsidTr="00120F8A">
        <w:tc>
          <w:tcPr>
            <w:tcW w:w="2427" w:type="pct"/>
          </w:tcPr>
          <w:p w:rsidR="00B76B3D" w:rsidRPr="0084490B" w:rsidRDefault="00B76B3D" w:rsidP="00120F8A">
            <w:pPr>
              <w:jc w:val="both"/>
              <w:rPr>
                <w:rFonts w:eastAsia="Calibri"/>
                <w:sz w:val="20"/>
              </w:rPr>
            </w:pPr>
            <w:r w:rsidRPr="0084490B">
              <w:rPr>
                <w:rFonts w:eastAsia="Calibri"/>
                <w:sz w:val="20"/>
              </w:rPr>
              <w:t>January 17, 2013</w:t>
            </w:r>
          </w:p>
          <w:p w:rsidR="00B76B3D" w:rsidRPr="0084490B" w:rsidRDefault="00B76B3D" w:rsidP="00120F8A">
            <w:pPr>
              <w:jc w:val="both"/>
              <w:rPr>
                <w:rFonts w:eastAsia="Calibri"/>
                <w:sz w:val="20"/>
              </w:rPr>
            </w:pPr>
            <w:r w:rsidRPr="0084490B">
              <w:rPr>
                <w:rFonts w:eastAsia="Calibri"/>
                <w:sz w:val="20"/>
              </w:rPr>
              <w:t>Supreme Court of Canada</w:t>
            </w:r>
          </w:p>
        </w:tc>
        <w:tc>
          <w:tcPr>
            <w:tcW w:w="243" w:type="pct"/>
          </w:tcPr>
          <w:p w:rsidR="00B76B3D" w:rsidRPr="0084490B" w:rsidRDefault="00B76B3D" w:rsidP="00120F8A">
            <w:pPr>
              <w:jc w:val="both"/>
              <w:rPr>
                <w:rFonts w:eastAsia="Calibri"/>
                <w:sz w:val="20"/>
              </w:rPr>
            </w:pPr>
          </w:p>
        </w:tc>
        <w:tc>
          <w:tcPr>
            <w:tcW w:w="2330" w:type="pct"/>
          </w:tcPr>
          <w:p w:rsidR="00B76B3D" w:rsidRPr="0084490B" w:rsidRDefault="00B76B3D" w:rsidP="00120F8A">
            <w:pPr>
              <w:jc w:val="both"/>
              <w:rPr>
                <w:rFonts w:eastAsia="Calibri"/>
                <w:sz w:val="20"/>
              </w:rPr>
            </w:pPr>
            <w:r w:rsidRPr="0084490B">
              <w:rPr>
                <w:rFonts w:eastAsia="Calibri"/>
                <w:sz w:val="20"/>
              </w:rPr>
              <w:t>Application for leave to appeal filed</w:t>
            </w:r>
          </w:p>
        </w:tc>
      </w:tr>
    </w:tbl>
    <w:p w:rsidR="00EA65C4" w:rsidRDefault="00EA65C4" w:rsidP="00EA65C4">
      <w:pPr>
        <w:rPr>
          <w:sz w:val="20"/>
          <w:szCs w:val="20"/>
        </w:rPr>
      </w:pPr>
    </w:p>
    <w:p w:rsidR="00EA65C4" w:rsidRPr="00C50A5C" w:rsidRDefault="0028676C" w:rsidP="00EA65C4">
      <w:pPr>
        <w:rPr>
          <w:sz w:val="20"/>
          <w:szCs w:val="20"/>
        </w:rPr>
      </w:pPr>
      <w:r w:rsidRPr="0028676C">
        <w:rPr>
          <w:sz w:val="20"/>
          <w:szCs w:val="20"/>
          <w:lang w:val="fr-CA"/>
        </w:rPr>
        <w:pict>
          <v:rect id="_x0000_i1057" style="width:2in;height:1pt" o:hrpct="0" o:hralign="center" o:hrstd="t" o:hrnoshade="t" o:hr="t" fillcolor="black [3213]" stroked="f"/>
        </w:pict>
      </w:r>
    </w:p>
    <w:p w:rsidR="00EA65C4" w:rsidRDefault="00EA65C4" w:rsidP="00EA65C4">
      <w:pPr>
        <w:rPr>
          <w:sz w:val="20"/>
          <w:szCs w:val="20"/>
        </w:rPr>
      </w:pPr>
    </w:p>
    <w:p w:rsidR="00EA65C4" w:rsidRPr="001B157C" w:rsidRDefault="00EA65C4" w:rsidP="00EA65C4">
      <w:pPr>
        <w:rPr>
          <w:sz w:val="20"/>
          <w:szCs w:val="20"/>
          <w:u w:val="single"/>
          <w:lang w:val="fr-CA"/>
        </w:rPr>
      </w:pPr>
      <w:r w:rsidRPr="001B157C">
        <w:rPr>
          <w:sz w:val="20"/>
          <w:szCs w:val="20"/>
          <w:u w:val="single"/>
          <w:lang w:val="fr-CA"/>
        </w:rPr>
        <w:t>RÉSUMÉ DE L’AFFAIRE</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76B3D" w:rsidRPr="00B6040C" w:rsidTr="00120F8A">
        <w:tc>
          <w:tcPr>
            <w:tcW w:w="5000" w:type="pct"/>
            <w:gridSpan w:val="3"/>
          </w:tcPr>
          <w:p w:rsidR="00B76B3D" w:rsidRPr="0084490B" w:rsidRDefault="00B76B3D" w:rsidP="00120F8A">
            <w:pPr>
              <w:jc w:val="both"/>
              <w:rPr>
                <w:rFonts w:eastAsia="Calibri"/>
                <w:sz w:val="20"/>
                <w:lang w:val="fr-CA"/>
              </w:rPr>
            </w:pPr>
            <w:r w:rsidRPr="0084490B">
              <w:rPr>
                <w:rFonts w:eastAsia="Calibri"/>
                <w:sz w:val="20"/>
                <w:lang w:val="fr-CA"/>
              </w:rPr>
              <w:t>Droit administratif – Contrôle judiciaire – Procédure – Griefs – Le Service correctionnel du Canada a-t-il respecté la procédure de grief prévue dans la loi? – La procédure de grief fonctionne-t-elle malgré les retards et les échéances reportées? – La Cour fédérale, lors du contrôle judiciaire, et la Cour d’appel fédérale ont-elles fait erreur en concluant au caractère raisonnable de la décision du Service correctionnel du Canada, compte tenu que la décision consistait à ne prendre aucune décision? – Les cours supérieures au Canada devraient-elles pouvoir refuser d’exercer leur compétence en matière d’</w:t>
            </w:r>
            <w:r w:rsidRPr="0084490B">
              <w:rPr>
                <w:rFonts w:eastAsia="Calibri"/>
                <w:i/>
                <w:sz w:val="20"/>
                <w:lang w:val="fr-CA"/>
              </w:rPr>
              <w:t>habeas corpus</w:t>
            </w:r>
            <w:r w:rsidRPr="0084490B">
              <w:rPr>
                <w:rFonts w:eastAsia="Calibri"/>
                <w:sz w:val="20"/>
                <w:lang w:val="fr-CA"/>
              </w:rPr>
              <w:t xml:space="preserve">, y compris relativement aux demandes relatives à la libération conditionnelle, contrairement au principe énoncé dans </w:t>
            </w:r>
            <w:r w:rsidRPr="0084490B">
              <w:rPr>
                <w:rFonts w:eastAsia="Calibri"/>
                <w:i/>
                <w:sz w:val="20"/>
                <w:lang w:val="fr-CA"/>
              </w:rPr>
              <w:t xml:space="preserve">May c. Établissement </w:t>
            </w:r>
            <w:proofErr w:type="spellStart"/>
            <w:r w:rsidRPr="0084490B">
              <w:rPr>
                <w:rFonts w:eastAsia="Calibri"/>
                <w:i/>
                <w:sz w:val="20"/>
                <w:lang w:val="fr-CA"/>
              </w:rPr>
              <w:t>Ferndale</w:t>
            </w:r>
            <w:proofErr w:type="spellEnd"/>
            <w:r w:rsidRPr="0084490B">
              <w:rPr>
                <w:rFonts w:eastAsia="Calibri"/>
                <w:sz w:val="20"/>
                <w:lang w:val="fr-CA"/>
              </w:rPr>
              <w:t xml:space="preserve">, 2005 CSC 82, [2005] 3 C.R.S. 809? – </w:t>
            </w:r>
            <w:r w:rsidRPr="0084490B">
              <w:rPr>
                <w:rFonts w:eastAsia="Calibri"/>
                <w:i/>
                <w:sz w:val="20"/>
                <w:lang w:val="fr-CA"/>
              </w:rPr>
              <w:t>Loi sur le système correctionnel et la mise en liberté sous condition</w:t>
            </w:r>
            <w:r w:rsidRPr="0084490B">
              <w:rPr>
                <w:rFonts w:eastAsia="Calibri"/>
                <w:sz w:val="20"/>
                <w:lang w:val="fr-CA"/>
              </w:rPr>
              <w:t>,</w:t>
            </w:r>
            <w:r w:rsidRPr="0084490B">
              <w:rPr>
                <w:rFonts w:eastAsia="Calibri"/>
                <w:i/>
                <w:sz w:val="20"/>
                <w:lang w:val="fr-CA"/>
              </w:rPr>
              <w:t xml:space="preserve"> </w:t>
            </w:r>
            <w:r w:rsidRPr="0084490B">
              <w:rPr>
                <w:rFonts w:eastAsia="Calibri"/>
                <w:sz w:val="20"/>
                <w:lang w:val="fr-CA"/>
              </w:rPr>
              <w:t>L.C. 1992, ch. 20.</w:t>
            </w:r>
          </w:p>
        </w:tc>
      </w:tr>
      <w:tr w:rsidR="00B76B3D" w:rsidRPr="00B6040C" w:rsidTr="00120F8A">
        <w:tc>
          <w:tcPr>
            <w:tcW w:w="5000" w:type="pct"/>
            <w:gridSpan w:val="3"/>
          </w:tcPr>
          <w:p w:rsidR="00B76B3D" w:rsidRPr="0084490B" w:rsidRDefault="00B76B3D" w:rsidP="00120F8A">
            <w:pPr>
              <w:jc w:val="both"/>
              <w:rPr>
                <w:rFonts w:eastAsia="Calibri"/>
                <w:sz w:val="20"/>
                <w:lang w:val="fr-CA"/>
              </w:rPr>
            </w:pPr>
          </w:p>
        </w:tc>
      </w:tr>
      <w:tr w:rsidR="00B76B3D" w:rsidRPr="0084490B" w:rsidTr="00120F8A">
        <w:tc>
          <w:tcPr>
            <w:tcW w:w="5000" w:type="pct"/>
            <w:gridSpan w:val="3"/>
          </w:tcPr>
          <w:p w:rsidR="00B76B3D" w:rsidRPr="0084490B" w:rsidRDefault="00B76B3D" w:rsidP="00120F8A">
            <w:pPr>
              <w:jc w:val="both"/>
              <w:rPr>
                <w:rFonts w:eastAsia="Calibri"/>
                <w:sz w:val="20"/>
                <w:lang w:val="fr-CA"/>
              </w:rPr>
            </w:pPr>
            <w:r w:rsidRPr="0084490B">
              <w:rPr>
                <w:rFonts w:eastAsia="Calibri"/>
                <w:sz w:val="20"/>
                <w:lang w:val="fr-CA"/>
              </w:rPr>
              <w:t xml:space="preserve">Le demandeur a tenté de faire verser à son dossier d’établissement les motifs de décision rédigés par le juge qui avait déterminé sa peine et de faire supprimer d’autres renseignements, selon lui inexacts, ayant mené à sa déclaration de culpabilité pour homicide involontaire coupable.  Son agent de libération conditionnelle a refusé de modifier ainsi le dossier, et le demandeur n’a pas déposé de grief.  Il a cependant déposé un grief réunissant deux plaintes distinctes (l’une relativement à l’absence d’évaluation psychologique dans un centre résidentiel communautaire et l’autre à une diminution de salaire) pour harcèlement et discrimination.  Suivant la décision rendue au premier palier au sujet du grief et celle rendue au deuxième palier, à l’issue de l’appel interjeté, il n’y avait pas eu harcèlement ou discrimination.  Suivant la décision rendue au troisième palier, aucune mesure n’était nécessaire à l’égard du grief.  La décision était fondée sur : i) le fait que le demandeur n’avait pas réitéré la question de fond énoncée dans le grief initial, ce qui laisse entendre qu’il était satisfait de la décision; ii) les plaintes portant sur la modification de son dossier étaient nouvelles et devaient être examinées au premier palier.  Le demandeur a demandé le contrôle judiciaire de la décision.  </w:t>
            </w:r>
          </w:p>
          <w:p w:rsidR="00B76B3D" w:rsidRPr="0084490B" w:rsidRDefault="00B76B3D" w:rsidP="00120F8A">
            <w:pPr>
              <w:jc w:val="both"/>
              <w:rPr>
                <w:rFonts w:eastAsia="Calibri"/>
                <w:sz w:val="20"/>
                <w:lang w:val="fr-CA"/>
              </w:rPr>
            </w:pPr>
          </w:p>
          <w:p w:rsidR="00B76B3D" w:rsidRPr="0084490B" w:rsidRDefault="00B76B3D" w:rsidP="00120F8A">
            <w:pPr>
              <w:jc w:val="both"/>
              <w:rPr>
                <w:rFonts w:eastAsia="Calibri"/>
                <w:sz w:val="20"/>
                <w:lang w:val="fr-CA"/>
              </w:rPr>
            </w:pPr>
            <w:r w:rsidRPr="0084490B">
              <w:rPr>
                <w:rFonts w:eastAsia="Calibri"/>
                <w:sz w:val="20"/>
                <w:lang w:val="fr-CA"/>
              </w:rPr>
              <w:t>La Cour fédérale a rejeté la demande de contrôle judiciaire, estimant que M. Wilson avait été traité équitablement dans la procédure de grief et que la décision du commissaire adjoint du Service correctionnel du Canada était raisonnable.  La Cour d’appel fédérale a rejeté l’appel interjeté.</w:t>
            </w:r>
          </w:p>
          <w:p w:rsidR="00B76B3D" w:rsidRPr="0084490B" w:rsidRDefault="00B76B3D" w:rsidP="00120F8A">
            <w:pPr>
              <w:jc w:val="both"/>
              <w:rPr>
                <w:rFonts w:eastAsia="Calibri"/>
                <w:sz w:val="20"/>
                <w:lang w:val="fr-CA"/>
              </w:rPr>
            </w:pPr>
          </w:p>
        </w:tc>
      </w:tr>
      <w:tr w:rsidR="00B76B3D" w:rsidRPr="00B6040C" w:rsidTr="00120F8A">
        <w:tc>
          <w:tcPr>
            <w:tcW w:w="2427" w:type="pct"/>
          </w:tcPr>
          <w:p w:rsidR="00B76B3D" w:rsidRPr="0084490B" w:rsidRDefault="00B76B3D" w:rsidP="00120F8A">
            <w:pPr>
              <w:jc w:val="both"/>
              <w:rPr>
                <w:rFonts w:eastAsia="Calibri"/>
                <w:sz w:val="20"/>
                <w:lang w:val="fr-CA"/>
              </w:rPr>
            </w:pPr>
            <w:r w:rsidRPr="0084490B">
              <w:rPr>
                <w:rFonts w:eastAsia="Calibri"/>
                <w:sz w:val="20"/>
                <w:lang w:val="fr-CA"/>
              </w:rPr>
              <w:t>16 janvier 2012</w:t>
            </w:r>
          </w:p>
          <w:p w:rsidR="00B76B3D" w:rsidRPr="0084490B" w:rsidRDefault="00B76B3D" w:rsidP="00120F8A">
            <w:pPr>
              <w:jc w:val="both"/>
              <w:rPr>
                <w:rFonts w:eastAsia="Calibri"/>
                <w:sz w:val="20"/>
                <w:lang w:val="fr-CA"/>
              </w:rPr>
            </w:pPr>
            <w:r w:rsidRPr="0084490B">
              <w:rPr>
                <w:rFonts w:eastAsia="Calibri"/>
                <w:sz w:val="20"/>
                <w:lang w:val="fr-CA"/>
              </w:rPr>
              <w:t>Cour fédérale</w:t>
            </w:r>
          </w:p>
          <w:p w:rsidR="00B76B3D" w:rsidRPr="0084490B" w:rsidRDefault="00B76B3D" w:rsidP="00120F8A">
            <w:pPr>
              <w:jc w:val="both"/>
              <w:rPr>
                <w:rFonts w:eastAsia="Calibri"/>
                <w:sz w:val="20"/>
                <w:lang w:val="fr-CA"/>
              </w:rPr>
            </w:pPr>
            <w:r w:rsidRPr="0084490B">
              <w:rPr>
                <w:rFonts w:eastAsia="Calibri"/>
                <w:sz w:val="20"/>
                <w:lang w:val="fr-CA"/>
              </w:rPr>
              <w:t xml:space="preserve">(juge </w:t>
            </w:r>
            <w:proofErr w:type="spellStart"/>
            <w:r w:rsidRPr="0084490B">
              <w:rPr>
                <w:rFonts w:eastAsia="Calibri"/>
                <w:sz w:val="20"/>
                <w:lang w:val="fr-CA"/>
              </w:rPr>
              <w:t>MacTavish</w:t>
            </w:r>
            <w:proofErr w:type="spellEnd"/>
            <w:r w:rsidRPr="0084490B">
              <w:rPr>
                <w:rFonts w:eastAsia="Calibri"/>
                <w:sz w:val="20"/>
                <w:lang w:val="fr-CA"/>
              </w:rPr>
              <w:t>)</w:t>
            </w:r>
          </w:p>
          <w:p w:rsidR="00B76B3D" w:rsidRPr="0084490B" w:rsidRDefault="00B76B3D" w:rsidP="00120F8A">
            <w:pPr>
              <w:jc w:val="both"/>
              <w:rPr>
                <w:rFonts w:eastAsia="Calibri"/>
                <w:sz w:val="20"/>
                <w:lang w:val="fr-CA"/>
              </w:rPr>
            </w:pPr>
            <w:r w:rsidRPr="0084490B">
              <w:rPr>
                <w:rFonts w:eastAsia="Calibri"/>
                <w:sz w:val="20"/>
                <w:lang w:val="fr-CA"/>
              </w:rPr>
              <w:t>2012 CF 57</w:t>
            </w:r>
          </w:p>
          <w:p w:rsidR="00B76B3D" w:rsidRPr="0084490B" w:rsidRDefault="00B76B3D" w:rsidP="00120F8A">
            <w:pPr>
              <w:jc w:val="both"/>
              <w:rPr>
                <w:rFonts w:eastAsia="Calibri"/>
                <w:sz w:val="20"/>
                <w:lang w:val="fr-CA"/>
              </w:rPr>
            </w:pPr>
          </w:p>
        </w:tc>
        <w:tc>
          <w:tcPr>
            <w:tcW w:w="243" w:type="pct"/>
          </w:tcPr>
          <w:p w:rsidR="00B76B3D" w:rsidRPr="0084490B" w:rsidRDefault="00B76B3D" w:rsidP="00120F8A">
            <w:pPr>
              <w:jc w:val="both"/>
              <w:rPr>
                <w:rFonts w:eastAsia="Calibri"/>
                <w:sz w:val="20"/>
                <w:lang w:val="fr-CA"/>
              </w:rPr>
            </w:pPr>
          </w:p>
        </w:tc>
        <w:tc>
          <w:tcPr>
            <w:tcW w:w="2330" w:type="pct"/>
          </w:tcPr>
          <w:p w:rsidR="00B76B3D" w:rsidRPr="0084490B" w:rsidRDefault="00B76B3D" w:rsidP="00120F8A">
            <w:pPr>
              <w:jc w:val="both"/>
              <w:rPr>
                <w:rFonts w:eastAsia="Calibri"/>
                <w:sz w:val="20"/>
                <w:lang w:val="fr-CA"/>
              </w:rPr>
            </w:pPr>
            <w:r w:rsidRPr="0084490B">
              <w:rPr>
                <w:rFonts w:eastAsia="Calibri"/>
                <w:sz w:val="20"/>
                <w:lang w:val="fr-CA"/>
              </w:rPr>
              <w:t>Demande de contrôle judiciaire présentée par le demandeur rejetée</w:t>
            </w:r>
          </w:p>
          <w:p w:rsidR="00B76B3D" w:rsidRPr="0084490B" w:rsidRDefault="00B76B3D" w:rsidP="00120F8A">
            <w:pPr>
              <w:jc w:val="both"/>
              <w:rPr>
                <w:rFonts w:eastAsia="Calibri"/>
                <w:sz w:val="20"/>
                <w:lang w:val="fr-CA"/>
              </w:rPr>
            </w:pPr>
          </w:p>
        </w:tc>
      </w:tr>
      <w:tr w:rsidR="00B76B3D" w:rsidRPr="0084490B" w:rsidTr="00120F8A">
        <w:tc>
          <w:tcPr>
            <w:tcW w:w="2427" w:type="pct"/>
          </w:tcPr>
          <w:p w:rsidR="00B76B3D" w:rsidRPr="0084490B" w:rsidRDefault="00B76B3D" w:rsidP="00120F8A">
            <w:pPr>
              <w:jc w:val="both"/>
              <w:rPr>
                <w:rFonts w:eastAsia="Calibri"/>
                <w:sz w:val="20"/>
                <w:lang w:val="fr-CA"/>
              </w:rPr>
            </w:pPr>
            <w:r w:rsidRPr="0084490B">
              <w:rPr>
                <w:rFonts w:eastAsia="Calibri"/>
                <w:sz w:val="20"/>
                <w:lang w:val="fr-CA"/>
              </w:rPr>
              <w:t>19 novembre 2012</w:t>
            </w:r>
          </w:p>
          <w:p w:rsidR="00B76B3D" w:rsidRPr="0084490B" w:rsidRDefault="00B76B3D" w:rsidP="00120F8A">
            <w:pPr>
              <w:jc w:val="both"/>
              <w:rPr>
                <w:rFonts w:eastAsia="Calibri"/>
                <w:sz w:val="20"/>
                <w:lang w:val="fr-CA"/>
              </w:rPr>
            </w:pPr>
            <w:r w:rsidRPr="0084490B">
              <w:rPr>
                <w:rFonts w:eastAsia="Calibri"/>
                <w:sz w:val="20"/>
                <w:lang w:val="fr-CA"/>
              </w:rPr>
              <w:t>Cour d’appel fédérale</w:t>
            </w:r>
          </w:p>
          <w:p w:rsidR="00B76B3D" w:rsidRPr="0084490B" w:rsidRDefault="00B76B3D" w:rsidP="00120F8A">
            <w:pPr>
              <w:jc w:val="both"/>
              <w:rPr>
                <w:rFonts w:eastAsia="Calibri"/>
                <w:sz w:val="20"/>
                <w:lang w:val="fr-CA"/>
              </w:rPr>
            </w:pPr>
            <w:r w:rsidRPr="0084490B">
              <w:rPr>
                <w:rFonts w:eastAsia="Calibri"/>
                <w:sz w:val="20"/>
                <w:lang w:val="fr-CA"/>
              </w:rPr>
              <w:t>(juges Noël, Mainville et Webb)</w:t>
            </w:r>
          </w:p>
          <w:p w:rsidR="00B76B3D" w:rsidRPr="0084490B" w:rsidRDefault="00B76B3D" w:rsidP="00120F8A">
            <w:pPr>
              <w:jc w:val="both"/>
              <w:rPr>
                <w:rFonts w:eastAsia="Calibri"/>
                <w:sz w:val="20"/>
                <w:lang w:val="fr-CA"/>
              </w:rPr>
            </w:pPr>
            <w:r w:rsidRPr="0084490B">
              <w:rPr>
                <w:rFonts w:eastAsia="Calibri"/>
                <w:sz w:val="20"/>
                <w:lang w:val="fr-CA"/>
              </w:rPr>
              <w:t>2012 CAF 302</w:t>
            </w:r>
          </w:p>
          <w:p w:rsidR="00B76B3D" w:rsidRPr="0084490B" w:rsidRDefault="00B76B3D" w:rsidP="00120F8A">
            <w:pPr>
              <w:jc w:val="both"/>
              <w:rPr>
                <w:rFonts w:eastAsia="Calibri"/>
                <w:sz w:val="20"/>
                <w:lang w:val="fr-CA"/>
              </w:rPr>
            </w:pPr>
          </w:p>
        </w:tc>
        <w:tc>
          <w:tcPr>
            <w:tcW w:w="243" w:type="pct"/>
          </w:tcPr>
          <w:p w:rsidR="00B76B3D" w:rsidRPr="0084490B" w:rsidRDefault="00B76B3D" w:rsidP="00120F8A">
            <w:pPr>
              <w:jc w:val="both"/>
              <w:rPr>
                <w:rFonts w:eastAsia="Calibri"/>
                <w:sz w:val="20"/>
                <w:lang w:val="fr-CA"/>
              </w:rPr>
            </w:pPr>
          </w:p>
        </w:tc>
        <w:tc>
          <w:tcPr>
            <w:tcW w:w="2330" w:type="pct"/>
          </w:tcPr>
          <w:p w:rsidR="00B76B3D" w:rsidRPr="0084490B" w:rsidRDefault="00B76B3D" w:rsidP="00120F8A">
            <w:pPr>
              <w:jc w:val="both"/>
              <w:rPr>
                <w:rFonts w:eastAsia="Calibri"/>
                <w:sz w:val="20"/>
                <w:lang w:val="fr-CA"/>
              </w:rPr>
            </w:pPr>
            <w:r w:rsidRPr="0084490B">
              <w:rPr>
                <w:rFonts w:eastAsia="Calibri"/>
                <w:sz w:val="20"/>
                <w:lang w:val="fr-CA"/>
              </w:rPr>
              <w:t>Appel rejeté</w:t>
            </w:r>
          </w:p>
          <w:p w:rsidR="00B76B3D" w:rsidRPr="0084490B" w:rsidRDefault="00B76B3D" w:rsidP="00120F8A">
            <w:pPr>
              <w:jc w:val="both"/>
              <w:rPr>
                <w:rFonts w:eastAsia="Calibri"/>
                <w:sz w:val="20"/>
                <w:lang w:val="fr-CA"/>
              </w:rPr>
            </w:pPr>
          </w:p>
        </w:tc>
      </w:tr>
      <w:tr w:rsidR="00B76B3D" w:rsidRPr="0084490B" w:rsidTr="00120F8A">
        <w:tc>
          <w:tcPr>
            <w:tcW w:w="2427" w:type="pct"/>
          </w:tcPr>
          <w:p w:rsidR="00B76B3D" w:rsidRPr="0084490B" w:rsidRDefault="00B76B3D" w:rsidP="00120F8A">
            <w:pPr>
              <w:jc w:val="both"/>
              <w:rPr>
                <w:rFonts w:eastAsia="Calibri"/>
                <w:sz w:val="20"/>
                <w:lang w:val="fr-CA"/>
              </w:rPr>
            </w:pPr>
            <w:r w:rsidRPr="0084490B">
              <w:rPr>
                <w:rFonts w:eastAsia="Calibri"/>
                <w:sz w:val="20"/>
                <w:lang w:val="fr-CA"/>
              </w:rPr>
              <w:t>17 janvier 2013</w:t>
            </w:r>
          </w:p>
          <w:p w:rsidR="00B76B3D" w:rsidRPr="0084490B" w:rsidRDefault="00B76B3D" w:rsidP="00120F8A">
            <w:pPr>
              <w:jc w:val="both"/>
              <w:rPr>
                <w:rFonts w:eastAsia="Calibri"/>
                <w:sz w:val="20"/>
                <w:lang w:val="fr-CA"/>
              </w:rPr>
            </w:pPr>
            <w:r w:rsidRPr="0084490B">
              <w:rPr>
                <w:rFonts w:eastAsia="Calibri"/>
                <w:sz w:val="20"/>
                <w:lang w:val="fr-CA"/>
              </w:rPr>
              <w:t>Cour suprême du Canada</w:t>
            </w:r>
          </w:p>
        </w:tc>
        <w:tc>
          <w:tcPr>
            <w:tcW w:w="243" w:type="pct"/>
          </w:tcPr>
          <w:p w:rsidR="00B76B3D" w:rsidRPr="0084490B" w:rsidRDefault="00B76B3D" w:rsidP="00120F8A">
            <w:pPr>
              <w:jc w:val="both"/>
              <w:rPr>
                <w:rFonts w:eastAsia="Calibri"/>
                <w:sz w:val="20"/>
                <w:lang w:val="fr-CA"/>
              </w:rPr>
            </w:pPr>
          </w:p>
        </w:tc>
        <w:tc>
          <w:tcPr>
            <w:tcW w:w="2330" w:type="pct"/>
          </w:tcPr>
          <w:p w:rsidR="00B76B3D" w:rsidRPr="0084490B" w:rsidRDefault="00B76B3D" w:rsidP="00120F8A">
            <w:pPr>
              <w:jc w:val="both"/>
              <w:rPr>
                <w:rFonts w:eastAsia="Calibri"/>
                <w:sz w:val="20"/>
                <w:lang w:val="fr-CA"/>
              </w:rPr>
            </w:pPr>
            <w:r w:rsidRPr="0084490B">
              <w:rPr>
                <w:rFonts w:eastAsia="Calibri"/>
                <w:sz w:val="20"/>
                <w:lang w:val="fr-CA"/>
              </w:rPr>
              <w:t>Demande d’autorisation d’appel déposée</w:t>
            </w:r>
          </w:p>
        </w:tc>
      </w:tr>
    </w:tbl>
    <w:p w:rsidR="00EA65C4" w:rsidRDefault="00EA65C4" w:rsidP="00EA65C4">
      <w:pPr>
        <w:rPr>
          <w:sz w:val="20"/>
          <w:szCs w:val="20"/>
        </w:rPr>
      </w:pPr>
    </w:p>
    <w:p w:rsidR="00EA65C4" w:rsidRDefault="0028676C" w:rsidP="00EA65C4">
      <w:pPr>
        <w:rPr>
          <w:sz w:val="20"/>
          <w:szCs w:val="20"/>
        </w:rPr>
      </w:pPr>
      <w:r w:rsidRPr="0028676C">
        <w:rPr>
          <w:sz w:val="20"/>
          <w:szCs w:val="20"/>
          <w:lang w:val="fr-CA"/>
        </w:rPr>
        <w:pict>
          <v:rect id="_x0000_i1058" style="width:2in;height:1pt" o:hrpct="0" o:hralign="center" o:hrstd="t" o:hrnoshade="t" o:hr="t" fillcolor="black [3213]" stroked="f"/>
        </w:pict>
      </w:r>
    </w:p>
    <w:p w:rsidR="00EA65C4" w:rsidRDefault="00EA65C4" w:rsidP="00EA65C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A0638" w:rsidRPr="008748E6" w:rsidTr="00AA4F37">
        <w:trPr>
          <w:cantSplit/>
        </w:trPr>
        <w:tc>
          <w:tcPr>
            <w:tcW w:w="1458" w:type="dxa"/>
          </w:tcPr>
          <w:p w:rsidR="003A0638" w:rsidRPr="008748E6" w:rsidRDefault="003A0638" w:rsidP="00AA4F37">
            <w:pPr>
              <w:rPr>
                <w:sz w:val="20"/>
                <w:szCs w:val="20"/>
              </w:rPr>
            </w:pPr>
            <w:r w:rsidRPr="008748E6">
              <w:rPr>
                <w:rStyle w:val="SCCFileNumberChar"/>
                <w:sz w:val="20"/>
                <w:szCs w:val="20"/>
              </w:rPr>
              <w:t>35174</w:t>
            </w:r>
          </w:p>
          <w:p w:rsidR="003A0638" w:rsidRPr="008748E6" w:rsidRDefault="003A0638" w:rsidP="00AA4F37">
            <w:pPr>
              <w:rPr>
                <w:b/>
                <w:sz w:val="20"/>
                <w:szCs w:val="20"/>
                <w:lang w:val="fr-CA"/>
              </w:rPr>
            </w:pPr>
          </w:p>
        </w:tc>
        <w:tc>
          <w:tcPr>
            <w:tcW w:w="8118" w:type="dxa"/>
          </w:tcPr>
          <w:p w:rsidR="003A0638" w:rsidRPr="008748E6" w:rsidRDefault="003A0638" w:rsidP="00AA4F37">
            <w:pPr>
              <w:jc w:val="both"/>
              <w:rPr>
                <w:sz w:val="20"/>
                <w:szCs w:val="20"/>
              </w:rPr>
            </w:pPr>
            <w:proofErr w:type="spellStart"/>
            <w:r w:rsidRPr="003A0638">
              <w:rPr>
                <w:rStyle w:val="SCCLsocChar"/>
                <w:sz w:val="20"/>
                <w:szCs w:val="20"/>
                <w:lang w:val="en-CA"/>
              </w:rPr>
              <w:t>Pluri</w:t>
            </w:r>
            <w:proofErr w:type="spellEnd"/>
            <w:r w:rsidRPr="003A0638">
              <w:rPr>
                <w:rStyle w:val="SCCLsocChar"/>
                <w:sz w:val="20"/>
                <w:szCs w:val="20"/>
                <w:lang w:val="en-CA"/>
              </w:rPr>
              <w:t xml:space="preserve"> </w:t>
            </w:r>
            <w:proofErr w:type="spellStart"/>
            <w:r w:rsidRPr="003A0638">
              <w:rPr>
                <w:rStyle w:val="SCCLsocChar"/>
                <w:sz w:val="20"/>
                <w:szCs w:val="20"/>
                <w:lang w:val="en-CA"/>
              </w:rPr>
              <w:t>Vox</w:t>
            </w:r>
            <w:proofErr w:type="spellEnd"/>
            <w:r w:rsidRPr="003A0638">
              <w:rPr>
                <w:rStyle w:val="SCCLsocChar"/>
                <w:sz w:val="20"/>
                <w:szCs w:val="20"/>
                <w:lang w:val="en-CA"/>
              </w:rPr>
              <w:t xml:space="preserve"> Media Corp. v. Her Majesty the Queen AND BETWEEN </w:t>
            </w:r>
            <w:proofErr w:type="spellStart"/>
            <w:r w:rsidRPr="003A0638">
              <w:rPr>
                <w:rStyle w:val="SCCLsocChar"/>
                <w:sz w:val="20"/>
                <w:szCs w:val="20"/>
                <w:lang w:val="en-CA"/>
              </w:rPr>
              <w:t>Pluri</w:t>
            </w:r>
            <w:proofErr w:type="spellEnd"/>
            <w:r w:rsidRPr="003A0638">
              <w:rPr>
                <w:rStyle w:val="SCCLsocChar"/>
                <w:sz w:val="20"/>
                <w:szCs w:val="20"/>
                <w:lang w:val="en-CA"/>
              </w:rPr>
              <w:t xml:space="preserve"> </w:t>
            </w:r>
            <w:proofErr w:type="spellStart"/>
            <w:r w:rsidRPr="003A0638">
              <w:rPr>
                <w:rStyle w:val="SCCLsocChar"/>
                <w:sz w:val="20"/>
                <w:szCs w:val="20"/>
                <w:lang w:val="en-CA"/>
              </w:rPr>
              <w:t>Vox</w:t>
            </w:r>
            <w:proofErr w:type="spellEnd"/>
            <w:r w:rsidRPr="003A0638">
              <w:rPr>
                <w:rStyle w:val="SCCLsocChar"/>
                <w:sz w:val="20"/>
                <w:szCs w:val="20"/>
                <w:lang w:val="en-CA"/>
              </w:rPr>
              <w:t xml:space="preserve"> Media Corp. v. Minister of National Revenue</w:t>
            </w:r>
            <w:r w:rsidRPr="008748E6">
              <w:rPr>
                <w:sz w:val="20"/>
                <w:szCs w:val="20"/>
              </w:rPr>
              <w:t xml:space="preserve"> (F.C.) (Civil) (By Leave)</w:t>
            </w:r>
          </w:p>
          <w:p w:rsidR="003A0638" w:rsidRPr="008748E6" w:rsidRDefault="003A0638" w:rsidP="00AA4F37">
            <w:pPr>
              <w:jc w:val="both"/>
              <w:rPr>
                <w:sz w:val="20"/>
                <w:szCs w:val="20"/>
              </w:rPr>
            </w:pPr>
          </w:p>
        </w:tc>
      </w:tr>
      <w:tr w:rsidR="003A0638" w:rsidRPr="008748E6" w:rsidTr="00AA4F37">
        <w:trPr>
          <w:cantSplit/>
        </w:trPr>
        <w:tc>
          <w:tcPr>
            <w:tcW w:w="1458" w:type="dxa"/>
          </w:tcPr>
          <w:p w:rsidR="003A0638" w:rsidRPr="008748E6" w:rsidRDefault="003A0638" w:rsidP="00AA4F37">
            <w:pPr>
              <w:rPr>
                <w:sz w:val="20"/>
                <w:szCs w:val="20"/>
              </w:rPr>
            </w:pPr>
            <w:r w:rsidRPr="008748E6">
              <w:rPr>
                <w:sz w:val="20"/>
                <w:szCs w:val="20"/>
              </w:rPr>
              <w:t>Coram :</w:t>
            </w:r>
          </w:p>
        </w:tc>
        <w:tc>
          <w:tcPr>
            <w:tcW w:w="8118" w:type="dxa"/>
          </w:tcPr>
          <w:p w:rsidR="003A0638" w:rsidRPr="008748E6" w:rsidRDefault="003A0638" w:rsidP="00AA4F37">
            <w:pPr>
              <w:rPr>
                <w:sz w:val="20"/>
                <w:szCs w:val="20"/>
              </w:rPr>
            </w:pPr>
            <w:r w:rsidRPr="003A0638">
              <w:rPr>
                <w:rStyle w:val="SCCCoramChar"/>
                <w:sz w:val="20"/>
                <w:szCs w:val="20"/>
                <w:lang w:val="en-CA"/>
              </w:rPr>
              <w:t>Fish, Rothstein and Moldaver JJ.</w:t>
            </w:r>
          </w:p>
          <w:p w:rsidR="003A0638" w:rsidRPr="008748E6" w:rsidRDefault="003A0638" w:rsidP="00AA4F37">
            <w:pPr>
              <w:rPr>
                <w:sz w:val="20"/>
                <w:szCs w:val="20"/>
                <w:u w:val="single"/>
              </w:rPr>
            </w:pPr>
          </w:p>
        </w:tc>
      </w:tr>
      <w:tr w:rsidR="003A0638" w:rsidRPr="00B6040C" w:rsidTr="00AA4F37">
        <w:trPr>
          <w:cantSplit/>
        </w:trPr>
        <w:tc>
          <w:tcPr>
            <w:tcW w:w="9576" w:type="dxa"/>
            <w:gridSpan w:val="2"/>
          </w:tcPr>
          <w:p w:rsidR="003A0638" w:rsidRPr="008748E6" w:rsidRDefault="003A0638" w:rsidP="00AA4F37">
            <w:pPr>
              <w:pStyle w:val="SCCShortJudgment"/>
              <w:rPr>
                <w:szCs w:val="20"/>
              </w:rPr>
            </w:pPr>
            <w:r w:rsidRPr="008748E6">
              <w:rPr>
                <w:szCs w:val="20"/>
              </w:rPr>
              <w:t>The motion for an extension of time to serve and file the application for leave to appeal is granted. The application for leave to appeal from the judgment of the Federal Court of Appeal, Numbers A-219-11 and A-331-11, 2012 FCA 295, dated November 16, 2012, is dismissed with costs.</w:t>
            </w:r>
          </w:p>
          <w:p w:rsidR="003A0638" w:rsidRPr="008748E6" w:rsidRDefault="003A0638" w:rsidP="00AA4F37">
            <w:pPr>
              <w:pStyle w:val="SCCShortJudgment"/>
              <w:ind w:firstLine="0"/>
              <w:rPr>
                <w:szCs w:val="20"/>
              </w:rPr>
            </w:pPr>
          </w:p>
          <w:p w:rsidR="003A0638" w:rsidRPr="008748E6" w:rsidRDefault="003A0638" w:rsidP="00AA4F37">
            <w:pPr>
              <w:pStyle w:val="SCCShortJudgment"/>
              <w:rPr>
                <w:szCs w:val="20"/>
                <w:lang w:val="fr-CA"/>
              </w:rPr>
            </w:pPr>
            <w:r w:rsidRPr="008748E6">
              <w:rPr>
                <w:szCs w:val="20"/>
                <w:lang w:val="fr-CA"/>
              </w:rPr>
              <w:t>La requête en prorogation du délai de signification et de dépôt de la demande d’autorisation d’appel est accueillie. La demande d’autorisation d’appel de l’arrêt de la Cour d’appel fédérale, numéros A-219-11 et A-331-11, 2012 CAF 295, daté du 16 novembre 2012, est rejetée avec dépens.</w:t>
            </w:r>
          </w:p>
        </w:tc>
      </w:tr>
    </w:tbl>
    <w:p w:rsidR="00EA65C4" w:rsidRPr="003A0638" w:rsidRDefault="00EA65C4" w:rsidP="00EA65C4">
      <w:pPr>
        <w:rPr>
          <w:sz w:val="20"/>
          <w:szCs w:val="20"/>
          <w:lang w:val="fr-CA"/>
        </w:rPr>
      </w:pPr>
    </w:p>
    <w:p w:rsidR="00EA65C4" w:rsidRPr="001B157C" w:rsidRDefault="00EA65C4" w:rsidP="00EA65C4">
      <w:pPr>
        <w:rPr>
          <w:sz w:val="20"/>
          <w:szCs w:val="20"/>
          <w:u w:val="single"/>
        </w:rPr>
      </w:pPr>
      <w:r w:rsidRPr="001B157C">
        <w:rPr>
          <w:sz w:val="20"/>
          <w:szCs w:val="20"/>
          <w:u w:val="single"/>
        </w:rPr>
        <w:t>CASE SUMMARY</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76B3D" w:rsidRPr="0084490B" w:rsidTr="00120F8A">
        <w:tc>
          <w:tcPr>
            <w:tcW w:w="5000" w:type="pct"/>
            <w:gridSpan w:val="3"/>
          </w:tcPr>
          <w:p w:rsidR="00B76B3D" w:rsidRPr="0084490B" w:rsidRDefault="00B76B3D" w:rsidP="00120F8A">
            <w:pPr>
              <w:jc w:val="both"/>
              <w:rPr>
                <w:rFonts w:eastAsia="Calibri"/>
                <w:sz w:val="20"/>
              </w:rPr>
            </w:pPr>
            <w:r w:rsidRPr="0084490B">
              <w:rPr>
                <w:rFonts w:eastAsia="Calibri"/>
                <w:sz w:val="20"/>
              </w:rPr>
              <w:t xml:space="preserve">Employment law ― Employee ― Independent Contractor ― Taxation ― </w:t>
            </w:r>
            <w:r w:rsidRPr="0084490B">
              <w:rPr>
                <w:rFonts w:eastAsia="Calibri"/>
                <w:i/>
                <w:sz w:val="20"/>
              </w:rPr>
              <w:t xml:space="preserve">Income Tax Act </w:t>
            </w:r>
            <w:r w:rsidRPr="0084490B">
              <w:rPr>
                <w:rFonts w:eastAsia="Calibri"/>
                <w:sz w:val="20"/>
              </w:rPr>
              <w:t xml:space="preserve">― Minister alleging corporation failed to withhold and remit taxes paid to employee ― </w:t>
            </w:r>
            <w:r w:rsidRPr="0084490B">
              <w:rPr>
                <w:rFonts w:eastAsia="Calibri"/>
                <w:i/>
                <w:sz w:val="20"/>
              </w:rPr>
              <w:t xml:space="preserve">Canada Pension Plan </w:t>
            </w:r>
            <w:r w:rsidRPr="0084490B">
              <w:rPr>
                <w:rFonts w:eastAsia="Calibri"/>
                <w:sz w:val="20"/>
              </w:rPr>
              <w:t>― Corporation allegedly failing to contribute CPP contributions on behalf of employee ― Corporation claiming individual in question is an independent contractor and not an employee ― Lower courts finding individual to be an employee ― Legal test to be applied to determine whether a worker is an employee or an independent contractor ― Whether the lower  courts erred in their reasoning and conclusion that individual is an employee of the applicant corporation.</w:t>
            </w:r>
          </w:p>
        </w:tc>
      </w:tr>
      <w:tr w:rsidR="00B76B3D" w:rsidRPr="0084490B" w:rsidTr="00120F8A">
        <w:tc>
          <w:tcPr>
            <w:tcW w:w="5000" w:type="pct"/>
            <w:gridSpan w:val="3"/>
          </w:tcPr>
          <w:p w:rsidR="00B76B3D" w:rsidRPr="0084490B" w:rsidRDefault="00B76B3D" w:rsidP="00120F8A">
            <w:pPr>
              <w:jc w:val="both"/>
              <w:rPr>
                <w:rFonts w:eastAsia="Calibri"/>
                <w:sz w:val="20"/>
              </w:rPr>
            </w:pPr>
          </w:p>
        </w:tc>
      </w:tr>
      <w:tr w:rsidR="00B76B3D" w:rsidRPr="0084490B" w:rsidTr="00120F8A">
        <w:tc>
          <w:tcPr>
            <w:tcW w:w="5000" w:type="pct"/>
            <w:gridSpan w:val="3"/>
          </w:tcPr>
          <w:p w:rsidR="00B76B3D" w:rsidRPr="0084490B" w:rsidRDefault="00B76B3D" w:rsidP="00120F8A">
            <w:pPr>
              <w:jc w:val="both"/>
              <w:rPr>
                <w:rFonts w:eastAsia="Calibri"/>
                <w:sz w:val="20"/>
              </w:rPr>
            </w:pPr>
            <w:r w:rsidRPr="0084490B">
              <w:rPr>
                <w:rFonts w:eastAsia="Calibri"/>
                <w:sz w:val="20"/>
              </w:rPr>
              <w:t xml:space="preserve">The applicant, </w:t>
            </w:r>
            <w:proofErr w:type="spellStart"/>
            <w:r w:rsidRPr="0084490B">
              <w:rPr>
                <w:rFonts w:eastAsia="Calibri"/>
                <w:sz w:val="20"/>
              </w:rPr>
              <w:t>Pluri</w:t>
            </w:r>
            <w:proofErr w:type="spellEnd"/>
            <w:r w:rsidRPr="0084490B">
              <w:rPr>
                <w:rFonts w:eastAsia="Calibri"/>
                <w:sz w:val="20"/>
              </w:rPr>
              <w:t xml:space="preserve"> </w:t>
            </w:r>
            <w:proofErr w:type="spellStart"/>
            <w:r w:rsidRPr="0084490B">
              <w:rPr>
                <w:rFonts w:eastAsia="Calibri"/>
                <w:sz w:val="20"/>
              </w:rPr>
              <w:t>Vox</w:t>
            </w:r>
            <w:proofErr w:type="spellEnd"/>
            <w:r w:rsidRPr="0084490B">
              <w:rPr>
                <w:rFonts w:eastAsia="Calibri"/>
                <w:sz w:val="20"/>
              </w:rPr>
              <w:t xml:space="preserve"> Media Corp. appealed from two assessments, one under the </w:t>
            </w:r>
            <w:r w:rsidRPr="0084490B">
              <w:rPr>
                <w:rFonts w:eastAsia="Calibri"/>
                <w:i/>
                <w:sz w:val="20"/>
              </w:rPr>
              <w:t>Income Tax Act</w:t>
            </w:r>
            <w:r w:rsidRPr="0084490B">
              <w:rPr>
                <w:rFonts w:eastAsia="Calibri"/>
                <w:sz w:val="20"/>
              </w:rPr>
              <w:t xml:space="preserve"> on the basis the corporation failed to withhold and remit taxes paid to an employee and one from the provisions of the </w:t>
            </w:r>
            <w:r w:rsidRPr="0084490B">
              <w:rPr>
                <w:rFonts w:eastAsia="Calibri"/>
                <w:i/>
                <w:sz w:val="20"/>
              </w:rPr>
              <w:t xml:space="preserve">Canada Pension Plan </w:t>
            </w:r>
            <w:r w:rsidRPr="0084490B">
              <w:rPr>
                <w:rFonts w:eastAsia="Calibri"/>
                <w:sz w:val="20"/>
              </w:rPr>
              <w:t xml:space="preserve">on the basis the applicant corporation failed to contribute </w:t>
            </w:r>
            <w:r w:rsidRPr="0084490B">
              <w:rPr>
                <w:rFonts w:eastAsia="Calibri"/>
                <w:i/>
                <w:sz w:val="20"/>
              </w:rPr>
              <w:t>Canada Pension Plan</w:t>
            </w:r>
            <w:r w:rsidRPr="0084490B">
              <w:rPr>
                <w:rFonts w:eastAsia="Calibri"/>
                <w:sz w:val="20"/>
              </w:rPr>
              <w:t xml:space="preserve"> contributions on behalf of an employee.  The applicant corporation claimed the individual in question, Mr. </w:t>
            </w:r>
            <w:proofErr w:type="spellStart"/>
            <w:r w:rsidRPr="0084490B">
              <w:rPr>
                <w:rFonts w:eastAsia="Calibri"/>
                <w:sz w:val="20"/>
              </w:rPr>
              <w:t>Reesink</w:t>
            </w:r>
            <w:proofErr w:type="spellEnd"/>
            <w:r w:rsidRPr="0084490B">
              <w:rPr>
                <w:rFonts w:eastAsia="Calibri"/>
                <w:sz w:val="20"/>
              </w:rPr>
              <w:t xml:space="preserve"> was an independent contractor and therefore, not an employee.  </w:t>
            </w:r>
          </w:p>
          <w:p w:rsidR="00B76B3D" w:rsidRPr="0084490B" w:rsidRDefault="00B76B3D" w:rsidP="00120F8A">
            <w:pPr>
              <w:jc w:val="both"/>
              <w:rPr>
                <w:rFonts w:eastAsia="Calibri"/>
                <w:sz w:val="20"/>
              </w:rPr>
            </w:pPr>
          </w:p>
          <w:p w:rsidR="00B76B3D" w:rsidRPr="0084490B" w:rsidRDefault="00B76B3D" w:rsidP="00120F8A">
            <w:pPr>
              <w:jc w:val="both"/>
              <w:rPr>
                <w:rFonts w:eastAsia="Calibri"/>
                <w:sz w:val="20"/>
              </w:rPr>
            </w:pPr>
            <w:r w:rsidRPr="0084490B">
              <w:rPr>
                <w:rFonts w:eastAsia="Calibri"/>
                <w:sz w:val="20"/>
              </w:rPr>
              <w:t xml:space="preserve">The Tax Court judge dismissed the appeals.  The Federal Court of Appeal also dismissed the appeal.  </w:t>
            </w:r>
          </w:p>
          <w:p w:rsidR="00B76B3D" w:rsidRPr="0084490B" w:rsidRDefault="00B76B3D" w:rsidP="00120F8A">
            <w:pPr>
              <w:jc w:val="both"/>
              <w:rPr>
                <w:rFonts w:eastAsia="Calibri"/>
                <w:sz w:val="20"/>
              </w:rPr>
            </w:pPr>
          </w:p>
        </w:tc>
      </w:tr>
      <w:tr w:rsidR="00B76B3D" w:rsidRPr="0084490B" w:rsidTr="00120F8A">
        <w:tc>
          <w:tcPr>
            <w:tcW w:w="2427" w:type="pct"/>
          </w:tcPr>
          <w:p w:rsidR="00B76B3D" w:rsidRPr="0084490B" w:rsidRDefault="00B76B3D" w:rsidP="00120F8A">
            <w:pPr>
              <w:jc w:val="both"/>
              <w:rPr>
                <w:rFonts w:eastAsia="Calibri"/>
                <w:sz w:val="20"/>
              </w:rPr>
            </w:pPr>
            <w:r w:rsidRPr="0084490B">
              <w:rPr>
                <w:rFonts w:eastAsia="Calibri"/>
                <w:sz w:val="20"/>
              </w:rPr>
              <w:t>May 3, 2011</w:t>
            </w:r>
          </w:p>
          <w:p w:rsidR="00B76B3D" w:rsidRPr="0084490B" w:rsidRDefault="00B76B3D" w:rsidP="00120F8A">
            <w:pPr>
              <w:jc w:val="both"/>
              <w:rPr>
                <w:rFonts w:eastAsia="Calibri"/>
                <w:sz w:val="20"/>
              </w:rPr>
            </w:pPr>
            <w:r w:rsidRPr="0084490B">
              <w:rPr>
                <w:rFonts w:eastAsia="Calibri"/>
                <w:sz w:val="20"/>
              </w:rPr>
              <w:t>Tax Court of Canada</w:t>
            </w:r>
          </w:p>
          <w:p w:rsidR="00B76B3D" w:rsidRPr="0084490B" w:rsidRDefault="00B76B3D" w:rsidP="00120F8A">
            <w:pPr>
              <w:jc w:val="both"/>
              <w:rPr>
                <w:rFonts w:eastAsia="Calibri"/>
                <w:sz w:val="20"/>
              </w:rPr>
            </w:pPr>
            <w:r w:rsidRPr="0084490B">
              <w:rPr>
                <w:rFonts w:eastAsia="Calibri"/>
                <w:sz w:val="20"/>
              </w:rPr>
              <w:t>(Rip C.J.)</w:t>
            </w:r>
          </w:p>
          <w:p w:rsidR="00B76B3D" w:rsidRDefault="00B76B3D" w:rsidP="00120F8A">
            <w:pPr>
              <w:jc w:val="both"/>
              <w:rPr>
                <w:rFonts w:eastAsia="Calibri"/>
                <w:sz w:val="20"/>
              </w:rPr>
            </w:pPr>
            <w:r w:rsidRPr="0084490B">
              <w:rPr>
                <w:rFonts w:eastAsia="Calibri"/>
                <w:sz w:val="20"/>
              </w:rPr>
              <w:t>2011 TCC 237</w:t>
            </w:r>
          </w:p>
          <w:p w:rsidR="00D40839" w:rsidRPr="0084490B" w:rsidRDefault="00D40839" w:rsidP="00120F8A">
            <w:pPr>
              <w:jc w:val="both"/>
              <w:rPr>
                <w:rFonts w:eastAsia="Calibri"/>
                <w:sz w:val="20"/>
              </w:rPr>
            </w:pPr>
          </w:p>
        </w:tc>
        <w:tc>
          <w:tcPr>
            <w:tcW w:w="243" w:type="pct"/>
          </w:tcPr>
          <w:p w:rsidR="00B76B3D" w:rsidRPr="0084490B" w:rsidRDefault="00B76B3D" w:rsidP="00120F8A">
            <w:pPr>
              <w:jc w:val="both"/>
              <w:rPr>
                <w:rFonts w:eastAsia="Calibri"/>
                <w:sz w:val="20"/>
              </w:rPr>
            </w:pPr>
          </w:p>
        </w:tc>
        <w:tc>
          <w:tcPr>
            <w:tcW w:w="2330" w:type="pct"/>
          </w:tcPr>
          <w:p w:rsidR="00B76B3D" w:rsidRPr="0084490B" w:rsidRDefault="00B76B3D" w:rsidP="00120F8A">
            <w:pPr>
              <w:jc w:val="both"/>
              <w:rPr>
                <w:rFonts w:eastAsia="Calibri"/>
                <w:sz w:val="20"/>
              </w:rPr>
            </w:pPr>
            <w:r w:rsidRPr="0084490B">
              <w:rPr>
                <w:rFonts w:eastAsia="Calibri"/>
                <w:sz w:val="20"/>
              </w:rPr>
              <w:t xml:space="preserve">Appeal from assessment under the </w:t>
            </w:r>
            <w:r w:rsidRPr="0084490B">
              <w:rPr>
                <w:rFonts w:eastAsia="Calibri"/>
                <w:i/>
                <w:sz w:val="20"/>
              </w:rPr>
              <w:t>Income Tax Act</w:t>
            </w:r>
            <w:r w:rsidRPr="0084490B">
              <w:rPr>
                <w:rFonts w:eastAsia="Calibri"/>
                <w:sz w:val="20"/>
              </w:rPr>
              <w:t xml:space="preserve"> for 2008 taxation year, dismissed</w:t>
            </w:r>
            <w:proofErr w:type="gramStart"/>
            <w:r w:rsidRPr="0084490B">
              <w:rPr>
                <w:rFonts w:eastAsia="Calibri"/>
                <w:sz w:val="20"/>
              </w:rPr>
              <w:t>;  Appeal</w:t>
            </w:r>
            <w:proofErr w:type="gramEnd"/>
            <w:r w:rsidRPr="0084490B">
              <w:rPr>
                <w:rFonts w:eastAsia="Calibri"/>
                <w:sz w:val="20"/>
              </w:rPr>
              <w:t xml:space="preserve"> from decision made pursuant to the </w:t>
            </w:r>
            <w:r w:rsidRPr="0084490B">
              <w:rPr>
                <w:rFonts w:eastAsia="Calibri"/>
                <w:i/>
                <w:sz w:val="20"/>
              </w:rPr>
              <w:t>Canada Pension Plan</w:t>
            </w:r>
            <w:r w:rsidRPr="0084490B">
              <w:rPr>
                <w:rFonts w:eastAsia="Calibri"/>
                <w:sz w:val="20"/>
              </w:rPr>
              <w:t>, dismissed.</w:t>
            </w:r>
          </w:p>
          <w:p w:rsidR="00B76B3D" w:rsidRPr="0084490B" w:rsidRDefault="00B76B3D" w:rsidP="00120F8A">
            <w:pPr>
              <w:jc w:val="both"/>
              <w:rPr>
                <w:rFonts w:eastAsia="Calibri"/>
                <w:sz w:val="20"/>
              </w:rPr>
            </w:pPr>
          </w:p>
        </w:tc>
      </w:tr>
      <w:tr w:rsidR="00B76B3D" w:rsidRPr="0084490B" w:rsidTr="00120F8A">
        <w:tc>
          <w:tcPr>
            <w:tcW w:w="2427" w:type="pct"/>
          </w:tcPr>
          <w:p w:rsidR="00B76B3D" w:rsidRPr="0084490B" w:rsidRDefault="00B76B3D" w:rsidP="00120F8A">
            <w:pPr>
              <w:jc w:val="both"/>
              <w:rPr>
                <w:rFonts w:eastAsia="Calibri"/>
                <w:sz w:val="20"/>
              </w:rPr>
            </w:pPr>
            <w:r w:rsidRPr="0084490B">
              <w:rPr>
                <w:rFonts w:eastAsia="Calibri"/>
                <w:sz w:val="20"/>
              </w:rPr>
              <w:t>November 16, 2012</w:t>
            </w:r>
          </w:p>
          <w:p w:rsidR="00B76B3D" w:rsidRPr="0084490B" w:rsidRDefault="00B76B3D" w:rsidP="00120F8A">
            <w:pPr>
              <w:jc w:val="both"/>
              <w:rPr>
                <w:rFonts w:eastAsia="Calibri"/>
                <w:sz w:val="20"/>
              </w:rPr>
            </w:pPr>
            <w:r w:rsidRPr="0084490B">
              <w:rPr>
                <w:rFonts w:eastAsia="Calibri"/>
                <w:sz w:val="20"/>
              </w:rPr>
              <w:t>Federal Court of Appeal</w:t>
            </w:r>
          </w:p>
          <w:p w:rsidR="00B76B3D" w:rsidRPr="0084490B" w:rsidRDefault="00B76B3D" w:rsidP="00120F8A">
            <w:pPr>
              <w:jc w:val="both"/>
              <w:rPr>
                <w:rFonts w:eastAsia="Calibri"/>
                <w:sz w:val="20"/>
              </w:rPr>
            </w:pPr>
            <w:r w:rsidRPr="0084490B">
              <w:rPr>
                <w:rFonts w:eastAsia="Calibri"/>
                <w:sz w:val="20"/>
              </w:rPr>
              <w:t xml:space="preserve">(Noël, </w:t>
            </w:r>
            <w:proofErr w:type="spellStart"/>
            <w:r w:rsidRPr="0084490B">
              <w:rPr>
                <w:rFonts w:eastAsia="Calibri"/>
                <w:sz w:val="20"/>
              </w:rPr>
              <w:t>Trudel</w:t>
            </w:r>
            <w:proofErr w:type="spellEnd"/>
            <w:r w:rsidRPr="0084490B">
              <w:rPr>
                <w:rFonts w:eastAsia="Calibri"/>
                <w:sz w:val="20"/>
              </w:rPr>
              <w:t xml:space="preserve"> and Webb JJ.A.)</w:t>
            </w:r>
          </w:p>
          <w:p w:rsidR="00B76B3D" w:rsidRPr="0084490B" w:rsidRDefault="00B76B3D" w:rsidP="00120F8A">
            <w:pPr>
              <w:jc w:val="both"/>
              <w:rPr>
                <w:rFonts w:eastAsia="Calibri"/>
                <w:sz w:val="20"/>
              </w:rPr>
            </w:pPr>
            <w:r w:rsidRPr="0084490B">
              <w:rPr>
                <w:rFonts w:eastAsia="Calibri"/>
                <w:sz w:val="20"/>
              </w:rPr>
              <w:t>2012 FCA 295</w:t>
            </w:r>
          </w:p>
          <w:p w:rsidR="00B76B3D" w:rsidRPr="0084490B" w:rsidRDefault="00B76B3D" w:rsidP="00120F8A">
            <w:pPr>
              <w:jc w:val="both"/>
              <w:rPr>
                <w:rFonts w:eastAsia="Calibri"/>
                <w:sz w:val="20"/>
              </w:rPr>
            </w:pPr>
          </w:p>
        </w:tc>
        <w:tc>
          <w:tcPr>
            <w:tcW w:w="243" w:type="pct"/>
          </w:tcPr>
          <w:p w:rsidR="00B76B3D" w:rsidRPr="0084490B" w:rsidRDefault="00B76B3D" w:rsidP="00120F8A">
            <w:pPr>
              <w:jc w:val="both"/>
              <w:rPr>
                <w:rFonts w:eastAsia="Calibri"/>
                <w:sz w:val="20"/>
              </w:rPr>
            </w:pPr>
          </w:p>
        </w:tc>
        <w:tc>
          <w:tcPr>
            <w:tcW w:w="2330" w:type="pct"/>
          </w:tcPr>
          <w:p w:rsidR="00B76B3D" w:rsidRPr="0084490B" w:rsidRDefault="00B76B3D" w:rsidP="00120F8A">
            <w:pPr>
              <w:jc w:val="both"/>
              <w:rPr>
                <w:rFonts w:eastAsia="Calibri"/>
                <w:sz w:val="20"/>
              </w:rPr>
            </w:pPr>
            <w:r w:rsidRPr="0084490B">
              <w:rPr>
                <w:rFonts w:eastAsia="Calibri"/>
                <w:sz w:val="20"/>
              </w:rPr>
              <w:t>Appeal dismissed.</w:t>
            </w:r>
          </w:p>
          <w:p w:rsidR="00B76B3D" w:rsidRPr="0084490B" w:rsidRDefault="00B76B3D" w:rsidP="00120F8A">
            <w:pPr>
              <w:jc w:val="both"/>
              <w:rPr>
                <w:rFonts w:eastAsia="Calibri"/>
                <w:sz w:val="20"/>
              </w:rPr>
            </w:pPr>
          </w:p>
        </w:tc>
      </w:tr>
      <w:tr w:rsidR="00B76B3D" w:rsidRPr="0084490B" w:rsidTr="00120F8A">
        <w:tc>
          <w:tcPr>
            <w:tcW w:w="2427" w:type="pct"/>
          </w:tcPr>
          <w:p w:rsidR="00B76B3D" w:rsidRPr="0084490B" w:rsidRDefault="00B76B3D" w:rsidP="00120F8A">
            <w:pPr>
              <w:jc w:val="both"/>
              <w:rPr>
                <w:rFonts w:eastAsia="Calibri"/>
                <w:sz w:val="20"/>
              </w:rPr>
            </w:pPr>
            <w:r w:rsidRPr="0084490B">
              <w:rPr>
                <w:rFonts w:eastAsia="Calibri"/>
                <w:sz w:val="20"/>
              </w:rPr>
              <w:t>January 16, 2013</w:t>
            </w:r>
          </w:p>
          <w:p w:rsidR="00B76B3D" w:rsidRPr="0084490B" w:rsidRDefault="00B76B3D" w:rsidP="00120F8A">
            <w:pPr>
              <w:jc w:val="both"/>
              <w:rPr>
                <w:rFonts w:eastAsia="Calibri"/>
                <w:sz w:val="20"/>
              </w:rPr>
            </w:pPr>
            <w:r w:rsidRPr="0084490B">
              <w:rPr>
                <w:rFonts w:eastAsia="Calibri"/>
                <w:sz w:val="20"/>
              </w:rPr>
              <w:t>Supreme Court of Canada</w:t>
            </w:r>
          </w:p>
          <w:p w:rsidR="00B76B3D" w:rsidRPr="0084490B" w:rsidRDefault="00B76B3D" w:rsidP="00120F8A">
            <w:pPr>
              <w:jc w:val="both"/>
              <w:rPr>
                <w:rFonts w:eastAsia="Calibri"/>
                <w:sz w:val="20"/>
              </w:rPr>
            </w:pPr>
          </w:p>
        </w:tc>
        <w:tc>
          <w:tcPr>
            <w:tcW w:w="243" w:type="pct"/>
          </w:tcPr>
          <w:p w:rsidR="00B76B3D" w:rsidRPr="0084490B" w:rsidRDefault="00B76B3D" w:rsidP="00120F8A">
            <w:pPr>
              <w:jc w:val="both"/>
              <w:rPr>
                <w:rFonts w:eastAsia="Calibri"/>
                <w:sz w:val="20"/>
              </w:rPr>
            </w:pPr>
          </w:p>
        </w:tc>
        <w:tc>
          <w:tcPr>
            <w:tcW w:w="2330" w:type="pct"/>
          </w:tcPr>
          <w:p w:rsidR="00B76B3D" w:rsidRPr="0084490B" w:rsidRDefault="00B76B3D" w:rsidP="00120F8A">
            <w:pPr>
              <w:jc w:val="both"/>
              <w:rPr>
                <w:rFonts w:eastAsia="Calibri"/>
                <w:sz w:val="20"/>
              </w:rPr>
            </w:pPr>
            <w:r w:rsidRPr="0084490B">
              <w:rPr>
                <w:rFonts w:eastAsia="Calibri"/>
                <w:sz w:val="20"/>
              </w:rPr>
              <w:t>Application for leave to appeal filed.</w:t>
            </w:r>
          </w:p>
          <w:p w:rsidR="00B76B3D" w:rsidRPr="0084490B" w:rsidRDefault="00B76B3D" w:rsidP="00120F8A">
            <w:pPr>
              <w:jc w:val="both"/>
              <w:rPr>
                <w:rFonts w:eastAsia="Calibri"/>
                <w:sz w:val="20"/>
              </w:rPr>
            </w:pPr>
          </w:p>
        </w:tc>
      </w:tr>
      <w:tr w:rsidR="00B76B3D" w:rsidRPr="0084490B" w:rsidTr="00120F8A">
        <w:tc>
          <w:tcPr>
            <w:tcW w:w="2427" w:type="pct"/>
          </w:tcPr>
          <w:p w:rsidR="00B76B3D" w:rsidRPr="0084490B" w:rsidRDefault="00B76B3D" w:rsidP="00120F8A">
            <w:pPr>
              <w:jc w:val="both"/>
              <w:rPr>
                <w:rFonts w:eastAsia="Calibri"/>
                <w:sz w:val="20"/>
              </w:rPr>
            </w:pPr>
            <w:r w:rsidRPr="0084490B">
              <w:rPr>
                <w:rFonts w:eastAsia="Calibri"/>
                <w:sz w:val="20"/>
              </w:rPr>
              <w:t>January 25, 2013</w:t>
            </w:r>
          </w:p>
          <w:p w:rsidR="00B76B3D" w:rsidRPr="0084490B" w:rsidRDefault="00B76B3D" w:rsidP="00120F8A">
            <w:pPr>
              <w:jc w:val="both"/>
              <w:rPr>
                <w:rFonts w:eastAsia="Calibri"/>
                <w:sz w:val="20"/>
              </w:rPr>
            </w:pPr>
            <w:r w:rsidRPr="0084490B">
              <w:rPr>
                <w:rFonts w:eastAsia="Calibri"/>
                <w:sz w:val="20"/>
              </w:rPr>
              <w:t>Supreme Court of Canada</w:t>
            </w:r>
          </w:p>
        </w:tc>
        <w:tc>
          <w:tcPr>
            <w:tcW w:w="243" w:type="pct"/>
          </w:tcPr>
          <w:p w:rsidR="00B76B3D" w:rsidRPr="0084490B" w:rsidRDefault="00B76B3D" w:rsidP="00120F8A">
            <w:pPr>
              <w:jc w:val="both"/>
              <w:rPr>
                <w:rFonts w:eastAsia="Calibri"/>
                <w:sz w:val="20"/>
              </w:rPr>
            </w:pPr>
          </w:p>
        </w:tc>
        <w:tc>
          <w:tcPr>
            <w:tcW w:w="2330" w:type="pct"/>
          </w:tcPr>
          <w:p w:rsidR="00B76B3D" w:rsidRPr="0084490B" w:rsidRDefault="00B76B3D" w:rsidP="00120F8A">
            <w:pPr>
              <w:jc w:val="both"/>
              <w:rPr>
                <w:rFonts w:eastAsia="Calibri"/>
                <w:sz w:val="20"/>
              </w:rPr>
            </w:pPr>
            <w:r w:rsidRPr="0084490B">
              <w:rPr>
                <w:rFonts w:eastAsia="Calibri"/>
                <w:sz w:val="20"/>
              </w:rPr>
              <w:t>Applicant motion for extension of time to file and/or serve leave application filed.</w:t>
            </w:r>
          </w:p>
        </w:tc>
      </w:tr>
    </w:tbl>
    <w:p w:rsidR="00EA65C4" w:rsidRDefault="00EA65C4" w:rsidP="00EA65C4">
      <w:pPr>
        <w:rPr>
          <w:sz w:val="20"/>
          <w:szCs w:val="20"/>
        </w:rPr>
      </w:pPr>
    </w:p>
    <w:p w:rsidR="00EA65C4" w:rsidRPr="00C50A5C" w:rsidRDefault="0028676C" w:rsidP="00EA65C4">
      <w:pPr>
        <w:rPr>
          <w:sz w:val="20"/>
          <w:szCs w:val="20"/>
        </w:rPr>
      </w:pPr>
      <w:r w:rsidRPr="0028676C">
        <w:rPr>
          <w:sz w:val="20"/>
          <w:szCs w:val="20"/>
          <w:lang w:val="fr-CA"/>
        </w:rPr>
        <w:pict>
          <v:rect id="_x0000_i1059" style="width:2in;height:1pt" o:hrpct="0" o:hralign="center" o:hrstd="t" o:hrnoshade="t" o:hr="t" fillcolor="black [3213]" stroked="f"/>
        </w:pict>
      </w:r>
    </w:p>
    <w:p w:rsidR="00EA65C4" w:rsidRDefault="00EA65C4" w:rsidP="00EA65C4">
      <w:pPr>
        <w:rPr>
          <w:sz w:val="20"/>
          <w:szCs w:val="20"/>
        </w:rPr>
      </w:pPr>
    </w:p>
    <w:p w:rsidR="00EA65C4" w:rsidRPr="001B157C" w:rsidRDefault="00EA65C4" w:rsidP="00EA65C4">
      <w:pPr>
        <w:rPr>
          <w:sz w:val="20"/>
          <w:szCs w:val="20"/>
          <w:u w:val="single"/>
          <w:lang w:val="fr-CA"/>
        </w:rPr>
      </w:pPr>
      <w:r w:rsidRPr="001B157C">
        <w:rPr>
          <w:sz w:val="20"/>
          <w:szCs w:val="20"/>
          <w:u w:val="single"/>
          <w:lang w:val="fr-CA"/>
        </w:rPr>
        <w:t>RÉSUMÉ DE L’AFFAIRE</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76B3D" w:rsidRPr="00B6040C" w:rsidTr="00120F8A">
        <w:tc>
          <w:tcPr>
            <w:tcW w:w="5000" w:type="pct"/>
            <w:gridSpan w:val="3"/>
          </w:tcPr>
          <w:p w:rsidR="00B76B3D" w:rsidRPr="0084490B" w:rsidRDefault="00B76B3D" w:rsidP="00120F8A">
            <w:pPr>
              <w:jc w:val="both"/>
              <w:rPr>
                <w:rFonts w:eastAsia="Calibri"/>
                <w:sz w:val="20"/>
                <w:lang w:val="fr-CA"/>
              </w:rPr>
            </w:pPr>
            <w:r w:rsidRPr="0084490B">
              <w:rPr>
                <w:rFonts w:eastAsia="Calibri"/>
                <w:sz w:val="20"/>
                <w:lang w:val="fr-CA"/>
              </w:rPr>
              <w:t xml:space="preserve">Droit de l’emploi ― Employé ― Entrepreneur indépendant ― Droit fiscal ― </w:t>
            </w:r>
            <w:r w:rsidRPr="0084490B">
              <w:rPr>
                <w:rFonts w:eastAsia="Calibri"/>
                <w:i/>
                <w:sz w:val="20"/>
                <w:lang w:val="fr-CA"/>
              </w:rPr>
              <w:t xml:space="preserve">Loi de l’impôt sur le revenu </w:t>
            </w:r>
            <w:r w:rsidRPr="0084490B">
              <w:rPr>
                <w:rFonts w:eastAsia="Calibri"/>
                <w:sz w:val="20"/>
                <w:lang w:val="fr-CA"/>
              </w:rPr>
              <w:t xml:space="preserve">― Prétention du ministre selon laquelle la société n’a pas retenu et versé le montant des retenues fiscales à l’égard de son employé ― </w:t>
            </w:r>
            <w:r w:rsidRPr="0084490B">
              <w:rPr>
                <w:rFonts w:eastAsia="Calibri"/>
                <w:i/>
                <w:sz w:val="20"/>
                <w:lang w:val="fr-CA"/>
              </w:rPr>
              <w:t xml:space="preserve">Régime de pensions du Canada </w:t>
            </w:r>
            <w:r w:rsidRPr="0084490B">
              <w:rPr>
                <w:rFonts w:eastAsia="Calibri"/>
                <w:sz w:val="20"/>
                <w:lang w:val="fr-CA"/>
              </w:rPr>
              <w:t>― Prétention selon laquelle la société aurait omis de cotiser au Régime de pensions du Canada au nom de son employé ― Affirmation par la société que la personne est non pas un employé, mais un entrepreneur indépendant ― Conclusion par les juridictions inférieures que la personne est un employé ― Critère juridique applicable pour déterminer si un travailleur constitue un employé ou un entrepreneur indépendant ― Les juridictions inférieures ont-elles fait erreur dans leur raisonnement et leur conclusion selon laquelle la personne constitue un employé de la société demanderesse?</w:t>
            </w:r>
          </w:p>
        </w:tc>
      </w:tr>
      <w:tr w:rsidR="00B76B3D" w:rsidRPr="00B6040C" w:rsidTr="00120F8A">
        <w:tc>
          <w:tcPr>
            <w:tcW w:w="5000" w:type="pct"/>
            <w:gridSpan w:val="3"/>
          </w:tcPr>
          <w:p w:rsidR="00B76B3D" w:rsidRPr="0084490B" w:rsidRDefault="00B76B3D" w:rsidP="00120F8A">
            <w:pPr>
              <w:jc w:val="both"/>
              <w:rPr>
                <w:rFonts w:eastAsia="Calibri"/>
                <w:sz w:val="20"/>
                <w:lang w:val="fr-CA"/>
              </w:rPr>
            </w:pPr>
          </w:p>
        </w:tc>
      </w:tr>
      <w:tr w:rsidR="00B76B3D" w:rsidRPr="00B6040C" w:rsidTr="00120F8A">
        <w:tc>
          <w:tcPr>
            <w:tcW w:w="5000" w:type="pct"/>
            <w:gridSpan w:val="3"/>
          </w:tcPr>
          <w:p w:rsidR="00B76B3D" w:rsidRPr="0084490B" w:rsidRDefault="00B76B3D" w:rsidP="00120F8A">
            <w:pPr>
              <w:jc w:val="both"/>
              <w:rPr>
                <w:rFonts w:eastAsia="Calibri"/>
                <w:sz w:val="20"/>
                <w:lang w:val="fr-CA"/>
              </w:rPr>
            </w:pPr>
            <w:r w:rsidRPr="0084490B">
              <w:rPr>
                <w:rFonts w:eastAsia="Calibri"/>
                <w:sz w:val="20"/>
                <w:lang w:val="fr-CA"/>
              </w:rPr>
              <w:t xml:space="preserve">La demanderesse, Pluri Vox Media Corp., interjette appel de deux cotisations, la première établie en vertu de la </w:t>
            </w:r>
            <w:r w:rsidRPr="0084490B">
              <w:rPr>
                <w:rFonts w:eastAsia="Calibri"/>
                <w:i/>
                <w:sz w:val="20"/>
                <w:lang w:val="fr-CA"/>
              </w:rPr>
              <w:t>Loi de l’impôt sur le revenu</w:t>
            </w:r>
            <w:r w:rsidRPr="0084490B">
              <w:rPr>
                <w:rFonts w:eastAsia="Calibri"/>
                <w:sz w:val="20"/>
                <w:lang w:val="fr-CA"/>
              </w:rPr>
              <w:t xml:space="preserve">, et selon laquelle la société n’a pas retenu et versé le montant des retenues fiscales à l’égard de son employé; la seconde établie en vertu du </w:t>
            </w:r>
            <w:r w:rsidRPr="0084490B">
              <w:rPr>
                <w:rFonts w:eastAsia="Calibri"/>
                <w:i/>
                <w:sz w:val="20"/>
                <w:lang w:val="fr-CA"/>
              </w:rPr>
              <w:t>Régime de pensions du Canada</w:t>
            </w:r>
            <w:r w:rsidRPr="0084490B">
              <w:rPr>
                <w:rFonts w:eastAsia="Calibri"/>
                <w:sz w:val="20"/>
                <w:lang w:val="fr-CA"/>
              </w:rPr>
              <w:t>, et selon laquelle la société demanderesse aurait omis de cotiser au Régime de pensions du Canada au nom de son employé.  La société demanderesse prétend que la personne en cause, M. </w:t>
            </w:r>
            <w:proofErr w:type="spellStart"/>
            <w:r w:rsidRPr="0084490B">
              <w:rPr>
                <w:rFonts w:eastAsia="Calibri"/>
                <w:sz w:val="20"/>
                <w:lang w:val="fr-CA"/>
              </w:rPr>
              <w:t>Reesink</w:t>
            </w:r>
            <w:proofErr w:type="spellEnd"/>
            <w:r w:rsidRPr="0084490B">
              <w:rPr>
                <w:rFonts w:eastAsia="Calibri"/>
                <w:sz w:val="20"/>
                <w:lang w:val="fr-CA"/>
              </w:rPr>
              <w:t xml:space="preserve">, était un entrepreneur indépendant et, partant, n’était pas un employé.  </w:t>
            </w:r>
          </w:p>
          <w:p w:rsidR="00B76B3D" w:rsidRPr="0084490B" w:rsidRDefault="00B76B3D" w:rsidP="00120F8A">
            <w:pPr>
              <w:jc w:val="both"/>
              <w:rPr>
                <w:rFonts w:eastAsia="Calibri"/>
                <w:sz w:val="20"/>
                <w:lang w:val="fr-CA"/>
              </w:rPr>
            </w:pPr>
          </w:p>
          <w:p w:rsidR="00B76B3D" w:rsidRPr="0084490B" w:rsidRDefault="00B76B3D" w:rsidP="00120F8A">
            <w:pPr>
              <w:jc w:val="both"/>
              <w:rPr>
                <w:rFonts w:eastAsia="Calibri"/>
                <w:sz w:val="20"/>
                <w:lang w:val="fr-CA"/>
              </w:rPr>
            </w:pPr>
            <w:r w:rsidRPr="0084490B">
              <w:rPr>
                <w:rFonts w:eastAsia="Calibri"/>
                <w:sz w:val="20"/>
                <w:lang w:val="fr-CA"/>
              </w:rPr>
              <w:t xml:space="preserve">Le juge de la Cour de l’impôt a rejeté les appels.  La Cour d’appel fédérale a également rejeté l’appel.  </w:t>
            </w:r>
          </w:p>
          <w:p w:rsidR="00B76B3D" w:rsidRPr="0084490B" w:rsidRDefault="00B76B3D" w:rsidP="00120F8A">
            <w:pPr>
              <w:jc w:val="both"/>
              <w:rPr>
                <w:rFonts w:eastAsia="Calibri"/>
                <w:sz w:val="20"/>
                <w:lang w:val="fr-CA"/>
              </w:rPr>
            </w:pPr>
          </w:p>
        </w:tc>
      </w:tr>
      <w:tr w:rsidR="00B76B3D" w:rsidRPr="00B6040C" w:rsidTr="00120F8A">
        <w:tc>
          <w:tcPr>
            <w:tcW w:w="2427" w:type="pct"/>
          </w:tcPr>
          <w:p w:rsidR="00B76B3D" w:rsidRPr="0084490B" w:rsidRDefault="00B76B3D" w:rsidP="00120F8A">
            <w:pPr>
              <w:jc w:val="both"/>
              <w:rPr>
                <w:rFonts w:eastAsia="Calibri"/>
                <w:sz w:val="20"/>
                <w:lang w:val="fr-CA"/>
              </w:rPr>
            </w:pPr>
            <w:r w:rsidRPr="0084490B">
              <w:rPr>
                <w:rFonts w:eastAsia="Calibri"/>
                <w:sz w:val="20"/>
                <w:lang w:val="fr-CA"/>
              </w:rPr>
              <w:t>3 mai 2011</w:t>
            </w:r>
          </w:p>
          <w:p w:rsidR="00B76B3D" w:rsidRPr="0084490B" w:rsidRDefault="00B76B3D" w:rsidP="00120F8A">
            <w:pPr>
              <w:jc w:val="both"/>
              <w:rPr>
                <w:rFonts w:eastAsia="Calibri"/>
                <w:sz w:val="20"/>
                <w:lang w:val="fr-CA"/>
              </w:rPr>
            </w:pPr>
            <w:r w:rsidRPr="0084490B">
              <w:rPr>
                <w:rFonts w:eastAsia="Calibri"/>
                <w:sz w:val="20"/>
                <w:lang w:val="fr-CA"/>
              </w:rPr>
              <w:t>Cour canadienne de l’impôt</w:t>
            </w:r>
          </w:p>
          <w:p w:rsidR="00B76B3D" w:rsidRPr="0084490B" w:rsidRDefault="00B76B3D" w:rsidP="00120F8A">
            <w:pPr>
              <w:jc w:val="both"/>
              <w:rPr>
                <w:rFonts w:eastAsia="Calibri"/>
                <w:sz w:val="20"/>
                <w:lang w:val="fr-CA"/>
              </w:rPr>
            </w:pPr>
            <w:r w:rsidRPr="0084490B">
              <w:rPr>
                <w:rFonts w:eastAsia="Calibri"/>
                <w:sz w:val="20"/>
                <w:lang w:val="fr-CA"/>
              </w:rPr>
              <w:t xml:space="preserve">(juge en chef </w:t>
            </w:r>
            <w:proofErr w:type="spellStart"/>
            <w:r w:rsidRPr="0084490B">
              <w:rPr>
                <w:rFonts w:eastAsia="Calibri"/>
                <w:sz w:val="20"/>
                <w:lang w:val="fr-CA"/>
              </w:rPr>
              <w:t>Rip</w:t>
            </w:r>
            <w:proofErr w:type="spellEnd"/>
            <w:r w:rsidRPr="0084490B">
              <w:rPr>
                <w:rFonts w:eastAsia="Calibri"/>
                <w:sz w:val="20"/>
                <w:lang w:val="fr-CA"/>
              </w:rPr>
              <w:t>)</w:t>
            </w:r>
          </w:p>
          <w:p w:rsidR="00B76B3D" w:rsidRPr="0084490B" w:rsidRDefault="00B76B3D" w:rsidP="00120F8A">
            <w:pPr>
              <w:jc w:val="both"/>
              <w:rPr>
                <w:rFonts w:eastAsia="Calibri"/>
                <w:sz w:val="20"/>
                <w:lang w:val="fr-CA"/>
              </w:rPr>
            </w:pPr>
            <w:r w:rsidRPr="0084490B">
              <w:rPr>
                <w:rFonts w:eastAsia="Calibri"/>
                <w:sz w:val="20"/>
                <w:lang w:val="fr-CA"/>
              </w:rPr>
              <w:t>2011 CCI 237</w:t>
            </w:r>
          </w:p>
        </w:tc>
        <w:tc>
          <w:tcPr>
            <w:tcW w:w="243" w:type="pct"/>
          </w:tcPr>
          <w:p w:rsidR="00B76B3D" w:rsidRPr="0084490B" w:rsidRDefault="00B76B3D" w:rsidP="00120F8A">
            <w:pPr>
              <w:jc w:val="both"/>
              <w:rPr>
                <w:rFonts w:eastAsia="Calibri"/>
                <w:sz w:val="20"/>
                <w:lang w:val="fr-CA"/>
              </w:rPr>
            </w:pPr>
          </w:p>
        </w:tc>
        <w:tc>
          <w:tcPr>
            <w:tcW w:w="2330" w:type="pct"/>
          </w:tcPr>
          <w:p w:rsidR="00B76B3D" w:rsidRPr="0084490B" w:rsidRDefault="00B76B3D" w:rsidP="00120F8A">
            <w:pPr>
              <w:jc w:val="both"/>
              <w:rPr>
                <w:rFonts w:eastAsia="Calibri"/>
                <w:sz w:val="20"/>
                <w:lang w:val="fr-CA"/>
              </w:rPr>
            </w:pPr>
            <w:r w:rsidRPr="0084490B">
              <w:rPr>
                <w:rFonts w:eastAsia="Calibri"/>
                <w:sz w:val="20"/>
                <w:lang w:val="fr-CA"/>
              </w:rPr>
              <w:t xml:space="preserve">Appel de la cotisation établie en vertu de la </w:t>
            </w:r>
            <w:r w:rsidRPr="0084490B">
              <w:rPr>
                <w:rFonts w:eastAsia="Calibri"/>
                <w:i/>
                <w:sz w:val="20"/>
                <w:lang w:val="fr-CA"/>
              </w:rPr>
              <w:t>Loi de l’impôt sur le revenu</w:t>
            </w:r>
            <w:r w:rsidRPr="0084490B">
              <w:rPr>
                <w:rFonts w:eastAsia="Calibri"/>
                <w:sz w:val="20"/>
                <w:lang w:val="fr-CA"/>
              </w:rPr>
              <w:t xml:space="preserve"> pour l’année d’imposition 2008 est rejeté; appel de la décision rendue en vertu du </w:t>
            </w:r>
            <w:r w:rsidRPr="0084490B">
              <w:rPr>
                <w:rFonts w:eastAsia="Calibri"/>
                <w:i/>
                <w:sz w:val="20"/>
                <w:lang w:val="fr-CA"/>
              </w:rPr>
              <w:t>Régime de pensions du Canada</w:t>
            </w:r>
            <w:r w:rsidRPr="0084490B">
              <w:rPr>
                <w:rFonts w:eastAsia="Calibri"/>
                <w:sz w:val="20"/>
                <w:lang w:val="fr-CA"/>
              </w:rPr>
              <w:t xml:space="preserve"> est rejeté.</w:t>
            </w:r>
          </w:p>
          <w:p w:rsidR="00B76B3D" w:rsidRPr="0084490B" w:rsidRDefault="00B76B3D" w:rsidP="00120F8A">
            <w:pPr>
              <w:jc w:val="both"/>
              <w:rPr>
                <w:rFonts w:eastAsia="Calibri"/>
                <w:sz w:val="20"/>
                <w:lang w:val="fr-CA"/>
              </w:rPr>
            </w:pPr>
          </w:p>
        </w:tc>
      </w:tr>
      <w:tr w:rsidR="00B76B3D" w:rsidRPr="0084490B" w:rsidTr="00120F8A">
        <w:tc>
          <w:tcPr>
            <w:tcW w:w="2427" w:type="pct"/>
          </w:tcPr>
          <w:p w:rsidR="00B76B3D" w:rsidRPr="0084490B" w:rsidRDefault="00B76B3D" w:rsidP="00120F8A">
            <w:pPr>
              <w:jc w:val="both"/>
              <w:rPr>
                <w:rFonts w:eastAsia="Calibri"/>
                <w:sz w:val="20"/>
                <w:lang w:val="fr-CA"/>
              </w:rPr>
            </w:pPr>
            <w:r w:rsidRPr="0084490B">
              <w:rPr>
                <w:rFonts w:eastAsia="Calibri"/>
                <w:sz w:val="20"/>
                <w:lang w:val="fr-CA"/>
              </w:rPr>
              <w:t>16 novembre 2012</w:t>
            </w:r>
          </w:p>
          <w:p w:rsidR="00B76B3D" w:rsidRPr="0084490B" w:rsidRDefault="00B76B3D" w:rsidP="00120F8A">
            <w:pPr>
              <w:jc w:val="both"/>
              <w:rPr>
                <w:rFonts w:eastAsia="Calibri"/>
                <w:sz w:val="20"/>
                <w:lang w:val="fr-CA"/>
              </w:rPr>
            </w:pPr>
            <w:r w:rsidRPr="0084490B">
              <w:rPr>
                <w:rFonts w:eastAsia="Calibri"/>
                <w:sz w:val="20"/>
                <w:lang w:val="fr-CA"/>
              </w:rPr>
              <w:t>Cour d’appel fédérale</w:t>
            </w:r>
          </w:p>
          <w:p w:rsidR="00B76B3D" w:rsidRPr="0084490B" w:rsidRDefault="00B76B3D" w:rsidP="00120F8A">
            <w:pPr>
              <w:jc w:val="both"/>
              <w:rPr>
                <w:rFonts w:eastAsia="Calibri"/>
                <w:sz w:val="20"/>
                <w:lang w:val="fr-CA"/>
              </w:rPr>
            </w:pPr>
            <w:r w:rsidRPr="0084490B">
              <w:rPr>
                <w:rFonts w:eastAsia="Calibri"/>
                <w:sz w:val="20"/>
                <w:lang w:val="fr-CA"/>
              </w:rPr>
              <w:t>(juges Noël, Trudel et Webb)</w:t>
            </w:r>
          </w:p>
          <w:p w:rsidR="00B76B3D" w:rsidRPr="0084490B" w:rsidRDefault="00B76B3D" w:rsidP="00120F8A">
            <w:pPr>
              <w:jc w:val="both"/>
              <w:rPr>
                <w:rFonts w:eastAsia="Calibri"/>
                <w:sz w:val="20"/>
                <w:lang w:val="fr-CA"/>
              </w:rPr>
            </w:pPr>
            <w:r w:rsidRPr="0084490B">
              <w:rPr>
                <w:rFonts w:eastAsia="Calibri"/>
                <w:sz w:val="20"/>
                <w:lang w:val="fr-CA"/>
              </w:rPr>
              <w:t>2012 CAF 295</w:t>
            </w:r>
          </w:p>
          <w:p w:rsidR="00B76B3D" w:rsidRPr="0084490B" w:rsidRDefault="00B76B3D" w:rsidP="00120F8A">
            <w:pPr>
              <w:jc w:val="both"/>
              <w:rPr>
                <w:rFonts w:eastAsia="Calibri"/>
                <w:sz w:val="20"/>
                <w:lang w:val="fr-CA"/>
              </w:rPr>
            </w:pPr>
          </w:p>
        </w:tc>
        <w:tc>
          <w:tcPr>
            <w:tcW w:w="243" w:type="pct"/>
          </w:tcPr>
          <w:p w:rsidR="00B76B3D" w:rsidRPr="0084490B" w:rsidRDefault="00B76B3D" w:rsidP="00120F8A">
            <w:pPr>
              <w:jc w:val="both"/>
              <w:rPr>
                <w:rFonts w:eastAsia="Calibri"/>
                <w:sz w:val="20"/>
                <w:lang w:val="fr-CA"/>
              </w:rPr>
            </w:pPr>
          </w:p>
        </w:tc>
        <w:tc>
          <w:tcPr>
            <w:tcW w:w="2330" w:type="pct"/>
          </w:tcPr>
          <w:p w:rsidR="00B76B3D" w:rsidRPr="0084490B" w:rsidRDefault="00B76B3D" w:rsidP="00120F8A">
            <w:pPr>
              <w:jc w:val="both"/>
              <w:rPr>
                <w:rFonts w:eastAsia="Calibri"/>
                <w:sz w:val="20"/>
                <w:lang w:val="fr-CA"/>
              </w:rPr>
            </w:pPr>
            <w:r w:rsidRPr="0084490B">
              <w:rPr>
                <w:rFonts w:eastAsia="Calibri"/>
                <w:sz w:val="20"/>
                <w:lang w:val="fr-CA"/>
              </w:rPr>
              <w:t>Appel rejeté.</w:t>
            </w:r>
          </w:p>
          <w:p w:rsidR="00B76B3D" w:rsidRPr="0084490B" w:rsidRDefault="00B76B3D" w:rsidP="00120F8A">
            <w:pPr>
              <w:jc w:val="both"/>
              <w:rPr>
                <w:rFonts w:eastAsia="Calibri"/>
                <w:sz w:val="20"/>
                <w:lang w:val="fr-CA"/>
              </w:rPr>
            </w:pPr>
          </w:p>
        </w:tc>
      </w:tr>
      <w:tr w:rsidR="00B76B3D" w:rsidRPr="0084490B" w:rsidTr="00120F8A">
        <w:tc>
          <w:tcPr>
            <w:tcW w:w="2427" w:type="pct"/>
          </w:tcPr>
          <w:p w:rsidR="00B76B3D" w:rsidRPr="0084490B" w:rsidRDefault="00B76B3D" w:rsidP="00120F8A">
            <w:pPr>
              <w:jc w:val="both"/>
              <w:rPr>
                <w:rFonts w:eastAsia="Calibri"/>
                <w:sz w:val="20"/>
                <w:lang w:val="fr-CA"/>
              </w:rPr>
            </w:pPr>
            <w:r w:rsidRPr="0084490B">
              <w:rPr>
                <w:rFonts w:eastAsia="Calibri"/>
                <w:sz w:val="20"/>
                <w:lang w:val="fr-CA"/>
              </w:rPr>
              <w:t>16 janvier 2013</w:t>
            </w:r>
          </w:p>
          <w:p w:rsidR="00B76B3D" w:rsidRPr="0084490B" w:rsidRDefault="00B76B3D" w:rsidP="00120F8A">
            <w:pPr>
              <w:jc w:val="both"/>
              <w:rPr>
                <w:rFonts w:eastAsia="Calibri"/>
                <w:sz w:val="20"/>
                <w:lang w:val="fr-CA"/>
              </w:rPr>
            </w:pPr>
            <w:r w:rsidRPr="0084490B">
              <w:rPr>
                <w:rFonts w:eastAsia="Calibri"/>
                <w:sz w:val="20"/>
                <w:lang w:val="fr-CA"/>
              </w:rPr>
              <w:t>Cour suprême du Canada</w:t>
            </w:r>
          </w:p>
          <w:p w:rsidR="00B76B3D" w:rsidRPr="0084490B" w:rsidRDefault="00B76B3D" w:rsidP="00120F8A">
            <w:pPr>
              <w:jc w:val="both"/>
              <w:rPr>
                <w:rFonts w:eastAsia="Calibri"/>
                <w:sz w:val="20"/>
                <w:lang w:val="fr-CA"/>
              </w:rPr>
            </w:pPr>
          </w:p>
        </w:tc>
        <w:tc>
          <w:tcPr>
            <w:tcW w:w="243" w:type="pct"/>
          </w:tcPr>
          <w:p w:rsidR="00B76B3D" w:rsidRPr="0084490B" w:rsidRDefault="00B76B3D" w:rsidP="00120F8A">
            <w:pPr>
              <w:jc w:val="both"/>
              <w:rPr>
                <w:rFonts w:eastAsia="Calibri"/>
                <w:sz w:val="20"/>
                <w:lang w:val="fr-CA"/>
              </w:rPr>
            </w:pPr>
          </w:p>
        </w:tc>
        <w:tc>
          <w:tcPr>
            <w:tcW w:w="2330" w:type="pct"/>
          </w:tcPr>
          <w:p w:rsidR="00B76B3D" w:rsidRPr="0084490B" w:rsidRDefault="00B76B3D" w:rsidP="00120F8A">
            <w:pPr>
              <w:jc w:val="both"/>
              <w:rPr>
                <w:rFonts w:eastAsia="Calibri"/>
                <w:sz w:val="20"/>
                <w:lang w:val="fr-CA"/>
              </w:rPr>
            </w:pPr>
            <w:r w:rsidRPr="0084490B">
              <w:rPr>
                <w:rFonts w:eastAsia="Calibri"/>
                <w:sz w:val="20"/>
                <w:lang w:val="fr-CA"/>
              </w:rPr>
              <w:t>Demande d’autorisation d’appel déposée.</w:t>
            </w:r>
          </w:p>
          <w:p w:rsidR="00B76B3D" w:rsidRPr="0084490B" w:rsidRDefault="00B76B3D" w:rsidP="00120F8A">
            <w:pPr>
              <w:jc w:val="both"/>
              <w:rPr>
                <w:rFonts w:eastAsia="Calibri"/>
                <w:sz w:val="20"/>
                <w:lang w:val="fr-CA"/>
              </w:rPr>
            </w:pPr>
          </w:p>
        </w:tc>
      </w:tr>
      <w:tr w:rsidR="00B76B3D" w:rsidRPr="00B6040C" w:rsidTr="003A0638">
        <w:trPr>
          <w:cantSplit/>
        </w:trPr>
        <w:tc>
          <w:tcPr>
            <w:tcW w:w="2427" w:type="pct"/>
          </w:tcPr>
          <w:p w:rsidR="00B76B3D" w:rsidRPr="0084490B" w:rsidRDefault="00B76B3D" w:rsidP="00120F8A">
            <w:pPr>
              <w:jc w:val="both"/>
              <w:rPr>
                <w:rFonts w:eastAsia="Calibri"/>
                <w:sz w:val="20"/>
                <w:lang w:val="fr-CA"/>
              </w:rPr>
            </w:pPr>
            <w:r w:rsidRPr="0084490B">
              <w:rPr>
                <w:rFonts w:eastAsia="Calibri"/>
                <w:sz w:val="20"/>
                <w:lang w:val="fr-CA"/>
              </w:rPr>
              <w:t>25 janvier 2013</w:t>
            </w:r>
          </w:p>
          <w:p w:rsidR="00B76B3D" w:rsidRPr="0084490B" w:rsidRDefault="00B76B3D" w:rsidP="00120F8A">
            <w:pPr>
              <w:jc w:val="both"/>
              <w:rPr>
                <w:rFonts w:eastAsia="Calibri"/>
                <w:sz w:val="20"/>
                <w:lang w:val="fr-CA"/>
              </w:rPr>
            </w:pPr>
            <w:r w:rsidRPr="0084490B">
              <w:rPr>
                <w:rFonts w:eastAsia="Calibri"/>
                <w:sz w:val="20"/>
                <w:lang w:val="fr-CA"/>
              </w:rPr>
              <w:t>Cour suprême du Canada</w:t>
            </w:r>
          </w:p>
        </w:tc>
        <w:tc>
          <w:tcPr>
            <w:tcW w:w="243" w:type="pct"/>
          </w:tcPr>
          <w:p w:rsidR="00B76B3D" w:rsidRPr="0084490B" w:rsidRDefault="00B76B3D" w:rsidP="00120F8A">
            <w:pPr>
              <w:jc w:val="both"/>
              <w:rPr>
                <w:rFonts w:eastAsia="Calibri"/>
                <w:sz w:val="20"/>
                <w:lang w:val="fr-CA"/>
              </w:rPr>
            </w:pPr>
          </w:p>
        </w:tc>
        <w:tc>
          <w:tcPr>
            <w:tcW w:w="2330" w:type="pct"/>
          </w:tcPr>
          <w:p w:rsidR="00B76B3D" w:rsidRPr="0084490B" w:rsidRDefault="00B76B3D" w:rsidP="00120F8A">
            <w:pPr>
              <w:jc w:val="both"/>
              <w:rPr>
                <w:rFonts w:eastAsia="Calibri"/>
                <w:sz w:val="20"/>
                <w:lang w:val="fr-CA"/>
              </w:rPr>
            </w:pPr>
            <w:r w:rsidRPr="0084490B">
              <w:rPr>
                <w:rFonts w:eastAsia="Calibri"/>
                <w:sz w:val="20"/>
                <w:lang w:val="fr-CA"/>
              </w:rPr>
              <w:t>Requête en prorogation du délai pour déposer ou signifier une demande d’autorisation d’appel déposée par la demanderesse.</w:t>
            </w:r>
          </w:p>
        </w:tc>
      </w:tr>
    </w:tbl>
    <w:p w:rsidR="00EA65C4" w:rsidRPr="00B76B3D" w:rsidRDefault="00EA65C4" w:rsidP="00EA65C4">
      <w:pPr>
        <w:rPr>
          <w:sz w:val="20"/>
          <w:szCs w:val="20"/>
          <w:lang w:val="fr-CA"/>
        </w:rPr>
      </w:pPr>
    </w:p>
    <w:p w:rsidR="00EA65C4" w:rsidRDefault="0028676C" w:rsidP="00EA65C4">
      <w:pPr>
        <w:rPr>
          <w:sz w:val="20"/>
          <w:szCs w:val="20"/>
        </w:rPr>
      </w:pPr>
      <w:r w:rsidRPr="0028676C">
        <w:rPr>
          <w:sz w:val="20"/>
          <w:szCs w:val="20"/>
          <w:lang w:val="fr-CA"/>
        </w:rPr>
        <w:pict>
          <v:rect id="_x0000_i1060" style="width:2in;height:1pt" o:hrpct="0" o:hralign="center" o:hrstd="t" o:hrnoshade="t" o:hr="t" fillcolor="black [3213]" stroked="f"/>
        </w:pict>
      </w:r>
    </w:p>
    <w:p w:rsidR="00EA65C4" w:rsidRDefault="00EA65C4" w:rsidP="00EA65C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A0638" w:rsidRPr="008748E6" w:rsidTr="00AA4F37">
        <w:trPr>
          <w:cantSplit/>
        </w:trPr>
        <w:tc>
          <w:tcPr>
            <w:tcW w:w="1458" w:type="dxa"/>
          </w:tcPr>
          <w:p w:rsidR="003A0638" w:rsidRPr="008748E6" w:rsidRDefault="003A0638" w:rsidP="00AA4F37">
            <w:pPr>
              <w:rPr>
                <w:sz w:val="20"/>
                <w:szCs w:val="20"/>
              </w:rPr>
            </w:pPr>
            <w:r w:rsidRPr="008748E6">
              <w:rPr>
                <w:rStyle w:val="SCCFileNumberChar"/>
                <w:sz w:val="20"/>
                <w:szCs w:val="20"/>
              </w:rPr>
              <w:t>35199</w:t>
            </w:r>
          </w:p>
          <w:p w:rsidR="003A0638" w:rsidRPr="008748E6" w:rsidRDefault="003A0638" w:rsidP="00AA4F37">
            <w:pPr>
              <w:rPr>
                <w:b/>
                <w:sz w:val="20"/>
                <w:szCs w:val="20"/>
                <w:lang w:val="fr-CA"/>
              </w:rPr>
            </w:pPr>
          </w:p>
        </w:tc>
        <w:tc>
          <w:tcPr>
            <w:tcW w:w="8118" w:type="dxa"/>
          </w:tcPr>
          <w:p w:rsidR="003A0638" w:rsidRPr="008748E6" w:rsidRDefault="003A0638" w:rsidP="00AA4F37">
            <w:pPr>
              <w:rPr>
                <w:sz w:val="20"/>
                <w:szCs w:val="20"/>
              </w:rPr>
            </w:pPr>
            <w:r w:rsidRPr="003A0638">
              <w:rPr>
                <w:rStyle w:val="SCCLsocChar"/>
                <w:sz w:val="20"/>
                <w:szCs w:val="20"/>
                <w:lang w:val="en-CA"/>
              </w:rPr>
              <w:t>George Roswell Osmond v. Her Majesty the Queen</w:t>
            </w:r>
            <w:r w:rsidRPr="008748E6">
              <w:rPr>
                <w:sz w:val="20"/>
                <w:szCs w:val="20"/>
              </w:rPr>
              <w:t xml:space="preserve"> (B.C.) (Criminal) (By Leave)</w:t>
            </w:r>
          </w:p>
          <w:p w:rsidR="003A0638" w:rsidRPr="008748E6" w:rsidRDefault="003A0638" w:rsidP="00AA4F37">
            <w:pPr>
              <w:rPr>
                <w:sz w:val="20"/>
                <w:szCs w:val="20"/>
              </w:rPr>
            </w:pPr>
          </w:p>
        </w:tc>
      </w:tr>
      <w:tr w:rsidR="003A0638" w:rsidRPr="008748E6" w:rsidTr="00AA4F37">
        <w:trPr>
          <w:cantSplit/>
        </w:trPr>
        <w:tc>
          <w:tcPr>
            <w:tcW w:w="1458" w:type="dxa"/>
          </w:tcPr>
          <w:p w:rsidR="003A0638" w:rsidRPr="008748E6" w:rsidRDefault="003A0638" w:rsidP="00AA4F37">
            <w:pPr>
              <w:rPr>
                <w:sz w:val="20"/>
                <w:szCs w:val="20"/>
              </w:rPr>
            </w:pPr>
            <w:r w:rsidRPr="008748E6">
              <w:rPr>
                <w:sz w:val="20"/>
                <w:szCs w:val="20"/>
              </w:rPr>
              <w:t>Coram :</w:t>
            </w:r>
          </w:p>
        </w:tc>
        <w:tc>
          <w:tcPr>
            <w:tcW w:w="8118" w:type="dxa"/>
          </w:tcPr>
          <w:p w:rsidR="003A0638" w:rsidRPr="008748E6" w:rsidRDefault="003A0638" w:rsidP="00AA4F37">
            <w:pPr>
              <w:rPr>
                <w:sz w:val="20"/>
                <w:szCs w:val="20"/>
              </w:rPr>
            </w:pPr>
            <w:r w:rsidRPr="003A0638">
              <w:rPr>
                <w:rStyle w:val="SCCCoramChar"/>
                <w:sz w:val="20"/>
                <w:szCs w:val="20"/>
                <w:lang w:val="en-CA"/>
              </w:rPr>
              <w:t xml:space="preserve">McLachlin C.J. and </w:t>
            </w:r>
            <w:proofErr w:type="spellStart"/>
            <w:r w:rsidRPr="003A0638">
              <w:rPr>
                <w:rStyle w:val="SCCCoramChar"/>
                <w:sz w:val="20"/>
                <w:szCs w:val="20"/>
                <w:lang w:val="en-CA"/>
              </w:rPr>
              <w:t>Abella</w:t>
            </w:r>
            <w:proofErr w:type="spellEnd"/>
            <w:r w:rsidRPr="003A0638">
              <w:rPr>
                <w:rStyle w:val="SCCCoramChar"/>
                <w:sz w:val="20"/>
                <w:szCs w:val="20"/>
                <w:lang w:val="en-CA"/>
              </w:rPr>
              <w:t xml:space="preserve"> and Cromwell JJ.</w:t>
            </w:r>
          </w:p>
          <w:p w:rsidR="003A0638" w:rsidRPr="008748E6" w:rsidRDefault="003A0638" w:rsidP="00AA4F37">
            <w:pPr>
              <w:rPr>
                <w:sz w:val="20"/>
                <w:szCs w:val="20"/>
                <w:u w:val="single"/>
              </w:rPr>
            </w:pPr>
          </w:p>
        </w:tc>
      </w:tr>
      <w:tr w:rsidR="003A0638" w:rsidRPr="00B6040C" w:rsidTr="00AA4F37">
        <w:trPr>
          <w:cantSplit/>
        </w:trPr>
        <w:tc>
          <w:tcPr>
            <w:tcW w:w="9576" w:type="dxa"/>
            <w:gridSpan w:val="2"/>
          </w:tcPr>
          <w:p w:rsidR="003A0638" w:rsidRPr="008748E6" w:rsidRDefault="003A0638" w:rsidP="00AA4F37">
            <w:pPr>
              <w:pStyle w:val="SCCShortJudgment"/>
              <w:rPr>
                <w:szCs w:val="20"/>
              </w:rPr>
            </w:pPr>
            <w:r w:rsidRPr="008748E6">
              <w:rPr>
                <w:szCs w:val="20"/>
              </w:rPr>
              <w:t>The motion for an extension of time to serve and file the application for leave to appeal is granted.  The application for leave to appeal from the judgment of the Court of Appeal for British Columbia (Vancouver), Number  CA037761, 2012 BCCA 382, dated September 28, 2012, is dismissed without costs.</w:t>
            </w:r>
          </w:p>
          <w:p w:rsidR="003A0638" w:rsidRPr="008748E6" w:rsidRDefault="003A0638" w:rsidP="00AA4F37">
            <w:pPr>
              <w:pStyle w:val="SCCShortJudgment"/>
              <w:ind w:firstLine="0"/>
              <w:rPr>
                <w:szCs w:val="20"/>
              </w:rPr>
            </w:pPr>
          </w:p>
          <w:p w:rsidR="003A0638" w:rsidRPr="008748E6" w:rsidRDefault="003A0638" w:rsidP="00AA4F37">
            <w:pPr>
              <w:pStyle w:val="SCCShortJudgment"/>
              <w:rPr>
                <w:szCs w:val="20"/>
                <w:lang w:val="fr-CA"/>
              </w:rPr>
            </w:pPr>
            <w:r w:rsidRPr="008748E6">
              <w:rPr>
                <w:szCs w:val="20"/>
                <w:lang w:val="fr-CA"/>
              </w:rPr>
              <w:t>La requête en prorogation du délai de signification et de dépôt de la demande d’autorisation d’appel est accueillie.  La demande d’autorisation d’appel de l’arrêt de la Cour d’appel de la Colombie-Britannique (Vancouver), numéro CA037761, 2012 BCCA 382, daté du 28 septembre 2012, est rejetée sans dépens.</w:t>
            </w:r>
          </w:p>
        </w:tc>
      </w:tr>
    </w:tbl>
    <w:p w:rsidR="00EA65C4" w:rsidRPr="003A0638" w:rsidRDefault="00EA65C4" w:rsidP="00EA65C4">
      <w:pPr>
        <w:rPr>
          <w:sz w:val="20"/>
          <w:szCs w:val="20"/>
          <w:lang w:val="fr-CA"/>
        </w:rPr>
      </w:pPr>
    </w:p>
    <w:p w:rsidR="00EA65C4" w:rsidRPr="001B157C" w:rsidRDefault="00EA65C4" w:rsidP="00EA65C4">
      <w:pPr>
        <w:rPr>
          <w:sz w:val="20"/>
          <w:szCs w:val="20"/>
          <w:u w:val="single"/>
        </w:rPr>
      </w:pPr>
      <w:r w:rsidRPr="001B157C">
        <w:rPr>
          <w:sz w:val="20"/>
          <w:szCs w:val="20"/>
          <w:u w:val="single"/>
        </w:rPr>
        <w:t>CASE SUMMARY</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20F8A" w:rsidRPr="0084490B" w:rsidTr="00120F8A">
        <w:trPr>
          <w:trHeight w:val="1440"/>
        </w:trPr>
        <w:tc>
          <w:tcPr>
            <w:tcW w:w="5000" w:type="pct"/>
            <w:gridSpan w:val="3"/>
          </w:tcPr>
          <w:p w:rsidR="00120F8A" w:rsidRPr="0084490B" w:rsidRDefault="00120F8A" w:rsidP="00120F8A">
            <w:pPr>
              <w:jc w:val="both"/>
              <w:rPr>
                <w:rFonts w:eastAsia="Calibri"/>
                <w:sz w:val="20"/>
              </w:rPr>
            </w:pPr>
            <w:r w:rsidRPr="0084490B">
              <w:rPr>
                <w:rFonts w:eastAsia="Calibri"/>
                <w:i/>
                <w:sz w:val="20"/>
              </w:rPr>
              <w:t>Charter of Rights</w:t>
            </w:r>
            <w:r w:rsidRPr="0084490B">
              <w:rPr>
                <w:rFonts w:eastAsia="Calibri"/>
                <w:sz w:val="20"/>
              </w:rPr>
              <w:t xml:space="preserve"> – Criminal Law – Search and seizure – DNA sampling – Evidence – Reasonableness of verdict – Police collect blood samples from a segment of the general population for investigative purposes – Whether an advance, warrantless DNA canvass is acceptable in Canada – Whether Court of Appeal fell short of duty to protect against improper convictions by not judicially assessing concerns that trial judge overlooked, improperly disregard, misunderstood or failed to judicially analyze important evidence – Whether trial judge wrongly shifted burden of proof or applied an inappropriate standard of proof – Whether conviction is not supported by the evidence and is unreasonable.</w:t>
            </w:r>
          </w:p>
          <w:p w:rsidR="00120F8A" w:rsidRPr="0084490B" w:rsidRDefault="00120F8A" w:rsidP="00120F8A">
            <w:pPr>
              <w:jc w:val="both"/>
              <w:rPr>
                <w:rFonts w:eastAsia="Calibri"/>
                <w:sz w:val="20"/>
              </w:rPr>
            </w:pPr>
          </w:p>
        </w:tc>
      </w:tr>
      <w:tr w:rsidR="00120F8A" w:rsidRPr="0084490B" w:rsidTr="00120F8A">
        <w:tc>
          <w:tcPr>
            <w:tcW w:w="5000" w:type="pct"/>
            <w:gridSpan w:val="3"/>
          </w:tcPr>
          <w:p w:rsidR="00120F8A" w:rsidRPr="0084490B" w:rsidRDefault="00120F8A" w:rsidP="00120F8A">
            <w:pPr>
              <w:jc w:val="both"/>
              <w:rPr>
                <w:rFonts w:eastAsia="Calibri"/>
                <w:sz w:val="20"/>
              </w:rPr>
            </w:pPr>
            <w:r w:rsidRPr="0084490B">
              <w:rPr>
                <w:rFonts w:eastAsia="Calibri"/>
                <w:sz w:val="20"/>
              </w:rPr>
              <w:t xml:space="preserve">A 13-year-old girl was beaten, raped, stabbed and strangled.  She was last seen alive walking home alone after attending a party. Her body was discovered two days later.  The police had no suspects and conducted a “DNA canvass”.  They requested voluntary DNA samples from about 12 young men “running around that night” or otherwise known to have been in the community that night.  A police officer testified that if any of the young men had refused to provide a sample, he would have become a suspect.  The applicant was asked to and did provide a blood sample.  Crown witnesses testified that his DNA matched DNA extracted from blood and semen stains found on the bed of the victim's sister and DNA found on the victim’s fingernails. Witnesses testified that the applicant had scratches on his neck after the victim had disappeared.  </w:t>
            </w:r>
          </w:p>
          <w:p w:rsidR="00120F8A" w:rsidRPr="0084490B" w:rsidRDefault="00120F8A" w:rsidP="00120F8A">
            <w:pPr>
              <w:jc w:val="both"/>
              <w:rPr>
                <w:rFonts w:eastAsia="Calibri"/>
                <w:sz w:val="20"/>
              </w:rPr>
            </w:pPr>
          </w:p>
        </w:tc>
      </w:tr>
      <w:tr w:rsidR="00120F8A" w:rsidRPr="0084490B" w:rsidTr="00120F8A">
        <w:trPr>
          <w:trHeight w:val="576"/>
        </w:trPr>
        <w:tc>
          <w:tcPr>
            <w:tcW w:w="2427" w:type="pct"/>
          </w:tcPr>
          <w:p w:rsidR="00120F8A" w:rsidRPr="0084490B" w:rsidRDefault="00120F8A" w:rsidP="00120F8A">
            <w:pPr>
              <w:jc w:val="both"/>
              <w:rPr>
                <w:rFonts w:eastAsia="Calibri"/>
                <w:sz w:val="20"/>
              </w:rPr>
            </w:pPr>
            <w:r w:rsidRPr="0084490B">
              <w:rPr>
                <w:rFonts w:eastAsia="Calibri"/>
                <w:sz w:val="20"/>
              </w:rPr>
              <w:t>April 23, 2009</w:t>
            </w:r>
          </w:p>
          <w:p w:rsidR="00120F8A" w:rsidRPr="0084490B" w:rsidRDefault="00120F8A" w:rsidP="00120F8A">
            <w:pPr>
              <w:jc w:val="both"/>
              <w:rPr>
                <w:rFonts w:eastAsia="Calibri"/>
                <w:sz w:val="20"/>
              </w:rPr>
            </w:pPr>
            <w:r w:rsidRPr="0084490B">
              <w:rPr>
                <w:rFonts w:eastAsia="Calibri"/>
                <w:sz w:val="20"/>
              </w:rPr>
              <w:t>Supreme Court of British Columbia</w:t>
            </w:r>
          </w:p>
          <w:p w:rsidR="00120F8A" w:rsidRPr="0084490B" w:rsidRDefault="00120F8A" w:rsidP="00120F8A">
            <w:pPr>
              <w:jc w:val="both"/>
              <w:rPr>
                <w:rFonts w:eastAsia="Calibri"/>
                <w:sz w:val="20"/>
                <w:lang w:val="fr-CA"/>
              </w:rPr>
            </w:pPr>
            <w:r w:rsidRPr="0084490B">
              <w:rPr>
                <w:rFonts w:eastAsia="Calibri"/>
                <w:sz w:val="20"/>
                <w:lang w:val="fr-CA"/>
              </w:rPr>
              <w:t>(</w:t>
            </w:r>
            <w:proofErr w:type="spellStart"/>
            <w:r w:rsidRPr="0084490B">
              <w:rPr>
                <w:rFonts w:eastAsia="Calibri"/>
                <w:sz w:val="20"/>
                <w:lang w:val="fr-CA"/>
              </w:rPr>
              <w:t>Garson</w:t>
            </w:r>
            <w:proofErr w:type="spellEnd"/>
            <w:r w:rsidRPr="0084490B">
              <w:rPr>
                <w:rFonts w:eastAsia="Calibri"/>
                <w:sz w:val="20"/>
                <w:lang w:val="fr-CA"/>
              </w:rPr>
              <w:t xml:space="preserve"> J.)</w:t>
            </w:r>
          </w:p>
          <w:p w:rsidR="00120F8A" w:rsidRPr="0084490B" w:rsidRDefault="00120F8A" w:rsidP="00120F8A">
            <w:pPr>
              <w:jc w:val="both"/>
              <w:rPr>
                <w:rFonts w:eastAsia="Calibri"/>
                <w:sz w:val="20"/>
                <w:lang w:val="fr-CA"/>
              </w:rPr>
            </w:pPr>
            <w:r w:rsidRPr="0084490B">
              <w:rPr>
                <w:rFonts w:eastAsia="Calibri"/>
                <w:sz w:val="20"/>
                <w:lang w:val="fr-CA"/>
              </w:rPr>
              <w:t>2009 BCSC 550</w:t>
            </w:r>
          </w:p>
          <w:p w:rsidR="00120F8A" w:rsidRPr="0084490B" w:rsidRDefault="00120F8A" w:rsidP="00120F8A">
            <w:pPr>
              <w:jc w:val="both"/>
              <w:rPr>
                <w:rFonts w:eastAsia="Calibri"/>
                <w:sz w:val="20"/>
                <w:lang w:val="fr-CA"/>
              </w:rPr>
            </w:pPr>
          </w:p>
        </w:tc>
        <w:tc>
          <w:tcPr>
            <w:tcW w:w="243" w:type="pct"/>
          </w:tcPr>
          <w:p w:rsidR="00120F8A" w:rsidRPr="0084490B" w:rsidRDefault="00120F8A" w:rsidP="00120F8A">
            <w:pPr>
              <w:jc w:val="both"/>
              <w:rPr>
                <w:rFonts w:eastAsia="Calibri"/>
                <w:sz w:val="20"/>
                <w:lang w:val="fr-CA"/>
              </w:rPr>
            </w:pPr>
          </w:p>
        </w:tc>
        <w:tc>
          <w:tcPr>
            <w:tcW w:w="2330" w:type="pct"/>
          </w:tcPr>
          <w:p w:rsidR="00120F8A" w:rsidRPr="0084490B" w:rsidRDefault="00120F8A" w:rsidP="00120F8A">
            <w:pPr>
              <w:jc w:val="both"/>
              <w:rPr>
                <w:rFonts w:eastAsia="Calibri"/>
                <w:sz w:val="20"/>
              </w:rPr>
            </w:pPr>
            <w:r w:rsidRPr="0084490B">
              <w:rPr>
                <w:rFonts w:eastAsia="Calibri"/>
                <w:sz w:val="20"/>
              </w:rPr>
              <w:t xml:space="preserve">Ruling on </w:t>
            </w:r>
            <w:proofErr w:type="spellStart"/>
            <w:r w:rsidRPr="0084490B">
              <w:rPr>
                <w:rFonts w:eastAsia="Calibri"/>
                <w:i/>
                <w:sz w:val="20"/>
              </w:rPr>
              <w:t>voir</w:t>
            </w:r>
            <w:proofErr w:type="spellEnd"/>
            <w:r w:rsidRPr="0084490B">
              <w:rPr>
                <w:rFonts w:eastAsia="Calibri"/>
                <w:i/>
                <w:sz w:val="20"/>
              </w:rPr>
              <w:t xml:space="preserve"> di</w:t>
            </w:r>
            <w:r w:rsidRPr="0084490B">
              <w:rPr>
                <w:rFonts w:eastAsia="Calibri"/>
                <w:sz w:val="20"/>
              </w:rPr>
              <w:t>re that DNA evidence is admissible</w:t>
            </w:r>
          </w:p>
          <w:p w:rsidR="00120F8A" w:rsidRPr="0084490B" w:rsidRDefault="00120F8A" w:rsidP="00120F8A">
            <w:pPr>
              <w:jc w:val="both"/>
              <w:rPr>
                <w:rFonts w:eastAsia="Calibri"/>
                <w:sz w:val="20"/>
              </w:rPr>
            </w:pPr>
          </w:p>
        </w:tc>
      </w:tr>
      <w:tr w:rsidR="00120F8A" w:rsidRPr="0084490B" w:rsidTr="00120F8A">
        <w:trPr>
          <w:trHeight w:val="20"/>
        </w:trPr>
        <w:tc>
          <w:tcPr>
            <w:tcW w:w="2427" w:type="pct"/>
          </w:tcPr>
          <w:p w:rsidR="00120F8A" w:rsidRPr="0084490B" w:rsidRDefault="00120F8A" w:rsidP="00120F8A">
            <w:pPr>
              <w:jc w:val="both"/>
              <w:rPr>
                <w:rFonts w:eastAsia="Calibri"/>
                <w:sz w:val="20"/>
              </w:rPr>
            </w:pPr>
            <w:r w:rsidRPr="0084490B">
              <w:rPr>
                <w:rFonts w:eastAsia="Calibri"/>
                <w:sz w:val="20"/>
              </w:rPr>
              <w:t>June 4, 2009</w:t>
            </w:r>
          </w:p>
          <w:p w:rsidR="00120F8A" w:rsidRPr="0084490B" w:rsidRDefault="00120F8A" w:rsidP="00120F8A">
            <w:pPr>
              <w:jc w:val="both"/>
              <w:rPr>
                <w:rFonts w:eastAsia="Calibri"/>
                <w:sz w:val="20"/>
              </w:rPr>
            </w:pPr>
            <w:r w:rsidRPr="0084490B">
              <w:rPr>
                <w:rFonts w:eastAsia="Calibri"/>
                <w:sz w:val="20"/>
              </w:rPr>
              <w:t>Supreme Court of British Columbia</w:t>
            </w:r>
          </w:p>
          <w:p w:rsidR="00120F8A" w:rsidRPr="0084490B" w:rsidRDefault="00120F8A" w:rsidP="00120F8A">
            <w:pPr>
              <w:jc w:val="both"/>
              <w:rPr>
                <w:rFonts w:eastAsia="Calibri"/>
                <w:sz w:val="20"/>
                <w:lang w:val="fr-CA"/>
              </w:rPr>
            </w:pPr>
            <w:r w:rsidRPr="0084490B">
              <w:rPr>
                <w:rFonts w:eastAsia="Calibri"/>
                <w:sz w:val="20"/>
                <w:lang w:val="fr-CA"/>
              </w:rPr>
              <w:t>(Josephson J.)</w:t>
            </w:r>
          </w:p>
          <w:p w:rsidR="00120F8A" w:rsidRPr="0084490B" w:rsidRDefault="00120F8A" w:rsidP="00120F8A">
            <w:pPr>
              <w:jc w:val="both"/>
              <w:rPr>
                <w:rFonts w:eastAsia="Calibri"/>
                <w:sz w:val="20"/>
              </w:rPr>
            </w:pPr>
          </w:p>
        </w:tc>
        <w:tc>
          <w:tcPr>
            <w:tcW w:w="243" w:type="pct"/>
          </w:tcPr>
          <w:p w:rsidR="00120F8A" w:rsidRPr="0084490B" w:rsidRDefault="00120F8A" w:rsidP="00120F8A">
            <w:pPr>
              <w:jc w:val="both"/>
              <w:rPr>
                <w:rFonts w:eastAsia="Calibri"/>
                <w:sz w:val="20"/>
                <w:lang w:val="fr-CA"/>
              </w:rPr>
            </w:pPr>
          </w:p>
        </w:tc>
        <w:tc>
          <w:tcPr>
            <w:tcW w:w="2330" w:type="pct"/>
          </w:tcPr>
          <w:p w:rsidR="00120F8A" w:rsidRPr="0084490B" w:rsidRDefault="00120F8A" w:rsidP="00120F8A">
            <w:pPr>
              <w:jc w:val="both"/>
              <w:rPr>
                <w:rFonts w:eastAsia="Calibri"/>
                <w:sz w:val="20"/>
              </w:rPr>
            </w:pPr>
            <w:r w:rsidRPr="0084490B">
              <w:rPr>
                <w:rFonts w:eastAsia="Calibri"/>
                <w:sz w:val="20"/>
              </w:rPr>
              <w:t xml:space="preserve">Ruling on second </w:t>
            </w:r>
            <w:proofErr w:type="spellStart"/>
            <w:r w:rsidRPr="0084490B">
              <w:rPr>
                <w:rFonts w:eastAsia="Calibri"/>
                <w:i/>
                <w:sz w:val="20"/>
              </w:rPr>
              <w:t>voir</w:t>
            </w:r>
            <w:proofErr w:type="spellEnd"/>
            <w:r w:rsidRPr="0084490B">
              <w:rPr>
                <w:rFonts w:eastAsia="Calibri"/>
                <w:i/>
                <w:sz w:val="20"/>
              </w:rPr>
              <w:t xml:space="preserve"> di</w:t>
            </w:r>
            <w:r w:rsidRPr="0084490B">
              <w:rPr>
                <w:rFonts w:eastAsia="Calibri"/>
                <w:sz w:val="20"/>
              </w:rPr>
              <w:t>re that DNA evidence is admissible</w:t>
            </w:r>
          </w:p>
          <w:p w:rsidR="00120F8A" w:rsidRPr="0084490B" w:rsidRDefault="00120F8A" w:rsidP="00120F8A">
            <w:pPr>
              <w:jc w:val="both"/>
              <w:rPr>
                <w:rFonts w:eastAsia="Calibri"/>
                <w:sz w:val="20"/>
              </w:rPr>
            </w:pPr>
          </w:p>
        </w:tc>
      </w:tr>
      <w:tr w:rsidR="00120F8A" w:rsidRPr="0084490B" w:rsidTr="003A0638">
        <w:trPr>
          <w:cantSplit/>
          <w:trHeight w:val="432"/>
        </w:trPr>
        <w:tc>
          <w:tcPr>
            <w:tcW w:w="2427" w:type="pct"/>
          </w:tcPr>
          <w:p w:rsidR="00120F8A" w:rsidRPr="0084490B" w:rsidRDefault="00120F8A" w:rsidP="00120F8A">
            <w:pPr>
              <w:jc w:val="both"/>
              <w:rPr>
                <w:rFonts w:eastAsia="Calibri"/>
                <w:sz w:val="20"/>
              </w:rPr>
            </w:pPr>
            <w:r w:rsidRPr="0084490B">
              <w:rPr>
                <w:rFonts w:eastAsia="Calibri"/>
                <w:sz w:val="20"/>
              </w:rPr>
              <w:t>December 11, 2009</w:t>
            </w:r>
          </w:p>
          <w:p w:rsidR="00120F8A" w:rsidRPr="0084490B" w:rsidRDefault="00120F8A" w:rsidP="00120F8A">
            <w:pPr>
              <w:jc w:val="both"/>
              <w:rPr>
                <w:rFonts w:eastAsia="Calibri"/>
                <w:sz w:val="20"/>
              </w:rPr>
            </w:pPr>
            <w:r w:rsidRPr="0084490B">
              <w:rPr>
                <w:rFonts w:eastAsia="Calibri"/>
                <w:sz w:val="20"/>
              </w:rPr>
              <w:t>Supreme Court of British Columbia</w:t>
            </w:r>
          </w:p>
          <w:p w:rsidR="00120F8A" w:rsidRPr="0084490B" w:rsidRDefault="00120F8A" w:rsidP="00120F8A">
            <w:pPr>
              <w:jc w:val="both"/>
              <w:rPr>
                <w:rFonts w:eastAsia="Calibri"/>
                <w:sz w:val="20"/>
              </w:rPr>
            </w:pPr>
            <w:r w:rsidRPr="0084490B">
              <w:rPr>
                <w:rFonts w:eastAsia="Calibri"/>
                <w:sz w:val="20"/>
              </w:rPr>
              <w:t>(Josephson J.)</w:t>
            </w:r>
          </w:p>
          <w:p w:rsidR="00120F8A" w:rsidRPr="0084490B" w:rsidRDefault="00120F8A" w:rsidP="00120F8A">
            <w:pPr>
              <w:jc w:val="both"/>
              <w:rPr>
                <w:rFonts w:eastAsia="Calibri"/>
                <w:sz w:val="20"/>
              </w:rPr>
            </w:pPr>
            <w:r w:rsidRPr="0084490B">
              <w:rPr>
                <w:rFonts w:eastAsia="Calibri"/>
                <w:sz w:val="20"/>
              </w:rPr>
              <w:t>2009 BCSC 1713</w:t>
            </w:r>
          </w:p>
          <w:p w:rsidR="00120F8A" w:rsidRPr="0084490B" w:rsidRDefault="00120F8A" w:rsidP="00120F8A">
            <w:pPr>
              <w:jc w:val="both"/>
              <w:rPr>
                <w:rFonts w:eastAsia="Calibri"/>
                <w:sz w:val="20"/>
              </w:rPr>
            </w:pPr>
          </w:p>
        </w:tc>
        <w:tc>
          <w:tcPr>
            <w:tcW w:w="243" w:type="pct"/>
          </w:tcPr>
          <w:p w:rsidR="00120F8A" w:rsidRPr="0084490B" w:rsidRDefault="00120F8A" w:rsidP="00120F8A">
            <w:pPr>
              <w:jc w:val="both"/>
              <w:rPr>
                <w:rFonts w:eastAsia="Calibri"/>
                <w:sz w:val="20"/>
              </w:rPr>
            </w:pPr>
          </w:p>
        </w:tc>
        <w:tc>
          <w:tcPr>
            <w:tcW w:w="2330" w:type="pct"/>
          </w:tcPr>
          <w:p w:rsidR="00120F8A" w:rsidRPr="0084490B" w:rsidRDefault="00120F8A" w:rsidP="00120F8A">
            <w:pPr>
              <w:jc w:val="both"/>
              <w:rPr>
                <w:rFonts w:eastAsia="Calibri"/>
                <w:sz w:val="20"/>
              </w:rPr>
            </w:pPr>
            <w:r w:rsidRPr="0084490B">
              <w:rPr>
                <w:rFonts w:eastAsia="Calibri"/>
                <w:sz w:val="20"/>
              </w:rPr>
              <w:t>Conviction of first degree murder</w:t>
            </w:r>
          </w:p>
          <w:p w:rsidR="00120F8A" w:rsidRPr="0084490B" w:rsidRDefault="00120F8A" w:rsidP="00120F8A">
            <w:pPr>
              <w:jc w:val="both"/>
              <w:rPr>
                <w:rFonts w:eastAsia="Calibri"/>
                <w:sz w:val="20"/>
              </w:rPr>
            </w:pPr>
          </w:p>
        </w:tc>
      </w:tr>
      <w:tr w:rsidR="00120F8A" w:rsidRPr="0084490B" w:rsidTr="003A0638">
        <w:trPr>
          <w:cantSplit/>
          <w:trHeight w:val="20"/>
        </w:trPr>
        <w:tc>
          <w:tcPr>
            <w:tcW w:w="2427" w:type="pct"/>
          </w:tcPr>
          <w:p w:rsidR="00120F8A" w:rsidRPr="0084490B" w:rsidRDefault="00120F8A" w:rsidP="00120F8A">
            <w:pPr>
              <w:jc w:val="both"/>
              <w:rPr>
                <w:rFonts w:eastAsia="Calibri"/>
                <w:sz w:val="20"/>
              </w:rPr>
            </w:pPr>
            <w:r w:rsidRPr="0084490B">
              <w:rPr>
                <w:rFonts w:eastAsia="Calibri"/>
                <w:sz w:val="20"/>
              </w:rPr>
              <w:t>September 28, 2012</w:t>
            </w:r>
          </w:p>
          <w:p w:rsidR="00120F8A" w:rsidRPr="0084490B" w:rsidRDefault="00120F8A" w:rsidP="00120F8A">
            <w:pPr>
              <w:jc w:val="both"/>
              <w:rPr>
                <w:rFonts w:eastAsia="Calibri"/>
                <w:sz w:val="20"/>
              </w:rPr>
            </w:pPr>
            <w:r w:rsidRPr="0084490B">
              <w:rPr>
                <w:rFonts w:eastAsia="Calibri"/>
                <w:sz w:val="20"/>
              </w:rPr>
              <w:t xml:space="preserve">Court of Appeal for British Columbia </w:t>
            </w:r>
          </w:p>
          <w:p w:rsidR="00120F8A" w:rsidRPr="0084490B" w:rsidRDefault="00120F8A" w:rsidP="00120F8A">
            <w:pPr>
              <w:jc w:val="both"/>
              <w:rPr>
                <w:rFonts w:eastAsia="Calibri"/>
                <w:sz w:val="20"/>
              </w:rPr>
            </w:pPr>
            <w:r w:rsidRPr="0084490B">
              <w:rPr>
                <w:rFonts w:eastAsia="Calibri"/>
                <w:sz w:val="20"/>
              </w:rPr>
              <w:t>(Vancouver)</w:t>
            </w:r>
          </w:p>
          <w:p w:rsidR="00120F8A" w:rsidRPr="0084490B" w:rsidRDefault="00120F8A" w:rsidP="00120F8A">
            <w:pPr>
              <w:jc w:val="both"/>
              <w:rPr>
                <w:rFonts w:eastAsia="Calibri"/>
                <w:sz w:val="20"/>
              </w:rPr>
            </w:pPr>
            <w:r w:rsidRPr="0084490B">
              <w:rPr>
                <w:rFonts w:eastAsia="Calibri"/>
                <w:sz w:val="20"/>
              </w:rPr>
              <w:t>(</w:t>
            </w:r>
            <w:proofErr w:type="gramStart"/>
            <w:r w:rsidRPr="0084490B">
              <w:rPr>
                <w:rFonts w:eastAsia="Calibri"/>
                <w:sz w:val="20"/>
              </w:rPr>
              <w:t>Hall.,</w:t>
            </w:r>
            <w:proofErr w:type="gramEnd"/>
            <w:r w:rsidRPr="0084490B">
              <w:rPr>
                <w:rFonts w:eastAsia="Calibri"/>
                <w:sz w:val="20"/>
              </w:rPr>
              <w:t xml:space="preserve"> Smith, Neilson JJ.A.)</w:t>
            </w:r>
          </w:p>
          <w:p w:rsidR="00120F8A" w:rsidRPr="0084490B" w:rsidRDefault="00120F8A" w:rsidP="00120F8A">
            <w:pPr>
              <w:jc w:val="both"/>
              <w:rPr>
                <w:rFonts w:eastAsia="Calibri"/>
                <w:sz w:val="20"/>
              </w:rPr>
            </w:pPr>
            <w:r w:rsidRPr="0084490B">
              <w:rPr>
                <w:rFonts w:eastAsia="Calibri"/>
                <w:sz w:val="20"/>
              </w:rPr>
              <w:t>2012 BCCA ; 382; CA037761</w:t>
            </w:r>
          </w:p>
          <w:p w:rsidR="00120F8A" w:rsidRPr="0084490B" w:rsidRDefault="00120F8A" w:rsidP="00120F8A">
            <w:pPr>
              <w:jc w:val="both"/>
              <w:rPr>
                <w:rFonts w:eastAsia="Calibri"/>
                <w:sz w:val="20"/>
              </w:rPr>
            </w:pPr>
          </w:p>
        </w:tc>
        <w:tc>
          <w:tcPr>
            <w:tcW w:w="243" w:type="pct"/>
          </w:tcPr>
          <w:p w:rsidR="00120F8A" w:rsidRPr="0084490B" w:rsidRDefault="00120F8A" w:rsidP="00120F8A">
            <w:pPr>
              <w:jc w:val="both"/>
              <w:rPr>
                <w:rFonts w:eastAsia="Calibri"/>
                <w:sz w:val="20"/>
              </w:rPr>
            </w:pPr>
          </w:p>
        </w:tc>
        <w:tc>
          <w:tcPr>
            <w:tcW w:w="2330" w:type="pct"/>
          </w:tcPr>
          <w:p w:rsidR="00120F8A" w:rsidRPr="0084490B" w:rsidRDefault="00120F8A" w:rsidP="00120F8A">
            <w:pPr>
              <w:jc w:val="both"/>
              <w:rPr>
                <w:rFonts w:eastAsia="Calibri"/>
                <w:sz w:val="20"/>
              </w:rPr>
            </w:pPr>
            <w:r w:rsidRPr="0084490B">
              <w:rPr>
                <w:rFonts w:eastAsia="Calibri"/>
                <w:sz w:val="20"/>
              </w:rPr>
              <w:t>Appeal from conviction dismissed</w:t>
            </w:r>
          </w:p>
          <w:p w:rsidR="00120F8A" w:rsidRPr="0084490B" w:rsidRDefault="00120F8A" w:rsidP="00120F8A">
            <w:pPr>
              <w:jc w:val="both"/>
              <w:rPr>
                <w:rFonts w:eastAsia="Calibri"/>
                <w:sz w:val="20"/>
              </w:rPr>
            </w:pPr>
          </w:p>
        </w:tc>
      </w:tr>
      <w:tr w:rsidR="00120F8A" w:rsidRPr="0084490B" w:rsidTr="003A0638">
        <w:trPr>
          <w:cantSplit/>
          <w:trHeight w:val="20"/>
        </w:trPr>
        <w:tc>
          <w:tcPr>
            <w:tcW w:w="2427" w:type="pct"/>
          </w:tcPr>
          <w:p w:rsidR="00120F8A" w:rsidRPr="0084490B" w:rsidRDefault="00120F8A" w:rsidP="00120F8A">
            <w:pPr>
              <w:jc w:val="both"/>
              <w:rPr>
                <w:rFonts w:eastAsia="Calibri"/>
                <w:sz w:val="20"/>
              </w:rPr>
            </w:pPr>
            <w:r w:rsidRPr="0084490B">
              <w:rPr>
                <w:rFonts w:eastAsia="Calibri"/>
                <w:sz w:val="20"/>
              </w:rPr>
              <w:t>February 6, 2013</w:t>
            </w:r>
          </w:p>
          <w:p w:rsidR="00120F8A" w:rsidRPr="0084490B" w:rsidRDefault="00120F8A" w:rsidP="00120F8A">
            <w:pPr>
              <w:jc w:val="both"/>
              <w:rPr>
                <w:rFonts w:eastAsia="Calibri"/>
                <w:sz w:val="20"/>
              </w:rPr>
            </w:pPr>
            <w:r w:rsidRPr="0084490B">
              <w:rPr>
                <w:rFonts w:eastAsia="Calibri"/>
                <w:sz w:val="20"/>
              </w:rPr>
              <w:t>Supreme Court of Canada</w:t>
            </w:r>
          </w:p>
        </w:tc>
        <w:tc>
          <w:tcPr>
            <w:tcW w:w="243" w:type="pct"/>
          </w:tcPr>
          <w:p w:rsidR="00120F8A" w:rsidRPr="0084490B" w:rsidRDefault="00120F8A" w:rsidP="00120F8A">
            <w:pPr>
              <w:jc w:val="both"/>
              <w:rPr>
                <w:rFonts w:eastAsia="Calibri"/>
                <w:sz w:val="20"/>
              </w:rPr>
            </w:pPr>
          </w:p>
        </w:tc>
        <w:tc>
          <w:tcPr>
            <w:tcW w:w="2330" w:type="pct"/>
          </w:tcPr>
          <w:p w:rsidR="00120F8A" w:rsidRPr="0084490B" w:rsidRDefault="00120F8A" w:rsidP="00120F8A">
            <w:pPr>
              <w:jc w:val="both"/>
              <w:rPr>
                <w:rFonts w:eastAsia="Calibri"/>
                <w:sz w:val="20"/>
              </w:rPr>
            </w:pPr>
            <w:r w:rsidRPr="0084490B">
              <w:rPr>
                <w:rFonts w:eastAsia="Calibri"/>
                <w:sz w:val="20"/>
              </w:rPr>
              <w:t>Application for extension of time to serve and file application for leave to appeal  and Application for leave to appeal filed</w:t>
            </w:r>
          </w:p>
        </w:tc>
      </w:tr>
    </w:tbl>
    <w:p w:rsidR="00EA65C4" w:rsidRDefault="00EA65C4" w:rsidP="00EA65C4">
      <w:pPr>
        <w:rPr>
          <w:sz w:val="20"/>
          <w:szCs w:val="20"/>
        </w:rPr>
      </w:pPr>
    </w:p>
    <w:p w:rsidR="00EA65C4" w:rsidRPr="00C50A5C" w:rsidRDefault="0028676C" w:rsidP="00EA65C4">
      <w:pPr>
        <w:rPr>
          <w:sz w:val="20"/>
          <w:szCs w:val="20"/>
        </w:rPr>
      </w:pPr>
      <w:r w:rsidRPr="0028676C">
        <w:rPr>
          <w:sz w:val="20"/>
          <w:szCs w:val="20"/>
          <w:lang w:val="fr-CA"/>
        </w:rPr>
        <w:pict>
          <v:rect id="_x0000_i1061" style="width:2in;height:1pt" o:hrpct="0" o:hralign="center" o:hrstd="t" o:hrnoshade="t" o:hr="t" fillcolor="black [3213]" stroked="f"/>
        </w:pict>
      </w:r>
    </w:p>
    <w:p w:rsidR="00EA65C4" w:rsidRDefault="00EA65C4" w:rsidP="00EA65C4">
      <w:pPr>
        <w:rPr>
          <w:sz w:val="20"/>
          <w:szCs w:val="20"/>
        </w:rPr>
      </w:pPr>
    </w:p>
    <w:p w:rsidR="00EA65C4" w:rsidRPr="001B157C" w:rsidRDefault="00EA65C4" w:rsidP="00EA65C4">
      <w:pPr>
        <w:rPr>
          <w:sz w:val="20"/>
          <w:szCs w:val="20"/>
          <w:u w:val="single"/>
          <w:lang w:val="fr-CA"/>
        </w:rPr>
      </w:pPr>
      <w:r w:rsidRPr="001B157C">
        <w:rPr>
          <w:sz w:val="20"/>
          <w:szCs w:val="20"/>
          <w:u w:val="single"/>
          <w:lang w:val="fr-CA"/>
        </w:rPr>
        <w:t>RÉSUMÉ DE L’AFFAIRE</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20F8A" w:rsidRPr="00B6040C" w:rsidTr="00120F8A">
        <w:trPr>
          <w:trHeight w:val="20"/>
        </w:trPr>
        <w:tc>
          <w:tcPr>
            <w:tcW w:w="5000" w:type="pct"/>
            <w:gridSpan w:val="3"/>
          </w:tcPr>
          <w:p w:rsidR="00120F8A" w:rsidRPr="0084490B" w:rsidRDefault="00120F8A" w:rsidP="00120F8A">
            <w:pPr>
              <w:jc w:val="both"/>
              <w:rPr>
                <w:rFonts w:eastAsia="Calibri"/>
                <w:sz w:val="20"/>
                <w:lang w:val="fr-FR"/>
              </w:rPr>
            </w:pPr>
            <w:r w:rsidRPr="0084490B">
              <w:rPr>
                <w:rFonts w:eastAsia="Calibri"/>
                <w:i/>
                <w:sz w:val="20"/>
                <w:lang w:val="fr-FR"/>
              </w:rPr>
              <w:t>Charte des droits</w:t>
            </w:r>
            <w:r w:rsidRPr="0084490B">
              <w:rPr>
                <w:rFonts w:eastAsia="Calibri"/>
                <w:sz w:val="20"/>
                <w:lang w:val="fr-FR"/>
              </w:rPr>
              <w:t xml:space="preserve"> – Droit criminel – Fouilles, perquisitions et saisies – Prélèvement d’échantillons génétiques – Preuve – Caractère raisonnable du verdict – Les policiers recueillent des échantillons de sang auprès d’une partie de la population aux fins d’enquête – Est-il acceptable au Canada de procéder d’avance sans mandat à une analyse génétique auprès de plusieurs personnes? – La Cour d’appel a-t-elle manqué à son obligation d’éviter les déclarations de culpabilité injustifiées en n’appréciant pas de façon judiciaire les préoccupations que le juge du procès avait </w:t>
            </w:r>
            <w:proofErr w:type="gramStart"/>
            <w:r w:rsidRPr="0084490B">
              <w:rPr>
                <w:rFonts w:eastAsia="Calibri"/>
                <w:sz w:val="20"/>
                <w:lang w:val="fr-FR"/>
              </w:rPr>
              <w:t>négligé</w:t>
            </w:r>
            <w:proofErr w:type="gramEnd"/>
            <w:r w:rsidRPr="0084490B">
              <w:rPr>
                <w:rFonts w:eastAsia="Calibri"/>
                <w:sz w:val="20"/>
                <w:lang w:val="fr-FR"/>
              </w:rPr>
              <w:t xml:space="preserve">, omis à tort de prendre en considération, mal compris ou omis d’analyser de façon judiciaire d’importants éléments de preuve? – Le juge du procès a-t-il, à tort, renversé le fardeau de la preuve ou appliqué une norme de preuve inappropriée? – La déclaration de culpabilité n’est-elle pas étayée par la preuve et raisonnable? </w:t>
            </w:r>
          </w:p>
          <w:p w:rsidR="00120F8A" w:rsidRPr="0084490B" w:rsidRDefault="00120F8A" w:rsidP="00120F8A">
            <w:pPr>
              <w:jc w:val="both"/>
              <w:rPr>
                <w:rFonts w:eastAsia="Calibri"/>
                <w:sz w:val="20"/>
                <w:lang w:val="fr-FR"/>
              </w:rPr>
            </w:pPr>
          </w:p>
        </w:tc>
      </w:tr>
      <w:tr w:rsidR="00120F8A" w:rsidRPr="00B6040C" w:rsidTr="00120F8A">
        <w:tc>
          <w:tcPr>
            <w:tcW w:w="5000" w:type="pct"/>
            <w:gridSpan w:val="3"/>
          </w:tcPr>
          <w:p w:rsidR="00120F8A" w:rsidRPr="0084490B" w:rsidRDefault="00120F8A" w:rsidP="00120F8A">
            <w:pPr>
              <w:jc w:val="both"/>
              <w:rPr>
                <w:rFonts w:eastAsia="Calibri"/>
                <w:sz w:val="20"/>
                <w:lang w:val="fr-FR"/>
              </w:rPr>
            </w:pPr>
            <w:r w:rsidRPr="0084490B">
              <w:rPr>
                <w:rFonts w:eastAsia="Calibri"/>
                <w:sz w:val="20"/>
                <w:lang w:val="fr-FR"/>
              </w:rPr>
              <w:t>Une fille de 13 ans a été battue, violée, poignardée et étranglée.  Elle a été vue vivante pour la dernière fois en train de retourner chez elle seule à pied après avoir assisté à une fête.  Son corps a été retrouvé deux jours plus tard.  Les policiers n’avaient aucun suspect en vue et ils ont demandé à plusieurs personnes de fournir des échantillons génétiques.  En effet, ils ont demandé à environ 12 jeunes hommes [</w:t>
            </w:r>
            <w:r w:rsidRPr="0084490B">
              <w:rPr>
                <w:rFonts w:eastAsia="Calibri"/>
                <w:smallCaps/>
                <w:sz w:val="20"/>
                <w:lang w:val="fr-FR"/>
              </w:rPr>
              <w:t>traduction]</w:t>
            </w:r>
            <w:r w:rsidRPr="0084490B">
              <w:rPr>
                <w:rFonts w:eastAsia="Calibri"/>
                <w:sz w:val="20"/>
                <w:lang w:val="fr-FR"/>
              </w:rPr>
              <w:t xml:space="preserve"> « qui déambulaient dans le secteur cette nuit-là », ou qui, à ce qu’on sait, se trouvaient dans le quartier à ce moment-là, de fournir de leur plein gré des échantillons génétiques.  Un agent de police a témoigné que les jeunes hommes refusant de fournir un échantillon seraient devenus des suspects.  Le demandeur a fourni un échantillon de sang sur demande.  Des témoins à charge ont dit que l’ADN du demandeur correspondait à celui prélevé des taches de sang et de sperme trouvées sur le lit de la sœur de la victime et à celui trouvé sur les ongles de la victime.  Des témoins ont affirmé que le demandeur avait des égratignures au cou après la disparition de la victime.   </w:t>
            </w:r>
          </w:p>
          <w:p w:rsidR="00120F8A" w:rsidRPr="0084490B" w:rsidRDefault="00120F8A" w:rsidP="00120F8A">
            <w:pPr>
              <w:jc w:val="both"/>
              <w:rPr>
                <w:rFonts w:eastAsia="Calibri"/>
                <w:sz w:val="20"/>
                <w:lang w:val="fr-FR"/>
              </w:rPr>
            </w:pPr>
          </w:p>
        </w:tc>
      </w:tr>
      <w:tr w:rsidR="00120F8A" w:rsidRPr="00B6040C" w:rsidTr="00120F8A">
        <w:trPr>
          <w:trHeight w:val="20"/>
        </w:trPr>
        <w:tc>
          <w:tcPr>
            <w:tcW w:w="2427" w:type="pct"/>
          </w:tcPr>
          <w:p w:rsidR="00120F8A" w:rsidRPr="0084490B" w:rsidRDefault="00120F8A" w:rsidP="00120F8A">
            <w:pPr>
              <w:jc w:val="both"/>
              <w:rPr>
                <w:rFonts w:eastAsia="Calibri"/>
                <w:sz w:val="20"/>
                <w:lang w:val="fr-FR"/>
              </w:rPr>
            </w:pPr>
            <w:r w:rsidRPr="0084490B">
              <w:rPr>
                <w:rFonts w:eastAsia="Calibri"/>
                <w:sz w:val="20"/>
                <w:lang w:val="fr-FR"/>
              </w:rPr>
              <w:t>23 avril 2009</w:t>
            </w:r>
          </w:p>
          <w:p w:rsidR="00120F8A" w:rsidRPr="0084490B" w:rsidRDefault="00120F8A" w:rsidP="00120F8A">
            <w:pPr>
              <w:jc w:val="both"/>
              <w:rPr>
                <w:rFonts w:eastAsia="Calibri"/>
                <w:sz w:val="20"/>
                <w:lang w:val="fr-FR"/>
              </w:rPr>
            </w:pPr>
            <w:r w:rsidRPr="0084490B">
              <w:rPr>
                <w:rFonts w:eastAsia="Calibri"/>
                <w:sz w:val="20"/>
                <w:lang w:val="fr-FR"/>
              </w:rPr>
              <w:t>Cour suprême de la Colombie-Britannique</w:t>
            </w:r>
          </w:p>
          <w:p w:rsidR="00120F8A" w:rsidRPr="0084490B" w:rsidRDefault="00120F8A" w:rsidP="00120F8A">
            <w:pPr>
              <w:jc w:val="both"/>
              <w:rPr>
                <w:rFonts w:eastAsia="Calibri"/>
                <w:sz w:val="20"/>
                <w:lang w:val="fr-CA"/>
              </w:rPr>
            </w:pPr>
            <w:r w:rsidRPr="0084490B">
              <w:rPr>
                <w:rFonts w:eastAsia="Calibri"/>
                <w:sz w:val="20"/>
                <w:lang w:val="fr-CA"/>
              </w:rPr>
              <w:t xml:space="preserve">(Juge </w:t>
            </w:r>
            <w:proofErr w:type="spellStart"/>
            <w:r w:rsidRPr="0084490B">
              <w:rPr>
                <w:rFonts w:eastAsia="Calibri"/>
                <w:sz w:val="20"/>
                <w:lang w:val="fr-CA"/>
              </w:rPr>
              <w:t>Garson</w:t>
            </w:r>
            <w:proofErr w:type="spellEnd"/>
            <w:r w:rsidRPr="0084490B">
              <w:rPr>
                <w:rFonts w:eastAsia="Calibri"/>
                <w:sz w:val="20"/>
                <w:lang w:val="fr-CA"/>
              </w:rPr>
              <w:t>)</w:t>
            </w:r>
          </w:p>
          <w:p w:rsidR="00120F8A" w:rsidRDefault="00120F8A" w:rsidP="00120F8A">
            <w:pPr>
              <w:jc w:val="both"/>
              <w:rPr>
                <w:rFonts w:eastAsia="Calibri"/>
                <w:sz w:val="20"/>
                <w:lang w:val="fr-CA"/>
              </w:rPr>
            </w:pPr>
            <w:r w:rsidRPr="0084490B">
              <w:rPr>
                <w:rFonts w:eastAsia="Calibri"/>
                <w:sz w:val="20"/>
                <w:lang w:val="fr-CA"/>
              </w:rPr>
              <w:t>2009 BCSC 550</w:t>
            </w:r>
          </w:p>
          <w:p w:rsidR="004D0746" w:rsidRPr="0084490B" w:rsidRDefault="004D0746" w:rsidP="00120F8A">
            <w:pPr>
              <w:jc w:val="both"/>
              <w:rPr>
                <w:rFonts w:eastAsia="Calibri"/>
                <w:sz w:val="20"/>
                <w:lang w:val="fr-CA"/>
              </w:rPr>
            </w:pPr>
          </w:p>
        </w:tc>
        <w:tc>
          <w:tcPr>
            <w:tcW w:w="243" w:type="pct"/>
          </w:tcPr>
          <w:p w:rsidR="00120F8A" w:rsidRPr="0084490B" w:rsidRDefault="00120F8A" w:rsidP="00120F8A">
            <w:pPr>
              <w:jc w:val="both"/>
              <w:rPr>
                <w:rFonts w:eastAsia="Calibri"/>
                <w:sz w:val="20"/>
                <w:lang w:val="fr-CA"/>
              </w:rPr>
            </w:pPr>
          </w:p>
        </w:tc>
        <w:tc>
          <w:tcPr>
            <w:tcW w:w="2330" w:type="pct"/>
          </w:tcPr>
          <w:p w:rsidR="00120F8A" w:rsidRPr="0084490B" w:rsidRDefault="00120F8A" w:rsidP="00120F8A">
            <w:pPr>
              <w:jc w:val="both"/>
              <w:rPr>
                <w:rFonts w:eastAsia="Calibri"/>
                <w:sz w:val="20"/>
                <w:lang w:val="fr-FR"/>
              </w:rPr>
            </w:pPr>
            <w:r w:rsidRPr="0084490B">
              <w:rPr>
                <w:rFonts w:eastAsia="Calibri"/>
                <w:sz w:val="20"/>
                <w:lang w:val="fr-FR"/>
              </w:rPr>
              <w:t>Décision quant au voir-dire selon laquelle la preuve génétique est admissible</w:t>
            </w:r>
          </w:p>
          <w:p w:rsidR="00120F8A" w:rsidRPr="0084490B" w:rsidRDefault="00120F8A" w:rsidP="00120F8A">
            <w:pPr>
              <w:jc w:val="both"/>
              <w:rPr>
                <w:rFonts w:eastAsia="Calibri"/>
                <w:sz w:val="20"/>
                <w:lang w:val="fr-FR"/>
              </w:rPr>
            </w:pPr>
          </w:p>
        </w:tc>
      </w:tr>
      <w:tr w:rsidR="00120F8A" w:rsidRPr="00B6040C" w:rsidTr="00120F8A">
        <w:trPr>
          <w:trHeight w:val="20"/>
        </w:trPr>
        <w:tc>
          <w:tcPr>
            <w:tcW w:w="2427" w:type="pct"/>
          </w:tcPr>
          <w:p w:rsidR="00120F8A" w:rsidRPr="0084490B" w:rsidRDefault="00120F8A" w:rsidP="00120F8A">
            <w:pPr>
              <w:jc w:val="both"/>
              <w:rPr>
                <w:rFonts w:eastAsia="Calibri"/>
                <w:sz w:val="20"/>
                <w:lang w:val="fr-FR"/>
              </w:rPr>
            </w:pPr>
            <w:r w:rsidRPr="0084490B">
              <w:rPr>
                <w:rFonts w:eastAsia="Calibri"/>
                <w:sz w:val="20"/>
                <w:lang w:val="fr-FR"/>
              </w:rPr>
              <w:t>4 juin 2009</w:t>
            </w:r>
          </w:p>
          <w:p w:rsidR="00120F8A" w:rsidRPr="0084490B" w:rsidRDefault="00120F8A" w:rsidP="00120F8A">
            <w:pPr>
              <w:jc w:val="both"/>
              <w:rPr>
                <w:rFonts w:eastAsia="Calibri"/>
                <w:sz w:val="20"/>
                <w:lang w:val="fr-FR"/>
              </w:rPr>
            </w:pPr>
            <w:r w:rsidRPr="0084490B">
              <w:rPr>
                <w:rFonts w:eastAsia="Calibri"/>
                <w:sz w:val="20"/>
                <w:lang w:val="fr-FR"/>
              </w:rPr>
              <w:t>Cour suprême de la Colombie-Britannique</w:t>
            </w:r>
          </w:p>
          <w:p w:rsidR="00120F8A" w:rsidRPr="0084490B" w:rsidRDefault="00120F8A" w:rsidP="00120F8A">
            <w:pPr>
              <w:jc w:val="both"/>
              <w:rPr>
                <w:rFonts w:eastAsia="Calibri"/>
                <w:sz w:val="20"/>
                <w:lang w:val="fr-CA"/>
              </w:rPr>
            </w:pPr>
            <w:r w:rsidRPr="0084490B">
              <w:rPr>
                <w:rFonts w:eastAsia="Calibri"/>
                <w:sz w:val="20"/>
                <w:lang w:val="fr-CA"/>
              </w:rPr>
              <w:t>(Juge Josephson)</w:t>
            </w:r>
          </w:p>
          <w:p w:rsidR="00120F8A" w:rsidRPr="0084490B" w:rsidRDefault="00120F8A" w:rsidP="00120F8A">
            <w:pPr>
              <w:jc w:val="both"/>
              <w:rPr>
                <w:rFonts w:eastAsia="Calibri"/>
                <w:sz w:val="20"/>
              </w:rPr>
            </w:pPr>
          </w:p>
        </w:tc>
        <w:tc>
          <w:tcPr>
            <w:tcW w:w="243" w:type="pct"/>
          </w:tcPr>
          <w:p w:rsidR="00120F8A" w:rsidRPr="0084490B" w:rsidRDefault="00120F8A" w:rsidP="00120F8A">
            <w:pPr>
              <w:jc w:val="both"/>
              <w:rPr>
                <w:rFonts w:eastAsia="Calibri"/>
                <w:sz w:val="20"/>
                <w:lang w:val="fr-CA"/>
              </w:rPr>
            </w:pPr>
          </w:p>
        </w:tc>
        <w:tc>
          <w:tcPr>
            <w:tcW w:w="2330" w:type="pct"/>
          </w:tcPr>
          <w:p w:rsidR="00120F8A" w:rsidRPr="0084490B" w:rsidRDefault="00120F8A" w:rsidP="00120F8A">
            <w:pPr>
              <w:jc w:val="both"/>
              <w:rPr>
                <w:rFonts w:eastAsia="Calibri"/>
                <w:sz w:val="20"/>
                <w:lang w:val="fr-FR"/>
              </w:rPr>
            </w:pPr>
            <w:r w:rsidRPr="0084490B">
              <w:rPr>
                <w:rFonts w:eastAsia="Calibri"/>
                <w:sz w:val="20"/>
                <w:lang w:val="fr-FR"/>
              </w:rPr>
              <w:t>Décision quant au deuxième voir-dire selon laquelle la preuve génétique est admissible</w:t>
            </w:r>
          </w:p>
          <w:p w:rsidR="00120F8A" w:rsidRPr="0084490B" w:rsidRDefault="00120F8A" w:rsidP="00120F8A">
            <w:pPr>
              <w:jc w:val="both"/>
              <w:rPr>
                <w:rFonts w:eastAsia="Calibri"/>
                <w:sz w:val="20"/>
                <w:lang w:val="fr-CA"/>
              </w:rPr>
            </w:pPr>
          </w:p>
        </w:tc>
      </w:tr>
      <w:tr w:rsidR="00120F8A" w:rsidRPr="00B6040C" w:rsidTr="00AA4F37">
        <w:trPr>
          <w:cantSplit/>
          <w:trHeight w:val="20"/>
        </w:trPr>
        <w:tc>
          <w:tcPr>
            <w:tcW w:w="2427" w:type="pct"/>
          </w:tcPr>
          <w:p w:rsidR="00120F8A" w:rsidRPr="0084490B" w:rsidRDefault="00120F8A" w:rsidP="00120F8A">
            <w:pPr>
              <w:jc w:val="both"/>
              <w:rPr>
                <w:rFonts w:eastAsia="Calibri"/>
                <w:sz w:val="20"/>
                <w:lang w:val="fr-CA"/>
              </w:rPr>
            </w:pPr>
            <w:r w:rsidRPr="0084490B">
              <w:rPr>
                <w:rFonts w:eastAsia="Calibri"/>
                <w:sz w:val="20"/>
                <w:lang w:val="fr-CA"/>
              </w:rPr>
              <w:t>11 décembre 2009</w:t>
            </w:r>
          </w:p>
          <w:p w:rsidR="00120F8A" w:rsidRPr="0084490B" w:rsidRDefault="00120F8A" w:rsidP="00120F8A">
            <w:pPr>
              <w:jc w:val="both"/>
              <w:rPr>
                <w:rFonts w:eastAsia="Calibri"/>
                <w:sz w:val="20"/>
                <w:lang w:val="fr-FR"/>
              </w:rPr>
            </w:pPr>
            <w:r w:rsidRPr="0084490B">
              <w:rPr>
                <w:rFonts w:eastAsia="Calibri"/>
                <w:sz w:val="20"/>
                <w:lang w:val="fr-FR"/>
              </w:rPr>
              <w:t>Cour suprême de la Colombie-Britannique (Juge Josephson)</w:t>
            </w:r>
          </w:p>
          <w:p w:rsidR="00120F8A" w:rsidRPr="0084490B" w:rsidRDefault="00120F8A" w:rsidP="00120F8A">
            <w:pPr>
              <w:jc w:val="both"/>
              <w:rPr>
                <w:rFonts w:eastAsia="Calibri"/>
                <w:sz w:val="20"/>
                <w:lang w:val="fr-FR"/>
              </w:rPr>
            </w:pPr>
            <w:r w:rsidRPr="0084490B">
              <w:rPr>
                <w:rFonts w:eastAsia="Calibri"/>
                <w:sz w:val="20"/>
                <w:lang w:val="fr-FR"/>
              </w:rPr>
              <w:t>2009 BCSC 1713</w:t>
            </w:r>
          </w:p>
          <w:p w:rsidR="00120F8A" w:rsidRPr="0084490B" w:rsidRDefault="00120F8A" w:rsidP="00120F8A">
            <w:pPr>
              <w:jc w:val="both"/>
              <w:rPr>
                <w:rFonts w:eastAsia="Calibri"/>
                <w:sz w:val="20"/>
                <w:lang w:val="fr-FR"/>
              </w:rPr>
            </w:pPr>
          </w:p>
        </w:tc>
        <w:tc>
          <w:tcPr>
            <w:tcW w:w="243" w:type="pct"/>
          </w:tcPr>
          <w:p w:rsidR="00120F8A" w:rsidRPr="0084490B" w:rsidRDefault="00120F8A" w:rsidP="00120F8A">
            <w:pPr>
              <w:jc w:val="both"/>
              <w:rPr>
                <w:rFonts w:eastAsia="Calibri"/>
                <w:sz w:val="20"/>
                <w:lang w:val="fr-FR"/>
              </w:rPr>
            </w:pPr>
          </w:p>
        </w:tc>
        <w:tc>
          <w:tcPr>
            <w:tcW w:w="2330" w:type="pct"/>
          </w:tcPr>
          <w:p w:rsidR="00120F8A" w:rsidRPr="0084490B" w:rsidRDefault="00120F8A" w:rsidP="00120F8A">
            <w:pPr>
              <w:jc w:val="both"/>
              <w:rPr>
                <w:rFonts w:eastAsia="Calibri"/>
                <w:sz w:val="20"/>
                <w:lang w:val="fr-FR"/>
              </w:rPr>
            </w:pPr>
            <w:r w:rsidRPr="0084490B">
              <w:rPr>
                <w:rFonts w:eastAsia="Calibri"/>
                <w:sz w:val="20"/>
                <w:lang w:val="fr-FR"/>
              </w:rPr>
              <w:t>Déclaration de culpabilité pour meurtre au premier degré</w:t>
            </w:r>
          </w:p>
          <w:p w:rsidR="00120F8A" w:rsidRPr="0084490B" w:rsidRDefault="00120F8A" w:rsidP="00120F8A">
            <w:pPr>
              <w:jc w:val="both"/>
              <w:rPr>
                <w:rFonts w:eastAsia="Calibri"/>
                <w:sz w:val="20"/>
                <w:lang w:val="fr-FR"/>
              </w:rPr>
            </w:pPr>
          </w:p>
        </w:tc>
      </w:tr>
      <w:tr w:rsidR="00120F8A" w:rsidRPr="00B6040C" w:rsidTr="00AA4F37">
        <w:trPr>
          <w:cantSplit/>
          <w:trHeight w:val="20"/>
        </w:trPr>
        <w:tc>
          <w:tcPr>
            <w:tcW w:w="2427" w:type="pct"/>
          </w:tcPr>
          <w:p w:rsidR="00120F8A" w:rsidRPr="0084490B" w:rsidRDefault="00120F8A" w:rsidP="00120F8A">
            <w:pPr>
              <w:jc w:val="both"/>
              <w:rPr>
                <w:rFonts w:eastAsia="Calibri"/>
                <w:sz w:val="20"/>
                <w:lang w:val="fr-FR"/>
              </w:rPr>
            </w:pPr>
            <w:r w:rsidRPr="0084490B">
              <w:rPr>
                <w:rFonts w:eastAsia="Calibri"/>
                <w:sz w:val="20"/>
                <w:lang w:val="fr-FR"/>
              </w:rPr>
              <w:t>28 septembre 2012</w:t>
            </w:r>
          </w:p>
          <w:p w:rsidR="00120F8A" w:rsidRPr="0084490B" w:rsidRDefault="00120F8A" w:rsidP="00120F8A">
            <w:pPr>
              <w:jc w:val="both"/>
              <w:rPr>
                <w:rFonts w:eastAsia="Calibri"/>
                <w:sz w:val="20"/>
                <w:lang w:val="fr-FR"/>
              </w:rPr>
            </w:pPr>
            <w:r w:rsidRPr="0084490B">
              <w:rPr>
                <w:rFonts w:eastAsia="Calibri"/>
                <w:sz w:val="20"/>
                <w:lang w:val="fr-FR"/>
              </w:rPr>
              <w:t xml:space="preserve">Cour d’appel de la Colombie-Britannique </w:t>
            </w:r>
          </w:p>
          <w:p w:rsidR="00120F8A" w:rsidRPr="0084490B" w:rsidRDefault="00120F8A" w:rsidP="00120F8A">
            <w:pPr>
              <w:jc w:val="both"/>
              <w:rPr>
                <w:rFonts w:eastAsia="Calibri"/>
                <w:sz w:val="20"/>
              </w:rPr>
            </w:pPr>
            <w:r w:rsidRPr="0084490B">
              <w:rPr>
                <w:rFonts w:eastAsia="Calibri"/>
                <w:sz w:val="20"/>
              </w:rPr>
              <w:t>(Vancouver)</w:t>
            </w:r>
          </w:p>
          <w:p w:rsidR="00120F8A" w:rsidRPr="0084490B" w:rsidRDefault="00120F8A" w:rsidP="00120F8A">
            <w:pPr>
              <w:jc w:val="both"/>
              <w:rPr>
                <w:rFonts w:eastAsia="Calibri"/>
                <w:sz w:val="20"/>
              </w:rPr>
            </w:pPr>
            <w:r w:rsidRPr="0084490B">
              <w:rPr>
                <w:rFonts w:eastAsia="Calibri"/>
                <w:sz w:val="20"/>
              </w:rPr>
              <w:t>(</w:t>
            </w:r>
            <w:proofErr w:type="spellStart"/>
            <w:r w:rsidRPr="0084490B">
              <w:rPr>
                <w:rFonts w:eastAsia="Calibri"/>
                <w:sz w:val="20"/>
              </w:rPr>
              <w:t>Juges</w:t>
            </w:r>
            <w:proofErr w:type="spellEnd"/>
            <w:r w:rsidRPr="0084490B">
              <w:rPr>
                <w:rFonts w:eastAsia="Calibri"/>
                <w:sz w:val="20"/>
              </w:rPr>
              <w:t xml:space="preserve"> Hall, Smith et Neilson)</w:t>
            </w:r>
          </w:p>
          <w:p w:rsidR="00120F8A" w:rsidRPr="0084490B" w:rsidRDefault="00120F8A" w:rsidP="00120F8A">
            <w:pPr>
              <w:jc w:val="both"/>
              <w:rPr>
                <w:rFonts w:eastAsia="Calibri"/>
                <w:sz w:val="20"/>
              </w:rPr>
            </w:pPr>
            <w:r w:rsidRPr="0084490B">
              <w:rPr>
                <w:rFonts w:eastAsia="Calibri"/>
                <w:sz w:val="20"/>
              </w:rPr>
              <w:t>2012 BCCA ; 382; CA037761</w:t>
            </w:r>
          </w:p>
          <w:p w:rsidR="00120F8A" w:rsidRPr="0084490B" w:rsidRDefault="00120F8A" w:rsidP="00120F8A">
            <w:pPr>
              <w:jc w:val="both"/>
              <w:rPr>
                <w:rFonts w:eastAsia="Calibri"/>
                <w:sz w:val="20"/>
              </w:rPr>
            </w:pPr>
          </w:p>
        </w:tc>
        <w:tc>
          <w:tcPr>
            <w:tcW w:w="243" w:type="pct"/>
          </w:tcPr>
          <w:p w:rsidR="00120F8A" w:rsidRPr="0084490B" w:rsidRDefault="00120F8A" w:rsidP="00120F8A">
            <w:pPr>
              <w:jc w:val="both"/>
              <w:rPr>
                <w:rFonts w:eastAsia="Calibri"/>
                <w:sz w:val="20"/>
              </w:rPr>
            </w:pPr>
          </w:p>
        </w:tc>
        <w:tc>
          <w:tcPr>
            <w:tcW w:w="2330" w:type="pct"/>
          </w:tcPr>
          <w:p w:rsidR="00120F8A" w:rsidRPr="0084490B" w:rsidRDefault="00120F8A" w:rsidP="00120F8A">
            <w:pPr>
              <w:jc w:val="both"/>
              <w:rPr>
                <w:rFonts w:eastAsia="Calibri"/>
                <w:sz w:val="20"/>
                <w:lang w:val="fr-FR"/>
              </w:rPr>
            </w:pPr>
            <w:r w:rsidRPr="0084490B">
              <w:rPr>
                <w:rFonts w:eastAsia="Calibri"/>
                <w:sz w:val="20"/>
                <w:lang w:val="fr-FR"/>
              </w:rPr>
              <w:t>Appel de la déclaration de culpabilité rejeté</w:t>
            </w:r>
          </w:p>
          <w:p w:rsidR="00120F8A" w:rsidRPr="0084490B" w:rsidRDefault="00120F8A" w:rsidP="00120F8A">
            <w:pPr>
              <w:jc w:val="both"/>
              <w:rPr>
                <w:rFonts w:eastAsia="Calibri"/>
                <w:sz w:val="20"/>
                <w:lang w:val="fr-FR"/>
              </w:rPr>
            </w:pPr>
          </w:p>
        </w:tc>
      </w:tr>
      <w:tr w:rsidR="00120F8A" w:rsidRPr="00B6040C" w:rsidTr="00AA4F37">
        <w:trPr>
          <w:cantSplit/>
          <w:trHeight w:val="20"/>
        </w:trPr>
        <w:tc>
          <w:tcPr>
            <w:tcW w:w="2427" w:type="pct"/>
          </w:tcPr>
          <w:p w:rsidR="00120F8A" w:rsidRPr="0084490B" w:rsidRDefault="00120F8A" w:rsidP="00120F8A">
            <w:pPr>
              <w:jc w:val="both"/>
              <w:rPr>
                <w:rFonts w:eastAsia="Calibri"/>
                <w:sz w:val="20"/>
                <w:lang w:val="fr-FR"/>
              </w:rPr>
            </w:pPr>
            <w:r w:rsidRPr="0084490B">
              <w:rPr>
                <w:rFonts w:eastAsia="Calibri"/>
                <w:sz w:val="20"/>
                <w:lang w:val="fr-FR"/>
              </w:rPr>
              <w:t>6 février 2013</w:t>
            </w:r>
          </w:p>
          <w:p w:rsidR="00120F8A" w:rsidRPr="0084490B" w:rsidRDefault="00120F8A" w:rsidP="00120F8A">
            <w:pPr>
              <w:jc w:val="both"/>
              <w:rPr>
                <w:rFonts w:eastAsia="Calibri"/>
                <w:sz w:val="20"/>
                <w:lang w:val="fr-FR"/>
              </w:rPr>
            </w:pPr>
            <w:r w:rsidRPr="0084490B">
              <w:rPr>
                <w:rFonts w:eastAsia="Calibri"/>
                <w:sz w:val="20"/>
                <w:lang w:val="fr-FR"/>
              </w:rPr>
              <w:t>Cour suprême du Canada</w:t>
            </w:r>
          </w:p>
        </w:tc>
        <w:tc>
          <w:tcPr>
            <w:tcW w:w="243" w:type="pct"/>
          </w:tcPr>
          <w:p w:rsidR="00120F8A" w:rsidRPr="0084490B" w:rsidRDefault="00120F8A" w:rsidP="00120F8A">
            <w:pPr>
              <w:jc w:val="both"/>
              <w:rPr>
                <w:rFonts w:eastAsia="Calibri"/>
                <w:sz w:val="20"/>
                <w:lang w:val="fr-FR"/>
              </w:rPr>
            </w:pPr>
          </w:p>
        </w:tc>
        <w:tc>
          <w:tcPr>
            <w:tcW w:w="2330" w:type="pct"/>
          </w:tcPr>
          <w:p w:rsidR="00120F8A" w:rsidRPr="0084490B" w:rsidRDefault="00120F8A" w:rsidP="00120F8A">
            <w:pPr>
              <w:jc w:val="both"/>
              <w:rPr>
                <w:rFonts w:eastAsia="Calibri"/>
                <w:sz w:val="20"/>
                <w:lang w:val="fr-FR"/>
              </w:rPr>
            </w:pPr>
            <w:r w:rsidRPr="0084490B">
              <w:rPr>
                <w:rFonts w:eastAsia="Calibri"/>
                <w:sz w:val="20"/>
                <w:lang w:val="fr-FR"/>
              </w:rPr>
              <w:t xml:space="preserve">Demande de prorogation de délai pour signifier et déposer la demande d’autorisation d’appel et demande d’autorisation </w:t>
            </w:r>
            <w:proofErr w:type="gramStart"/>
            <w:r w:rsidRPr="0084490B">
              <w:rPr>
                <w:rFonts w:eastAsia="Calibri"/>
                <w:sz w:val="20"/>
                <w:lang w:val="fr-FR"/>
              </w:rPr>
              <w:t>d’appel déposées</w:t>
            </w:r>
            <w:proofErr w:type="gramEnd"/>
            <w:r w:rsidRPr="0084490B">
              <w:rPr>
                <w:rFonts w:eastAsia="Calibri"/>
                <w:sz w:val="20"/>
                <w:lang w:val="fr-FR"/>
              </w:rPr>
              <w:t xml:space="preserve"> </w:t>
            </w:r>
          </w:p>
        </w:tc>
      </w:tr>
    </w:tbl>
    <w:p w:rsidR="00EA65C4" w:rsidRPr="00120F8A" w:rsidRDefault="00EA65C4" w:rsidP="00EA65C4">
      <w:pPr>
        <w:rPr>
          <w:sz w:val="20"/>
          <w:szCs w:val="20"/>
          <w:lang w:val="fr-CA"/>
        </w:rPr>
      </w:pPr>
    </w:p>
    <w:p w:rsidR="00EA65C4" w:rsidRDefault="0028676C" w:rsidP="00EA65C4">
      <w:pPr>
        <w:rPr>
          <w:sz w:val="20"/>
          <w:szCs w:val="20"/>
        </w:rPr>
      </w:pPr>
      <w:r w:rsidRPr="0028676C">
        <w:rPr>
          <w:sz w:val="20"/>
          <w:szCs w:val="20"/>
          <w:lang w:val="fr-CA"/>
        </w:rPr>
        <w:pict>
          <v:rect id="_x0000_i1062" style="width:2in;height:1pt" o:hrpct="0" o:hralign="center" o:hrstd="t" o:hrnoshade="t" o:hr="t" fillcolor="black [3213]" stroked="f"/>
        </w:pict>
      </w:r>
    </w:p>
    <w:p w:rsidR="00EA65C4" w:rsidRDefault="00EA65C4" w:rsidP="00EA65C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402A7" w:rsidRPr="00E402A7" w:rsidTr="0071552E">
        <w:trPr>
          <w:cantSplit/>
        </w:trPr>
        <w:tc>
          <w:tcPr>
            <w:tcW w:w="1458" w:type="dxa"/>
          </w:tcPr>
          <w:p w:rsidR="00E402A7" w:rsidRPr="00E402A7" w:rsidRDefault="00E402A7" w:rsidP="0071552E">
            <w:pPr>
              <w:rPr>
                <w:sz w:val="20"/>
                <w:szCs w:val="20"/>
              </w:rPr>
            </w:pPr>
            <w:r w:rsidRPr="00E402A7">
              <w:rPr>
                <w:rStyle w:val="SCCFileNumberChar"/>
                <w:sz w:val="20"/>
                <w:szCs w:val="20"/>
              </w:rPr>
              <w:t>35206</w:t>
            </w:r>
          </w:p>
          <w:p w:rsidR="00E402A7" w:rsidRPr="00E402A7" w:rsidRDefault="00E402A7" w:rsidP="0071552E">
            <w:pPr>
              <w:rPr>
                <w:b/>
                <w:sz w:val="20"/>
                <w:szCs w:val="20"/>
                <w:lang w:val="fr-CA"/>
              </w:rPr>
            </w:pPr>
          </w:p>
        </w:tc>
        <w:tc>
          <w:tcPr>
            <w:tcW w:w="8118" w:type="dxa"/>
          </w:tcPr>
          <w:p w:rsidR="00E402A7" w:rsidRPr="00E402A7" w:rsidRDefault="00E402A7" w:rsidP="0071552E">
            <w:pPr>
              <w:rPr>
                <w:sz w:val="20"/>
                <w:szCs w:val="20"/>
              </w:rPr>
            </w:pPr>
            <w:r w:rsidRPr="00E402A7">
              <w:rPr>
                <w:rStyle w:val="SCCLsocChar"/>
                <w:sz w:val="20"/>
                <w:szCs w:val="20"/>
                <w:lang w:val="en-CA"/>
              </w:rPr>
              <w:t>Her Majesty the Queen v. Alex Jean</w:t>
            </w:r>
            <w:r w:rsidRPr="00E402A7">
              <w:rPr>
                <w:sz w:val="20"/>
                <w:szCs w:val="20"/>
              </w:rPr>
              <w:t xml:space="preserve"> (B.C.) (Criminal) (By Leave)</w:t>
            </w:r>
          </w:p>
          <w:p w:rsidR="00E402A7" w:rsidRPr="00E402A7" w:rsidRDefault="00E402A7" w:rsidP="0071552E">
            <w:pPr>
              <w:rPr>
                <w:sz w:val="20"/>
                <w:szCs w:val="20"/>
              </w:rPr>
            </w:pPr>
          </w:p>
        </w:tc>
      </w:tr>
      <w:tr w:rsidR="00E402A7" w:rsidRPr="00E402A7" w:rsidTr="0071552E">
        <w:trPr>
          <w:cantSplit/>
        </w:trPr>
        <w:tc>
          <w:tcPr>
            <w:tcW w:w="1458" w:type="dxa"/>
          </w:tcPr>
          <w:p w:rsidR="00E402A7" w:rsidRPr="00E402A7" w:rsidRDefault="00E402A7" w:rsidP="0071552E">
            <w:pPr>
              <w:rPr>
                <w:sz w:val="20"/>
                <w:szCs w:val="20"/>
              </w:rPr>
            </w:pPr>
            <w:r w:rsidRPr="00E402A7">
              <w:rPr>
                <w:sz w:val="20"/>
                <w:szCs w:val="20"/>
              </w:rPr>
              <w:t>Coram :</w:t>
            </w:r>
          </w:p>
        </w:tc>
        <w:tc>
          <w:tcPr>
            <w:tcW w:w="8118" w:type="dxa"/>
          </w:tcPr>
          <w:p w:rsidR="00E402A7" w:rsidRPr="00E402A7" w:rsidRDefault="00E402A7" w:rsidP="0071552E">
            <w:pPr>
              <w:rPr>
                <w:sz w:val="20"/>
                <w:szCs w:val="20"/>
              </w:rPr>
            </w:pPr>
            <w:r w:rsidRPr="00E402A7">
              <w:rPr>
                <w:rStyle w:val="SCCCoramChar"/>
                <w:sz w:val="20"/>
                <w:szCs w:val="20"/>
                <w:lang w:val="en-CA"/>
              </w:rPr>
              <w:t xml:space="preserve">McLachlin C.J. and </w:t>
            </w:r>
            <w:proofErr w:type="spellStart"/>
            <w:r w:rsidRPr="00E402A7">
              <w:rPr>
                <w:rStyle w:val="SCCCoramChar"/>
                <w:sz w:val="20"/>
                <w:szCs w:val="20"/>
                <w:lang w:val="en-CA"/>
              </w:rPr>
              <w:t>Abella</w:t>
            </w:r>
            <w:proofErr w:type="spellEnd"/>
            <w:r w:rsidRPr="00E402A7">
              <w:rPr>
                <w:rStyle w:val="SCCCoramChar"/>
                <w:sz w:val="20"/>
                <w:szCs w:val="20"/>
                <w:lang w:val="en-CA"/>
              </w:rPr>
              <w:t xml:space="preserve"> and Cromwell JJ.</w:t>
            </w:r>
          </w:p>
          <w:p w:rsidR="00E402A7" w:rsidRPr="00E402A7" w:rsidRDefault="00E402A7" w:rsidP="0071552E">
            <w:pPr>
              <w:rPr>
                <w:sz w:val="20"/>
                <w:szCs w:val="20"/>
                <w:u w:val="single"/>
              </w:rPr>
            </w:pPr>
          </w:p>
        </w:tc>
      </w:tr>
      <w:tr w:rsidR="00E402A7" w:rsidRPr="00B6040C" w:rsidTr="0071552E">
        <w:trPr>
          <w:cantSplit/>
        </w:trPr>
        <w:tc>
          <w:tcPr>
            <w:tcW w:w="9576" w:type="dxa"/>
            <w:gridSpan w:val="2"/>
          </w:tcPr>
          <w:p w:rsidR="00E402A7" w:rsidRPr="00E402A7" w:rsidRDefault="00E402A7" w:rsidP="0071552E">
            <w:pPr>
              <w:pStyle w:val="SCCShortJudgment"/>
              <w:rPr>
                <w:szCs w:val="20"/>
              </w:rPr>
            </w:pPr>
            <w:r w:rsidRPr="00E402A7">
              <w:rPr>
                <w:szCs w:val="20"/>
              </w:rPr>
              <w:t>The motion for an extension of time to serve and file the application for leave to appeal is granted. The application for leave to appeal from the judgment of the Court of Appeal for British Columbia (Vancouver), Number CA039468, 2012 BCCA 448, dated November 20, 2012, is dismissed without costs.</w:t>
            </w:r>
          </w:p>
          <w:p w:rsidR="00E402A7" w:rsidRPr="00E402A7" w:rsidRDefault="00E402A7" w:rsidP="0071552E">
            <w:pPr>
              <w:pStyle w:val="SCCShortJudgment"/>
              <w:ind w:firstLine="0"/>
              <w:rPr>
                <w:szCs w:val="20"/>
              </w:rPr>
            </w:pPr>
          </w:p>
          <w:p w:rsidR="00E402A7" w:rsidRPr="00E402A7" w:rsidRDefault="00E402A7" w:rsidP="0071552E">
            <w:pPr>
              <w:pStyle w:val="SCCShortJudgment"/>
              <w:rPr>
                <w:szCs w:val="20"/>
                <w:lang w:val="fr-CA"/>
              </w:rPr>
            </w:pPr>
            <w:r w:rsidRPr="00E402A7">
              <w:rPr>
                <w:szCs w:val="20"/>
                <w:lang w:val="fr-CA"/>
              </w:rPr>
              <w:t>La requête en prorogation du délai de signification et de dépôt de la demande d’autorisation d’appel est accueillie.  La demande d’autorisation d’appel de l’arrêt de la Cour d’appel de la Colombie-Britannique (Vancouver), numéro CA039468, 2012 BCCA 448, daté du 20 novembre 2012, est rejetée sans dépens.</w:t>
            </w:r>
          </w:p>
        </w:tc>
      </w:tr>
    </w:tbl>
    <w:p w:rsidR="00EA65C4" w:rsidRPr="00E402A7" w:rsidRDefault="00EA65C4" w:rsidP="00EA65C4">
      <w:pPr>
        <w:rPr>
          <w:sz w:val="20"/>
          <w:szCs w:val="20"/>
          <w:lang w:val="fr-CA"/>
        </w:rPr>
      </w:pPr>
    </w:p>
    <w:p w:rsidR="00EA65C4" w:rsidRPr="001B157C" w:rsidRDefault="00EA65C4" w:rsidP="00EA65C4">
      <w:pPr>
        <w:rPr>
          <w:sz w:val="20"/>
          <w:szCs w:val="20"/>
          <w:u w:val="single"/>
        </w:rPr>
      </w:pPr>
      <w:r w:rsidRPr="001B157C">
        <w:rPr>
          <w:sz w:val="20"/>
          <w:szCs w:val="20"/>
          <w:u w:val="single"/>
        </w:rPr>
        <w:t>CASE SUMMARY</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20F8A" w:rsidRPr="0084490B" w:rsidTr="00120F8A">
        <w:tc>
          <w:tcPr>
            <w:tcW w:w="5000" w:type="pct"/>
            <w:gridSpan w:val="3"/>
          </w:tcPr>
          <w:p w:rsidR="00120F8A" w:rsidRPr="0084490B" w:rsidRDefault="00120F8A" w:rsidP="00120F8A">
            <w:pPr>
              <w:jc w:val="both"/>
              <w:rPr>
                <w:rFonts w:eastAsia="Calibri"/>
                <w:sz w:val="20"/>
              </w:rPr>
            </w:pPr>
            <w:r w:rsidRPr="0084490B">
              <w:rPr>
                <w:rFonts w:eastAsia="Calibri"/>
                <w:sz w:val="20"/>
              </w:rPr>
              <w:t xml:space="preserve">Criminal law – Offence – Elements of Offence – Robbery – Whether the definition of robbery in s. 343(a) of the </w:t>
            </w:r>
            <w:r w:rsidRPr="0084490B">
              <w:rPr>
                <w:rFonts w:eastAsia="Calibri"/>
                <w:i/>
                <w:sz w:val="20"/>
              </w:rPr>
              <w:t>Criminal Code</w:t>
            </w:r>
            <w:r w:rsidRPr="0084490B">
              <w:rPr>
                <w:rFonts w:eastAsia="Calibri"/>
                <w:sz w:val="20"/>
              </w:rPr>
              <w:t xml:space="preserve"> restricts the offence in such a way that a victim, who is assaulted or threatened by the thief within four seconds after his or her property is taken and while trying to recover the property or to prevent the thief from escaping with the property, is not robbed  – Whether the theft was technically complete before the assault or threat of violence – Whether the Court of Appeal adopted a strict and literal reading of the offence of theft as found in s. 322(2) of the </w:t>
            </w:r>
            <w:r w:rsidRPr="0084490B">
              <w:rPr>
                <w:rFonts w:eastAsia="Calibri"/>
                <w:i/>
                <w:sz w:val="20"/>
              </w:rPr>
              <w:t>Criminal Code</w:t>
            </w:r>
            <w:r w:rsidRPr="0084490B">
              <w:rPr>
                <w:rFonts w:eastAsia="Calibri"/>
                <w:sz w:val="20"/>
              </w:rPr>
              <w:t xml:space="preserve"> - Whether the Court of Appeal erred – Whether there are issues of public importance raised -  Section 343(a) of the </w:t>
            </w:r>
            <w:r w:rsidRPr="0084490B">
              <w:rPr>
                <w:rFonts w:eastAsia="Calibri"/>
                <w:i/>
                <w:sz w:val="20"/>
              </w:rPr>
              <w:t>Criminal Code</w:t>
            </w:r>
            <w:r w:rsidRPr="0084490B">
              <w:rPr>
                <w:rFonts w:eastAsia="Calibri"/>
                <w:sz w:val="20"/>
              </w:rPr>
              <w:t>, R.S.C., 1985, c. C-46.</w:t>
            </w:r>
          </w:p>
        </w:tc>
      </w:tr>
      <w:tr w:rsidR="00120F8A" w:rsidRPr="0084490B" w:rsidTr="00120F8A">
        <w:tc>
          <w:tcPr>
            <w:tcW w:w="5000" w:type="pct"/>
            <w:gridSpan w:val="3"/>
          </w:tcPr>
          <w:p w:rsidR="00120F8A" w:rsidRPr="0084490B" w:rsidRDefault="00120F8A" w:rsidP="00120F8A">
            <w:pPr>
              <w:jc w:val="both"/>
              <w:rPr>
                <w:rFonts w:eastAsia="Calibri"/>
                <w:sz w:val="20"/>
              </w:rPr>
            </w:pPr>
          </w:p>
        </w:tc>
      </w:tr>
      <w:tr w:rsidR="00120F8A" w:rsidRPr="0084490B" w:rsidTr="00120F8A">
        <w:tc>
          <w:tcPr>
            <w:tcW w:w="5000" w:type="pct"/>
            <w:gridSpan w:val="3"/>
          </w:tcPr>
          <w:p w:rsidR="00120F8A" w:rsidRPr="0084490B" w:rsidRDefault="00120F8A" w:rsidP="00120F8A">
            <w:pPr>
              <w:jc w:val="both"/>
              <w:rPr>
                <w:rFonts w:eastAsia="Calibri"/>
                <w:sz w:val="20"/>
              </w:rPr>
            </w:pPr>
            <w:r w:rsidRPr="0084490B">
              <w:rPr>
                <w:rFonts w:eastAsia="Calibri"/>
                <w:sz w:val="20"/>
              </w:rPr>
              <w:t>One morning the respondent grabbed $40 from an ATM machine which the victim, Mr. Wilson, was in the process of withdrawing from his account. Mr. Wilson prevented the respondent, by the use of some force, from leaving the ATM enclosure until the police arrived and placed him in handcuffs. At trial, the respondent was convicted of robbery. The Court of Appeal set aside the robbery conviction and substituted a conviction for theft under $5,000.</w:t>
            </w:r>
          </w:p>
          <w:p w:rsidR="00120F8A" w:rsidRPr="0084490B" w:rsidRDefault="00120F8A" w:rsidP="00120F8A">
            <w:pPr>
              <w:jc w:val="both"/>
              <w:rPr>
                <w:rFonts w:eastAsia="Calibri"/>
                <w:sz w:val="20"/>
              </w:rPr>
            </w:pPr>
          </w:p>
        </w:tc>
      </w:tr>
      <w:tr w:rsidR="00120F8A" w:rsidRPr="0084490B" w:rsidTr="00120F8A">
        <w:tc>
          <w:tcPr>
            <w:tcW w:w="2427" w:type="pct"/>
          </w:tcPr>
          <w:p w:rsidR="00120F8A" w:rsidRPr="0084490B" w:rsidRDefault="00120F8A" w:rsidP="00120F8A">
            <w:pPr>
              <w:jc w:val="both"/>
              <w:rPr>
                <w:rFonts w:eastAsia="Calibri"/>
                <w:sz w:val="20"/>
              </w:rPr>
            </w:pPr>
            <w:r w:rsidRPr="0084490B">
              <w:rPr>
                <w:rFonts w:eastAsia="Calibri"/>
                <w:sz w:val="20"/>
              </w:rPr>
              <w:t>June 22, 2011</w:t>
            </w:r>
          </w:p>
          <w:p w:rsidR="00120F8A" w:rsidRPr="0084490B" w:rsidRDefault="00120F8A" w:rsidP="00120F8A">
            <w:pPr>
              <w:jc w:val="both"/>
              <w:rPr>
                <w:rFonts w:eastAsia="Calibri"/>
                <w:sz w:val="20"/>
              </w:rPr>
            </w:pPr>
            <w:r w:rsidRPr="0084490B">
              <w:rPr>
                <w:rFonts w:eastAsia="Calibri"/>
                <w:sz w:val="20"/>
              </w:rPr>
              <w:t>Provincial Court of British Columbia</w:t>
            </w:r>
          </w:p>
          <w:p w:rsidR="00120F8A" w:rsidRPr="0084490B" w:rsidRDefault="00120F8A" w:rsidP="00120F8A">
            <w:pPr>
              <w:jc w:val="both"/>
              <w:rPr>
                <w:rFonts w:eastAsia="Calibri"/>
                <w:sz w:val="20"/>
              </w:rPr>
            </w:pPr>
            <w:r w:rsidRPr="0084490B">
              <w:rPr>
                <w:rFonts w:eastAsia="Calibri"/>
                <w:sz w:val="20"/>
              </w:rPr>
              <w:t>(</w:t>
            </w:r>
            <w:proofErr w:type="spellStart"/>
            <w:r w:rsidRPr="0084490B">
              <w:rPr>
                <w:rFonts w:eastAsia="Calibri"/>
                <w:sz w:val="20"/>
              </w:rPr>
              <w:t>Bagnall</w:t>
            </w:r>
            <w:proofErr w:type="spellEnd"/>
            <w:r w:rsidRPr="0084490B">
              <w:rPr>
                <w:rFonts w:eastAsia="Calibri"/>
                <w:sz w:val="20"/>
              </w:rPr>
              <w:t xml:space="preserve"> P.C.J.)</w:t>
            </w:r>
          </w:p>
          <w:p w:rsidR="00120F8A" w:rsidRPr="0084490B" w:rsidRDefault="00120F8A" w:rsidP="00120F8A">
            <w:pPr>
              <w:jc w:val="both"/>
              <w:rPr>
                <w:rFonts w:eastAsia="Calibri"/>
                <w:sz w:val="20"/>
              </w:rPr>
            </w:pPr>
          </w:p>
        </w:tc>
        <w:tc>
          <w:tcPr>
            <w:tcW w:w="243" w:type="pct"/>
          </w:tcPr>
          <w:p w:rsidR="00120F8A" w:rsidRPr="0084490B" w:rsidRDefault="00120F8A" w:rsidP="00120F8A">
            <w:pPr>
              <w:jc w:val="both"/>
              <w:rPr>
                <w:rFonts w:eastAsia="Calibri"/>
                <w:sz w:val="20"/>
              </w:rPr>
            </w:pPr>
          </w:p>
        </w:tc>
        <w:tc>
          <w:tcPr>
            <w:tcW w:w="2330" w:type="pct"/>
          </w:tcPr>
          <w:p w:rsidR="00120F8A" w:rsidRPr="0084490B" w:rsidRDefault="00120F8A" w:rsidP="00120F8A">
            <w:pPr>
              <w:jc w:val="both"/>
              <w:rPr>
                <w:rFonts w:eastAsia="Calibri"/>
                <w:sz w:val="20"/>
              </w:rPr>
            </w:pPr>
            <w:r w:rsidRPr="0084490B">
              <w:rPr>
                <w:rFonts w:eastAsia="Calibri"/>
                <w:sz w:val="20"/>
              </w:rPr>
              <w:t>Conviction for robbery</w:t>
            </w:r>
          </w:p>
        </w:tc>
      </w:tr>
      <w:tr w:rsidR="00120F8A" w:rsidRPr="0084490B" w:rsidTr="00E402A7">
        <w:trPr>
          <w:cantSplit/>
        </w:trPr>
        <w:tc>
          <w:tcPr>
            <w:tcW w:w="2427" w:type="pct"/>
          </w:tcPr>
          <w:p w:rsidR="00120F8A" w:rsidRPr="0084490B" w:rsidRDefault="00120F8A" w:rsidP="00120F8A">
            <w:pPr>
              <w:jc w:val="both"/>
              <w:rPr>
                <w:rFonts w:eastAsia="Calibri"/>
                <w:sz w:val="20"/>
              </w:rPr>
            </w:pPr>
            <w:r w:rsidRPr="0084490B">
              <w:rPr>
                <w:rFonts w:eastAsia="Calibri"/>
                <w:sz w:val="20"/>
              </w:rPr>
              <w:t>November 20, 2012</w:t>
            </w:r>
          </w:p>
          <w:p w:rsidR="00120F8A" w:rsidRPr="0084490B" w:rsidRDefault="00120F8A" w:rsidP="00120F8A">
            <w:pPr>
              <w:jc w:val="both"/>
              <w:rPr>
                <w:rFonts w:eastAsia="Calibri"/>
                <w:sz w:val="20"/>
              </w:rPr>
            </w:pPr>
            <w:r w:rsidRPr="0084490B">
              <w:rPr>
                <w:rFonts w:eastAsia="Calibri"/>
                <w:sz w:val="20"/>
              </w:rPr>
              <w:t xml:space="preserve">Court of Appeal for British Columbia </w:t>
            </w:r>
          </w:p>
          <w:p w:rsidR="00120F8A" w:rsidRPr="0084490B" w:rsidRDefault="00120F8A" w:rsidP="00120F8A">
            <w:pPr>
              <w:jc w:val="both"/>
              <w:rPr>
                <w:rFonts w:eastAsia="Calibri"/>
                <w:sz w:val="20"/>
              </w:rPr>
            </w:pPr>
            <w:r w:rsidRPr="0084490B">
              <w:rPr>
                <w:rFonts w:eastAsia="Calibri"/>
                <w:sz w:val="20"/>
              </w:rPr>
              <w:t>(Vancouver)</w:t>
            </w:r>
          </w:p>
          <w:p w:rsidR="00120F8A" w:rsidRPr="0084490B" w:rsidRDefault="00120F8A" w:rsidP="00120F8A">
            <w:pPr>
              <w:jc w:val="both"/>
              <w:rPr>
                <w:rFonts w:eastAsia="Calibri"/>
                <w:sz w:val="20"/>
              </w:rPr>
            </w:pPr>
            <w:r w:rsidRPr="0084490B">
              <w:rPr>
                <w:rFonts w:eastAsia="Calibri"/>
                <w:sz w:val="20"/>
              </w:rPr>
              <w:t>(Finch C.J., Garson and Harris JJ.A.)</w:t>
            </w:r>
          </w:p>
          <w:p w:rsidR="00120F8A" w:rsidRPr="0084490B" w:rsidRDefault="00120F8A" w:rsidP="00120F8A">
            <w:pPr>
              <w:jc w:val="both"/>
              <w:rPr>
                <w:rFonts w:eastAsia="Calibri"/>
                <w:sz w:val="20"/>
              </w:rPr>
            </w:pPr>
            <w:r w:rsidRPr="0084490B">
              <w:rPr>
                <w:rFonts w:eastAsia="Calibri"/>
                <w:sz w:val="20"/>
              </w:rPr>
              <w:t>2012 BCCA 448</w:t>
            </w:r>
          </w:p>
          <w:p w:rsidR="00120F8A" w:rsidRPr="0084490B" w:rsidRDefault="00120F8A" w:rsidP="00120F8A">
            <w:pPr>
              <w:jc w:val="both"/>
              <w:rPr>
                <w:rFonts w:eastAsia="Calibri"/>
                <w:sz w:val="20"/>
              </w:rPr>
            </w:pPr>
          </w:p>
        </w:tc>
        <w:tc>
          <w:tcPr>
            <w:tcW w:w="243" w:type="pct"/>
          </w:tcPr>
          <w:p w:rsidR="00120F8A" w:rsidRPr="0084490B" w:rsidRDefault="00120F8A" w:rsidP="00120F8A">
            <w:pPr>
              <w:jc w:val="both"/>
              <w:rPr>
                <w:rFonts w:eastAsia="Calibri"/>
                <w:sz w:val="20"/>
              </w:rPr>
            </w:pPr>
          </w:p>
        </w:tc>
        <w:tc>
          <w:tcPr>
            <w:tcW w:w="2330" w:type="pct"/>
          </w:tcPr>
          <w:p w:rsidR="00120F8A" w:rsidRPr="0084490B" w:rsidRDefault="00120F8A" w:rsidP="00120F8A">
            <w:pPr>
              <w:jc w:val="both"/>
              <w:rPr>
                <w:rFonts w:eastAsia="Calibri"/>
                <w:sz w:val="20"/>
              </w:rPr>
            </w:pPr>
            <w:r w:rsidRPr="0084490B">
              <w:rPr>
                <w:rFonts w:eastAsia="Calibri"/>
                <w:sz w:val="20"/>
              </w:rPr>
              <w:t>Conviction for robbery set aside and a conviction for theft under $5,000 substituted</w:t>
            </w:r>
          </w:p>
          <w:p w:rsidR="00120F8A" w:rsidRPr="0084490B" w:rsidRDefault="00120F8A" w:rsidP="00120F8A">
            <w:pPr>
              <w:jc w:val="both"/>
              <w:rPr>
                <w:rFonts w:eastAsia="Calibri"/>
                <w:sz w:val="20"/>
              </w:rPr>
            </w:pPr>
          </w:p>
          <w:p w:rsidR="00120F8A" w:rsidRPr="0084490B" w:rsidRDefault="00120F8A" w:rsidP="00120F8A">
            <w:pPr>
              <w:jc w:val="both"/>
              <w:rPr>
                <w:rFonts w:eastAsia="Calibri"/>
                <w:sz w:val="20"/>
              </w:rPr>
            </w:pPr>
          </w:p>
        </w:tc>
      </w:tr>
      <w:tr w:rsidR="00120F8A" w:rsidRPr="0084490B" w:rsidTr="00E402A7">
        <w:trPr>
          <w:cantSplit/>
        </w:trPr>
        <w:tc>
          <w:tcPr>
            <w:tcW w:w="2427" w:type="pct"/>
          </w:tcPr>
          <w:p w:rsidR="00120F8A" w:rsidRPr="0084490B" w:rsidRDefault="00120F8A" w:rsidP="00120F8A">
            <w:pPr>
              <w:jc w:val="both"/>
              <w:rPr>
                <w:rFonts w:eastAsia="Calibri"/>
                <w:sz w:val="20"/>
              </w:rPr>
            </w:pPr>
            <w:r w:rsidRPr="0084490B">
              <w:rPr>
                <w:rFonts w:eastAsia="Calibri"/>
                <w:sz w:val="20"/>
              </w:rPr>
              <w:t>February 4, 2013</w:t>
            </w:r>
          </w:p>
          <w:p w:rsidR="00120F8A" w:rsidRPr="0084490B" w:rsidRDefault="00120F8A" w:rsidP="00120F8A">
            <w:pPr>
              <w:jc w:val="both"/>
              <w:rPr>
                <w:rFonts w:eastAsia="Calibri"/>
                <w:sz w:val="20"/>
              </w:rPr>
            </w:pPr>
            <w:r w:rsidRPr="0084490B">
              <w:rPr>
                <w:rFonts w:eastAsia="Calibri"/>
                <w:sz w:val="20"/>
              </w:rPr>
              <w:t>Supreme Court of Canada</w:t>
            </w:r>
          </w:p>
          <w:p w:rsidR="00120F8A" w:rsidRPr="0084490B" w:rsidRDefault="00120F8A" w:rsidP="00120F8A">
            <w:pPr>
              <w:jc w:val="both"/>
              <w:rPr>
                <w:rFonts w:eastAsia="Calibri"/>
                <w:sz w:val="20"/>
              </w:rPr>
            </w:pPr>
          </w:p>
        </w:tc>
        <w:tc>
          <w:tcPr>
            <w:tcW w:w="243" w:type="pct"/>
          </w:tcPr>
          <w:p w:rsidR="00120F8A" w:rsidRPr="0084490B" w:rsidRDefault="00120F8A" w:rsidP="00120F8A">
            <w:pPr>
              <w:jc w:val="both"/>
              <w:rPr>
                <w:rFonts w:eastAsia="Calibri"/>
                <w:sz w:val="20"/>
              </w:rPr>
            </w:pPr>
          </w:p>
        </w:tc>
        <w:tc>
          <w:tcPr>
            <w:tcW w:w="2330" w:type="pct"/>
          </w:tcPr>
          <w:p w:rsidR="00120F8A" w:rsidRPr="0084490B" w:rsidRDefault="00120F8A" w:rsidP="00120F8A">
            <w:pPr>
              <w:jc w:val="both"/>
              <w:rPr>
                <w:rFonts w:eastAsia="Calibri"/>
                <w:sz w:val="20"/>
              </w:rPr>
            </w:pPr>
            <w:r w:rsidRPr="0084490B">
              <w:rPr>
                <w:rFonts w:eastAsia="Calibri"/>
                <w:sz w:val="20"/>
              </w:rPr>
              <w:t>Motion for an extension of time to serve and file application for leave to appeal and application for leave to appeal filed</w:t>
            </w:r>
          </w:p>
        </w:tc>
      </w:tr>
    </w:tbl>
    <w:p w:rsidR="00EA65C4" w:rsidRDefault="00EA65C4" w:rsidP="00EA65C4">
      <w:pPr>
        <w:rPr>
          <w:sz w:val="20"/>
          <w:szCs w:val="20"/>
        </w:rPr>
      </w:pPr>
    </w:p>
    <w:p w:rsidR="00EA65C4" w:rsidRPr="00C50A5C" w:rsidRDefault="0028676C" w:rsidP="00EA65C4">
      <w:pPr>
        <w:rPr>
          <w:sz w:val="20"/>
          <w:szCs w:val="20"/>
        </w:rPr>
      </w:pPr>
      <w:r w:rsidRPr="0028676C">
        <w:rPr>
          <w:sz w:val="20"/>
          <w:szCs w:val="20"/>
          <w:lang w:val="fr-CA"/>
        </w:rPr>
        <w:pict>
          <v:rect id="_x0000_i1063" style="width:2in;height:1pt" o:hrpct="0" o:hralign="center" o:hrstd="t" o:hrnoshade="t" o:hr="t" fillcolor="black [3213]" stroked="f"/>
        </w:pict>
      </w:r>
    </w:p>
    <w:p w:rsidR="00EA65C4" w:rsidRDefault="00EA65C4" w:rsidP="00EA65C4">
      <w:pPr>
        <w:rPr>
          <w:sz w:val="20"/>
          <w:szCs w:val="20"/>
        </w:rPr>
      </w:pPr>
    </w:p>
    <w:p w:rsidR="00EA65C4" w:rsidRPr="001B157C" w:rsidRDefault="00EA65C4" w:rsidP="00EA65C4">
      <w:pPr>
        <w:rPr>
          <w:sz w:val="20"/>
          <w:szCs w:val="20"/>
          <w:u w:val="single"/>
          <w:lang w:val="fr-CA"/>
        </w:rPr>
      </w:pPr>
      <w:r w:rsidRPr="001B157C">
        <w:rPr>
          <w:sz w:val="20"/>
          <w:szCs w:val="20"/>
          <w:u w:val="single"/>
          <w:lang w:val="fr-CA"/>
        </w:rPr>
        <w:t>RÉSUMÉ DE L’AFFAIRE</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20F8A" w:rsidRPr="0084490B" w:rsidTr="00120F8A">
        <w:tc>
          <w:tcPr>
            <w:tcW w:w="5000" w:type="pct"/>
            <w:gridSpan w:val="3"/>
          </w:tcPr>
          <w:p w:rsidR="00120F8A" w:rsidRPr="0084490B" w:rsidRDefault="00120F8A" w:rsidP="00120F8A">
            <w:pPr>
              <w:jc w:val="both"/>
              <w:rPr>
                <w:rFonts w:eastAsia="Calibri"/>
                <w:sz w:val="20"/>
                <w:lang w:val="fr-FR"/>
              </w:rPr>
            </w:pPr>
            <w:r w:rsidRPr="0084490B">
              <w:rPr>
                <w:rFonts w:eastAsia="Calibri"/>
                <w:sz w:val="20"/>
                <w:lang w:val="fr-FR"/>
              </w:rPr>
              <w:t>Droit criminel – Infraction – Éléments de l’infraction – Vol qualifié – La définition de « vol qualifié » que l’on trouve à l’al. 343</w:t>
            </w:r>
            <w:r w:rsidRPr="0084490B">
              <w:rPr>
                <w:rFonts w:eastAsia="Calibri"/>
                <w:i/>
                <w:sz w:val="20"/>
                <w:lang w:val="fr-FR"/>
              </w:rPr>
              <w:t>a</w:t>
            </w:r>
            <w:r w:rsidRPr="0084490B">
              <w:rPr>
                <w:rFonts w:eastAsia="Calibri"/>
                <w:sz w:val="20"/>
                <w:lang w:val="fr-FR"/>
              </w:rPr>
              <w:t xml:space="preserve">) du </w:t>
            </w:r>
            <w:r w:rsidRPr="0084490B">
              <w:rPr>
                <w:rFonts w:eastAsia="Calibri"/>
                <w:i/>
                <w:sz w:val="20"/>
                <w:lang w:val="fr-FR"/>
              </w:rPr>
              <w:t>Code criminel</w:t>
            </w:r>
            <w:r w:rsidRPr="0084490B">
              <w:rPr>
                <w:rFonts w:eastAsia="Calibri"/>
                <w:sz w:val="20"/>
                <w:lang w:val="fr-FR"/>
              </w:rPr>
              <w:t xml:space="preserve"> limite-t-elle le sens de l’infraction d’une manière telle que n’est pas victime d’un vol qualifié la personne agressée et menacée par le voleur moins de quatre secondes après le vol de son bien qui essaie de le récupérer ou d’empêcher le voleur de prendre la fuite avec celui-ci? – Le vol était-il complet sur le plan technique avant l’agression ou la menace de violence? – La Cour a-t-elle donné une interprétation stricte et littérale à l’infraction de vol qui figure au par. 322(2) du </w:t>
            </w:r>
            <w:r w:rsidRPr="0084490B">
              <w:rPr>
                <w:rFonts w:eastAsia="Calibri"/>
                <w:i/>
                <w:sz w:val="20"/>
                <w:lang w:val="fr-FR"/>
              </w:rPr>
              <w:t>Code criminel</w:t>
            </w:r>
            <w:r w:rsidRPr="0084490B">
              <w:rPr>
                <w:rFonts w:eastAsia="Calibri"/>
                <w:sz w:val="20"/>
                <w:lang w:val="fr-FR"/>
              </w:rPr>
              <w:t>? – La Cour d’appel a-t-elle commis une erreur? – L’affaire soulève-t-elle des questions d’importance pour le public? – Article 343</w:t>
            </w:r>
            <w:r w:rsidRPr="0084490B">
              <w:rPr>
                <w:rFonts w:eastAsia="Calibri"/>
                <w:i/>
                <w:sz w:val="20"/>
                <w:lang w:val="fr-FR"/>
              </w:rPr>
              <w:t>a</w:t>
            </w:r>
            <w:r w:rsidRPr="0084490B">
              <w:rPr>
                <w:rFonts w:eastAsia="Calibri"/>
                <w:sz w:val="20"/>
                <w:lang w:val="fr-FR"/>
              </w:rPr>
              <w:t xml:space="preserve">) du </w:t>
            </w:r>
            <w:r w:rsidRPr="0084490B">
              <w:rPr>
                <w:rFonts w:eastAsia="Calibri"/>
                <w:i/>
                <w:sz w:val="20"/>
                <w:lang w:val="fr-FR"/>
              </w:rPr>
              <w:t>Code criminel</w:t>
            </w:r>
            <w:r w:rsidRPr="0084490B">
              <w:rPr>
                <w:rFonts w:eastAsia="Calibri"/>
                <w:sz w:val="20"/>
                <w:lang w:val="fr-FR"/>
              </w:rPr>
              <w:t>, L.R.C. 1985, ch. C-46.</w:t>
            </w:r>
          </w:p>
        </w:tc>
      </w:tr>
      <w:tr w:rsidR="00120F8A" w:rsidRPr="0084490B" w:rsidTr="00120F8A">
        <w:tc>
          <w:tcPr>
            <w:tcW w:w="5000" w:type="pct"/>
            <w:gridSpan w:val="3"/>
          </w:tcPr>
          <w:p w:rsidR="00120F8A" w:rsidRPr="0084490B" w:rsidRDefault="00120F8A" w:rsidP="00120F8A">
            <w:pPr>
              <w:jc w:val="both"/>
              <w:rPr>
                <w:rFonts w:eastAsia="Calibri"/>
                <w:sz w:val="20"/>
                <w:lang w:val="fr-FR"/>
              </w:rPr>
            </w:pPr>
          </w:p>
        </w:tc>
      </w:tr>
      <w:tr w:rsidR="00120F8A" w:rsidRPr="00B6040C" w:rsidTr="00120F8A">
        <w:tc>
          <w:tcPr>
            <w:tcW w:w="5000" w:type="pct"/>
            <w:gridSpan w:val="3"/>
          </w:tcPr>
          <w:p w:rsidR="00120F8A" w:rsidRPr="0084490B" w:rsidRDefault="00120F8A" w:rsidP="00120F8A">
            <w:pPr>
              <w:jc w:val="both"/>
              <w:rPr>
                <w:rFonts w:eastAsia="Calibri"/>
                <w:sz w:val="20"/>
                <w:lang w:val="fr-FR"/>
              </w:rPr>
            </w:pPr>
            <w:r w:rsidRPr="0084490B">
              <w:rPr>
                <w:rFonts w:eastAsia="Calibri"/>
                <w:sz w:val="20"/>
                <w:lang w:val="fr-FR"/>
              </w:rPr>
              <w:t>En matinée, l’intimé s’est emparé des 40 $ que la victime, M. Wilson, était en train de retirer de son compte à un guichet automatique.  M. Wilson a empêché l’intimé, par l’usage d’une certaine force, de sortir de l’enceinte du guichet automatique jusqu’à ce que les policiers arrivent et le menottent.  L’intimé a été déclaré coupable de vol qualifié à l’issue du procès.  La Cour d’appel a annulé la déclaration de culpabilité pour vol qualifié et y a substitué une déclaration de culpabilité pour vol de moins de 5 000 $.</w:t>
            </w:r>
          </w:p>
          <w:p w:rsidR="00120F8A" w:rsidRPr="0084490B" w:rsidRDefault="00120F8A" w:rsidP="00120F8A">
            <w:pPr>
              <w:jc w:val="both"/>
              <w:rPr>
                <w:rFonts w:eastAsia="Calibri"/>
                <w:sz w:val="20"/>
                <w:lang w:val="fr-FR"/>
              </w:rPr>
            </w:pPr>
          </w:p>
        </w:tc>
      </w:tr>
      <w:tr w:rsidR="00120F8A" w:rsidRPr="00B6040C" w:rsidTr="00120F8A">
        <w:tc>
          <w:tcPr>
            <w:tcW w:w="2427" w:type="pct"/>
          </w:tcPr>
          <w:p w:rsidR="00120F8A" w:rsidRPr="0084490B" w:rsidRDefault="00120F8A" w:rsidP="00120F8A">
            <w:pPr>
              <w:jc w:val="both"/>
              <w:rPr>
                <w:rFonts w:eastAsia="Calibri"/>
                <w:sz w:val="20"/>
                <w:lang w:val="fr-FR"/>
              </w:rPr>
            </w:pPr>
            <w:r w:rsidRPr="0084490B">
              <w:rPr>
                <w:rFonts w:eastAsia="Calibri"/>
                <w:sz w:val="20"/>
                <w:lang w:val="fr-FR"/>
              </w:rPr>
              <w:t>22 juin 2011</w:t>
            </w:r>
          </w:p>
          <w:p w:rsidR="00120F8A" w:rsidRPr="0084490B" w:rsidRDefault="00120F8A" w:rsidP="00120F8A">
            <w:pPr>
              <w:jc w:val="both"/>
              <w:rPr>
                <w:rFonts w:eastAsia="Calibri"/>
                <w:sz w:val="20"/>
                <w:lang w:val="fr-FR"/>
              </w:rPr>
            </w:pPr>
            <w:r w:rsidRPr="0084490B">
              <w:rPr>
                <w:rFonts w:eastAsia="Calibri"/>
                <w:sz w:val="20"/>
                <w:lang w:val="fr-FR"/>
              </w:rPr>
              <w:t>Cour provinciale de la Colombie-Britannique</w:t>
            </w:r>
          </w:p>
          <w:p w:rsidR="00120F8A" w:rsidRPr="0084490B" w:rsidRDefault="00120F8A" w:rsidP="00120F8A">
            <w:pPr>
              <w:jc w:val="both"/>
              <w:rPr>
                <w:rFonts w:eastAsia="Calibri"/>
                <w:sz w:val="20"/>
              </w:rPr>
            </w:pPr>
            <w:r w:rsidRPr="0084490B">
              <w:rPr>
                <w:rFonts w:eastAsia="Calibri"/>
                <w:sz w:val="20"/>
              </w:rPr>
              <w:t>(</w:t>
            </w:r>
            <w:proofErr w:type="spellStart"/>
            <w:r w:rsidRPr="0084490B">
              <w:rPr>
                <w:rFonts w:eastAsia="Calibri"/>
                <w:sz w:val="20"/>
              </w:rPr>
              <w:t>Juge</w:t>
            </w:r>
            <w:proofErr w:type="spellEnd"/>
            <w:r w:rsidRPr="0084490B">
              <w:rPr>
                <w:rFonts w:eastAsia="Calibri"/>
                <w:sz w:val="20"/>
              </w:rPr>
              <w:t xml:space="preserve"> </w:t>
            </w:r>
            <w:proofErr w:type="spellStart"/>
            <w:r w:rsidRPr="0084490B">
              <w:rPr>
                <w:rFonts w:eastAsia="Calibri"/>
                <w:sz w:val="20"/>
              </w:rPr>
              <w:t>Bagnall</w:t>
            </w:r>
            <w:proofErr w:type="spellEnd"/>
            <w:r w:rsidRPr="0084490B">
              <w:rPr>
                <w:rFonts w:eastAsia="Calibri"/>
                <w:sz w:val="20"/>
              </w:rPr>
              <w:t>)</w:t>
            </w:r>
          </w:p>
          <w:p w:rsidR="00120F8A" w:rsidRPr="0084490B" w:rsidRDefault="00120F8A" w:rsidP="00120F8A">
            <w:pPr>
              <w:jc w:val="both"/>
              <w:rPr>
                <w:rFonts w:eastAsia="Calibri"/>
                <w:sz w:val="20"/>
              </w:rPr>
            </w:pPr>
          </w:p>
        </w:tc>
        <w:tc>
          <w:tcPr>
            <w:tcW w:w="243" w:type="pct"/>
          </w:tcPr>
          <w:p w:rsidR="00120F8A" w:rsidRPr="0084490B" w:rsidRDefault="00120F8A" w:rsidP="00120F8A">
            <w:pPr>
              <w:jc w:val="both"/>
              <w:rPr>
                <w:rFonts w:eastAsia="Calibri"/>
                <w:sz w:val="20"/>
              </w:rPr>
            </w:pPr>
          </w:p>
        </w:tc>
        <w:tc>
          <w:tcPr>
            <w:tcW w:w="2330" w:type="pct"/>
          </w:tcPr>
          <w:p w:rsidR="00120F8A" w:rsidRPr="0084490B" w:rsidRDefault="00120F8A" w:rsidP="00120F8A">
            <w:pPr>
              <w:jc w:val="both"/>
              <w:rPr>
                <w:rFonts w:eastAsia="Calibri"/>
                <w:sz w:val="20"/>
                <w:lang w:val="fr-FR"/>
              </w:rPr>
            </w:pPr>
            <w:r w:rsidRPr="0084490B">
              <w:rPr>
                <w:rFonts w:eastAsia="Calibri"/>
                <w:sz w:val="20"/>
                <w:lang w:val="fr-FR"/>
              </w:rPr>
              <w:t xml:space="preserve">Déclaration de culpabilité pour vol qualifié </w:t>
            </w:r>
          </w:p>
        </w:tc>
      </w:tr>
      <w:tr w:rsidR="00120F8A" w:rsidRPr="00B6040C" w:rsidTr="00120F8A">
        <w:tc>
          <w:tcPr>
            <w:tcW w:w="2427" w:type="pct"/>
          </w:tcPr>
          <w:p w:rsidR="00120F8A" w:rsidRPr="0084490B" w:rsidRDefault="00120F8A" w:rsidP="00120F8A">
            <w:pPr>
              <w:jc w:val="both"/>
              <w:rPr>
                <w:rFonts w:eastAsia="Calibri"/>
                <w:sz w:val="20"/>
                <w:lang w:val="fr-FR"/>
              </w:rPr>
            </w:pPr>
            <w:r w:rsidRPr="0084490B">
              <w:rPr>
                <w:rFonts w:eastAsia="Calibri"/>
                <w:sz w:val="20"/>
                <w:lang w:val="fr-FR"/>
              </w:rPr>
              <w:t>20 novembre 2012</w:t>
            </w:r>
          </w:p>
          <w:p w:rsidR="00120F8A" w:rsidRPr="0084490B" w:rsidRDefault="00120F8A" w:rsidP="00120F8A">
            <w:pPr>
              <w:jc w:val="both"/>
              <w:rPr>
                <w:rFonts w:eastAsia="Calibri"/>
                <w:sz w:val="20"/>
                <w:lang w:val="fr-FR"/>
              </w:rPr>
            </w:pPr>
            <w:r w:rsidRPr="0084490B">
              <w:rPr>
                <w:rFonts w:eastAsia="Calibri"/>
                <w:sz w:val="20"/>
                <w:lang w:val="fr-FR"/>
              </w:rPr>
              <w:t xml:space="preserve">Cour d’appel de la Colombie-Britannique </w:t>
            </w:r>
          </w:p>
          <w:p w:rsidR="00120F8A" w:rsidRPr="0084490B" w:rsidRDefault="00120F8A" w:rsidP="00120F8A">
            <w:pPr>
              <w:jc w:val="both"/>
              <w:rPr>
                <w:rFonts w:eastAsia="Calibri"/>
                <w:sz w:val="20"/>
                <w:lang w:val="fr-CA"/>
              </w:rPr>
            </w:pPr>
            <w:r w:rsidRPr="0084490B">
              <w:rPr>
                <w:rFonts w:eastAsia="Calibri"/>
                <w:sz w:val="20"/>
                <w:lang w:val="fr-CA"/>
              </w:rPr>
              <w:t>(Vancouver)</w:t>
            </w:r>
          </w:p>
          <w:p w:rsidR="00120F8A" w:rsidRPr="0084490B" w:rsidRDefault="00120F8A" w:rsidP="00120F8A">
            <w:pPr>
              <w:jc w:val="both"/>
              <w:rPr>
                <w:rFonts w:eastAsia="Calibri"/>
                <w:sz w:val="20"/>
                <w:lang w:val="fr-FR"/>
              </w:rPr>
            </w:pPr>
            <w:r w:rsidRPr="0084490B">
              <w:rPr>
                <w:rFonts w:eastAsia="Calibri"/>
                <w:sz w:val="20"/>
                <w:lang w:val="fr-FR"/>
              </w:rPr>
              <w:t xml:space="preserve">(Juge en chef </w:t>
            </w:r>
            <w:proofErr w:type="spellStart"/>
            <w:r w:rsidRPr="0084490B">
              <w:rPr>
                <w:rFonts w:eastAsia="Calibri"/>
                <w:sz w:val="20"/>
                <w:lang w:val="fr-FR"/>
              </w:rPr>
              <w:t>Finch</w:t>
            </w:r>
            <w:proofErr w:type="spellEnd"/>
            <w:r w:rsidRPr="0084490B">
              <w:rPr>
                <w:rFonts w:eastAsia="Calibri"/>
                <w:sz w:val="20"/>
                <w:lang w:val="fr-FR"/>
              </w:rPr>
              <w:t xml:space="preserve"> et juges </w:t>
            </w:r>
            <w:proofErr w:type="spellStart"/>
            <w:r w:rsidRPr="0084490B">
              <w:rPr>
                <w:rFonts w:eastAsia="Calibri"/>
                <w:sz w:val="20"/>
                <w:lang w:val="fr-FR"/>
              </w:rPr>
              <w:t>Garson</w:t>
            </w:r>
            <w:proofErr w:type="spellEnd"/>
            <w:r w:rsidRPr="0084490B">
              <w:rPr>
                <w:rFonts w:eastAsia="Calibri"/>
                <w:sz w:val="20"/>
                <w:lang w:val="fr-FR"/>
              </w:rPr>
              <w:t xml:space="preserve"> et Harris)</w:t>
            </w:r>
          </w:p>
          <w:p w:rsidR="00120F8A" w:rsidRPr="0084490B" w:rsidRDefault="00120F8A" w:rsidP="00120F8A">
            <w:pPr>
              <w:jc w:val="both"/>
              <w:rPr>
                <w:rFonts w:eastAsia="Calibri"/>
                <w:sz w:val="20"/>
              </w:rPr>
            </w:pPr>
            <w:r w:rsidRPr="0084490B">
              <w:rPr>
                <w:rFonts w:eastAsia="Calibri"/>
                <w:sz w:val="20"/>
              </w:rPr>
              <w:t>2012 BCCA 448</w:t>
            </w:r>
          </w:p>
          <w:p w:rsidR="00120F8A" w:rsidRPr="0084490B" w:rsidRDefault="00120F8A" w:rsidP="00120F8A">
            <w:pPr>
              <w:jc w:val="both"/>
              <w:rPr>
                <w:rFonts w:eastAsia="Calibri"/>
                <w:sz w:val="20"/>
              </w:rPr>
            </w:pPr>
          </w:p>
        </w:tc>
        <w:tc>
          <w:tcPr>
            <w:tcW w:w="243" w:type="pct"/>
          </w:tcPr>
          <w:p w:rsidR="00120F8A" w:rsidRPr="0084490B" w:rsidRDefault="00120F8A" w:rsidP="00120F8A">
            <w:pPr>
              <w:jc w:val="both"/>
              <w:rPr>
                <w:rFonts w:eastAsia="Calibri"/>
                <w:sz w:val="20"/>
              </w:rPr>
            </w:pPr>
          </w:p>
        </w:tc>
        <w:tc>
          <w:tcPr>
            <w:tcW w:w="2330" w:type="pct"/>
          </w:tcPr>
          <w:p w:rsidR="00120F8A" w:rsidRPr="0084490B" w:rsidRDefault="00120F8A" w:rsidP="00120F8A">
            <w:pPr>
              <w:jc w:val="both"/>
              <w:rPr>
                <w:rFonts w:eastAsia="Calibri"/>
                <w:sz w:val="20"/>
                <w:lang w:val="fr-FR"/>
              </w:rPr>
            </w:pPr>
            <w:r w:rsidRPr="0084490B">
              <w:rPr>
                <w:rFonts w:eastAsia="Calibri"/>
                <w:sz w:val="20"/>
                <w:lang w:val="fr-FR"/>
              </w:rPr>
              <w:t xml:space="preserve">Déclaration de culpabilité pour vol qualifié annulée et remplacée par une déclaration de culpabilité pour vol de moins de 5 000 $ </w:t>
            </w:r>
          </w:p>
          <w:p w:rsidR="00120F8A" w:rsidRPr="0084490B" w:rsidRDefault="00120F8A" w:rsidP="00120F8A">
            <w:pPr>
              <w:jc w:val="both"/>
              <w:rPr>
                <w:rFonts w:eastAsia="Calibri"/>
                <w:sz w:val="20"/>
                <w:lang w:val="fr-FR"/>
              </w:rPr>
            </w:pPr>
          </w:p>
          <w:p w:rsidR="00120F8A" w:rsidRPr="0084490B" w:rsidRDefault="00120F8A" w:rsidP="00120F8A">
            <w:pPr>
              <w:jc w:val="both"/>
              <w:rPr>
                <w:rFonts w:eastAsia="Calibri"/>
                <w:sz w:val="20"/>
                <w:lang w:val="fr-FR"/>
              </w:rPr>
            </w:pPr>
          </w:p>
        </w:tc>
      </w:tr>
      <w:tr w:rsidR="00120F8A" w:rsidRPr="00B6040C" w:rsidTr="00120F8A">
        <w:tc>
          <w:tcPr>
            <w:tcW w:w="2427" w:type="pct"/>
          </w:tcPr>
          <w:p w:rsidR="00120F8A" w:rsidRPr="0084490B" w:rsidRDefault="00120F8A" w:rsidP="00120F8A">
            <w:pPr>
              <w:jc w:val="both"/>
              <w:rPr>
                <w:rFonts w:eastAsia="Calibri"/>
                <w:sz w:val="20"/>
                <w:lang w:val="fr-FR"/>
              </w:rPr>
            </w:pPr>
            <w:r w:rsidRPr="0084490B">
              <w:rPr>
                <w:rFonts w:eastAsia="Calibri"/>
                <w:sz w:val="20"/>
                <w:lang w:val="fr-FR"/>
              </w:rPr>
              <w:t>4 février 2013</w:t>
            </w:r>
          </w:p>
          <w:p w:rsidR="00120F8A" w:rsidRPr="0084490B" w:rsidRDefault="00120F8A" w:rsidP="00120F8A">
            <w:pPr>
              <w:jc w:val="both"/>
              <w:rPr>
                <w:rFonts w:eastAsia="Calibri"/>
                <w:sz w:val="20"/>
                <w:lang w:val="fr-FR"/>
              </w:rPr>
            </w:pPr>
            <w:r w:rsidRPr="0084490B">
              <w:rPr>
                <w:rFonts w:eastAsia="Calibri"/>
                <w:sz w:val="20"/>
                <w:lang w:val="fr-FR"/>
              </w:rPr>
              <w:t>Cour suprême du Canada</w:t>
            </w:r>
          </w:p>
        </w:tc>
        <w:tc>
          <w:tcPr>
            <w:tcW w:w="243" w:type="pct"/>
          </w:tcPr>
          <w:p w:rsidR="00120F8A" w:rsidRPr="0084490B" w:rsidRDefault="00120F8A" w:rsidP="00120F8A">
            <w:pPr>
              <w:jc w:val="both"/>
              <w:rPr>
                <w:rFonts w:eastAsia="Calibri"/>
                <w:sz w:val="20"/>
                <w:lang w:val="fr-FR"/>
              </w:rPr>
            </w:pPr>
          </w:p>
        </w:tc>
        <w:tc>
          <w:tcPr>
            <w:tcW w:w="2330" w:type="pct"/>
          </w:tcPr>
          <w:p w:rsidR="00120F8A" w:rsidRPr="0084490B" w:rsidRDefault="00120F8A" w:rsidP="00120F8A">
            <w:pPr>
              <w:jc w:val="both"/>
              <w:rPr>
                <w:rFonts w:eastAsia="Calibri"/>
                <w:sz w:val="20"/>
                <w:lang w:val="fr-FR"/>
              </w:rPr>
            </w:pPr>
            <w:r w:rsidRPr="0084490B">
              <w:rPr>
                <w:rFonts w:eastAsia="Calibri"/>
                <w:sz w:val="20"/>
                <w:lang w:val="fr-FR"/>
              </w:rPr>
              <w:t xml:space="preserve">Requête en prorogation de délai pour signifier et déposer une demande d’autorisation d’appel et demande d’autorisation </w:t>
            </w:r>
            <w:proofErr w:type="gramStart"/>
            <w:r w:rsidRPr="0084490B">
              <w:rPr>
                <w:rFonts w:eastAsia="Calibri"/>
                <w:sz w:val="20"/>
                <w:lang w:val="fr-FR"/>
              </w:rPr>
              <w:t>d’appel déposées</w:t>
            </w:r>
            <w:proofErr w:type="gramEnd"/>
            <w:r w:rsidRPr="0084490B">
              <w:rPr>
                <w:rFonts w:eastAsia="Calibri"/>
                <w:sz w:val="20"/>
                <w:lang w:val="fr-FR"/>
              </w:rPr>
              <w:t xml:space="preserve"> </w:t>
            </w:r>
          </w:p>
        </w:tc>
      </w:tr>
    </w:tbl>
    <w:p w:rsidR="00EA65C4" w:rsidRPr="00120F8A" w:rsidRDefault="00EA65C4" w:rsidP="00EA65C4">
      <w:pPr>
        <w:rPr>
          <w:sz w:val="20"/>
          <w:szCs w:val="20"/>
          <w:lang w:val="fr-CA"/>
        </w:rPr>
      </w:pPr>
    </w:p>
    <w:p w:rsidR="00EA65C4" w:rsidRDefault="0028676C" w:rsidP="00EA65C4">
      <w:pPr>
        <w:rPr>
          <w:sz w:val="20"/>
          <w:szCs w:val="20"/>
        </w:rPr>
      </w:pPr>
      <w:r w:rsidRPr="0028676C">
        <w:rPr>
          <w:sz w:val="20"/>
          <w:szCs w:val="20"/>
          <w:lang w:val="fr-CA"/>
        </w:rPr>
        <w:pict>
          <v:rect id="_x0000_i1064" style="width:2in;height:1pt" o:hrpct="0" o:hralign="center" o:hrstd="t" o:hrnoshade="t" o:hr="t" fillcolor="black [3213]" stroked="f"/>
        </w:pict>
      </w:r>
    </w:p>
    <w:p w:rsidR="00EA65C4" w:rsidRDefault="00EA65C4" w:rsidP="00EA65C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402A7" w:rsidRPr="0068500F" w:rsidTr="0071552E">
        <w:trPr>
          <w:cantSplit/>
        </w:trPr>
        <w:tc>
          <w:tcPr>
            <w:tcW w:w="1458" w:type="dxa"/>
          </w:tcPr>
          <w:p w:rsidR="00E402A7" w:rsidRPr="0068500F" w:rsidRDefault="00E402A7" w:rsidP="0071552E">
            <w:pPr>
              <w:rPr>
                <w:sz w:val="20"/>
                <w:szCs w:val="20"/>
              </w:rPr>
            </w:pPr>
            <w:r w:rsidRPr="0068500F">
              <w:rPr>
                <w:rStyle w:val="SCCFileNumberChar"/>
                <w:sz w:val="20"/>
                <w:szCs w:val="20"/>
              </w:rPr>
              <w:t>35207</w:t>
            </w:r>
          </w:p>
          <w:p w:rsidR="00E402A7" w:rsidRPr="0068500F" w:rsidRDefault="00E402A7" w:rsidP="0071552E">
            <w:pPr>
              <w:rPr>
                <w:b/>
                <w:sz w:val="20"/>
                <w:szCs w:val="20"/>
                <w:lang w:val="fr-CA"/>
              </w:rPr>
            </w:pPr>
          </w:p>
        </w:tc>
        <w:tc>
          <w:tcPr>
            <w:tcW w:w="8118" w:type="dxa"/>
          </w:tcPr>
          <w:p w:rsidR="00E402A7" w:rsidRPr="0068500F" w:rsidRDefault="00E402A7" w:rsidP="0071552E">
            <w:pPr>
              <w:jc w:val="both"/>
              <w:rPr>
                <w:sz w:val="20"/>
                <w:szCs w:val="20"/>
              </w:rPr>
            </w:pPr>
            <w:r w:rsidRPr="00E402A7">
              <w:rPr>
                <w:rStyle w:val="SCCLsocChar"/>
                <w:sz w:val="20"/>
                <w:szCs w:val="20"/>
                <w:lang w:val="en-CA"/>
              </w:rPr>
              <w:t xml:space="preserve">Fairview Donut Inc. and Brule Foods Ltd. v. TDL Group Corp. and Tim </w:t>
            </w:r>
            <w:proofErr w:type="spellStart"/>
            <w:r w:rsidRPr="00E402A7">
              <w:rPr>
                <w:rStyle w:val="SCCLsocChar"/>
                <w:sz w:val="20"/>
                <w:szCs w:val="20"/>
                <w:lang w:val="en-CA"/>
              </w:rPr>
              <w:t>Hortons</w:t>
            </w:r>
            <w:proofErr w:type="spellEnd"/>
            <w:r w:rsidRPr="00E402A7">
              <w:rPr>
                <w:rStyle w:val="SCCLsocChar"/>
                <w:sz w:val="20"/>
                <w:szCs w:val="20"/>
                <w:lang w:val="en-CA"/>
              </w:rPr>
              <w:t xml:space="preserve"> Inc.</w:t>
            </w:r>
            <w:r w:rsidRPr="0068500F">
              <w:rPr>
                <w:sz w:val="20"/>
                <w:szCs w:val="20"/>
              </w:rPr>
              <w:t xml:space="preserve"> (Ont.) (Civil) (By Leave)</w:t>
            </w:r>
          </w:p>
          <w:p w:rsidR="00E402A7" w:rsidRPr="0068500F" w:rsidRDefault="00E402A7" w:rsidP="0071552E">
            <w:pPr>
              <w:jc w:val="both"/>
              <w:rPr>
                <w:sz w:val="20"/>
                <w:szCs w:val="20"/>
              </w:rPr>
            </w:pPr>
          </w:p>
        </w:tc>
      </w:tr>
      <w:tr w:rsidR="00E402A7" w:rsidRPr="0068500F" w:rsidTr="0071552E">
        <w:trPr>
          <w:cantSplit/>
        </w:trPr>
        <w:tc>
          <w:tcPr>
            <w:tcW w:w="1458" w:type="dxa"/>
          </w:tcPr>
          <w:p w:rsidR="00E402A7" w:rsidRPr="0068500F" w:rsidRDefault="00E402A7" w:rsidP="0071552E">
            <w:pPr>
              <w:rPr>
                <w:sz w:val="20"/>
                <w:szCs w:val="20"/>
              </w:rPr>
            </w:pPr>
            <w:r w:rsidRPr="0068500F">
              <w:rPr>
                <w:sz w:val="20"/>
                <w:szCs w:val="20"/>
              </w:rPr>
              <w:t>Coram :</w:t>
            </w:r>
          </w:p>
        </w:tc>
        <w:tc>
          <w:tcPr>
            <w:tcW w:w="8118" w:type="dxa"/>
          </w:tcPr>
          <w:p w:rsidR="00E402A7" w:rsidRPr="0068500F" w:rsidRDefault="00E402A7" w:rsidP="0071552E">
            <w:pPr>
              <w:rPr>
                <w:sz w:val="20"/>
                <w:szCs w:val="20"/>
              </w:rPr>
            </w:pPr>
            <w:r w:rsidRPr="00E402A7">
              <w:rPr>
                <w:rStyle w:val="SCCCoramChar"/>
                <w:sz w:val="20"/>
                <w:szCs w:val="20"/>
                <w:lang w:val="en-CA"/>
              </w:rPr>
              <w:t xml:space="preserve">McLachlin C.J. and </w:t>
            </w:r>
            <w:proofErr w:type="spellStart"/>
            <w:r w:rsidRPr="00E402A7">
              <w:rPr>
                <w:rStyle w:val="SCCCoramChar"/>
                <w:sz w:val="20"/>
                <w:szCs w:val="20"/>
                <w:lang w:val="en-CA"/>
              </w:rPr>
              <w:t>Abella</w:t>
            </w:r>
            <w:proofErr w:type="spellEnd"/>
            <w:r w:rsidRPr="00E402A7">
              <w:rPr>
                <w:rStyle w:val="SCCCoramChar"/>
                <w:sz w:val="20"/>
                <w:szCs w:val="20"/>
                <w:lang w:val="en-CA"/>
              </w:rPr>
              <w:t xml:space="preserve"> and Cromwell JJ.</w:t>
            </w:r>
          </w:p>
          <w:p w:rsidR="00E402A7" w:rsidRPr="0068500F" w:rsidRDefault="00E402A7" w:rsidP="0071552E">
            <w:pPr>
              <w:rPr>
                <w:sz w:val="20"/>
                <w:szCs w:val="20"/>
                <w:u w:val="single"/>
              </w:rPr>
            </w:pPr>
          </w:p>
        </w:tc>
      </w:tr>
      <w:tr w:rsidR="00E402A7" w:rsidRPr="00B6040C" w:rsidTr="0071552E">
        <w:trPr>
          <w:cantSplit/>
        </w:trPr>
        <w:tc>
          <w:tcPr>
            <w:tcW w:w="9576" w:type="dxa"/>
            <w:gridSpan w:val="2"/>
          </w:tcPr>
          <w:p w:rsidR="00E402A7" w:rsidRPr="0068500F" w:rsidRDefault="00E402A7" w:rsidP="0071552E">
            <w:pPr>
              <w:pStyle w:val="SCCShortJudgment"/>
              <w:rPr>
                <w:szCs w:val="20"/>
              </w:rPr>
            </w:pPr>
            <w:r w:rsidRPr="0068500F">
              <w:rPr>
                <w:szCs w:val="20"/>
              </w:rPr>
              <w:t>The application for leave to appeal from the judgment of the Court of Appeal for Ontario, Number C55239, 2012 ONCA 867, dated December 7, 2012, is dismissed with costs.</w:t>
            </w:r>
          </w:p>
          <w:p w:rsidR="00E402A7" w:rsidRPr="0068500F" w:rsidRDefault="00E402A7" w:rsidP="0071552E">
            <w:pPr>
              <w:pStyle w:val="SCCShortJudgment"/>
              <w:ind w:firstLine="0"/>
              <w:rPr>
                <w:szCs w:val="20"/>
              </w:rPr>
            </w:pPr>
          </w:p>
          <w:p w:rsidR="00E402A7" w:rsidRPr="0068500F" w:rsidRDefault="00E402A7" w:rsidP="0071552E">
            <w:pPr>
              <w:pStyle w:val="SCCShortJudgment"/>
              <w:rPr>
                <w:szCs w:val="20"/>
                <w:lang w:val="fr-CA"/>
              </w:rPr>
            </w:pPr>
            <w:r w:rsidRPr="0068500F">
              <w:rPr>
                <w:szCs w:val="20"/>
                <w:lang w:val="fr-CA"/>
              </w:rPr>
              <w:t>La demande d’autorisation d’appel de l’arrêt de la Cour d’appel de l’Ontario, numéro C55239, 2012 ONCA 867, daté du 7 décembre 2012, est rejetée avec dépens.</w:t>
            </w:r>
          </w:p>
        </w:tc>
      </w:tr>
    </w:tbl>
    <w:p w:rsidR="00EA65C4" w:rsidRPr="00E402A7" w:rsidRDefault="00EA65C4" w:rsidP="00EA65C4">
      <w:pPr>
        <w:rPr>
          <w:sz w:val="20"/>
          <w:szCs w:val="20"/>
          <w:lang w:val="fr-CA"/>
        </w:rPr>
      </w:pPr>
    </w:p>
    <w:p w:rsidR="00EA65C4" w:rsidRPr="001B157C" w:rsidRDefault="00EA65C4" w:rsidP="00EA65C4">
      <w:pPr>
        <w:rPr>
          <w:sz w:val="20"/>
          <w:szCs w:val="20"/>
          <w:u w:val="single"/>
        </w:rPr>
      </w:pPr>
      <w:r w:rsidRPr="001B157C">
        <w:rPr>
          <w:sz w:val="20"/>
          <w:szCs w:val="20"/>
          <w:u w:val="single"/>
        </w:rPr>
        <w:t>CASE SUMMARY</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94824" w:rsidRPr="0084490B" w:rsidTr="001277D5">
        <w:tc>
          <w:tcPr>
            <w:tcW w:w="5000" w:type="pct"/>
            <w:gridSpan w:val="3"/>
          </w:tcPr>
          <w:p w:rsidR="00D94824" w:rsidRPr="0084490B" w:rsidRDefault="00D94824" w:rsidP="001277D5">
            <w:pPr>
              <w:jc w:val="both"/>
              <w:rPr>
                <w:rFonts w:eastAsia="Calibri"/>
                <w:sz w:val="20"/>
              </w:rPr>
            </w:pPr>
            <w:r w:rsidRPr="0084490B">
              <w:rPr>
                <w:rFonts w:eastAsia="Calibri"/>
                <w:sz w:val="20"/>
              </w:rPr>
              <w:t xml:space="preserve">Commercial law – Franchises – Summary judgment – Whether the power imbalance in franchise relationships give rise to special interpretive rules in respect of franchise agreements – What is the scope and effect of the franchisor’s duty to fair dealing under s. 3 of the </w:t>
            </w:r>
            <w:r w:rsidRPr="0084490B">
              <w:rPr>
                <w:rFonts w:eastAsia="Calibri"/>
                <w:i/>
                <w:sz w:val="20"/>
              </w:rPr>
              <w:t xml:space="preserve">Arthur </w:t>
            </w:r>
            <w:proofErr w:type="spellStart"/>
            <w:r w:rsidRPr="0084490B">
              <w:rPr>
                <w:rFonts w:eastAsia="Calibri"/>
                <w:i/>
                <w:sz w:val="20"/>
              </w:rPr>
              <w:t>Wishart</w:t>
            </w:r>
            <w:proofErr w:type="spellEnd"/>
            <w:r w:rsidRPr="0084490B">
              <w:rPr>
                <w:rFonts w:eastAsia="Calibri"/>
                <w:i/>
                <w:sz w:val="20"/>
              </w:rPr>
              <w:t xml:space="preserve"> Act (Franchisee Disclosure), 2000</w:t>
            </w:r>
            <w:r w:rsidRPr="0084490B">
              <w:rPr>
                <w:rFonts w:eastAsia="Calibri"/>
                <w:sz w:val="20"/>
              </w:rPr>
              <w:t xml:space="preserve"> – Were the courts below correct in adopting the franchisor oriented view borrowed from the U.S. jurisprudence – Was the summary judgment granted in this case an abuse of the limited scope for such a procedure.</w:t>
            </w:r>
          </w:p>
        </w:tc>
      </w:tr>
      <w:tr w:rsidR="00D94824" w:rsidRPr="0084490B" w:rsidTr="001277D5">
        <w:tc>
          <w:tcPr>
            <w:tcW w:w="5000" w:type="pct"/>
            <w:gridSpan w:val="3"/>
          </w:tcPr>
          <w:p w:rsidR="00D94824" w:rsidRPr="0084490B" w:rsidRDefault="00D94824" w:rsidP="001277D5">
            <w:pPr>
              <w:jc w:val="both"/>
              <w:rPr>
                <w:rFonts w:eastAsia="Calibri"/>
                <w:sz w:val="20"/>
              </w:rPr>
            </w:pPr>
          </w:p>
        </w:tc>
      </w:tr>
      <w:tr w:rsidR="00D94824" w:rsidRPr="0084490B" w:rsidTr="001277D5">
        <w:tc>
          <w:tcPr>
            <w:tcW w:w="5000" w:type="pct"/>
            <w:gridSpan w:val="3"/>
          </w:tcPr>
          <w:p w:rsidR="00D94824" w:rsidRPr="0084490B" w:rsidRDefault="00D94824" w:rsidP="001277D5">
            <w:pPr>
              <w:jc w:val="both"/>
              <w:rPr>
                <w:rFonts w:eastAsia="Calibri"/>
                <w:sz w:val="20"/>
              </w:rPr>
            </w:pPr>
            <w:r w:rsidRPr="0084490B">
              <w:rPr>
                <w:rFonts w:eastAsia="Calibri"/>
                <w:sz w:val="20"/>
              </w:rPr>
              <w:t xml:space="preserve">The Applicants, franchisees of the Respondents, commenced a proposed class action against the Respondent franchisors for several different causes of action, including breach of contract, misrepresentation, unjust enrichment, violations of the </w:t>
            </w:r>
            <w:r w:rsidRPr="0084490B">
              <w:rPr>
                <w:rFonts w:eastAsia="Calibri"/>
                <w:i/>
                <w:sz w:val="20"/>
              </w:rPr>
              <w:t>Competition Act</w:t>
            </w:r>
            <w:r w:rsidRPr="0084490B">
              <w:rPr>
                <w:rFonts w:eastAsia="Calibri"/>
                <w:sz w:val="20"/>
              </w:rPr>
              <w:t>, and breach of the duty of good faith (fair dealing).  The franchisees’ complaint is that they are required to buy some of the ingredients that they use in their products at unreasonably high prices, thereby eroding their profits.  Their complaints target two aspects of their operations:  the cost of donuts and the cost of ingredients for soups and sandwiches, referred to as the “lunch menu”.  Following a two-week combined certification and summary judgment motion, the motion judge concluded that certification of a class action would be appropriate for a number of issues, but that none of the proposed claims could possibly succeed.  Accordingly, he granted the franchisors’ motion for summary judgment and dismissed the action.  The franchisees’ appeal was subsequently dismissed.</w:t>
            </w:r>
          </w:p>
          <w:p w:rsidR="00D94824" w:rsidRPr="0084490B" w:rsidRDefault="00D94824" w:rsidP="001277D5">
            <w:pPr>
              <w:jc w:val="both"/>
              <w:rPr>
                <w:rFonts w:eastAsia="Calibri"/>
                <w:sz w:val="20"/>
              </w:rPr>
            </w:pPr>
          </w:p>
        </w:tc>
      </w:tr>
      <w:tr w:rsidR="00D94824" w:rsidRPr="0084490B" w:rsidTr="001277D5">
        <w:tc>
          <w:tcPr>
            <w:tcW w:w="2427" w:type="pct"/>
          </w:tcPr>
          <w:p w:rsidR="00D94824" w:rsidRPr="0084490B" w:rsidRDefault="00D94824" w:rsidP="001277D5">
            <w:pPr>
              <w:jc w:val="both"/>
              <w:rPr>
                <w:rFonts w:eastAsia="Calibri"/>
                <w:sz w:val="20"/>
              </w:rPr>
            </w:pPr>
            <w:r w:rsidRPr="0084490B">
              <w:rPr>
                <w:rFonts w:eastAsia="Calibri"/>
                <w:sz w:val="20"/>
              </w:rPr>
              <w:t>February 24, 2012</w:t>
            </w:r>
          </w:p>
          <w:p w:rsidR="00D94824" w:rsidRPr="0084490B" w:rsidRDefault="00D94824" w:rsidP="001277D5">
            <w:pPr>
              <w:jc w:val="both"/>
              <w:rPr>
                <w:rFonts w:eastAsia="Calibri"/>
                <w:sz w:val="20"/>
              </w:rPr>
            </w:pPr>
            <w:r w:rsidRPr="0084490B">
              <w:rPr>
                <w:rFonts w:eastAsia="Calibri"/>
                <w:sz w:val="20"/>
              </w:rPr>
              <w:t>Ontario Superior Court of Justice</w:t>
            </w:r>
          </w:p>
          <w:p w:rsidR="00D94824" w:rsidRPr="0084490B" w:rsidRDefault="00D94824" w:rsidP="001277D5">
            <w:pPr>
              <w:jc w:val="both"/>
              <w:rPr>
                <w:rFonts w:eastAsia="Calibri"/>
                <w:sz w:val="20"/>
              </w:rPr>
            </w:pPr>
            <w:r w:rsidRPr="0084490B">
              <w:rPr>
                <w:rFonts w:eastAsia="Calibri"/>
                <w:sz w:val="20"/>
              </w:rPr>
              <w:t>(Strathy J.)</w:t>
            </w:r>
          </w:p>
          <w:p w:rsidR="00D94824" w:rsidRPr="0084490B" w:rsidRDefault="00D94824" w:rsidP="001277D5">
            <w:pPr>
              <w:jc w:val="both"/>
              <w:rPr>
                <w:rFonts w:eastAsia="Calibri"/>
                <w:sz w:val="20"/>
              </w:rPr>
            </w:pPr>
            <w:r w:rsidRPr="0084490B">
              <w:rPr>
                <w:rFonts w:eastAsia="Calibri"/>
                <w:sz w:val="20"/>
              </w:rPr>
              <w:t>2012 ONSC 1252</w:t>
            </w:r>
          </w:p>
          <w:p w:rsidR="00D94824" w:rsidRPr="0084490B" w:rsidRDefault="00D94824" w:rsidP="001277D5">
            <w:pPr>
              <w:jc w:val="both"/>
              <w:rPr>
                <w:rFonts w:eastAsia="Calibri"/>
                <w:sz w:val="20"/>
              </w:rPr>
            </w:pPr>
          </w:p>
        </w:tc>
        <w:tc>
          <w:tcPr>
            <w:tcW w:w="243" w:type="pct"/>
          </w:tcPr>
          <w:p w:rsidR="00D94824" w:rsidRPr="0084490B" w:rsidRDefault="00D94824" w:rsidP="001277D5">
            <w:pPr>
              <w:jc w:val="both"/>
              <w:rPr>
                <w:rFonts w:eastAsia="Calibri"/>
                <w:sz w:val="20"/>
              </w:rPr>
            </w:pPr>
          </w:p>
        </w:tc>
        <w:tc>
          <w:tcPr>
            <w:tcW w:w="2330" w:type="pct"/>
          </w:tcPr>
          <w:p w:rsidR="00D94824" w:rsidRPr="0084490B" w:rsidRDefault="00D94824" w:rsidP="001277D5">
            <w:pPr>
              <w:jc w:val="both"/>
              <w:rPr>
                <w:rFonts w:eastAsia="Calibri"/>
                <w:sz w:val="20"/>
              </w:rPr>
            </w:pPr>
            <w:r w:rsidRPr="0084490B">
              <w:rPr>
                <w:rFonts w:eastAsia="Calibri"/>
                <w:sz w:val="20"/>
              </w:rPr>
              <w:t>Respondents’ motion for summary judgment granted; Applicants’ action dismissed</w:t>
            </w:r>
          </w:p>
          <w:p w:rsidR="00D94824" w:rsidRPr="0084490B" w:rsidRDefault="00D94824" w:rsidP="001277D5">
            <w:pPr>
              <w:jc w:val="both"/>
              <w:rPr>
                <w:rFonts w:eastAsia="Calibri"/>
                <w:sz w:val="20"/>
              </w:rPr>
            </w:pPr>
          </w:p>
        </w:tc>
      </w:tr>
      <w:tr w:rsidR="00D94824" w:rsidRPr="0084490B" w:rsidTr="001277D5">
        <w:tc>
          <w:tcPr>
            <w:tcW w:w="2427" w:type="pct"/>
          </w:tcPr>
          <w:p w:rsidR="00D94824" w:rsidRPr="0084490B" w:rsidRDefault="00D94824" w:rsidP="001277D5">
            <w:pPr>
              <w:jc w:val="both"/>
              <w:rPr>
                <w:rFonts w:eastAsia="Calibri"/>
                <w:sz w:val="20"/>
              </w:rPr>
            </w:pPr>
            <w:r w:rsidRPr="0084490B">
              <w:rPr>
                <w:rFonts w:eastAsia="Calibri"/>
                <w:sz w:val="20"/>
              </w:rPr>
              <w:t>December 7, 2012</w:t>
            </w:r>
          </w:p>
          <w:p w:rsidR="00D94824" w:rsidRPr="0084490B" w:rsidRDefault="00D94824" w:rsidP="001277D5">
            <w:pPr>
              <w:jc w:val="both"/>
              <w:rPr>
                <w:rFonts w:eastAsia="Calibri"/>
                <w:sz w:val="20"/>
              </w:rPr>
            </w:pPr>
            <w:r w:rsidRPr="0084490B">
              <w:rPr>
                <w:rFonts w:eastAsia="Calibri"/>
                <w:sz w:val="20"/>
              </w:rPr>
              <w:t>Court of Appeal for Ontario</w:t>
            </w:r>
          </w:p>
          <w:p w:rsidR="00D94824" w:rsidRPr="0084490B" w:rsidRDefault="00D94824" w:rsidP="001277D5">
            <w:pPr>
              <w:jc w:val="both"/>
              <w:rPr>
                <w:rFonts w:eastAsia="Calibri"/>
                <w:sz w:val="20"/>
              </w:rPr>
            </w:pPr>
            <w:r w:rsidRPr="0084490B">
              <w:rPr>
                <w:rFonts w:eastAsia="Calibri"/>
                <w:sz w:val="20"/>
              </w:rPr>
              <w:t>(</w:t>
            </w:r>
            <w:proofErr w:type="spellStart"/>
            <w:r w:rsidRPr="0084490B">
              <w:rPr>
                <w:rFonts w:eastAsia="Calibri"/>
                <w:sz w:val="20"/>
              </w:rPr>
              <w:t>MacPherson</w:t>
            </w:r>
            <w:proofErr w:type="spellEnd"/>
            <w:r w:rsidRPr="0084490B">
              <w:rPr>
                <w:rFonts w:eastAsia="Calibri"/>
                <w:sz w:val="20"/>
              </w:rPr>
              <w:t>, Armstrong and Hoy JJ.A.)</w:t>
            </w:r>
          </w:p>
          <w:p w:rsidR="00D94824" w:rsidRPr="0084490B" w:rsidRDefault="00D94824" w:rsidP="001277D5">
            <w:pPr>
              <w:jc w:val="both"/>
              <w:rPr>
                <w:rFonts w:eastAsia="Calibri"/>
                <w:sz w:val="20"/>
              </w:rPr>
            </w:pPr>
            <w:r w:rsidRPr="0084490B">
              <w:rPr>
                <w:rFonts w:eastAsia="Calibri"/>
                <w:sz w:val="20"/>
              </w:rPr>
              <w:t>2012 ONCA 867; C55239</w:t>
            </w:r>
          </w:p>
          <w:p w:rsidR="00D94824" w:rsidRPr="0084490B" w:rsidRDefault="00D94824" w:rsidP="001277D5">
            <w:pPr>
              <w:jc w:val="both"/>
              <w:rPr>
                <w:rFonts w:eastAsia="Calibri"/>
                <w:sz w:val="20"/>
              </w:rPr>
            </w:pPr>
          </w:p>
        </w:tc>
        <w:tc>
          <w:tcPr>
            <w:tcW w:w="243" w:type="pct"/>
          </w:tcPr>
          <w:p w:rsidR="00D94824" w:rsidRPr="0084490B" w:rsidRDefault="00D94824" w:rsidP="001277D5">
            <w:pPr>
              <w:jc w:val="both"/>
              <w:rPr>
                <w:rFonts w:eastAsia="Calibri"/>
                <w:sz w:val="20"/>
              </w:rPr>
            </w:pPr>
          </w:p>
        </w:tc>
        <w:tc>
          <w:tcPr>
            <w:tcW w:w="2330" w:type="pct"/>
          </w:tcPr>
          <w:p w:rsidR="00D94824" w:rsidRPr="0084490B" w:rsidRDefault="00D94824" w:rsidP="001277D5">
            <w:pPr>
              <w:jc w:val="both"/>
              <w:rPr>
                <w:rFonts w:eastAsia="Calibri"/>
                <w:sz w:val="20"/>
              </w:rPr>
            </w:pPr>
            <w:r w:rsidRPr="0084490B">
              <w:rPr>
                <w:rFonts w:eastAsia="Calibri"/>
                <w:sz w:val="20"/>
              </w:rPr>
              <w:t>Appeal dismissed</w:t>
            </w:r>
          </w:p>
          <w:p w:rsidR="00D94824" w:rsidRPr="0084490B" w:rsidRDefault="00D94824" w:rsidP="001277D5">
            <w:pPr>
              <w:jc w:val="both"/>
              <w:rPr>
                <w:rFonts w:eastAsia="Calibri"/>
                <w:sz w:val="20"/>
              </w:rPr>
            </w:pPr>
          </w:p>
        </w:tc>
      </w:tr>
      <w:tr w:rsidR="00D94824" w:rsidRPr="0084490B" w:rsidTr="001277D5">
        <w:tc>
          <w:tcPr>
            <w:tcW w:w="2427" w:type="pct"/>
          </w:tcPr>
          <w:p w:rsidR="00D94824" w:rsidRPr="0084490B" w:rsidRDefault="00D94824" w:rsidP="001277D5">
            <w:pPr>
              <w:jc w:val="both"/>
              <w:rPr>
                <w:rFonts w:eastAsia="Calibri"/>
                <w:sz w:val="20"/>
              </w:rPr>
            </w:pPr>
            <w:r w:rsidRPr="0084490B">
              <w:rPr>
                <w:rFonts w:eastAsia="Calibri"/>
                <w:sz w:val="20"/>
              </w:rPr>
              <w:t>February 4, 2013</w:t>
            </w:r>
          </w:p>
          <w:p w:rsidR="00D94824" w:rsidRPr="0084490B" w:rsidRDefault="00D94824" w:rsidP="001277D5">
            <w:pPr>
              <w:jc w:val="both"/>
              <w:rPr>
                <w:rFonts w:eastAsia="Calibri"/>
                <w:sz w:val="20"/>
              </w:rPr>
            </w:pPr>
            <w:r w:rsidRPr="0084490B">
              <w:rPr>
                <w:rFonts w:eastAsia="Calibri"/>
                <w:sz w:val="20"/>
              </w:rPr>
              <w:t>Supreme Court of Canada</w:t>
            </w:r>
          </w:p>
        </w:tc>
        <w:tc>
          <w:tcPr>
            <w:tcW w:w="243" w:type="pct"/>
          </w:tcPr>
          <w:p w:rsidR="00D94824" w:rsidRPr="0084490B" w:rsidRDefault="00D94824" w:rsidP="001277D5">
            <w:pPr>
              <w:jc w:val="both"/>
              <w:rPr>
                <w:rFonts w:eastAsia="Calibri"/>
                <w:sz w:val="20"/>
              </w:rPr>
            </w:pPr>
          </w:p>
        </w:tc>
        <w:tc>
          <w:tcPr>
            <w:tcW w:w="2330" w:type="pct"/>
          </w:tcPr>
          <w:p w:rsidR="00D94824" w:rsidRPr="0084490B" w:rsidRDefault="00D94824" w:rsidP="001277D5">
            <w:pPr>
              <w:jc w:val="both"/>
              <w:rPr>
                <w:rFonts w:eastAsia="Calibri"/>
                <w:sz w:val="20"/>
              </w:rPr>
            </w:pPr>
            <w:r w:rsidRPr="0084490B">
              <w:rPr>
                <w:rFonts w:eastAsia="Calibri"/>
                <w:sz w:val="20"/>
              </w:rPr>
              <w:t>Application for leave to appeal filed</w:t>
            </w:r>
          </w:p>
          <w:p w:rsidR="00D94824" w:rsidRPr="0084490B" w:rsidRDefault="00D94824" w:rsidP="001277D5">
            <w:pPr>
              <w:jc w:val="both"/>
              <w:rPr>
                <w:rFonts w:eastAsia="Calibri"/>
                <w:sz w:val="20"/>
              </w:rPr>
            </w:pPr>
          </w:p>
        </w:tc>
      </w:tr>
    </w:tbl>
    <w:p w:rsidR="00EA65C4" w:rsidRDefault="00EA65C4" w:rsidP="00EA65C4">
      <w:pPr>
        <w:rPr>
          <w:sz w:val="20"/>
          <w:szCs w:val="20"/>
        </w:rPr>
      </w:pPr>
    </w:p>
    <w:p w:rsidR="00EA65C4" w:rsidRPr="00C50A5C" w:rsidRDefault="0028676C" w:rsidP="00EA65C4">
      <w:pPr>
        <w:rPr>
          <w:sz w:val="20"/>
          <w:szCs w:val="20"/>
        </w:rPr>
      </w:pPr>
      <w:r w:rsidRPr="0028676C">
        <w:rPr>
          <w:sz w:val="20"/>
          <w:szCs w:val="20"/>
          <w:lang w:val="fr-CA"/>
        </w:rPr>
        <w:pict>
          <v:rect id="_x0000_i1065" style="width:2in;height:1pt" o:hrpct="0" o:hralign="center" o:hrstd="t" o:hrnoshade="t" o:hr="t" fillcolor="black [3213]" stroked="f"/>
        </w:pict>
      </w:r>
    </w:p>
    <w:p w:rsidR="00EA65C4" w:rsidRDefault="00EA65C4" w:rsidP="00EA65C4">
      <w:pPr>
        <w:rPr>
          <w:sz w:val="20"/>
          <w:szCs w:val="20"/>
        </w:rPr>
      </w:pPr>
    </w:p>
    <w:p w:rsidR="00EA65C4" w:rsidRPr="001B157C" w:rsidRDefault="00EA65C4" w:rsidP="00EA65C4">
      <w:pPr>
        <w:rPr>
          <w:sz w:val="20"/>
          <w:szCs w:val="20"/>
          <w:u w:val="single"/>
          <w:lang w:val="fr-CA"/>
        </w:rPr>
      </w:pPr>
      <w:r w:rsidRPr="001B157C">
        <w:rPr>
          <w:sz w:val="20"/>
          <w:szCs w:val="20"/>
          <w:u w:val="single"/>
          <w:lang w:val="fr-CA"/>
        </w:rPr>
        <w:t>RÉSUMÉ DE L’AFFAIRE</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94824" w:rsidRPr="00B6040C" w:rsidTr="001277D5">
        <w:tc>
          <w:tcPr>
            <w:tcW w:w="5000" w:type="pct"/>
            <w:gridSpan w:val="3"/>
          </w:tcPr>
          <w:p w:rsidR="00D94824" w:rsidRPr="0084490B" w:rsidRDefault="00D94824" w:rsidP="001277D5">
            <w:pPr>
              <w:jc w:val="both"/>
              <w:rPr>
                <w:rFonts w:eastAsia="Calibri"/>
                <w:sz w:val="20"/>
                <w:lang w:val="fr-FR"/>
              </w:rPr>
            </w:pPr>
            <w:r w:rsidRPr="0084490B">
              <w:rPr>
                <w:rFonts w:eastAsia="Calibri"/>
                <w:sz w:val="20"/>
                <w:lang w:val="fr-FR"/>
              </w:rPr>
              <w:t xml:space="preserve">Droit commercial – Franchises – Jugement sommaire – L’inégalité du rapport de force entre le franchiseur et le franchisé fait-elle en sorte que des règles d’interprétation particulières s’appliquent aux contrats de franchisage? – Quels sont la portée et l’effet de l’obligation d’agir de manière équitable imposée au franchiseur par l’art. 3 de la </w:t>
            </w:r>
            <w:r w:rsidRPr="0084490B">
              <w:rPr>
                <w:rFonts w:eastAsia="Calibri"/>
                <w:i/>
                <w:sz w:val="20"/>
                <w:lang w:val="fr-FR"/>
              </w:rPr>
              <w:t>Loi</w:t>
            </w:r>
            <w:r w:rsidRPr="0084490B">
              <w:rPr>
                <w:rFonts w:eastAsia="Calibri"/>
                <w:sz w:val="20"/>
                <w:lang w:val="fr-FR"/>
              </w:rPr>
              <w:t xml:space="preserve"> </w:t>
            </w:r>
            <w:r w:rsidRPr="0084490B">
              <w:rPr>
                <w:rFonts w:eastAsia="Calibri"/>
                <w:i/>
                <w:sz w:val="20"/>
                <w:lang w:val="fr-FR"/>
              </w:rPr>
              <w:t xml:space="preserve">Arthur </w:t>
            </w:r>
            <w:proofErr w:type="spellStart"/>
            <w:r w:rsidRPr="0084490B">
              <w:rPr>
                <w:rFonts w:eastAsia="Calibri"/>
                <w:i/>
                <w:sz w:val="20"/>
                <w:lang w:val="fr-FR"/>
              </w:rPr>
              <w:t>Wishart</w:t>
            </w:r>
            <w:proofErr w:type="spellEnd"/>
            <w:r w:rsidRPr="0084490B">
              <w:rPr>
                <w:rFonts w:eastAsia="Calibri"/>
                <w:i/>
                <w:sz w:val="20"/>
                <w:lang w:val="fr-FR"/>
              </w:rPr>
              <w:t xml:space="preserve"> de 2000 sur la divulgation relative aux franchises</w:t>
            </w:r>
            <w:r w:rsidRPr="0084490B">
              <w:rPr>
                <w:rFonts w:eastAsia="Calibri"/>
                <w:sz w:val="20"/>
                <w:lang w:val="fr-FR"/>
              </w:rPr>
              <w:t xml:space="preserve">? – Les juridictions inférieures ont-elles eu raison de faire leur le point de vue favorisant les franchiseurs tiré de la jurisprudence américaine? – Le jugement sommaire rendu en l’espèce constitue-t-il un abus du pouvoir limité de prendre une telle mesure? </w:t>
            </w:r>
          </w:p>
        </w:tc>
      </w:tr>
      <w:tr w:rsidR="00D94824" w:rsidRPr="00B6040C" w:rsidTr="001277D5">
        <w:tc>
          <w:tcPr>
            <w:tcW w:w="5000" w:type="pct"/>
            <w:gridSpan w:val="3"/>
          </w:tcPr>
          <w:p w:rsidR="00D94824" w:rsidRPr="0084490B" w:rsidRDefault="00D94824" w:rsidP="001277D5">
            <w:pPr>
              <w:jc w:val="both"/>
              <w:rPr>
                <w:rFonts w:eastAsia="Calibri"/>
                <w:sz w:val="20"/>
                <w:lang w:val="fr-FR"/>
              </w:rPr>
            </w:pPr>
          </w:p>
        </w:tc>
      </w:tr>
      <w:tr w:rsidR="00D94824" w:rsidRPr="0084490B" w:rsidTr="001277D5">
        <w:tc>
          <w:tcPr>
            <w:tcW w:w="5000" w:type="pct"/>
            <w:gridSpan w:val="3"/>
          </w:tcPr>
          <w:p w:rsidR="00D94824" w:rsidRPr="0084490B" w:rsidRDefault="00D94824" w:rsidP="001277D5">
            <w:pPr>
              <w:jc w:val="both"/>
              <w:rPr>
                <w:rFonts w:eastAsia="Calibri"/>
                <w:sz w:val="20"/>
                <w:lang w:val="fr-FR"/>
              </w:rPr>
            </w:pPr>
            <w:r w:rsidRPr="0084490B">
              <w:rPr>
                <w:rFonts w:eastAsia="Calibri"/>
                <w:sz w:val="20"/>
                <w:lang w:val="fr-FR"/>
              </w:rPr>
              <w:t xml:space="preserve">Les </w:t>
            </w:r>
            <w:proofErr w:type="spellStart"/>
            <w:r w:rsidRPr="0084490B">
              <w:rPr>
                <w:rFonts w:eastAsia="Calibri"/>
                <w:sz w:val="20"/>
                <w:lang w:val="fr-FR"/>
              </w:rPr>
              <w:t>demanderesses</w:t>
            </w:r>
            <w:proofErr w:type="spellEnd"/>
            <w:r w:rsidRPr="0084490B">
              <w:rPr>
                <w:rFonts w:eastAsia="Calibri"/>
                <w:sz w:val="20"/>
                <w:lang w:val="fr-FR"/>
              </w:rPr>
              <w:t xml:space="preserve">, des franchisés des intimées, ont intenté un recours collectif proposé contre les franchiseurs intimés en se fondant sur plusieurs causes d’action distinctes, notamment rupture de contrat, fausse représentation, enrichissement injustifié, infractions à la </w:t>
            </w:r>
            <w:r w:rsidRPr="0084490B">
              <w:rPr>
                <w:rFonts w:eastAsia="Calibri"/>
                <w:i/>
                <w:sz w:val="20"/>
                <w:lang w:val="fr-FR"/>
              </w:rPr>
              <w:t>Loi sur la</w:t>
            </w:r>
            <w:r w:rsidRPr="0084490B">
              <w:rPr>
                <w:rFonts w:eastAsia="Calibri"/>
                <w:sz w:val="20"/>
                <w:lang w:val="fr-FR"/>
              </w:rPr>
              <w:t xml:space="preserve"> </w:t>
            </w:r>
            <w:r w:rsidRPr="0084490B">
              <w:rPr>
                <w:rFonts w:eastAsia="Calibri"/>
                <w:i/>
                <w:sz w:val="20"/>
                <w:lang w:val="fr-FR"/>
              </w:rPr>
              <w:t>concurrence</w:t>
            </w:r>
            <w:r w:rsidRPr="0084490B">
              <w:rPr>
                <w:rFonts w:eastAsia="Calibri"/>
                <w:sz w:val="20"/>
                <w:lang w:val="fr-FR"/>
              </w:rPr>
              <w:t xml:space="preserve"> et manquement à l’obligation de bonne foi (agir de façon équitable).  Les franchisés se plaignent d’être tenus de se procurer, à des prix déraisonnablement élevés, certains des ingrédients qu’ils utilisent dans la confection de leurs produits, ce qui réduit leurs profits. Leurs plaintes visent deux aspects leurs activités : le coût des beignes et le coût des ingrédients des soupes et sandwiches qui composent le [</w:t>
            </w:r>
            <w:r w:rsidRPr="0084490B">
              <w:rPr>
                <w:rFonts w:eastAsia="Calibri"/>
                <w:smallCaps/>
                <w:sz w:val="20"/>
                <w:lang w:val="fr-FR"/>
              </w:rPr>
              <w:t>traduction]</w:t>
            </w:r>
            <w:r w:rsidRPr="0084490B">
              <w:rPr>
                <w:rFonts w:eastAsia="Calibri"/>
                <w:sz w:val="20"/>
                <w:lang w:val="fr-FR"/>
              </w:rPr>
              <w:t xml:space="preserve"> « menu du repas du midi ».  Après avoir instruit pendant deux semaines la demande d’autorisation du recours collectif et la requête en jugement sommaire, le juge saisi de la requête a conclu qu’il conviendrait d’autoriser un recours collectif en ce qui concerne plusieurs questions, mais qu’aucune des actions envisagées ne pouvait être accueillie.  Il a donc accueilli la requête des franchiseurs en jugement sommaire et rejeté l’action.  L’appel des franchisés a par la suite été rejeté. </w:t>
            </w:r>
          </w:p>
          <w:p w:rsidR="00D94824" w:rsidRPr="0084490B" w:rsidRDefault="00D94824" w:rsidP="001277D5">
            <w:pPr>
              <w:jc w:val="both"/>
              <w:rPr>
                <w:rFonts w:eastAsia="Calibri"/>
                <w:sz w:val="20"/>
                <w:lang w:val="fr-FR"/>
              </w:rPr>
            </w:pPr>
          </w:p>
        </w:tc>
      </w:tr>
      <w:tr w:rsidR="00D94824" w:rsidRPr="00B6040C" w:rsidTr="001277D5">
        <w:tc>
          <w:tcPr>
            <w:tcW w:w="2427" w:type="pct"/>
          </w:tcPr>
          <w:p w:rsidR="00D94824" w:rsidRPr="0084490B" w:rsidRDefault="00D94824" w:rsidP="001277D5">
            <w:pPr>
              <w:jc w:val="both"/>
              <w:rPr>
                <w:rFonts w:eastAsia="Calibri"/>
                <w:sz w:val="20"/>
                <w:lang w:val="fr-FR"/>
              </w:rPr>
            </w:pPr>
            <w:r w:rsidRPr="0084490B">
              <w:rPr>
                <w:rFonts w:eastAsia="Calibri"/>
                <w:sz w:val="20"/>
                <w:lang w:val="fr-FR"/>
              </w:rPr>
              <w:t>24 février 2012</w:t>
            </w:r>
          </w:p>
          <w:p w:rsidR="00D94824" w:rsidRPr="0084490B" w:rsidRDefault="00D94824" w:rsidP="001277D5">
            <w:pPr>
              <w:jc w:val="both"/>
              <w:rPr>
                <w:rFonts w:eastAsia="Calibri"/>
                <w:sz w:val="20"/>
                <w:lang w:val="fr-FR"/>
              </w:rPr>
            </w:pPr>
            <w:r w:rsidRPr="0084490B">
              <w:rPr>
                <w:rFonts w:eastAsia="Calibri"/>
                <w:sz w:val="20"/>
                <w:lang w:val="fr-FR"/>
              </w:rPr>
              <w:t xml:space="preserve">Cour supérieure de justice de l’Ontario </w:t>
            </w:r>
          </w:p>
          <w:p w:rsidR="00D94824" w:rsidRPr="0084490B" w:rsidRDefault="00D94824" w:rsidP="001277D5">
            <w:pPr>
              <w:jc w:val="both"/>
              <w:rPr>
                <w:rFonts w:eastAsia="Calibri"/>
                <w:sz w:val="20"/>
              </w:rPr>
            </w:pPr>
            <w:r w:rsidRPr="0084490B">
              <w:rPr>
                <w:rFonts w:eastAsia="Calibri"/>
                <w:sz w:val="20"/>
              </w:rPr>
              <w:t>(</w:t>
            </w:r>
            <w:proofErr w:type="spellStart"/>
            <w:r w:rsidRPr="0084490B">
              <w:rPr>
                <w:rFonts w:eastAsia="Calibri"/>
                <w:sz w:val="20"/>
              </w:rPr>
              <w:t>Juge</w:t>
            </w:r>
            <w:proofErr w:type="spellEnd"/>
            <w:r w:rsidRPr="0084490B">
              <w:rPr>
                <w:rFonts w:eastAsia="Calibri"/>
                <w:sz w:val="20"/>
              </w:rPr>
              <w:t xml:space="preserve"> Strathy)</w:t>
            </w:r>
          </w:p>
          <w:p w:rsidR="00D94824" w:rsidRPr="0084490B" w:rsidRDefault="00D94824" w:rsidP="001277D5">
            <w:pPr>
              <w:jc w:val="both"/>
              <w:rPr>
                <w:rFonts w:eastAsia="Calibri"/>
                <w:sz w:val="20"/>
              </w:rPr>
            </w:pPr>
            <w:r w:rsidRPr="0084490B">
              <w:rPr>
                <w:rFonts w:eastAsia="Calibri"/>
                <w:sz w:val="20"/>
              </w:rPr>
              <w:t>2012 ONSC 1252</w:t>
            </w:r>
          </w:p>
          <w:p w:rsidR="00D94824" w:rsidRPr="0084490B" w:rsidRDefault="00D94824" w:rsidP="001277D5">
            <w:pPr>
              <w:jc w:val="both"/>
              <w:rPr>
                <w:rFonts w:eastAsia="Calibri"/>
                <w:sz w:val="20"/>
              </w:rPr>
            </w:pPr>
          </w:p>
        </w:tc>
        <w:tc>
          <w:tcPr>
            <w:tcW w:w="243" w:type="pct"/>
          </w:tcPr>
          <w:p w:rsidR="00D94824" w:rsidRPr="0084490B" w:rsidRDefault="00D94824" w:rsidP="001277D5">
            <w:pPr>
              <w:jc w:val="both"/>
              <w:rPr>
                <w:rFonts w:eastAsia="Calibri"/>
                <w:sz w:val="20"/>
              </w:rPr>
            </w:pPr>
          </w:p>
        </w:tc>
        <w:tc>
          <w:tcPr>
            <w:tcW w:w="2330" w:type="pct"/>
          </w:tcPr>
          <w:p w:rsidR="00D94824" w:rsidRPr="0084490B" w:rsidRDefault="00D94824" w:rsidP="001277D5">
            <w:pPr>
              <w:jc w:val="both"/>
              <w:rPr>
                <w:rFonts w:eastAsia="Calibri"/>
                <w:sz w:val="20"/>
                <w:lang w:val="fr-FR"/>
              </w:rPr>
            </w:pPr>
            <w:r w:rsidRPr="0084490B">
              <w:rPr>
                <w:rFonts w:eastAsia="Calibri"/>
                <w:sz w:val="20"/>
                <w:lang w:val="fr-FR"/>
              </w:rPr>
              <w:t xml:space="preserve">Requête des intimées en jugement sommaire accueillie; action des </w:t>
            </w:r>
            <w:proofErr w:type="spellStart"/>
            <w:r w:rsidRPr="0084490B">
              <w:rPr>
                <w:rFonts w:eastAsia="Calibri"/>
                <w:sz w:val="20"/>
                <w:lang w:val="fr-FR"/>
              </w:rPr>
              <w:t>demanderesses</w:t>
            </w:r>
            <w:proofErr w:type="spellEnd"/>
            <w:r w:rsidRPr="0084490B">
              <w:rPr>
                <w:rFonts w:eastAsia="Calibri"/>
                <w:sz w:val="20"/>
                <w:lang w:val="fr-FR"/>
              </w:rPr>
              <w:t xml:space="preserve"> rejetée</w:t>
            </w:r>
          </w:p>
          <w:p w:rsidR="00D94824" w:rsidRPr="0084490B" w:rsidRDefault="00D94824" w:rsidP="001277D5">
            <w:pPr>
              <w:jc w:val="both"/>
              <w:rPr>
                <w:rFonts w:eastAsia="Calibri"/>
                <w:sz w:val="20"/>
                <w:lang w:val="fr-FR"/>
              </w:rPr>
            </w:pPr>
          </w:p>
        </w:tc>
      </w:tr>
      <w:tr w:rsidR="00D94824" w:rsidRPr="0084490B" w:rsidTr="001277D5">
        <w:tc>
          <w:tcPr>
            <w:tcW w:w="2427" w:type="pct"/>
          </w:tcPr>
          <w:p w:rsidR="00D94824" w:rsidRPr="0084490B" w:rsidRDefault="00D94824" w:rsidP="001277D5">
            <w:pPr>
              <w:jc w:val="both"/>
              <w:rPr>
                <w:rFonts w:eastAsia="Calibri"/>
                <w:sz w:val="20"/>
                <w:lang w:val="fr-FR"/>
              </w:rPr>
            </w:pPr>
            <w:r w:rsidRPr="0084490B">
              <w:rPr>
                <w:rFonts w:eastAsia="Calibri"/>
                <w:sz w:val="20"/>
                <w:lang w:val="fr-FR"/>
              </w:rPr>
              <w:t>7 décembre 2012</w:t>
            </w:r>
          </w:p>
          <w:p w:rsidR="00D94824" w:rsidRPr="0084490B" w:rsidRDefault="00D94824" w:rsidP="001277D5">
            <w:pPr>
              <w:jc w:val="both"/>
              <w:rPr>
                <w:rFonts w:eastAsia="Calibri"/>
                <w:sz w:val="20"/>
                <w:lang w:val="fr-FR"/>
              </w:rPr>
            </w:pPr>
            <w:r w:rsidRPr="0084490B">
              <w:rPr>
                <w:rFonts w:eastAsia="Calibri"/>
                <w:sz w:val="20"/>
                <w:lang w:val="fr-FR"/>
              </w:rPr>
              <w:t>Cour d’appel de l’Ontario</w:t>
            </w:r>
          </w:p>
          <w:p w:rsidR="00D94824" w:rsidRPr="0084490B" w:rsidRDefault="00D94824" w:rsidP="001277D5">
            <w:pPr>
              <w:jc w:val="both"/>
              <w:rPr>
                <w:rFonts w:eastAsia="Calibri"/>
                <w:sz w:val="20"/>
                <w:lang w:val="fr-FR"/>
              </w:rPr>
            </w:pPr>
            <w:r w:rsidRPr="0084490B">
              <w:rPr>
                <w:rFonts w:eastAsia="Calibri"/>
                <w:sz w:val="20"/>
                <w:lang w:val="fr-FR"/>
              </w:rPr>
              <w:t xml:space="preserve">(Juges </w:t>
            </w:r>
            <w:proofErr w:type="spellStart"/>
            <w:r w:rsidRPr="0084490B">
              <w:rPr>
                <w:rFonts w:eastAsia="Calibri"/>
                <w:sz w:val="20"/>
                <w:lang w:val="fr-FR"/>
              </w:rPr>
              <w:t>MacPherson</w:t>
            </w:r>
            <w:proofErr w:type="spellEnd"/>
            <w:r w:rsidRPr="0084490B">
              <w:rPr>
                <w:rFonts w:eastAsia="Calibri"/>
                <w:sz w:val="20"/>
                <w:lang w:val="fr-FR"/>
              </w:rPr>
              <w:t xml:space="preserve">, Armstrong et </w:t>
            </w:r>
            <w:proofErr w:type="spellStart"/>
            <w:r w:rsidRPr="0084490B">
              <w:rPr>
                <w:rFonts w:eastAsia="Calibri"/>
                <w:sz w:val="20"/>
                <w:lang w:val="fr-FR"/>
              </w:rPr>
              <w:t>Hoy</w:t>
            </w:r>
            <w:proofErr w:type="spellEnd"/>
            <w:r w:rsidRPr="0084490B">
              <w:rPr>
                <w:rFonts w:eastAsia="Calibri"/>
                <w:sz w:val="20"/>
                <w:lang w:val="fr-FR"/>
              </w:rPr>
              <w:t>)</w:t>
            </w:r>
          </w:p>
          <w:p w:rsidR="00D94824" w:rsidRPr="0084490B" w:rsidRDefault="00D94824" w:rsidP="001277D5">
            <w:pPr>
              <w:jc w:val="both"/>
              <w:rPr>
                <w:rFonts w:eastAsia="Calibri"/>
                <w:sz w:val="20"/>
              </w:rPr>
            </w:pPr>
            <w:r w:rsidRPr="0084490B">
              <w:rPr>
                <w:rFonts w:eastAsia="Calibri"/>
                <w:sz w:val="20"/>
              </w:rPr>
              <w:t>2012 ONCA 867; C55239</w:t>
            </w:r>
          </w:p>
          <w:p w:rsidR="00D94824" w:rsidRPr="0084490B" w:rsidRDefault="00D94824" w:rsidP="001277D5">
            <w:pPr>
              <w:jc w:val="both"/>
              <w:rPr>
                <w:rFonts w:eastAsia="Calibri"/>
                <w:sz w:val="20"/>
              </w:rPr>
            </w:pPr>
          </w:p>
        </w:tc>
        <w:tc>
          <w:tcPr>
            <w:tcW w:w="243" w:type="pct"/>
          </w:tcPr>
          <w:p w:rsidR="00D94824" w:rsidRPr="0084490B" w:rsidRDefault="00D94824" w:rsidP="001277D5">
            <w:pPr>
              <w:jc w:val="both"/>
              <w:rPr>
                <w:rFonts w:eastAsia="Calibri"/>
                <w:sz w:val="20"/>
              </w:rPr>
            </w:pPr>
          </w:p>
        </w:tc>
        <w:tc>
          <w:tcPr>
            <w:tcW w:w="2330" w:type="pct"/>
          </w:tcPr>
          <w:p w:rsidR="00D94824" w:rsidRPr="0084490B" w:rsidRDefault="00D94824" w:rsidP="001277D5">
            <w:pPr>
              <w:jc w:val="both"/>
              <w:rPr>
                <w:rFonts w:eastAsia="Calibri"/>
                <w:sz w:val="20"/>
              </w:rPr>
            </w:pPr>
            <w:proofErr w:type="spellStart"/>
            <w:r w:rsidRPr="0084490B">
              <w:rPr>
                <w:rFonts w:eastAsia="Calibri"/>
                <w:sz w:val="20"/>
              </w:rPr>
              <w:t>Appel</w:t>
            </w:r>
            <w:proofErr w:type="spellEnd"/>
            <w:r w:rsidRPr="0084490B">
              <w:rPr>
                <w:rFonts w:eastAsia="Calibri"/>
                <w:sz w:val="20"/>
              </w:rPr>
              <w:t xml:space="preserve"> </w:t>
            </w:r>
            <w:proofErr w:type="spellStart"/>
            <w:r w:rsidRPr="0084490B">
              <w:rPr>
                <w:rFonts w:eastAsia="Calibri"/>
                <w:sz w:val="20"/>
              </w:rPr>
              <w:t>rejeté</w:t>
            </w:r>
            <w:proofErr w:type="spellEnd"/>
          </w:p>
          <w:p w:rsidR="00D94824" w:rsidRPr="0084490B" w:rsidRDefault="00D94824" w:rsidP="001277D5">
            <w:pPr>
              <w:jc w:val="both"/>
              <w:rPr>
                <w:rFonts w:eastAsia="Calibri"/>
                <w:sz w:val="20"/>
              </w:rPr>
            </w:pPr>
          </w:p>
        </w:tc>
      </w:tr>
      <w:tr w:rsidR="00D94824" w:rsidRPr="0084490B" w:rsidTr="001277D5">
        <w:tc>
          <w:tcPr>
            <w:tcW w:w="2427" w:type="pct"/>
          </w:tcPr>
          <w:p w:rsidR="00D94824" w:rsidRPr="00D94824" w:rsidRDefault="00D94824" w:rsidP="001277D5">
            <w:pPr>
              <w:jc w:val="both"/>
              <w:rPr>
                <w:rFonts w:eastAsia="Calibri"/>
                <w:sz w:val="20"/>
                <w:lang w:val="fr-CA"/>
              </w:rPr>
            </w:pPr>
            <w:r w:rsidRPr="00D94824">
              <w:rPr>
                <w:rFonts w:eastAsia="Calibri"/>
                <w:sz w:val="20"/>
                <w:lang w:val="fr-CA"/>
              </w:rPr>
              <w:t>4 février 2013</w:t>
            </w:r>
          </w:p>
          <w:p w:rsidR="00D94824" w:rsidRPr="00D94824" w:rsidRDefault="00D94824" w:rsidP="001277D5">
            <w:pPr>
              <w:jc w:val="both"/>
              <w:rPr>
                <w:rFonts w:eastAsia="Calibri"/>
                <w:sz w:val="20"/>
                <w:lang w:val="fr-CA"/>
              </w:rPr>
            </w:pPr>
            <w:r w:rsidRPr="00D94824">
              <w:rPr>
                <w:rFonts w:eastAsia="Calibri"/>
                <w:sz w:val="20"/>
                <w:lang w:val="fr-CA"/>
              </w:rPr>
              <w:t>Cour suprême du Canada</w:t>
            </w:r>
          </w:p>
        </w:tc>
        <w:tc>
          <w:tcPr>
            <w:tcW w:w="243" w:type="pct"/>
          </w:tcPr>
          <w:p w:rsidR="00D94824" w:rsidRPr="00D94824" w:rsidRDefault="00D94824" w:rsidP="001277D5">
            <w:pPr>
              <w:jc w:val="both"/>
              <w:rPr>
                <w:rFonts w:eastAsia="Calibri"/>
                <w:sz w:val="20"/>
                <w:lang w:val="fr-CA"/>
              </w:rPr>
            </w:pPr>
          </w:p>
        </w:tc>
        <w:tc>
          <w:tcPr>
            <w:tcW w:w="2330" w:type="pct"/>
          </w:tcPr>
          <w:p w:rsidR="00D94824" w:rsidRPr="0084490B" w:rsidRDefault="00D94824" w:rsidP="001277D5">
            <w:pPr>
              <w:jc w:val="both"/>
              <w:rPr>
                <w:rFonts w:eastAsia="Calibri"/>
                <w:sz w:val="20"/>
              </w:rPr>
            </w:pPr>
            <w:proofErr w:type="spellStart"/>
            <w:r w:rsidRPr="0084490B">
              <w:rPr>
                <w:rFonts w:eastAsia="Calibri"/>
                <w:sz w:val="20"/>
              </w:rPr>
              <w:t>Demande</w:t>
            </w:r>
            <w:proofErr w:type="spellEnd"/>
            <w:r w:rsidRPr="0084490B">
              <w:rPr>
                <w:rFonts w:eastAsia="Calibri"/>
                <w:sz w:val="20"/>
              </w:rPr>
              <w:t xml:space="preserve"> </w:t>
            </w:r>
            <w:proofErr w:type="spellStart"/>
            <w:r w:rsidRPr="0084490B">
              <w:rPr>
                <w:rFonts w:eastAsia="Calibri"/>
                <w:sz w:val="20"/>
              </w:rPr>
              <w:t>d’autorisation</w:t>
            </w:r>
            <w:proofErr w:type="spellEnd"/>
            <w:r w:rsidRPr="0084490B">
              <w:rPr>
                <w:rFonts w:eastAsia="Calibri"/>
                <w:sz w:val="20"/>
              </w:rPr>
              <w:t xml:space="preserve"> </w:t>
            </w:r>
            <w:proofErr w:type="spellStart"/>
            <w:r w:rsidRPr="0084490B">
              <w:rPr>
                <w:rFonts w:eastAsia="Calibri"/>
                <w:sz w:val="20"/>
              </w:rPr>
              <w:t>d’appel</w:t>
            </w:r>
            <w:proofErr w:type="spellEnd"/>
            <w:r w:rsidRPr="0084490B">
              <w:rPr>
                <w:rFonts w:eastAsia="Calibri"/>
                <w:sz w:val="20"/>
              </w:rPr>
              <w:t xml:space="preserve"> </w:t>
            </w:r>
            <w:proofErr w:type="spellStart"/>
            <w:r w:rsidRPr="0084490B">
              <w:rPr>
                <w:rFonts w:eastAsia="Calibri"/>
                <w:sz w:val="20"/>
              </w:rPr>
              <w:t>déposée</w:t>
            </w:r>
            <w:proofErr w:type="spellEnd"/>
            <w:r w:rsidRPr="0084490B">
              <w:rPr>
                <w:rFonts w:eastAsia="Calibri"/>
                <w:sz w:val="20"/>
              </w:rPr>
              <w:t xml:space="preserve"> </w:t>
            </w:r>
          </w:p>
          <w:p w:rsidR="00D94824" w:rsidRPr="0084490B" w:rsidRDefault="00D94824" w:rsidP="001277D5">
            <w:pPr>
              <w:jc w:val="both"/>
              <w:rPr>
                <w:rFonts w:eastAsia="Calibri"/>
                <w:sz w:val="20"/>
              </w:rPr>
            </w:pPr>
          </w:p>
        </w:tc>
      </w:tr>
    </w:tbl>
    <w:p w:rsidR="00EA65C4" w:rsidRDefault="00EA65C4" w:rsidP="00EA65C4">
      <w:pPr>
        <w:rPr>
          <w:sz w:val="20"/>
          <w:szCs w:val="20"/>
        </w:rPr>
      </w:pPr>
    </w:p>
    <w:p w:rsidR="00EA65C4" w:rsidRDefault="0028676C" w:rsidP="00EA65C4">
      <w:pPr>
        <w:rPr>
          <w:sz w:val="20"/>
          <w:szCs w:val="20"/>
        </w:rPr>
      </w:pPr>
      <w:r w:rsidRPr="0028676C">
        <w:rPr>
          <w:sz w:val="20"/>
          <w:szCs w:val="20"/>
          <w:lang w:val="fr-CA"/>
        </w:rPr>
        <w:pict>
          <v:rect id="_x0000_i1066" style="width:2in;height:1pt" o:hrpct="0" o:hralign="center" o:hrstd="t" o:hrnoshade="t" o:hr="t" fillcolor="black [3213]" stroked="f"/>
        </w:pict>
      </w:r>
    </w:p>
    <w:p w:rsidR="00EA65C4" w:rsidRDefault="00EA65C4" w:rsidP="00EA65C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402A7" w:rsidRPr="0068500F" w:rsidTr="0071552E">
        <w:trPr>
          <w:cantSplit/>
        </w:trPr>
        <w:tc>
          <w:tcPr>
            <w:tcW w:w="1458" w:type="dxa"/>
          </w:tcPr>
          <w:p w:rsidR="00E402A7" w:rsidRPr="0068500F" w:rsidRDefault="00E402A7" w:rsidP="0071552E">
            <w:pPr>
              <w:rPr>
                <w:sz w:val="20"/>
                <w:szCs w:val="20"/>
              </w:rPr>
            </w:pPr>
            <w:r w:rsidRPr="0068500F">
              <w:rPr>
                <w:rStyle w:val="SCCFileNumberChar"/>
                <w:sz w:val="20"/>
                <w:szCs w:val="20"/>
              </w:rPr>
              <w:t>35217</w:t>
            </w:r>
          </w:p>
          <w:p w:rsidR="00E402A7" w:rsidRPr="0068500F" w:rsidRDefault="00E402A7" w:rsidP="0071552E">
            <w:pPr>
              <w:rPr>
                <w:b/>
                <w:sz w:val="20"/>
                <w:szCs w:val="20"/>
                <w:lang w:val="fr-CA"/>
              </w:rPr>
            </w:pPr>
          </w:p>
        </w:tc>
        <w:tc>
          <w:tcPr>
            <w:tcW w:w="8118" w:type="dxa"/>
          </w:tcPr>
          <w:p w:rsidR="00E402A7" w:rsidRPr="0068500F" w:rsidRDefault="00E402A7" w:rsidP="0071552E">
            <w:pPr>
              <w:rPr>
                <w:sz w:val="20"/>
                <w:szCs w:val="20"/>
              </w:rPr>
            </w:pPr>
            <w:r w:rsidRPr="00E402A7">
              <w:rPr>
                <w:rStyle w:val="SCCLsocChar"/>
                <w:sz w:val="20"/>
                <w:szCs w:val="20"/>
                <w:lang w:val="en-CA"/>
              </w:rPr>
              <w:t xml:space="preserve">Tyler Lee </w:t>
            </w:r>
            <w:proofErr w:type="spellStart"/>
            <w:r w:rsidRPr="00E402A7">
              <w:rPr>
                <w:rStyle w:val="SCCLsocChar"/>
                <w:sz w:val="20"/>
                <w:szCs w:val="20"/>
                <w:lang w:val="en-CA"/>
              </w:rPr>
              <w:t>Nolet</w:t>
            </w:r>
            <w:proofErr w:type="spellEnd"/>
            <w:r w:rsidRPr="00E402A7">
              <w:rPr>
                <w:rStyle w:val="SCCLsocChar"/>
                <w:sz w:val="20"/>
                <w:szCs w:val="20"/>
                <w:lang w:val="en-CA"/>
              </w:rPr>
              <w:t xml:space="preserve"> v. Her Majesty the Queen</w:t>
            </w:r>
            <w:r w:rsidRPr="0068500F">
              <w:rPr>
                <w:sz w:val="20"/>
                <w:szCs w:val="20"/>
              </w:rPr>
              <w:t xml:space="preserve"> (Alta.) (Criminal) (By Leave)</w:t>
            </w:r>
          </w:p>
          <w:p w:rsidR="00E402A7" w:rsidRPr="0068500F" w:rsidRDefault="00E402A7" w:rsidP="0071552E">
            <w:pPr>
              <w:rPr>
                <w:sz w:val="20"/>
                <w:szCs w:val="20"/>
              </w:rPr>
            </w:pPr>
          </w:p>
        </w:tc>
      </w:tr>
      <w:tr w:rsidR="00E402A7" w:rsidRPr="0068500F" w:rsidTr="0071552E">
        <w:trPr>
          <w:cantSplit/>
        </w:trPr>
        <w:tc>
          <w:tcPr>
            <w:tcW w:w="1458" w:type="dxa"/>
          </w:tcPr>
          <w:p w:rsidR="00E402A7" w:rsidRPr="0068500F" w:rsidRDefault="00E402A7" w:rsidP="0071552E">
            <w:pPr>
              <w:rPr>
                <w:sz w:val="20"/>
                <w:szCs w:val="20"/>
              </w:rPr>
            </w:pPr>
            <w:r w:rsidRPr="0068500F">
              <w:rPr>
                <w:sz w:val="20"/>
                <w:szCs w:val="20"/>
              </w:rPr>
              <w:t>Coram :</w:t>
            </w:r>
          </w:p>
        </w:tc>
        <w:tc>
          <w:tcPr>
            <w:tcW w:w="8118" w:type="dxa"/>
          </w:tcPr>
          <w:p w:rsidR="00E402A7" w:rsidRPr="0068500F" w:rsidRDefault="00E402A7" w:rsidP="0071552E">
            <w:pPr>
              <w:rPr>
                <w:sz w:val="20"/>
                <w:szCs w:val="20"/>
              </w:rPr>
            </w:pPr>
            <w:r w:rsidRPr="00E402A7">
              <w:rPr>
                <w:rStyle w:val="SCCCoramChar"/>
                <w:sz w:val="20"/>
                <w:szCs w:val="20"/>
                <w:lang w:val="en-CA"/>
              </w:rPr>
              <w:t xml:space="preserve">McLachlin C.J. and </w:t>
            </w:r>
            <w:proofErr w:type="spellStart"/>
            <w:r w:rsidRPr="00E402A7">
              <w:rPr>
                <w:rStyle w:val="SCCCoramChar"/>
                <w:sz w:val="20"/>
                <w:szCs w:val="20"/>
                <w:lang w:val="en-CA"/>
              </w:rPr>
              <w:t>Abella</w:t>
            </w:r>
            <w:proofErr w:type="spellEnd"/>
            <w:r w:rsidRPr="00E402A7">
              <w:rPr>
                <w:rStyle w:val="SCCCoramChar"/>
                <w:sz w:val="20"/>
                <w:szCs w:val="20"/>
                <w:lang w:val="en-CA"/>
              </w:rPr>
              <w:t xml:space="preserve"> and Cromwell JJ.</w:t>
            </w:r>
          </w:p>
          <w:p w:rsidR="00E402A7" w:rsidRPr="0068500F" w:rsidRDefault="00E402A7" w:rsidP="0071552E">
            <w:pPr>
              <w:rPr>
                <w:sz w:val="20"/>
                <w:szCs w:val="20"/>
                <w:u w:val="single"/>
              </w:rPr>
            </w:pPr>
          </w:p>
        </w:tc>
      </w:tr>
      <w:tr w:rsidR="00E402A7" w:rsidRPr="00B6040C" w:rsidTr="0071552E">
        <w:trPr>
          <w:cantSplit/>
        </w:trPr>
        <w:tc>
          <w:tcPr>
            <w:tcW w:w="9576" w:type="dxa"/>
            <w:gridSpan w:val="2"/>
          </w:tcPr>
          <w:p w:rsidR="00E402A7" w:rsidRPr="0068500F" w:rsidRDefault="00E402A7" w:rsidP="0071552E">
            <w:pPr>
              <w:pStyle w:val="SCCShortJudgment"/>
              <w:rPr>
                <w:szCs w:val="20"/>
              </w:rPr>
            </w:pPr>
            <w:r w:rsidRPr="0068500F">
              <w:rPr>
                <w:szCs w:val="20"/>
              </w:rPr>
              <w:t>The motion for an extension of time to serve and file the application for leave to appeal from the judgment of the Court of Appeal of Alberta (Calgary), Number 1001-0279-A, 2011 ABCA 377, dated December 16, 2011 is dismissed.</w:t>
            </w:r>
          </w:p>
          <w:p w:rsidR="00E402A7" w:rsidRPr="0068500F" w:rsidRDefault="00E402A7" w:rsidP="0071552E">
            <w:pPr>
              <w:pStyle w:val="SCCShortJudgment"/>
              <w:ind w:firstLine="0"/>
              <w:rPr>
                <w:szCs w:val="20"/>
              </w:rPr>
            </w:pPr>
          </w:p>
          <w:p w:rsidR="00E402A7" w:rsidRPr="0068500F" w:rsidRDefault="00E402A7" w:rsidP="0071552E">
            <w:pPr>
              <w:pStyle w:val="SCCShortJudgment"/>
              <w:rPr>
                <w:szCs w:val="20"/>
                <w:lang w:val="fr-CA"/>
              </w:rPr>
            </w:pPr>
            <w:r w:rsidRPr="0068500F">
              <w:rPr>
                <w:szCs w:val="20"/>
                <w:lang w:val="fr-CA"/>
              </w:rPr>
              <w:t>La requête en prorogation du délai de signification et de dépôt de la demande d’autorisation d’appel de l’arrêt de la Cour d'appel de l’Alberta (Calgary), numéro 1001-0279-A, 2011 ABCA 377, daté du 16 décembre 2011, est rejetée.</w:t>
            </w:r>
          </w:p>
        </w:tc>
      </w:tr>
    </w:tbl>
    <w:p w:rsidR="00EA65C4" w:rsidRPr="00E402A7" w:rsidRDefault="00EA65C4" w:rsidP="00EA65C4">
      <w:pPr>
        <w:rPr>
          <w:sz w:val="20"/>
          <w:szCs w:val="20"/>
          <w:lang w:val="fr-CA"/>
        </w:rPr>
      </w:pPr>
    </w:p>
    <w:p w:rsidR="00EA65C4" w:rsidRPr="001B157C" w:rsidRDefault="00EA65C4" w:rsidP="00EA65C4">
      <w:pPr>
        <w:rPr>
          <w:sz w:val="20"/>
          <w:szCs w:val="20"/>
          <w:u w:val="single"/>
        </w:rPr>
      </w:pPr>
      <w:r w:rsidRPr="001B157C">
        <w:rPr>
          <w:sz w:val="20"/>
          <w:szCs w:val="20"/>
          <w:u w:val="single"/>
        </w:rPr>
        <w:t>CASE SUMMARY</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94824" w:rsidRPr="0084490B" w:rsidTr="001277D5">
        <w:tc>
          <w:tcPr>
            <w:tcW w:w="5000" w:type="pct"/>
            <w:gridSpan w:val="3"/>
          </w:tcPr>
          <w:p w:rsidR="00D94824" w:rsidRPr="0084490B" w:rsidRDefault="00D94824" w:rsidP="001277D5">
            <w:pPr>
              <w:jc w:val="both"/>
              <w:rPr>
                <w:rFonts w:eastAsia="Calibri"/>
                <w:sz w:val="20"/>
              </w:rPr>
            </w:pPr>
            <w:r w:rsidRPr="0084490B">
              <w:rPr>
                <w:rFonts w:eastAsia="Calibri"/>
                <w:sz w:val="20"/>
              </w:rPr>
              <w:t>Criminal law – Second degree murder – Defences – Self</w:t>
            </w:r>
            <w:r w:rsidRPr="0084490B">
              <w:rPr>
                <w:rFonts w:eastAsia="Calibri"/>
                <w:sz w:val="20"/>
              </w:rPr>
              <w:noBreakHyphen/>
              <w:t>defence – Intent – Whether the trial judge’s reasons were adequate to demonstrate proper application of the criminal standard of proof – Whether the courts below applied a deficient legal test for the objective branch of self</w:t>
            </w:r>
            <w:r w:rsidRPr="0084490B">
              <w:rPr>
                <w:rFonts w:eastAsia="Calibri"/>
                <w:sz w:val="20"/>
              </w:rPr>
              <w:noBreakHyphen/>
              <w:t>defence – Whether a subjective belief in the need to use defensive force is relevant evidence that bears upon foresight of death.</w:t>
            </w:r>
          </w:p>
        </w:tc>
      </w:tr>
      <w:tr w:rsidR="00D94824" w:rsidRPr="0084490B" w:rsidTr="001277D5">
        <w:tc>
          <w:tcPr>
            <w:tcW w:w="5000" w:type="pct"/>
            <w:gridSpan w:val="3"/>
          </w:tcPr>
          <w:p w:rsidR="00D94824" w:rsidRPr="0084490B" w:rsidRDefault="00D94824" w:rsidP="001277D5">
            <w:pPr>
              <w:jc w:val="both"/>
              <w:rPr>
                <w:rFonts w:eastAsia="Calibri"/>
                <w:sz w:val="20"/>
              </w:rPr>
            </w:pPr>
          </w:p>
        </w:tc>
      </w:tr>
      <w:tr w:rsidR="00D94824" w:rsidRPr="0084490B" w:rsidTr="001277D5">
        <w:tc>
          <w:tcPr>
            <w:tcW w:w="5000" w:type="pct"/>
            <w:gridSpan w:val="3"/>
          </w:tcPr>
          <w:p w:rsidR="00D94824" w:rsidRPr="0084490B" w:rsidRDefault="00D94824" w:rsidP="001277D5">
            <w:pPr>
              <w:jc w:val="both"/>
              <w:rPr>
                <w:rFonts w:eastAsia="Calibri"/>
                <w:sz w:val="20"/>
              </w:rPr>
            </w:pPr>
            <w:r w:rsidRPr="0084490B">
              <w:rPr>
                <w:rFonts w:eastAsia="Calibri"/>
                <w:sz w:val="20"/>
              </w:rPr>
              <w:t>Mr. </w:t>
            </w:r>
            <w:proofErr w:type="spellStart"/>
            <w:r w:rsidRPr="0084490B">
              <w:rPr>
                <w:rFonts w:eastAsia="Calibri"/>
                <w:sz w:val="20"/>
              </w:rPr>
              <w:t>Nolet</w:t>
            </w:r>
            <w:proofErr w:type="spellEnd"/>
            <w:r w:rsidRPr="0084490B">
              <w:rPr>
                <w:rFonts w:eastAsia="Calibri"/>
                <w:sz w:val="20"/>
              </w:rPr>
              <w:t xml:space="preserve"> was convicted of second degree murder for the death of a man whom he struck on the head twice with the porcelain lid of a toilet tank in a Calgary bar.  The deceased was a man Mr. </w:t>
            </w:r>
            <w:proofErr w:type="spellStart"/>
            <w:r w:rsidRPr="0084490B">
              <w:rPr>
                <w:rFonts w:eastAsia="Calibri"/>
                <w:sz w:val="20"/>
              </w:rPr>
              <w:t>Nolet</w:t>
            </w:r>
            <w:proofErr w:type="spellEnd"/>
            <w:r w:rsidRPr="0084490B">
              <w:rPr>
                <w:rFonts w:eastAsia="Calibri"/>
                <w:sz w:val="20"/>
              </w:rPr>
              <w:t xml:space="preserve"> identified as someone who may have stabbed him two years prior and after a brief confrontational exchange with him with respect to the stabbing, Mr. </w:t>
            </w:r>
            <w:proofErr w:type="spellStart"/>
            <w:r w:rsidRPr="0084490B">
              <w:rPr>
                <w:rFonts w:eastAsia="Calibri"/>
                <w:sz w:val="20"/>
              </w:rPr>
              <w:t>Nolet</w:t>
            </w:r>
            <w:proofErr w:type="spellEnd"/>
            <w:r w:rsidRPr="0084490B">
              <w:rPr>
                <w:rFonts w:eastAsia="Calibri"/>
                <w:sz w:val="20"/>
              </w:rPr>
              <w:t xml:space="preserve"> felt threatened and retreated to the washroom where he removed the toilet tank lid before going back in the bar to strike the deceased.  At trial, he pled self</w:t>
            </w:r>
            <w:r w:rsidRPr="0084490B">
              <w:rPr>
                <w:rFonts w:eastAsia="Calibri"/>
                <w:sz w:val="20"/>
              </w:rPr>
              <w:noBreakHyphen/>
              <w:t>defence.  Mr. </w:t>
            </w:r>
            <w:proofErr w:type="spellStart"/>
            <w:r w:rsidRPr="0084490B">
              <w:rPr>
                <w:rFonts w:eastAsia="Calibri"/>
                <w:sz w:val="20"/>
              </w:rPr>
              <w:t>Nolet</w:t>
            </w:r>
            <w:proofErr w:type="spellEnd"/>
            <w:r w:rsidRPr="0084490B">
              <w:rPr>
                <w:rFonts w:eastAsia="Calibri"/>
                <w:sz w:val="20"/>
              </w:rPr>
              <w:t xml:space="preserve"> appealed his conviction on the basis that the trial judge failed to apply </w:t>
            </w:r>
            <w:r w:rsidRPr="0084490B">
              <w:rPr>
                <w:rFonts w:eastAsia="Calibri"/>
                <w:i/>
                <w:sz w:val="20"/>
              </w:rPr>
              <w:t>R. v. W.(D.)</w:t>
            </w:r>
            <w:r w:rsidRPr="0084490B">
              <w:rPr>
                <w:rFonts w:eastAsia="Calibri"/>
                <w:sz w:val="20"/>
              </w:rPr>
              <w:t>, [1991] 1 S.C.R. 742, to the assessment of his evidence as it related to the defence of self</w:t>
            </w:r>
            <w:r w:rsidRPr="0084490B">
              <w:rPr>
                <w:rFonts w:eastAsia="Calibri"/>
                <w:sz w:val="20"/>
              </w:rPr>
              <w:noBreakHyphen/>
              <w:t>defence and to the question of whether the Crown had proven the requisite intent beyond a reasonable doubt.  The Court of Appeal dismissed the appeal.</w:t>
            </w:r>
          </w:p>
          <w:p w:rsidR="00D94824" w:rsidRPr="0084490B" w:rsidRDefault="00D94824" w:rsidP="001277D5">
            <w:pPr>
              <w:jc w:val="both"/>
              <w:rPr>
                <w:rFonts w:eastAsia="Calibri"/>
                <w:sz w:val="20"/>
              </w:rPr>
            </w:pPr>
          </w:p>
        </w:tc>
      </w:tr>
      <w:tr w:rsidR="00D94824" w:rsidRPr="0084490B" w:rsidTr="001277D5">
        <w:tc>
          <w:tcPr>
            <w:tcW w:w="2427" w:type="pct"/>
          </w:tcPr>
          <w:p w:rsidR="00D94824" w:rsidRPr="0084490B" w:rsidRDefault="00D94824" w:rsidP="001277D5">
            <w:pPr>
              <w:jc w:val="both"/>
              <w:rPr>
                <w:rFonts w:eastAsia="Calibri"/>
                <w:sz w:val="20"/>
              </w:rPr>
            </w:pPr>
            <w:r w:rsidRPr="0084490B">
              <w:rPr>
                <w:rFonts w:eastAsia="Calibri"/>
                <w:sz w:val="20"/>
              </w:rPr>
              <w:t>June 24, 2010</w:t>
            </w:r>
          </w:p>
          <w:p w:rsidR="00D94824" w:rsidRPr="0084490B" w:rsidRDefault="00D94824" w:rsidP="001277D5">
            <w:pPr>
              <w:jc w:val="both"/>
              <w:rPr>
                <w:rFonts w:eastAsia="Calibri"/>
                <w:sz w:val="20"/>
              </w:rPr>
            </w:pPr>
            <w:r w:rsidRPr="0084490B">
              <w:rPr>
                <w:rFonts w:eastAsia="Calibri"/>
                <w:sz w:val="20"/>
              </w:rPr>
              <w:t>Court of Queen’s Bench of Alberta</w:t>
            </w:r>
          </w:p>
          <w:p w:rsidR="00D94824" w:rsidRPr="0084490B" w:rsidRDefault="00D94824" w:rsidP="001277D5">
            <w:pPr>
              <w:jc w:val="both"/>
              <w:rPr>
                <w:rFonts w:eastAsia="Calibri"/>
                <w:sz w:val="20"/>
              </w:rPr>
            </w:pPr>
            <w:r w:rsidRPr="0084490B">
              <w:rPr>
                <w:rFonts w:eastAsia="Calibri"/>
                <w:sz w:val="20"/>
              </w:rPr>
              <w:t>(Mahoney J.)</w:t>
            </w:r>
          </w:p>
          <w:p w:rsidR="00D94824" w:rsidRPr="0084490B" w:rsidRDefault="00D94824" w:rsidP="001277D5">
            <w:pPr>
              <w:jc w:val="both"/>
              <w:rPr>
                <w:rFonts w:eastAsia="Calibri"/>
                <w:sz w:val="20"/>
              </w:rPr>
            </w:pPr>
          </w:p>
        </w:tc>
        <w:tc>
          <w:tcPr>
            <w:tcW w:w="243" w:type="pct"/>
          </w:tcPr>
          <w:p w:rsidR="00D94824" w:rsidRPr="0084490B" w:rsidRDefault="00D94824" w:rsidP="001277D5">
            <w:pPr>
              <w:jc w:val="both"/>
              <w:rPr>
                <w:rFonts w:eastAsia="Calibri"/>
                <w:sz w:val="20"/>
              </w:rPr>
            </w:pPr>
          </w:p>
        </w:tc>
        <w:tc>
          <w:tcPr>
            <w:tcW w:w="2330" w:type="pct"/>
          </w:tcPr>
          <w:p w:rsidR="00D94824" w:rsidRPr="0084490B" w:rsidRDefault="00D94824" w:rsidP="001277D5">
            <w:pPr>
              <w:jc w:val="both"/>
              <w:rPr>
                <w:rFonts w:eastAsia="Calibri"/>
                <w:sz w:val="20"/>
              </w:rPr>
            </w:pPr>
            <w:r w:rsidRPr="0084490B">
              <w:rPr>
                <w:rFonts w:eastAsia="Calibri"/>
                <w:sz w:val="20"/>
              </w:rPr>
              <w:t>Applicant convicted of second degree murder</w:t>
            </w:r>
          </w:p>
        </w:tc>
      </w:tr>
      <w:tr w:rsidR="00D94824" w:rsidRPr="0084490B" w:rsidTr="001277D5">
        <w:tc>
          <w:tcPr>
            <w:tcW w:w="2427" w:type="pct"/>
          </w:tcPr>
          <w:p w:rsidR="00D94824" w:rsidRPr="0084490B" w:rsidRDefault="00D94824" w:rsidP="001277D5">
            <w:pPr>
              <w:jc w:val="both"/>
              <w:rPr>
                <w:rFonts w:eastAsia="Calibri"/>
                <w:sz w:val="20"/>
              </w:rPr>
            </w:pPr>
            <w:r w:rsidRPr="0084490B">
              <w:rPr>
                <w:rFonts w:eastAsia="Calibri"/>
                <w:sz w:val="20"/>
              </w:rPr>
              <w:t>December 16, 2011</w:t>
            </w:r>
          </w:p>
          <w:p w:rsidR="00D94824" w:rsidRPr="0084490B" w:rsidRDefault="00D94824" w:rsidP="001277D5">
            <w:pPr>
              <w:jc w:val="both"/>
              <w:rPr>
                <w:rFonts w:eastAsia="Calibri"/>
                <w:sz w:val="20"/>
              </w:rPr>
            </w:pPr>
            <w:r w:rsidRPr="0084490B">
              <w:rPr>
                <w:rFonts w:eastAsia="Calibri"/>
                <w:sz w:val="20"/>
              </w:rPr>
              <w:t>Court of Appeal of Alberta (Calgary)</w:t>
            </w:r>
          </w:p>
          <w:p w:rsidR="00D94824" w:rsidRPr="0084490B" w:rsidRDefault="00D94824" w:rsidP="001277D5">
            <w:pPr>
              <w:jc w:val="both"/>
              <w:rPr>
                <w:rFonts w:eastAsia="Calibri"/>
                <w:sz w:val="20"/>
              </w:rPr>
            </w:pPr>
            <w:r w:rsidRPr="0084490B">
              <w:rPr>
                <w:rFonts w:eastAsia="Calibri"/>
                <w:sz w:val="20"/>
              </w:rPr>
              <w:t xml:space="preserve">(Martin, </w:t>
            </w:r>
            <w:proofErr w:type="spellStart"/>
            <w:r w:rsidRPr="0084490B">
              <w:rPr>
                <w:rFonts w:eastAsia="Calibri"/>
                <w:sz w:val="20"/>
              </w:rPr>
              <w:t>Rowbotham</w:t>
            </w:r>
            <w:proofErr w:type="spellEnd"/>
            <w:r w:rsidRPr="0084490B">
              <w:rPr>
                <w:rFonts w:eastAsia="Calibri"/>
                <w:sz w:val="20"/>
              </w:rPr>
              <w:t xml:space="preserve"> and Hughes JJ.A.)</w:t>
            </w:r>
          </w:p>
          <w:p w:rsidR="00D94824" w:rsidRPr="0084490B" w:rsidRDefault="00D94824" w:rsidP="001277D5">
            <w:pPr>
              <w:jc w:val="both"/>
              <w:rPr>
                <w:rFonts w:eastAsia="Calibri"/>
                <w:sz w:val="20"/>
              </w:rPr>
            </w:pPr>
            <w:r w:rsidRPr="0084490B">
              <w:rPr>
                <w:rFonts w:eastAsia="Calibri"/>
                <w:sz w:val="20"/>
              </w:rPr>
              <w:t>2011 ABCA 377</w:t>
            </w:r>
          </w:p>
          <w:p w:rsidR="00D94824" w:rsidRPr="0084490B" w:rsidRDefault="00D94824" w:rsidP="001277D5">
            <w:pPr>
              <w:jc w:val="both"/>
              <w:rPr>
                <w:rFonts w:eastAsia="Calibri"/>
                <w:sz w:val="20"/>
              </w:rPr>
            </w:pPr>
          </w:p>
        </w:tc>
        <w:tc>
          <w:tcPr>
            <w:tcW w:w="243" w:type="pct"/>
          </w:tcPr>
          <w:p w:rsidR="00D94824" w:rsidRPr="0084490B" w:rsidRDefault="00D94824" w:rsidP="001277D5">
            <w:pPr>
              <w:jc w:val="both"/>
              <w:rPr>
                <w:rFonts w:eastAsia="Calibri"/>
                <w:sz w:val="20"/>
              </w:rPr>
            </w:pPr>
          </w:p>
        </w:tc>
        <w:tc>
          <w:tcPr>
            <w:tcW w:w="2330" w:type="pct"/>
          </w:tcPr>
          <w:p w:rsidR="00D94824" w:rsidRPr="0084490B" w:rsidRDefault="00D94824" w:rsidP="001277D5">
            <w:pPr>
              <w:jc w:val="both"/>
              <w:rPr>
                <w:rFonts w:eastAsia="Calibri"/>
                <w:sz w:val="20"/>
              </w:rPr>
            </w:pPr>
            <w:r w:rsidRPr="0084490B">
              <w:rPr>
                <w:rFonts w:eastAsia="Calibri"/>
                <w:sz w:val="20"/>
              </w:rPr>
              <w:t>Appeal dismissed</w:t>
            </w:r>
          </w:p>
          <w:p w:rsidR="00D94824" w:rsidRPr="0084490B" w:rsidRDefault="00D94824" w:rsidP="001277D5">
            <w:pPr>
              <w:jc w:val="both"/>
              <w:rPr>
                <w:rFonts w:eastAsia="Calibri"/>
                <w:sz w:val="20"/>
              </w:rPr>
            </w:pPr>
          </w:p>
        </w:tc>
      </w:tr>
      <w:tr w:rsidR="00D94824" w:rsidRPr="0084490B" w:rsidTr="001277D5">
        <w:tc>
          <w:tcPr>
            <w:tcW w:w="2427" w:type="pct"/>
          </w:tcPr>
          <w:p w:rsidR="00D94824" w:rsidRPr="0084490B" w:rsidRDefault="00D94824" w:rsidP="001277D5">
            <w:pPr>
              <w:jc w:val="both"/>
              <w:rPr>
                <w:rFonts w:eastAsia="Calibri"/>
                <w:sz w:val="20"/>
              </w:rPr>
            </w:pPr>
            <w:r w:rsidRPr="0084490B">
              <w:rPr>
                <w:rFonts w:eastAsia="Calibri"/>
                <w:sz w:val="20"/>
              </w:rPr>
              <w:t>February 8, 2013</w:t>
            </w:r>
          </w:p>
          <w:p w:rsidR="00D94824" w:rsidRPr="0084490B" w:rsidRDefault="00D94824" w:rsidP="001277D5">
            <w:pPr>
              <w:jc w:val="both"/>
              <w:rPr>
                <w:rFonts w:eastAsia="Calibri"/>
                <w:sz w:val="20"/>
              </w:rPr>
            </w:pPr>
            <w:r w:rsidRPr="0084490B">
              <w:rPr>
                <w:rFonts w:eastAsia="Calibri"/>
                <w:sz w:val="20"/>
              </w:rPr>
              <w:t>Supreme Court of Canada</w:t>
            </w:r>
          </w:p>
        </w:tc>
        <w:tc>
          <w:tcPr>
            <w:tcW w:w="243" w:type="pct"/>
          </w:tcPr>
          <w:p w:rsidR="00D94824" w:rsidRPr="0084490B" w:rsidRDefault="00D94824" w:rsidP="001277D5">
            <w:pPr>
              <w:jc w:val="both"/>
              <w:rPr>
                <w:rFonts w:eastAsia="Calibri"/>
                <w:sz w:val="20"/>
              </w:rPr>
            </w:pPr>
          </w:p>
        </w:tc>
        <w:tc>
          <w:tcPr>
            <w:tcW w:w="2330" w:type="pct"/>
          </w:tcPr>
          <w:p w:rsidR="00D94824" w:rsidRPr="0084490B" w:rsidRDefault="00D94824" w:rsidP="001277D5">
            <w:pPr>
              <w:jc w:val="both"/>
              <w:rPr>
                <w:rFonts w:eastAsia="Calibri"/>
                <w:sz w:val="20"/>
              </w:rPr>
            </w:pPr>
            <w:r w:rsidRPr="0084490B">
              <w:rPr>
                <w:rFonts w:eastAsia="Calibri"/>
                <w:sz w:val="20"/>
              </w:rPr>
              <w:t xml:space="preserve">Motion for extension of time and application for leave to appeal filed </w:t>
            </w:r>
          </w:p>
        </w:tc>
      </w:tr>
    </w:tbl>
    <w:p w:rsidR="00EA65C4" w:rsidRDefault="00EA65C4" w:rsidP="00EA65C4">
      <w:pPr>
        <w:rPr>
          <w:sz w:val="20"/>
          <w:szCs w:val="20"/>
        </w:rPr>
      </w:pPr>
    </w:p>
    <w:p w:rsidR="00EA65C4" w:rsidRPr="00C50A5C" w:rsidRDefault="0028676C" w:rsidP="00EA65C4">
      <w:pPr>
        <w:rPr>
          <w:sz w:val="20"/>
          <w:szCs w:val="20"/>
        </w:rPr>
      </w:pPr>
      <w:r w:rsidRPr="0028676C">
        <w:rPr>
          <w:sz w:val="20"/>
          <w:szCs w:val="20"/>
          <w:lang w:val="fr-CA"/>
        </w:rPr>
        <w:pict>
          <v:rect id="_x0000_i1067" style="width:2in;height:1pt" o:hrpct="0" o:hralign="center" o:hrstd="t" o:hrnoshade="t" o:hr="t" fillcolor="black [3213]" stroked="f"/>
        </w:pict>
      </w:r>
    </w:p>
    <w:p w:rsidR="00EA65C4" w:rsidRDefault="00EA65C4" w:rsidP="00EA65C4">
      <w:pPr>
        <w:rPr>
          <w:sz w:val="20"/>
          <w:szCs w:val="20"/>
        </w:rPr>
      </w:pPr>
    </w:p>
    <w:p w:rsidR="00EA65C4" w:rsidRPr="001B157C" w:rsidRDefault="00EA65C4" w:rsidP="00EA65C4">
      <w:pPr>
        <w:rPr>
          <w:sz w:val="20"/>
          <w:szCs w:val="20"/>
          <w:u w:val="single"/>
          <w:lang w:val="fr-CA"/>
        </w:rPr>
      </w:pPr>
      <w:r w:rsidRPr="001B157C">
        <w:rPr>
          <w:sz w:val="20"/>
          <w:szCs w:val="20"/>
          <w:u w:val="single"/>
          <w:lang w:val="fr-CA"/>
        </w:rPr>
        <w:t>RÉSUMÉ DE L’AFFAIRE</w:t>
      </w:r>
    </w:p>
    <w:p w:rsidR="00EA65C4" w:rsidRDefault="00EA65C4" w:rsidP="00EA65C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94824" w:rsidRPr="00B6040C" w:rsidTr="001277D5">
        <w:tc>
          <w:tcPr>
            <w:tcW w:w="5000" w:type="pct"/>
            <w:gridSpan w:val="3"/>
          </w:tcPr>
          <w:p w:rsidR="00D94824" w:rsidRPr="0084490B" w:rsidRDefault="00D94824" w:rsidP="001277D5">
            <w:pPr>
              <w:jc w:val="both"/>
              <w:rPr>
                <w:rFonts w:eastAsia="Calibri"/>
                <w:sz w:val="20"/>
                <w:lang w:val="fr-CA"/>
              </w:rPr>
            </w:pPr>
            <w:r w:rsidRPr="0084490B">
              <w:rPr>
                <w:rFonts w:eastAsia="Calibri"/>
                <w:sz w:val="20"/>
                <w:lang w:val="fr-CA"/>
              </w:rPr>
              <w:t xml:space="preserve">Droit criminel – Meurtre au deuxième degré – Moyens de défense – Légitime défense – Intention – Les motifs du juge du procès </w:t>
            </w:r>
            <w:proofErr w:type="spellStart"/>
            <w:r w:rsidRPr="0084490B">
              <w:rPr>
                <w:rFonts w:eastAsia="Calibri"/>
                <w:sz w:val="20"/>
                <w:lang w:val="fr-CA"/>
              </w:rPr>
              <w:t>permettaient</w:t>
            </w:r>
            <w:r w:rsidRPr="0084490B">
              <w:rPr>
                <w:rFonts w:eastAsia="Calibri"/>
                <w:sz w:val="20"/>
                <w:lang w:val="fr-CA"/>
              </w:rPr>
              <w:noBreakHyphen/>
              <w:t>ils</w:t>
            </w:r>
            <w:proofErr w:type="spellEnd"/>
            <w:r w:rsidRPr="0084490B">
              <w:rPr>
                <w:rFonts w:eastAsia="Calibri"/>
                <w:sz w:val="20"/>
                <w:lang w:val="fr-CA"/>
              </w:rPr>
              <w:t xml:space="preserve"> de démontrer la bonne application de la norme de preuve en matière criminelle? – Les juridictions inférieures </w:t>
            </w:r>
            <w:proofErr w:type="spellStart"/>
            <w:r w:rsidRPr="0084490B">
              <w:rPr>
                <w:rFonts w:eastAsia="Calibri"/>
                <w:sz w:val="20"/>
                <w:lang w:val="fr-CA"/>
              </w:rPr>
              <w:t>ont</w:t>
            </w:r>
            <w:r w:rsidRPr="0084490B">
              <w:rPr>
                <w:rFonts w:eastAsia="Calibri"/>
                <w:sz w:val="20"/>
                <w:lang w:val="fr-CA"/>
              </w:rPr>
              <w:noBreakHyphen/>
              <w:t>elles</w:t>
            </w:r>
            <w:proofErr w:type="spellEnd"/>
            <w:r w:rsidRPr="0084490B">
              <w:rPr>
                <w:rFonts w:eastAsia="Calibri"/>
                <w:sz w:val="20"/>
                <w:lang w:val="fr-CA"/>
              </w:rPr>
              <w:t xml:space="preserve"> appliqué un critère juridique déficient relativement au volet objectif de la légitime défense? – La croyance subjective en la nécessité d'avoir </w:t>
            </w:r>
            <w:proofErr w:type="gramStart"/>
            <w:r w:rsidRPr="0084490B">
              <w:rPr>
                <w:rFonts w:eastAsia="Calibri"/>
                <w:sz w:val="20"/>
                <w:lang w:val="fr-CA"/>
              </w:rPr>
              <w:t>recours</w:t>
            </w:r>
            <w:proofErr w:type="gramEnd"/>
            <w:r w:rsidRPr="0084490B">
              <w:rPr>
                <w:rFonts w:eastAsia="Calibri"/>
                <w:sz w:val="20"/>
                <w:lang w:val="fr-CA"/>
              </w:rPr>
              <w:t xml:space="preserve"> à la force à des fins défensives </w:t>
            </w:r>
            <w:proofErr w:type="spellStart"/>
            <w:r w:rsidRPr="0084490B">
              <w:rPr>
                <w:rFonts w:eastAsia="Calibri"/>
                <w:sz w:val="20"/>
                <w:lang w:val="fr-CA"/>
              </w:rPr>
              <w:t>est</w:t>
            </w:r>
            <w:r w:rsidRPr="0084490B">
              <w:rPr>
                <w:rFonts w:eastAsia="Calibri"/>
                <w:sz w:val="20"/>
                <w:lang w:val="fr-CA"/>
              </w:rPr>
              <w:noBreakHyphen/>
              <w:t>elle</w:t>
            </w:r>
            <w:proofErr w:type="spellEnd"/>
            <w:r w:rsidRPr="0084490B">
              <w:rPr>
                <w:rFonts w:eastAsia="Calibri"/>
                <w:sz w:val="20"/>
                <w:lang w:val="fr-CA"/>
              </w:rPr>
              <w:t xml:space="preserve"> une preuve pertinente qui se rapporte à la prévisibilité que la mort pouvait s’ensuivre?</w:t>
            </w:r>
          </w:p>
        </w:tc>
      </w:tr>
      <w:tr w:rsidR="00D94824" w:rsidRPr="00B6040C" w:rsidTr="001277D5">
        <w:tc>
          <w:tcPr>
            <w:tcW w:w="5000" w:type="pct"/>
            <w:gridSpan w:val="3"/>
          </w:tcPr>
          <w:p w:rsidR="00D94824" w:rsidRPr="0084490B" w:rsidRDefault="00D94824" w:rsidP="001277D5">
            <w:pPr>
              <w:jc w:val="both"/>
              <w:rPr>
                <w:rFonts w:eastAsia="Calibri"/>
                <w:sz w:val="20"/>
                <w:lang w:val="fr-CA"/>
              </w:rPr>
            </w:pPr>
          </w:p>
        </w:tc>
      </w:tr>
      <w:tr w:rsidR="00D94824" w:rsidRPr="0084490B" w:rsidTr="001277D5">
        <w:tc>
          <w:tcPr>
            <w:tcW w:w="5000" w:type="pct"/>
            <w:gridSpan w:val="3"/>
          </w:tcPr>
          <w:p w:rsidR="00D94824" w:rsidRPr="0084490B" w:rsidRDefault="00D94824" w:rsidP="001277D5">
            <w:pPr>
              <w:jc w:val="both"/>
              <w:rPr>
                <w:rFonts w:eastAsia="Calibri"/>
                <w:sz w:val="20"/>
                <w:lang w:val="fr-CA"/>
              </w:rPr>
            </w:pPr>
            <w:r w:rsidRPr="0084490B">
              <w:rPr>
                <w:rFonts w:eastAsia="Calibri"/>
                <w:sz w:val="20"/>
                <w:lang w:val="fr-CA"/>
              </w:rPr>
              <w:t>Monsieur </w:t>
            </w:r>
            <w:proofErr w:type="spellStart"/>
            <w:r w:rsidRPr="0084490B">
              <w:rPr>
                <w:rFonts w:eastAsia="Calibri"/>
                <w:sz w:val="20"/>
                <w:lang w:val="fr-CA"/>
              </w:rPr>
              <w:t>Nolet</w:t>
            </w:r>
            <w:proofErr w:type="spellEnd"/>
            <w:r w:rsidRPr="0084490B">
              <w:rPr>
                <w:rFonts w:eastAsia="Calibri"/>
                <w:sz w:val="20"/>
                <w:lang w:val="fr-CA"/>
              </w:rPr>
              <w:t xml:space="preserve"> a été déclaré coupable de meurtre au deuxième degré relativement au décès d'un homme qu’il avait frappé à la tête à deux reprises avec le couvercle en porcelaine d'un réservoir de toilette dans un bar de Calgary.  La victime était un homme que M. </w:t>
            </w:r>
            <w:proofErr w:type="spellStart"/>
            <w:r w:rsidRPr="0084490B">
              <w:rPr>
                <w:rFonts w:eastAsia="Calibri"/>
                <w:sz w:val="20"/>
                <w:lang w:val="fr-CA"/>
              </w:rPr>
              <w:t>Nolet</w:t>
            </w:r>
            <w:proofErr w:type="spellEnd"/>
            <w:r w:rsidRPr="0084490B">
              <w:rPr>
                <w:rFonts w:eastAsia="Calibri"/>
                <w:sz w:val="20"/>
                <w:lang w:val="fr-CA"/>
              </w:rPr>
              <w:t xml:space="preserve"> avait identifié comme quelqu'un qui l'avait </w:t>
            </w:r>
            <w:proofErr w:type="spellStart"/>
            <w:r w:rsidRPr="0084490B">
              <w:rPr>
                <w:rFonts w:eastAsia="Calibri"/>
                <w:sz w:val="20"/>
                <w:lang w:val="fr-CA"/>
              </w:rPr>
              <w:t>peut</w:t>
            </w:r>
            <w:r w:rsidRPr="0084490B">
              <w:rPr>
                <w:rFonts w:eastAsia="Calibri"/>
                <w:sz w:val="20"/>
                <w:lang w:val="fr-CA"/>
              </w:rPr>
              <w:noBreakHyphen/>
              <w:t>être</w:t>
            </w:r>
            <w:proofErr w:type="spellEnd"/>
            <w:r w:rsidRPr="0084490B">
              <w:rPr>
                <w:rFonts w:eastAsia="Calibri"/>
                <w:sz w:val="20"/>
                <w:lang w:val="fr-CA"/>
              </w:rPr>
              <w:t xml:space="preserve"> poignardé deux ans auparavant et, après une brève altercation avec lui relativement à l’agression à coups de couteau, M. </w:t>
            </w:r>
            <w:proofErr w:type="spellStart"/>
            <w:r w:rsidRPr="0084490B">
              <w:rPr>
                <w:rFonts w:eastAsia="Calibri"/>
                <w:sz w:val="20"/>
                <w:lang w:val="fr-CA"/>
              </w:rPr>
              <w:t>Nolet</w:t>
            </w:r>
            <w:proofErr w:type="spellEnd"/>
            <w:r w:rsidRPr="0084490B">
              <w:rPr>
                <w:rFonts w:eastAsia="Calibri"/>
                <w:sz w:val="20"/>
                <w:lang w:val="fr-CA"/>
              </w:rPr>
              <w:t xml:space="preserve"> s'est senti menacé et s'est retiré aux toilettes où il a enlevé le couvercle du réservoir de toilette avant de retourner au bar pour frapper la victime.  Au procès, il a plaidé la légitime défense.  Monsieur </w:t>
            </w:r>
            <w:proofErr w:type="spellStart"/>
            <w:r w:rsidRPr="0084490B">
              <w:rPr>
                <w:rFonts w:eastAsia="Calibri"/>
                <w:sz w:val="20"/>
                <w:lang w:val="fr-CA"/>
              </w:rPr>
              <w:t>Nolet</w:t>
            </w:r>
            <w:proofErr w:type="spellEnd"/>
            <w:r w:rsidRPr="0084490B">
              <w:rPr>
                <w:rFonts w:eastAsia="Calibri"/>
                <w:sz w:val="20"/>
                <w:lang w:val="fr-CA"/>
              </w:rPr>
              <w:t xml:space="preserve"> a interjeté appel de sa condamnation, plaidant que le juge du procès avait omis d'appliquer l'arrêt </w:t>
            </w:r>
            <w:r w:rsidRPr="0084490B">
              <w:rPr>
                <w:rFonts w:eastAsia="Calibri"/>
                <w:i/>
                <w:sz w:val="20"/>
                <w:lang w:val="fr-CA"/>
              </w:rPr>
              <w:t>R. c. W.(D.)</w:t>
            </w:r>
            <w:r w:rsidRPr="0084490B">
              <w:rPr>
                <w:rFonts w:eastAsia="Calibri"/>
                <w:sz w:val="20"/>
                <w:lang w:val="fr-CA"/>
              </w:rPr>
              <w:t>, [1991] 1 R.C.S. 742, à l'appréciation de son témoignage qui se rapportait au moyen de la légitime défense et à la question de savoir si le ministère public avait établi hors de tout doute raisonnable l’existence de l’intention requise.  La Cour d'appel a rejeté l'appel.</w:t>
            </w:r>
          </w:p>
          <w:p w:rsidR="00D94824" w:rsidRPr="0084490B" w:rsidRDefault="00D94824" w:rsidP="001277D5">
            <w:pPr>
              <w:jc w:val="both"/>
              <w:rPr>
                <w:rFonts w:eastAsia="Calibri"/>
                <w:sz w:val="20"/>
                <w:lang w:val="fr-CA"/>
              </w:rPr>
            </w:pPr>
          </w:p>
        </w:tc>
      </w:tr>
      <w:tr w:rsidR="00D94824" w:rsidRPr="00B6040C" w:rsidTr="001277D5">
        <w:tc>
          <w:tcPr>
            <w:tcW w:w="2427" w:type="pct"/>
          </w:tcPr>
          <w:p w:rsidR="00D94824" w:rsidRPr="0084490B" w:rsidRDefault="00D94824" w:rsidP="001277D5">
            <w:pPr>
              <w:jc w:val="both"/>
              <w:rPr>
                <w:rFonts w:eastAsia="Calibri"/>
                <w:sz w:val="20"/>
                <w:lang w:val="fr-CA"/>
              </w:rPr>
            </w:pPr>
            <w:r w:rsidRPr="0084490B">
              <w:rPr>
                <w:rFonts w:eastAsia="Calibri"/>
                <w:sz w:val="20"/>
                <w:lang w:val="fr-CA"/>
              </w:rPr>
              <w:t>24 juin 2010</w:t>
            </w:r>
          </w:p>
          <w:p w:rsidR="00D94824" w:rsidRPr="0084490B" w:rsidRDefault="00D94824" w:rsidP="001277D5">
            <w:pPr>
              <w:jc w:val="both"/>
              <w:rPr>
                <w:rFonts w:eastAsia="Calibri"/>
                <w:sz w:val="20"/>
                <w:lang w:val="fr-CA"/>
              </w:rPr>
            </w:pPr>
            <w:r w:rsidRPr="0084490B">
              <w:rPr>
                <w:rFonts w:eastAsia="Calibri"/>
                <w:sz w:val="20"/>
                <w:lang w:val="fr-CA"/>
              </w:rPr>
              <w:t xml:space="preserve">Cour du Banc de la Reine de l'Alberta </w:t>
            </w:r>
          </w:p>
          <w:p w:rsidR="00D94824" w:rsidRPr="0084490B" w:rsidRDefault="00D94824" w:rsidP="001277D5">
            <w:pPr>
              <w:jc w:val="both"/>
              <w:rPr>
                <w:rFonts w:eastAsia="Calibri"/>
                <w:sz w:val="20"/>
                <w:lang w:val="fr-CA"/>
              </w:rPr>
            </w:pPr>
            <w:r w:rsidRPr="0084490B">
              <w:rPr>
                <w:rFonts w:eastAsia="Calibri"/>
                <w:sz w:val="20"/>
                <w:lang w:val="fr-CA"/>
              </w:rPr>
              <w:t xml:space="preserve">(Juge </w:t>
            </w:r>
            <w:proofErr w:type="spellStart"/>
            <w:r w:rsidRPr="0084490B">
              <w:rPr>
                <w:rFonts w:eastAsia="Calibri"/>
                <w:sz w:val="20"/>
                <w:lang w:val="fr-CA"/>
              </w:rPr>
              <w:t>Mahoney</w:t>
            </w:r>
            <w:proofErr w:type="spellEnd"/>
            <w:r w:rsidRPr="0084490B">
              <w:rPr>
                <w:rFonts w:eastAsia="Calibri"/>
                <w:sz w:val="20"/>
                <w:lang w:val="fr-CA"/>
              </w:rPr>
              <w:t>)</w:t>
            </w:r>
          </w:p>
          <w:p w:rsidR="00D94824" w:rsidRPr="0084490B" w:rsidRDefault="00D94824" w:rsidP="001277D5">
            <w:pPr>
              <w:jc w:val="both"/>
              <w:rPr>
                <w:rFonts w:eastAsia="Calibri"/>
                <w:sz w:val="20"/>
                <w:lang w:val="fr-CA"/>
              </w:rPr>
            </w:pPr>
          </w:p>
        </w:tc>
        <w:tc>
          <w:tcPr>
            <w:tcW w:w="243" w:type="pct"/>
          </w:tcPr>
          <w:p w:rsidR="00D94824" w:rsidRPr="0084490B" w:rsidRDefault="00D94824" w:rsidP="001277D5">
            <w:pPr>
              <w:jc w:val="both"/>
              <w:rPr>
                <w:rFonts w:eastAsia="Calibri"/>
                <w:sz w:val="20"/>
                <w:lang w:val="fr-CA"/>
              </w:rPr>
            </w:pPr>
          </w:p>
        </w:tc>
        <w:tc>
          <w:tcPr>
            <w:tcW w:w="2330" w:type="pct"/>
          </w:tcPr>
          <w:p w:rsidR="00D94824" w:rsidRPr="0084490B" w:rsidRDefault="00D94824" w:rsidP="001277D5">
            <w:pPr>
              <w:jc w:val="both"/>
              <w:rPr>
                <w:rFonts w:eastAsia="Calibri"/>
                <w:sz w:val="20"/>
                <w:lang w:val="fr-CA"/>
              </w:rPr>
            </w:pPr>
            <w:r w:rsidRPr="0084490B">
              <w:rPr>
                <w:rFonts w:eastAsia="Calibri"/>
                <w:sz w:val="20"/>
                <w:lang w:val="fr-CA"/>
              </w:rPr>
              <w:t>Demandeur déclaré coupable de meurtre au deuxième degré</w:t>
            </w:r>
          </w:p>
        </w:tc>
      </w:tr>
      <w:tr w:rsidR="00D94824" w:rsidRPr="0084490B" w:rsidTr="001277D5">
        <w:tc>
          <w:tcPr>
            <w:tcW w:w="2427" w:type="pct"/>
          </w:tcPr>
          <w:p w:rsidR="00D94824" w:rsidRPr="0084490B" w:rsidRDefault="00D94824" w:rsidP="001277D5">
            <w:pPr>
              <w:jc w:val="both"/>
              <w:rPr>
                <w:rFonts w:eastAsia="Calibri"/>
                <w:sz w:val="20"/>
                <w:lang w:val="fr-CA"/>
              </w:rPr>
            </w:pPr>
            <w:r w:rsidRPr="0084490B">
              <w:rPr>
                <w:rFonts w:eastAsia="Calibri"/>
                <w:sz w:val="20"/>
                <w:lang w:val="fr-CA"/>
              </w:rPr>
              <w:t>16 décembre 2011</w:t>
            </w:r>
          </w:p>
          <w:p w:rsidR="00D94824" w:rsidRPr="0084490B" w:rsidRDefault="00D94824" w:rsidP="001277D5">
            <w:pPr>
              <w:jc w:val="both"/>
              <w:rPr>
                <w:rFonts w:eastAsia="Calibri"/>
                <w:sz w:val="20"/>
                <w:lang w:val="fr-CA"/>
              </w:rPr>
            </w:pPr>
            <w:r w:rsidRPr="0084490B">
              <w:rPr>
                <w:rFonts w:eastAsia="Calibri"/>
                <w:sz w:val="20"/>
                <w:lang w:val="fr-CA"/>
              </w:rPr>
              <w:t>Cour d'appel de l'Alberta (Calgary)</w:t>
            </w:r>
          </w:p>
          <w:p w:rsidR="00D94824" w:rsidRPr="0084490B" w:rsidRDefault="00D94824" w:rsidP="001277D5">
            <w:pPr>
              <w:jc w:val="both"/>
              <w:rPr>
                <w:rFonts w:eastAsia="Calibri"/>
                <w:sz w:val="20"/>
                <w:lang w:val="fr-CA"/>
              </w:rPr>
            </w:pPr>
            <w:r w:rsidRPr="0084490B">
              <w:rPr>
                <w:rFonts w:eastAsia="Calibri"/>
                <w:sz w:val="20"/>
                <w:lang w:val="fr-CA"/>
              </w:rPr>
              <w:t xml:space="preserve">(Juges Martin, </w:t>
            </w:r>
            <w:proofErr w:type="spellStart"/>
            <w:r w:rsidRPr="0084490B">
              <w:rPr>
                <w:rFonts w:eastAsia="Calibri"/>
                <w:sz w:val="20"/>
                <w:lang w:val="fr-CA"/>
              </w:rPr>
              <w:t>Rowbotham</w:t>
            </w:r>
            <w:proofErr w:type="spellEnd"/>
            <w:r w:rsidRPr="0084490B">
              <w:rPr>
                <w:rFonts w:eastAsia="Calibri"/>
                <w:sz w:val="20"/>
                <w:lang w:val="fr-CA"/>
              </w:rPr>
              <w:t xml:space="preserve"> et Hughes)</w:t>
            </w:r>
          </w:p>
          <w:p w:rsidR="00D94824" w:rsidRPr="0084490B" w:rsidRDefault="00D94824" w:rsidP="001277D5">
            <w:pPr>
              <w:jc w:val="both"/>
              <w:rPr>
                <w:rFonts w:eastAsia="Calibri"/>
                <w:sz w:val="20"/>
                <w:lang w:val="fr-CA"/>
              </w:rPr>
            </w:pPr>
            <w:r w:rsidRPr="0084490B">
              <w:rPr>
                <w:rFonts w:eastAsia="Calibri"/>
                <w:sz w:val="20"/>
                <w:lang w:val="fr-CA"/>
              </w:rPr>
              <w:t>2011 ABCA 377</w:t>
            </w:r>
          </w:p>
          <w:p w:rsidR="00D94824" w:rsidRPr="0084490B" w:rsidRDefault="00D94824" w:rsidP="001277D5">
            <w:pPr>
              <w:jc w:val="both"/>
              <w:rPr>
                <w:rFonts w:eastAsia="Calibri"/>
                <w:sz w:val="20"/>
                <w:lang w:val="fr-CA"/>
              </w:rPr>
            </w:pPr>
          </w:p>
        </w:tc>
        <w:tc>
          <w:tcPr>
            <w:tcW w:w="243" w:type="pct"/>
          </w:tcPr>
          <w:p w:rsidR="00D94824" w:rsidRPr="0084490B" w:rsidRDefault="00D94824" w:rsidP="001277D5">
            <w:pPr>
              <w:jc w:val="both"/>
              <w:rPr>
                <w:rFonts w:eastAsia="Calibri"/>
                <w:sz w:val="20"/>
                <w:lang w:val="fr-CA"/>
              </w:rPr>
            </w:pPr>
          </w:p>
        </w:tc>
        <w:tc>
          <w:tcPr>
            <w:tcW w:w="2330" w:type="pct"/>
          </w:tcPr>
          <w:p w:rsidR="00D94824" w:rsidRPr="0084490B" w:rsidRDefault="00D94824" w:rsidP="001277D5">
            <w:pPr>
              <w:jc w:val="both"/>
              <w:rPr>
                <w:rFonts w:eastAsia="Calibri"/>
                <w:sz w:val="20"/>
                <w:lang w:val="fr-CA"/>
              </w:rPr>
            </w:pPr>
            <w:r w:rsidRPr="0084490B">
              <w:rPr>
                <w:rFonts w:eastAsia="Calibri"/>
                <w:sz w:val="20"/>
                <w:lang w:val="fr-CA"/>
              </w:rPr>
              <w:t>Appel rejeté</w:t>
            </w:r>
          </w:p>
          <w:p w:rsidR="00D94824" w:rsidRPr="0084490B" w:rsidRDefault="00D94824" w:rsidP="001277D5">
            <w:pPr>
              <w:jc w:val="both"/>
              <w:rPr>
                <w:rFonts w:eastAsia="Calibri"/>
                <w:sz w:val="20"/>
                <w:lang w:val="fr-CA"/>
              </w:rPr>
            </w:pPr>
          </w:p>
        </w:tc>
      </w:tr>
      <w:tr w:rsidR="00D94824" w:rsidRPr="00B6040C" w:rsidTr="001277D5">
        <w:tc>
          <w:tcPr>
            <w:tcW w:w="2427" w:type="pct"/>
          </w:tcPr>
          <w:p w:rsidR="00D94824" w:rsidRPr="0084490B" w:rsidRDefault="00D94824" w:rsidP="001277D5">
            <w:pPr>
              <w:jc w:val="both"/>
              <w:rPr>
                <w:rFonts w:eastAsia="Calibri"/>
                <w:sz w:val="20"/>
                <w:lang w:val="fr-CA"/>
              </w:rPr>
            </w:pPr>
            <w:r w:rsidRPr="0084490B">
              <w:rPr>
                <w:rFonts w:eastAsia="Calibri"/>
                <w:sz w:val="20"/>
                <w:lang w:val="fr-CA"/>
              </w:rPr>
              <w:t>8 février 2013</w:t>
            </w:r>
          </w:p>
          <w:p w:rsidR="00D94824" w:rsidRPr="0084490B" w:rsidRDefault="00D94824" w:rsidP="001277D5">
            <w:pPr>
              <w:jc w:val="both"/>
              <w:rPr>
                <w:rFonts w:eastAsia="Calibri"/>
                <w:sz w:val="20"/>
                <w:lang w:val="fr-CA"/>
              </w:rPr>
            </w:pPr>
            <w:r w:rsidRPr="0084490B">
              <w:rPr>
                <w:rFonts w:eastAsia="Calibri"/>
                <w:sz w:val="20"/>
                <w:lang w:val="fr-CA"/>
              </w:rPr>
              <w:t>Cour suprême du Canada</w:t>
            </w:r>
          </w:p>
        </w:tc>
        <w:tc>
          <w:tcPr>
            <w:tcW w:w="243" w:type="pct"/>
          </w:tcPr>
          <w:p w:rsidR="00D94824" w:rsidRPr="0084490B" w:rsidRDefault="00D94824" w:rsidP="001277D5">
            <w:pPr>
              <w:jc w:val="both"/>
              <w:rPr>
                <w:rFonts w:eastAsia="Calibri"/>
                <w:sz w:val="20"/>
                <w:lang w:val="fr-CA"/>
              </w:rPr>
            </w:pPr>
          </w:p>
        </w:tc>
        <w:tc>
          <w:tcPr>
            <w:tcW w:w="2330" w:type="pct"/>
          </w:tcPr>
          <w:p w:rsidR="00D94824" w:rsidRPr="0084490B" w:rsidRDefault="00D94824" w:rsidP="001277D5">
            <w:pPr>
              <w:jc w:val="both"/>
              <w:rPr>
                <w:rFonts w:eastAsia="Calibri"/>
                <w:sz w:val="20"/>
                <w:lang w:val="fr-CA"/>
              </w:rPr>
            </w:pPr>
            <w:r w:rsidRPr="0084490B">
              <w:rPr>
                <w:rFonts w:eastAsia="Calibri"/>
                <w:sz w:val="20"/>
                <w:lang w:val="fr-CA"/>
              </w:rPr>
              <w:t>Requête en prorogation de délai et demande d'autorisation d'appel, déposées</w:t>
            </w:r>
          </w:p>
        </w:tc>
      </w:tr>
    </w:tbl>
    <w:p w:rsidR="00EA65C4" w:rsidRPr="00D94824" w:rsidRDefault="00EA65C4" w:rsidP="00EA65C4">
      <w:pPr>
        <w:rPr>
          <w:sz w:val="20"/>
          <w:szCs w:val="20"/>
          <w:lang w:val="fr-CA"/>
        </w:rPr>
      </w:pPr>
    </w:p>
    <w:p w:rsidR="00EA65C4" w:rsidRDefault="0028676C" w:rsidP="00EA65C4">
      <w:pPr>
        <w:rPr>
          <w:sz w:val="20"/>
          <w:szCs w:val="20"/>
        </w:rPr>
      </w:pPr>
      <w:r w:rsidRPr="0028676C">
        <w:rPr>
          <w:sz w:val="20"/>
          <w:szCs w:val="20"/>
          <w:lang w:val="fr-CA"/>
        </w:rPr>
        <w:pict>
          <v:rect id="_x0000_i1068" style="width:2in;height:1pt" o:hrpct="0" o:hralign="center" o:hrstd="t" o:hrnoshade="t" o:hr="t" fillcolor="black [3213]" stroked="f"/>
        </w:pict>
      </w:r>
    </w:p>
    <w:p w:rsidR="00EA65C4" w:rsidRDefault="00EA65C4" w:rsidP="00EA65C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402A7" w:rsidRPr="0068500F" w:rsidTr="0071552E">
        <w:trPr>
          <w:cantSplit/>
        </w:trPr>
        <w:tc>
          <w:tcPr>
            <w:tcW w:w="1458" w:type="dxa"/>
          </w:tcPr>
          <w:p w:rsidR="00E402A7" w:rsidRPr="0068500F" w:rsidRDefault="00E402A7" w:rsidP="0071552E">
            <w:pPr>
              <w:rPr>
                <w:sz w:val="20"/>
                <w:szCs w:val="20"/>
              </w:rPr>
            </w:pPr>
            <w:r w:rsidRPr="0068500F">
              <w:rPr>
                <w:rStyle w:val="SCCFileNumberChar"/>
                <w:sz w:val="20"/>
                <w:szCs w:val="20"/>
              </w:rPr>
              <w:t>35233</w:t>
            </w:r>
          </w:p>
          <w:p w:rsidR="00E402A7" w:rsidRPr="0068500F" w:rsidRDefault="00E402A7" w:rsidP="0071552E">
            <w:pPr>
              <w:rPr>
                <w:b/>
                <w:sz w:val="20"/>
                <w:szCs w:val="20"/>
                <w:lang w:val="fr-CA"/>
              </w:rPr>
            </w:pPr>
          </w:p>
        </w:tc>
        <w:tc>
          <w:tcPr>
            <w:tcW w:w="8118" w:type="dxa"/>
          </w:tcPr>
          <w:p w:rsidR="00E402A7" w:rsidRPr="0068500F" w:rsidRDefault="00E402A7" w:rsidP="0071552E">
            <w:pPr>
              <w:rPr>
                <w:sz w:val="20"/>
                <w:szCs w:val="20"/>
              </w:rPr>
            </w:pPr>
            <w:proofErr w:type="spellStart"/>
            <w:r w:rsidRPr="0068500F">
              <w:rPr>
                <w:rStyle w:val="SCCLsocChar"/>
                <w:sz w:val="20"/>
                <w:szCs w:val="20"/>
              </w:rPr>
              <w:t>Abderrahim</w:t>
            </w:r>
            <w:proofErr w:type="spellEnd"/>
            <w:r w:rsidRPr="0068500F">
              <w:rPr>
                <w:rStyle w:val="SCCLsocChar"/>
                <w:sz w:val="20"/>
                <w:szCs w:val="20"/>
              </w:rPr>
              <w:t xml:space="preserve"> </w:t>
            </w:r>
            <w:proofErr w:type="spellStart"/>
            <w:r w:rsidRPr="0068500F">
              <w:rPr>
                <w:rStyle w:val="SCCLsocChar"/>
                <w:sz w:val="20"/>
                <w:szCs w:val="20"/>
              </w:rPr>
              <w:t>Touri</w:t>
            </w:r>
            <w:proofErr w:type="spellEnd"/>
            <w:r w:rsidRPr="0068500F">
              <w:rPr>
                <w:rStyle w:val="SCCLsocChar"/>
                <w:sz w:val="20"/>
                <w:szCs w:val="20"/>
              </w:rPr>
              <w:t xml:space="preserve"> c. </w:t>
            </w:r>
            <w:proofErr w:type="spellStart"/>
            <w:r w:rsidRPr="0068500F">
              <w:rPr>
                <w:rStyle w:val="SCCLsocChar"/>
                <w:sz w:val="20"/>
                <w:szCs w:val="20"/>
              </w:rPr>
              <w:t>Multi-Marques</w:t>
            </w:r>
            <w:proofErr w:type="spellEnd"/>
            <w:r w:rsidRPr="0068500F">
              <w:rPr>
                <w:rStyle w:val="SCCLsocChar"/>
                <w:sz w:val="20"/>
                <w:szCs w:val="20"/>
              </w:rPr>
              <w:t xml:space="preserve"> Inc.</w:t>
            </w:r>
            <w:r w:rsidRPr="0068500F">
              <w:rPr>
                <w:sz w:val="20"/>
                <w:szCs w:val="20"/>
                <w:lang w:val="fr-CA"/>
              </w:rPr>
              <w:t xml:space="preserve"> </w:t>
            </w:r>
            <w:r w:rsidRPr="0068500F">
              <w:rPr>
                <w:sz w:val="20"/>
                <w:szCs w:val="20"/>
              </w:rPr>
              <w:t>(Qc) (</w:t>
            </w:r>
            <w:proofErr w:type="spellStart"/>
            <w:r w:rsidRPr="0068500F">
              <w:rPr>
                <w:sz w:val="20"/>
                <w:szCs w:val="20"/>
              </w:rPr>
              <w:t>Civile</w:t>
            </w:r>
            <w:proofErr w:type="spellEnd"/>
            <w:r w:rsidRPr="0068500F">
              <w:rPr>
                <w:sz w:val="20"/>
                <w:szCs w:val="20"/>
              </w:rPr>
              <w:t>) (</w:t>
            </w:r>
            <w:proofErr w:type="spellStart"/>
            <w:r w:rsidRPr="0068500F">
              <w:rPr>
                <w:sz w:val="20"/>
                <w:szCs w:val="20"/>
              </w:rPr>
              <w:t>Autorisation</w:t>
            </w:r>
            <w:proofErr w:type="spellEnd"/>
            <w:r w:rsidRPr="0068500F">
              <w:rPr>
                <w:sz w:val="20"/>
                <w:szCs w:val="20"/>
              </w:rPr>
              <w:t>)</w:t>
            </w:r>
          </w:p>
          <w:p w:rsidR="00E402A7" w:rsidRPr="0068500F" w:rsidRDefault="00E402A7" w:rsidP="0071552E">
            <w:pPr>
              <w:rPr>
                <w:sz w:val="20"/>
                <w:szCs w:val="20"/>
              </w:rPr>
            </w:pPr>
          </w:p>
        </w:tc>
      </w:tr>
      <w:tr w:rsidR="00E402A7" w:rsidRPr="00B6040C" w:rsidTr="0071552E">
        <w:trPr>
          <w:cantSplit/>
        </w:trPr>
        <w:tc>
          <w:tcPr>
            <w:tcW w:w="1458" w:type="dxa"/>
          </w:tcPr>
          <w:p w:rsidR="00E402A7" w:rsidRPr="0068500F" w:rsidRDefault="00E402A7" w:rsidP="0071552E">
            <w:pPr>
              <w:rPr>
                <w:sz w:val="20"/>
                <w:szCs w:val="20"/>
              </w:rPr>
            </w:pPr>
            <w:r w:rsidRPr="0068500F">
              <w:rPr>
                <w:sz w:val="20"/>
                <w:szCs w:val="20"/>
              </w:rPr>
              <w:t>Coram :</w:t>
            </w:r>
          </w:p>
        </w:tc>
        <w:tc>
          <w:tcPr>
            <w:tcW w:w="8118" w:type="dxa"/>
          </w:tcPr>
          <w:p w:rsidR="00E402A7" w:rsidRPr="0068500F" w:rsidRDefault="00E402A7" w:rsidP="0071552E">
            <w:pPr>
              <w:rPr>
                <w:sz w:val="20"/>
                <w:szCs w:val="20"/>
                <w:lang w:val="fr-CA"/>
              </w:rPr>
            </w:pPr>
            <w:r w:rsidRPr="0068500F">
              <w:rPr>
                <w:rStyle w:val="SCCCoramChar"/>
                <w:sz w:val="20"/>
                <w:szCs w:val="20"/>
              </w:rPr>
              <w:t>La juge en chef McLachlin et les juges Abella et Cromwell</w:t>
            </w:r>
          </w:p>
          <w:p w:rsidR="00E402A7" w:rsidRPr="0068500F" w:rsidRDefault="00E402A7" w:rsidP="0071552E">
            <w:pPr>
              <w:rPr>
                <w:sz w:val="20"/>
                <w:szCs w:val="20"/>
                <w:u w:val="single"/>
                <w:lang w:val="fr-CA"/>
              </w:rPr>
            </w:pPr>
          </w:p>
        </w:tc>
      </w:tr>
      <w:tr w:rsidR="00E402A7" w:rsidRPr="0068500F" w:rsidTr="0071552E">
        <w:trPr>
          <w:cantSplit/>
        </w:trPr>
        <w:tc>
          <w:tcPr>
            <w:tcW w:w="9576" w:type="dxa"/>
            <w:gridSpan w:val="2"/>
          </w:tcPr>
          <w:p w:rsidR="00E402A7" w:rsidRPr="0068500F" w:rsidRDefault="00E402A7" w:rsidP="0071552E">
            <w:pPr>
              <w:pStyle w:val="SCCShortJudgment"/>
              <w:rPr>
                <w:szCs w:val="20"/>
                <w:lang w:val="fr-CA"/>
              </w:rPr>
            </w:pPr>
            <w:r w:rsidRPr="0068500F">
              <w:rPr>
                <w:szCs w:val="20"/>
                <w:lang w:val="fr-CA"/>
              </w:rPr>
              <w:t>La demande d’autorisation d’appel de l’arrêt de la Cour d’appel du Québec (Montréal), numéro 500-09-023151-129, 2012 QCCA 2252, daté du 13 décembre 2012, est rejetée avec dépens.</w:t>
            </w:r>
          </w:p>
          <w:p w:rsidR="00E402A7" w:rsidRPr="0068500F" w:rsidRDefault="00E402A7" w:rsidP="0071552E">
            <w:pPr>
              <w:pStyle w:val="SCCShortJudgment"/>
              <w:ind w:firstLine="0"/>
              <w:rPr>
                <w:szCs w:val="20"/>
                <w:lang w:val="fr-CA"/>
              </w:rPr>
            </w:pPr>
          </w:p>
          <w:p w:rsidR="00E402A7" w:rsidRPr="0068500F" w:rsidRDefault="00E402A7" w:rsidP="0071552E">
            <w:pPr>
              <w:pStyle w:val="SCCShortJudgment"/>
              <w:rPr>
                <w:szCs w:val="20"/>
              </w:rPr>
            </w:pPr>
            <w:r w:rsidRPr="0068500F">
              <w:rPr>
                <w:szCs w:val="20"/>
              </w:rPr>
              <w:t>The application for leave to appeal from the judgment of the Court of Appeal of Quebec (Montréal), Number 500-09-023151-129, 2012 QCCA 2252, dated December 13, 2012, is dismissed with costs.</w:t>
            </w:r>
          </w:p>
        </w:tc>
      </w:tr>
    </w:tbl>
    <w:p w:rsidR="00EA65C4" w:rsidRDefault="00EA65C4" w:rsidP="00EA65C4">
      <w:pPr>
        <w:rPr>
          <w:sz w:val="20"/>
          <w:szCs w:val="20"/>
        </w:rPr>
      </w:pPr>
    </w:p>
    <w:p w:rsidR="00EA65C4" w:rsidRPr="001B157C" w:rsidRDefault="00EA65C4" w:rsidP="00EA65C4">
      <w:pPr>
        <w:rPr>
          <w:sz w:val="20"/>
          <w:szCs w:val="20"/>
          <w:u w:val="single"/>
        </w:rPr>
      </w:pPr>
      <w:r w:rsidRPr="001B157C">
        <w:rPr>
          <w:sz w:val="20"/>
          <w:szCs w:val="20"/>
          <w:u w:val="single"/>
        </w:rPr>
        <w:t>CASE SUMMARY</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94824" w:rsidRPr="0084490B" w:rsidTr="001277D5">
        <w:tc>
          <w:tcPr>
            <w:tcW w:w="5000" w:type="pct"/>
            <w:gridSpan w:val="3"/>
          </w:tcPr>
          <w:p w:rsidR="00D94824" w:rsidRPr="0084490B" w:rsidRDefault="00D94824" w:rsidP="001277D5">
            <w:pPr>
              <w:jc w:val="both"/>
              <w:rPr>
                <w:rFonts w:eastAsia="Calibri"/>
                <w:sz w:val="20"/>
              </w:rPr>
            </w:pPr>
            <w:r w:rsidRPr="0084490B">
              <w:rPr>
                <w:rFonts w:eastAsia="Calibri"/>
                <w:sz w:val="20"/>
              </w:rPr>
              <w:t xml:space="preserve">Civil procedure – Time – Discontinuance – Leave to appeal – Whether Court of Appeal erred in finding that action deemed to be discontinued under art. 274.3 </w:t>
            </w:r>
            <w:r w:rsidRPr="0084490B">
              <w:rPr>
                <w:rFonts w:eastAsia="Calibri"/>
                <w:i/>
                <w:sz w:val="20"/>
              </w:rPr>
              <w:t>C.C.P.</w:t>
            </w:r>
          </w:p>
        </w:tc>
      </w:tr>
      <w:tr w:rsidR="00D94824" w:rsidRPr="0084490B" w:rsidTr="001277D5">
        <w:tc>
          <w:tcPr>
            <w:tcW w:w="5000" w:type="pct"/>
            <w:gridSpan w:val="3"/>
          </w:tcPr>
          <w:p w:rsidR="00D94824" w:rsidRPr="0084490B" w:rsidRDefault="00D94824" w:rsidP="001277D5">
            <w:pPr>
              <w:jc w:val="both"/>
              <w:rPr>
                <w:rFonts w:eastAsia="Calibri"/>
                <w:sz w:val="20"/>
              </w:rPr>
            </w:pPr>
          </w:p>
        </w:tc>
      </w:tr>
      <w:tr w:rsidR="00D94824" w:rsidRPr="0084490B" w:rsidTr="001277D5">
        <w:tc>
          <w:tcPr>
            <w:tcW w:w="5000" w:type="pct"/>
            <w:gridSpan w:val="3"/>
          </w:tcPr>
          <w:p w:rsidR="00D94824" w:rsidRPr="0084490B" w:rsidRDefault="00D94824" w:rsidP="001277D5">
            <w:pPr>
              <w:jc w:val="both"/>
              <w:rPr>
                <w:rFonts w:eastAsia="Calibri"/>
                <w:sz w:val="20"/>
              </w:rPr>
            </w:pPr>
            <w:r w:rsidRPr="0084490B">
              <w:rPr>
                <w:rFonts w:eastAsia="Calibri"/>
                <w:sz w:val="20"/>
              </w:rPr>
              <w:t>The applicant Mr. </w:t>
            </w:r>
            <w:proofErr w:type="spellStart"/>
            <w:r w:rsidRPr="0084490B">
              <w:rPr>
                <w:rFonts w:eastAsia="Calibri"/>
                <w:sz w:val="20"/>
              </w:rPr>
              <w:t>Touri</w:t>
            </w:r>
            <w:proofErr w:type="spellEnd"/>
            <w:r w:rsidRPr="0084490B">
              <w:rPr>
                <w:rFonts w:eastAsia="Calibri"/>
                <w:sz w:val="20"/>
              </w:rPr>
              <w:t xml:space="preserve"> stopped working a first time on the recommendation of his attending physician.  According to Mr. </w:t>
            </w:r>
            <w:proofErr w:type="spellStart"/>
            <w:r w:rsidRPr="0084490B">
              <w:rPr>
                <w:rFonts w:eastAsia="Calibri"/>
                <w:sz w:val="20"/>
              </w:rPr>
              <w:t>Touri</w:t>
            </w:r>
            <w:proofErr w:type="spellEnd"/>
            <w:r w:rsidRPr="0084490B">
              <w:rPr>
                <w:rFonts w:eastAsia="Calibri"/>
                <w:sz w:val="20"/>
              </w:rPr>
              <w:t>, this was the result of psychological harassment against him in the workplace.  Mr. </w:t>
            </w:r>
            <w:proofErr w:type="spellStart"/>
            <w:r w:rsidRPr="0084490B">
              <w:rPr>
                <w:rFonts w:eastAsia="Calibri"/>
                <w:sz w:val="20"/>
              </w:rPr>
              <w:t>Touri</w:t>
            </w:r>
            <w:proofErr w:type="spellEnd"/>
            <w:r w:rsidRPr="0084490B">
              <w:rPr>
                <w:rFonts w:eastAsia="Calibri"/>
                <w:sz w:val="20"/>
              </w:rPr>
              <w:t xml:space="preserve"> returned to work but then stopped again after receiving a medical diagnosis.  According to Mr. </w:t>
            </w:r>
            <w:proofErr w:type="spellStart"/>
            <w:r w:rsidRPr="0084490B">
              <w:rPr>
                <w:rFonts w:eastAsia="Calibri"/>
                <w:sz w:val="20"/>
              </w:rPr>
              <w:t>Touri</w:t>
            </w:r>
            <w:proofErr w:type="spellEnd"/>
            <w:r w:rsidRPr="0084490B">
              <w:rPr>
                <w:rFonts w:eastAsia="Calibri"/>
                <w:sz w:val="20"/>
              </w:rPr>
              <w:t xml:space="preserve">, that absence was once again related to harassment in the workplace. </w:t>
            </w:r>
          </w:p>
          <w:p w:rsidR="00D94824" w:rsidRPr="0084490B" w:rsidRDefault="00D94824" w:rsidP="001277D5">
            <w:pPr>
              <w:jc w:val="both"/>
              <w:rPr>
                <w:rFonts w:eastAsia="Calibri"/>
                <w:sz w:val="20"/>
              </w:rPr>
            </w:pPr>
          </w:p>
        </w:tc>
      </w:tr>
      <w:tr w:rsidR="00D94824" w:rsidRPr="0084490B" w:rsidTr="001277D5">
        <w:tc>
          <w:tcPr>
            <w:tcW w:w="2427" w:type="pct"/>
          </w:tcPr>
          <w:p w:rsidR="00D94824" w:rsidRPr="0084490B" w:rsidRDefault="00D94824" w:rsidP="001277D5">
            <w:pPr>
              <w:jc w:val="both"/>
              <w:rPr>
                <w:rFonts w:eastAsia="Calibri"/>
                <w:sz w:val="20"/>
                <w:lang w:val="fr-CA"/>
              </w:rPr>
            </w:pPr>
            <w:r w:rsidRPr="0084490B">
              <w:rPr>
                <w:rFonts w:eastAsia="Calibri"/>
                <w:sz w:val="20"/>
                <w:lang w:val="fr-CA"/>
              </w:rPr>
              <w:t>July 24, 2009</w:t>
            </w:r>
          </w:p>
          <w:p w:rsidR="00D94824" w:rsidRPr="0084490B" w:rsidRDefault="00D94824" w:rsidP="001277D5">
            <w:pPr>
              <w:jc w:val="both"/>
              <w:rPr>
                <w:rFonts w:eastAsia="Calibri"/>
                <w:sz w:val="20"/>
                <w:lang w:val="fr-CA"/>
              </w:rPr>
            </w:pPr>
            <w:r w:rsidRPr="0084490B">
              <w:rPr>
                <w:rFonts w:eastAsia="Calibri"/>
                <w:sz w:val="20"/>
                <w:lang w:val="fr-CA"/>
              </w:rPr>
              <w:t>Commission des lésions professionnelles</w:t>
            </w:r>
          </w:p>
          <w:p w:rsidR="00D94824" w:rsidRPr="0084490B" w:rsidRDefault="00D94824" w:rsidP="001277D5">
            <w:pPr>
              <w:jc w:val="both"/>
              <w:rPr>
                <w:rFonts w:eastAsia="Calibri"/>
                <w:sz w:val="20"/>
                <w:lang w:val="fr-CA"/>
              </w:rPr>
            </w:pPr>
            <w:r w:rsidRPr="0084490B">
              <w:rPr>
                <w:rFonts w:eastAsia="Calibri"/>
                <w:sz w:val="20"/>
                <w:lang w:val="fr-CA"/>
              </w:rPr>
              <w:t>(Yolande Lemire, Administrative Judge)</w:t>
            </w:r>
          </w:p>
          <w:p w:rsidR="00D94824" w:rsidRPr="0084490B" w:rsidRDefault="00D94824" w:rsidP="001277D5">
            <w:pPr>
              <w:jc w:val="both"/>
              <w:rPr>
                <w:rFonts w:eastAsia="Calibri"/>
                <w:sz w:val="20"/>
              </w:rPr>
            </w:pPr>
            <w:r w:rsidRPr="0084490B">
              <w:rPr>
                <w:rFonts w:eastAsia="Calibri"/>
                <w:sz w:val="20"/>
              </w:rPr>
              <w:t>2009 QCCLP 5200</w:t>
            </w:r>
          </w:p>
        </w:tc>
        <w:tc>
          <w:tcPr>
            <w:tcW w:w="243" w:type="pct"/>
          </w:tcPr>
          <w:p w:rsidR="00D94824" w:rsidRPr="0084490B" w:rsidRDefault="00D94824" w:rsidP="001277D5">
            <w:pPr>
              <w:jc w:val="both"/>
              <w:rPr>
                <w:rFonts w:eastAsia="Calibri"/>
                <w:sz w:val="20"/>
              </w:rPr>
            </w:pPr>
          </w:p>
        </w:tc>
        <w:tc>
          <w:tcPr>
            <w:tcW w:w="2330" w:type="pct"/>
          </w:tcPr>
          <w:p w:rsidR="00D94824" w:rsidRPr="0084490B" w:rsidRDefault="00D94824" w:rsidP="001277D5">
            <w:pPr>
              <w:jc w:val="both"/>
              <w:rPr>
                <w:rFonts w:eastAsia="Calibri"/>
                <w:sz w:val="20"/>
                <w:lang w:val="fr-CA"/>
              </w:rPr>
            </w:pPr>
            <w:proofErr w:type="spellStart"/>
            <w:r w:rsidRPr="0084490B">
              <w:rPr>
                <w:rFonts w:eastAsia="Calibri"/>
                <w:sz w:val="20"/>
                <w:lang w:val="fr-CA"/>
              </w:rPr>
              <w:t>Decision</w:t>
            </w:r>
            <w:proofErr w:type="spellEnd"/>
            <w:r w:rsidRPr="0084490B">
              <w:rPr>
                <w:rFonts w:eastAsia="Calibri"/>
                <w:sz w:val="20"/>
                <w:lang w:val="fr-CA"/>
              </w:rPr>
              <w:t xml:space="preserve"> made on </w:t>
            </w:r>
            <w:proofErr w:type="spellStart"/>
            <w:r w:rsidRPr="0084490B">
              <w:rPr>
                <w:rFonts w:eastAsia="Calibri"/>
                <w:sz w:val="20"/>
                <w:lang w:val="fr-CA"/>
              </w:rPr>
              <w:t>November</w:t>
            </w:r>
            <w:proofErr w:type="spellEnd"/>
            <w:r w:rsidRPr="0084490B">
              <w:rPr>
                <w:rFonts w:eastAsia="Calibri"/>
                <w:sz w:val="20"/>
                <w:lang w:val="fr-CA"/>
              </w:rPr>
              <w:t xml:space="preserve"> 15, 2007 by Commission de la santé et de la sécurité du travail </w:t>
            </w:r>
            <w:proofErr w:type="spellStart"/>
            <w:r w:rsidRPr="0084490B">
              <w:rPr>
                <w:rFonts w:eastAsia="Calibri"/>
                <w:sz w:val="20"/>
                <w:lang w:val="fr-CA"/>
              </w:rPr>
              <w:t>following</w:t>
            </w:r>
            <w:proofErr w:type="spellEnd"/>
            <w:r w:rsidRPr="0084490B">
              <w:rPr>
                <w:rFonts w:eastAsia="Calibri"/>
                <w:sz w:val="20"/>
                <w:lang w:val="fr-CA"/>
              </w:rPr>
              <w:t xml:space="preserve"> administrative </w:t>
            </w:r>
            <w:proofErr w:type="spellStart"/>
            <w:r w:rsidRPr="0084490B">
              <w:rPr>
                <w:rFonts w:eastAsia="Calibri"/>
                <w:sz w:val="20"/>
                <w:lang w:val="fr-CA"/>
              </w:rPr>
              <w:t>review</w:t>
            </w:r>
            <w:proofErr w:type="spellEnd"/>
            <w:r w:rsidRPr="0084490B">
              <w:rPr>
                <w:rFonts w:eastAsia="Calibri"/>
                <w:sz w:val="20"/>
                <w:lang w:val="fr-CA"/>
              </w:rPr>
              <w:t xml:space="preserve"> </w:t>
            </w:r>
            <w:proofErr w:type="spellStart"/>
            <w:r w:rsidRPr="0084490B">
              <w:rPr>
                <w:rFonts w:eastAsia="Calibri"/>
                <w:sz w:val="20"/>
                <w:lang w:val="fr-CA"/>
              </w:rPr>
              <w:t>confirmed</w:t>
            </w:r>
            <w:proofErr w:type="spellEnd"/>
            <w:r w:rsidRPr="0084490B">
              <w:rPr>
                <w:rFonts w:eastAsia="Calibri"/>
                <w:sz w:val="20"/>
                <w:lang w:val="fr-CA"/>
              </w:rPr>
              <w:t>;</w:t>
            </w:r>
          </w:p>
          <w:p w:rsidR="00D94824" w:rsidRPr="0084490B" w:rsidRDefault="00D94824" w:rsidP="001277D5">
            <w:pPr>
              <w:jc w:val="both"/>
              <w:rPr>
                <w:rFonts w:eastAsia="Calibri"/>
                <w:sz w:val="20"/>
              </w:rPr>
            </w:pPr>
            <w:r w:rsidRPr="0084490B">
              <w:rPr>
                <w:rFonts w:eastAsia="Calibri"/>
                <w:sz w:val="20"/>
              </w:rPr>
              <w:t>Injury diagnosed in this case found not to be employment injury</w:t>
            </w:r>
          </w:p>
          <w:p w:rsidR="00D94824" w:rsidRPr="0084490B" w:rsidRDefault="00D94824" w:rsidP="001277D5">
            <w:pPr>
              <w:jc w:val="both"/>
              <w:rPr>
                <w:rFonts w:eastAsia="Calibri"/>
                <w:sz w:val="20"/>
              </w:rPr>
            </w:pPr>
          </w:p>
        </w:tc>
      </w:tr>
      <w:tr w:rsidR="00D94824" w:rsidRPr="0084490B" w:rsidTr="001277D5">
        <w:tc>
          <w:tcPr>
            <w:tcW w:w="2427" w:type="pct"/>
          </w:tcPr>
          <w:p w:rsidR="00D94824" w:rsidRPr="0084490B" w:rsidRDefault="00D94824" w:rsidP="001277D5">
            <w:pPr>
              <w:jc w:val="both"/>
              <w:rPr>
                <w:rFonts w:eastAsia="Calibri"/>
                <w:sz w:val="20"/>
                <w:lang w:val="fr-CA"/>
              </w:rPr>
            </w:pPr>
            <w:proofErr w:type="spellStart"/>
            <w:r w:rsidRPr="0084490B">
              <w:rPr>
                <w:rFonts w:eastAsia="Calibri"/>
                <w:sz w:val="20"/>
                <w:lang w:val="fr-CA"/>
              </w:rPr>
              <w:t>November</w:t>
            </w:r>
            <w:proofErr w:type="spellEnd"/>
            <w:r w:rsidRPr="0084490B">
              <w:rPr>
                <w:rFonts w:eastAsia="Calibri"/>
                <w:sz w:val="20"/>
                <w:lang w:val="fr-CA"/>
              </w:rPr>
              <w:t xml:space="preserve"> 24, 2009</w:t>
            </w:r>
          </w:p>
          <w:p w:rsidR="00D94824" w:rsidRPr="0084490B" w:rsidRDefault="00D94824" w:rsidP="001277D5">
            <w:pPr>
              <w:jc w:val="both"/>
              <w:rPr>
                <w:rFonts w:eastAsia="Calibri"/>
                <w:sz w:val="20"/>
                <w:lang w:val="fr-CA"/>
              </w:rPr>
            </w:pPr>
            <w:r w:rsidRPr="0084490B">
              <w:rPr>
                <w:rFonts w:eastAsia="Calibri"/>
                <w:sz w:val="20"/>
                <w:lang w:val="fr-CA"/>
              </w:rPr>
              <w:t>Commission des lésions professionnelles</w:t>
            </w:r>
          </w:p>
          <w:p w:rsidR="00D94824" w:rsidRPr="0084490B" w:rsidRDefault="00D94824" w:rsidP="001277D5">
            <w:pPr>
              <w:jc w:val="both"/>
              <w:rPr>
                <w:rFonts w:eastAsia="Calibri"/>
                <w:sz w:val="20"/>
                <w:lang w:val="fr-CA"/>
              </w:rPr>
            </w:pPr>
            <w:r w:rsidRPr="0084490B">
              <w:rPr>
                <w:rFonts w:eastAsia="Calibri"/>
                <w:sz w:val="20"/>
                <w:lang w:val="fr-CA"/>
              </w:rPr>
              <w:t xml:space="preserve">(René </w:t>
            </w:r>
            <w:proofErr w:type="spellStart"/>
            <w:r w:rsidRPr="0084490B">
              <w:rPr>
                <w:rFonts w:eastAsia="Calibri"/>
                <w:sz w:val="20"/>
                <w:lang w:val="fr-CA"/>
              </w:rPr>
              <w:t>Napert</w:t>
            </w:r>
            <w:proofErr w:type="spellEnd"/>
            <w:r w:rsidRPr="0084490B">
              <w:rPr>
                <w:rFonts w:eastAsia="Calibri"/>
                <w:sz w:val="20"/>
                <w:lang w:val="fr-CA"/>
              </w:rPr>
              <w:t>, Administrative Judge)</w:t>
            </w:r>
          </w:p>
          <w:p w:rsidR="00D94824" w:rsidRPr="0084490B" w:rsidRDefault="00D94824" w:rsidP="001277D5">
            <w:pPr>
              <w:jc w:val="both"/>
              <w:rPr>
                <w:rFonts w:eastAsia="Calibri"/>
                <w:sz w:val="20"/>
              </w:rPr>
            </w:pPr>
            <w:r w:rsidRPr="0084490B">
              <w:rPr>
                <w:rFonts w:eastAsia="Calibri"/>
                <w:sz w:val="20"/>
              </w:rPr>
              <w:t>2009 QCCLP 7940</w:t>
            </w:r>
          </w:p>
        </w:tc>
        <w:tc>
          <w:tcPr>
            <w:tcW w:w="243" w:type="pct"/>
          </w:tcPr>
          <w:p w:rsidR="00D94824" w:rsidRPr="0084490B" w:rsidRDefault="00D94824" w:rsidP="001277D5">
            <w:pPr>
              <w:jc w:val="both"/>
              <w:rPr>
                <w:rFonts w:eastAsia="Calibri"/>
                <w:sz w:val="20"/>
              </w:rPr>
            </w:pPr>
          </w:p>
        </w:tc>
        <w:tc>
          <w:tcPr>
            <w:tcW w:w="2330" w:type="pct"/>
          </w:tcPr>
          <w:p w:rsidR="00D94824" w:rsidRPr="0084490B" w:rsidRDefault="00D94824" w:rsidP="001277D5">
            <w:pPr>
              <w:jc w:val="both"/>
              <w:rPr>
                <w:rFonts w:eastAsia="Calibri"/>
                <w:sz w:val="20"/>
                <w:lang w:val="fr-CA"/>
              </w:rPr>
            </w:pPr>
            <w:proofErr w:type="spellStart"/>
            <w:r w:rsidRPr="0084490B">
              <w:rPr>
                <w:rFonts w:eastAsia="Calibri"/>
                <w:sz w:val="20"/>
                <w:lang w:val="fr-CA"/>
              </w:rPr>
              <w:t>Decision</w:t>
            </w:r>
            <w:proofErr w:type="spellEnd"/>
            <w:r w:rsidRPr="0084490B">
              <w:rPr>
                <w:rFonts w:eastAsia="Calibri"/>
                <w:sz w:val="20"/>
                <w:lang w:val="fr-CA"/>
              </w:rPr>
              <w:t xml:space="preserve"> made on </w:t>
            </w:r>
            <w:proofErr w:type="spellStart"/>
            <w:r w:rsidRPr="0084490B">
              <w:rPr>
                <w:rFonts w:eastAsia="Calibri"/>
                <w:sz w:val="20"/>
                <w:lang w:val="fr-CA"/>
              </w:rPr>
              <w:t>February</w:t>
            </w:r>
            <w:proofErr w:type="spellEnd"/>
            <w:r w:rsidRPr="0084490B">
              <w:rPr>
                <w:rFonts w:eastAsia="Calibri"/>
                <w:sz w:val="20"/>
                <w:lang w:val="fr-CA"/>
              </w:rPr>
              <w:t xml:space="preserve"> 26, 2009 by Commission de la santé et de la sécurité du travail </w:t>
            </w:r>
            <w:proofErr w:type="spellStart"/>
            <w:r w:rsidRPr="0084490B">
              <w:rPr>
                <w:rFonts w:eastAsia="Calibri"/>
                <w:sz w:val="20"/>
                <w:lang w:val="fr-CA"/>
              </w:rPr>
              <w:t>following</w:t>
            </w:r>
            <w:proofErr w:type="spellEnd"/>
            <w:r w:rsidRPr="0084490B">
              <w:rPr>
                <w:rFonts w:eastAsia="Calibri"/>
                <w:sz w:val="20"/>
                <w:lang w:val="fr-CA"/>
              </w:rPr>
              <w:t xml:space="preserve"> administrative </w:t>
            </w:r>
            <w:proofErr w:type="spellStart"/>
            <w:r w:rsidRPr="0084490B">
              <w:rPr>
                <w:rFonts w:eastAsia="Calibri"/>
                <w:sz w:val="20"/>
                <w:lang w:val="fr-CA"/>
              </w:rPr>
              <w:t>review</w:t>
            </w:r>
            <w:proofErr w:type="spellEnd"/>
            <w:r w:rsidRPr="0084490B">
              <w:rPr>
                <w:rFonts w:eastAsia="Calibri"/>
                <w:sz w:val="20"/>
                <w:lang w:val="fr-CA"/>
              </w:rPr>
              <w:t xml:space="preserve"> </w:t>
            </w:r>
            <w:proofErr w:type="spellStart"/>
            <w:r w:rsidRPr="0084490B">
              <w:rPr>
                <w:rFonts w:eastAsia="Calibri"/>
                <w:sz w:val="20"/>
                <w:lang w:val="fr-CA"/>
              </w:rPr>
              <w:t>confirmed</w:t>
            </w:r>
            <w:proofErr w:type="spellEnd"/>
            <w:r w:rsidRPr="0084490B">
              <w:rPr>
                <w:rFonts w:eastAsia="Calibri"/>
                <w:sz w:val="20"/>
                <w:lang w:val="fr-CA"/>
              </w:rPr>
              <w:t>;</w:t>
            </w:r>
          </w:p>
          <w:p w:rsidR="00D94824" w:rsidRPr="0084490B" w:rsidRDefault="00D94824" w:rsidP="001277D5">
            <w:pPr>
              <w:jc w:val="both"/>
              <w:rPr>
                <w:rFonts w:eastAsia="Calibri"/>
                <w:sz w:val="20"/>
              </w:rPr>
            </w:pPr>
            <w:r w:rsidRPr="0084490B">
              <w:rPr>
                <w:rFonts w:eastAsia="Calibri"/>
                <w:sz w:val="20"/>
              </w:rPr>
              <w:t>Applicant found not to have suffered employment injury</w:t>
            </w:r>
          </w:p>
          <w:p w:rsidR="00D94824" w:rsidRPr="0084490B" w:rsidRDefault="00D94824" w:rsidP="001277D5">
            <w:pPr>
              <w:jc w:val="both"/>
              <w:rPr>
                <w:rFonts w:eastAsia="Calibri"/>
                <w:sz w:val="20"/>
              </w:rPr>
            </w:pPr>
          </w:p>
        </w:tc>
      </w:tr>
      <w:tr w:rsidR="00D94824" w:rsidRPr="0084490B" w:rsidTr="001277D5">
        <w:tc>
          <w:tcPr>
            <w:tcW w:w="2427" w:type="pct"/>
          </w:tcPr>
          <w:p w:rsidR="00D94824" w:rsidRPr="0084490B" w:rsidRDefault="00D94824" w:rsidP="001277D5">
            <w:pPr>
              <w:jc w:val="both"/>
              <w:rPr>
                <w:rFonts w:eastAsia="Calibri"/>
                <w:sz w:val="20"/>
              </w:rPr>
            </w:pPr>
            <w:r w:rsidRPr="0084490B">
              <w:rPr>
                <w:rFonts w:eastAsia="Calibri"/>
                <w:sz w:val="20"/>
              </w:rPr>
              <w:t>November 6, 2012</w:t>
            </w:r>
          </w:p>
          <w:p w:rsidR="00D94824" w:rsidRPr="0084490B" w:rsidRDefault="00D94824" w:rsidP="001277D5">
            <w:pPr>
              <w:jc w:val="both"/>
              <w:rPr>
                <w:rFonts w:eastAsia="Calibri"/>
                <w:sz w:val="20"/>
              </w:rPr>
            </w:pPr>
            <w:r w:rsidRPr="0084490B">
              <w:rPr>
                <w:rFonts w:eastAsia="Calibri"/>
                <w:sz w:val="20"/>
              </w:rPr>
              <w:t>Quebec Superior Court</w:t>
            </w:r>
          </w:p>
          <w:p w:rsidR="00D94824" w:rsidRPr="0084490B" w:rsidRDefault="00D94824" w:rsidP="001277D5">
            <w:pPr>
              <w:jc w:val="both"/>
              <w:rPr>
                <w:rFonts w:eastAsia="Calibri"/>
                <w:sz w:val="20"/>
              </w:rPr>
            </w:pPr>
            <w:r w:rsidRPr="0084490B">
              <w:rPr>
                <w:rFonts w:eastAsia="Calibri"/>
                <w:sz w:val="20"/>
              </w:rPr>
              <w:t>(</w:t>
            </w:r>
            <w:proofErr w:type="gramStart"/>
            <w:r w:rsidRPr="0084490B">
              <w:rPr>
                <w:rFonts w:eastAsia="Calibri"/>
                <w:sz w:val="20"/>
              </w:rPr>
              <w:t>de</w:t>
            </w:r>
            <w:proofErr w:type="gramEnd"/>
            <w:r w:rsidRPr="0084490B">
              <w:rPr>
                <w:rFonts w:eastAsia="Calibri"/>
                <w:sz w:val="20"/>
              </w:rPr>
              <w:t xml:space="preserve"> Grandpré J.)</w:t>
            </w:r>
          </w:p>
          <w:p w:rsidR="00D94824" w:rsidRPr="0084490B" w:rsidRDefault="00D94824" w:rsidP="001277D5">
            <w:pPr>
              <w:jc w:val="both"/>
              <w:rPr>
                <w:rFonts w:eastAsia="Calibri"/>
                <w:sz w:val="20"/>
              </w:rPr>
            </w:pPr>
            <w:r w:rsidRPr="0084490B">
              <w:rPr>
                <w:rFonts w:eastAsia="Calibri"/>
                <w:sz w:val="20"/>
              </w:rPr>
              <w:t>2012 QCCS 5563</w:t>
            </w:r>
          </w:p>
          <w:p w:rsidR="00D94824" w:rsidRPr="0084490B" w:rsidRDefault="00D94824" w:rsidP="001277D5">
            <w:pPr>
              <w:jc w:val="both"/>
              <w:rPr>
                <w:rFonts w:eastAsia="Calibri"/>
                <w:sz w:val="20"/>
              </w:rPr>
            </w:pPr>
          </w:p>
        </w:tc>
        <w:tc>
          <w:tcPr>
            <w:tcW w:w="243" w:type="pct"/>
          </w:tcPr>
          <w:p w:rsidR="00D94824" w:rsidRPr="0084490B" w:rsidRDefault="00D94824" w:rsidP="001277D5">
            <w:pPr>
              <w:jc w:val="both"/>
              <w:rPr>
                <w:rFonts w:eastAsia="Calibri"/>
                <w:sz w:val="20"/>
              </w:rPr>
            </w:pPr>
          </w:p>
        </w:tc>
        <w:tc>
          <w:tcPr>
            <w:tcW w:w="2330" w:type="pct"/>
          </w:tcPr>
          <w:p w:rsidR="00D94824" w:rsidRPr="0084490B" w:rsidRDefault="00D94824" w:rsidP="001277D5">
            <w:pPr>
              <w:jc w:val="both"/>
              <w:rPr>
                <w:rFonts w:eastAsia="Calibri"/>
                <w:sz w:val="20"/>
              </w:rPr>
            </w:pPr>
            <w:r w:rsidRPr="0084490B">
              <w:rPr>
                <w:rFonts w:eastAsia="Calibri"/>
                <w:sz w:val="20"/>
              </w:rPr>
              <w:t>Motion for judicial review dismissed;</w:t>
            </w:r>
          </w:p>
          <w:p w:rsidR="00D94824" w:rsidRPr="0084490B" w:rsidRDefault="00D94824" w:rsidP="001277D5">
            <w:pPr>
              <w:jc w:val="both"/>
              <w:rPr>
                <w:rFonts w:eastAsia="Calibri"/>
                <w:sz w:val="20"/>
              </w:rPr>
            </w:pPr>
            <w:r w:rsidRPr="0084490B">
              <w:rPr>
                <w:rFonts w:eastAsia="Calibri"/>
                <w:sz w:val="20"/>
              </w:rPr>
              <w:t xml:space="preserve">Motion by Commission des </w:t>
            </w:r>
            <w:proofErr w:type="spellStart"/>
            <w:r w:rsidRPr="0084490B">
              <w:rPr>
                <w:rFonts w:eastAsia="Calibri"/>
                <w:sz w:val="20"/>
              </w:rPr>
              <w:t>lésions</w:t>
            </w:r>
            <w:proofErr w:type="spellEnd"/>
            <w:r w:rsidRPr="0084490B">
              <w:rPr>
                <w:rFonts w:eastAsia="Calibri"/>
                <w:sz w:val="20"/>
              </w:rPr>
              <w:t xml:space="preserve"> </w:t>
            </w:r>
            <w:proofErr w:type="spellStart"/>
            <w:r w:rsidRPr="0084490B">
              <w:rPr>
                <w:rFonts w:eastAsia="Calibri"/>
                <w:sz w:val="20"/>
              </w:rPr>
              <w:t>professionnelles</w:t>
            </w:r>
            <w:proofErr w:type="spellEnd"/>
            <w:r w:rsidRPr="0084490B">
              <w:rPr>
                <w:rFonts w:eastAsia="Calibri"/>
                <w:sz w:val="20"/>
              </w:rPr>
              <w:t xml:space="preserve"> to dismiss action allowed </w:t>
            </w:r>
          </w:p>
        </w:tc>
      </w:tr>
      <w:tr w:rsidR="00D94824" w:rsidRPr="0084490B" w:rsidTr="001277D5">
        <w:tc>
          <w:tcPr>
            <w:tcW w:w="2427" w:type="pct"/>
          </w:tcPr>
          <w:p w:rsidR="00D94824" w:rsidRPr="0084490B" w:rsidRDefault="00D94824" w:rsidP="001277D5">
            <w:pPr>
              <w:jc w:val="both"/>
              <w:rPr>
                <w:rFonts w:eastAsia="Calibri"/>
                <w:sz w:val="20"/>
              </w:rPr>
            </w:pPr>
            <w:r w:rsidRPr="0084490B">
              <w:rPr>
                <w:rFonts w:eastAsia="Calibri"/>
                <w:sz w:val="20"/>
              </w:rPr>
              <w:t>December 13, 2012</w:t>
            </w:r>
          </w:p>
          <w:p w:rsidR="00D94824" w:rsidRPr="0084490B" w:rsidRDefault="00D94824" w:rsidP="001277D5">
            <w:pPr>
              <w:jc w:val="both"/>
              <w:rPr>
                <w:rFonts w:eastAsia="Calibri"/>
                <w:sz w:val="20"/>
              </w:rPr>
            </w:pPr>
            <w:r w:rsidRPr="0084490B">
              <w:rPr>
                <w:rFonts w:eastAsia="Calibri"/>
                <w:sz w:val="20"/>
              </w:rPr>
              <w:t>Quebec Court of Appeal (Montréal)</w:t>
            </w:r>
          </w:p>
          <w:p w:rsidR="00D94824" w:rsidRPr="0084490B" w:rsidRDefault="00D94824" w:rsidP="001277D5">
            <w:pPr>
              <w:jc w:val="both"/>
              <w:rPr>
                <w:rFonts w:eastAsia="Calibri"/>
                <w:sz w:val="20"/>
              </w:rPr>
            </w:pPr>
            <w:r w:rsidRPr="0084490B">
              <w:rPr>
                <w:rFonts w:eastAsia="Calibri"/>
                <w:sz w:val="20"/>
              </w:rPr>
              <w:t>(Léger J.A.)</w:t>
            </w:r>
          </w:p>
          <w:p w:rsidR="00D94824" w:rsidRPr="0084490B" w:rsidRDefault="00D94824" w:rsidP="001277D5">
            <w:pPr>
              <w:jc w:val="both"/>
              <w:rPr>
                <w:rFonts w:eastAsia="Calibri"/>
                <w:sz w:val="20"/>
              </w:rPr>
            </w:pPr>
            <w:r w:rsidRPr="0084490B">
              <w:rPr>
                <w:rFonts w:eastAsia="Calibri"/>
                <w:sz w:val="20"/>
              </w:rPr>
              <w:t>2012 QCCA 2552</w:t>
            </w:r>
          </w:p>
          <w:p w:rsidR="00D94824" w:rsidRPr="0084490B" w:rsidRDefault="00D94824" w:rsidP="001277D5">
            <w:pPr>
              <w:jc w:val="both"/>
              <w:rPr>
                <w:rFonts w:eastAsia="Calibri"/>
                <w:sz w:val="20"/>
              </w:rPr>
            </w:pPr>
          </w:p>
        </w:tc>
        <w:tc>
          <w:tcPr>
            <w:tcW w:w="243" w:type="pct"/>
          </w:tcPr>
          <w:p w:rsidR="00D94824" w:rsidRPr="0084490B" w:rsidRDefault="00D94824" w:rsidP="001277D5">
            <w:pPr>
              <w:jc w:val="both"/>
              <w:rPr>
                <w:rFonts w:eastAsia="Calibri"/>
                <w:sz w:val="20"/>
              </w:rPr>
            </w:pPr>
          </w:p>
        </w:tc>
        <w:tc>
          <w:tcPr>
            <w:tcW w:w="2330" w:type="pct"/>
          </w:tcPr>
          <w:p w:rsidR="00D94824" w:rsidRPr="0084490B" w:rsidRDefault="00D94824" w:rsidP="001277D5">
            <w:pPr>
              <w:jc w:val="both"/>
              <w:rPr>
                <w:rFonts w:eastAsia="Calibri"/>
                <w:sz w:val="20"/>
              </w:rPr>
            </w:pPr>
            <w:r w:rsidRPr="0084490B">
              <w:rPr>
                <w:rFonts w:eastAsia="Calibri"/>
                <w:sz w:val="20"/>
              </w:rPr>
              <w:t>Motion for leave to appeal dismissed</w:t>
            </w:r>
          </w:p>
          <w:p w:rsidR="00D94824" w:rsidRPr="0084490B" w:rsidRDefault="00D94824" w:rsidP="001277D5">
            <w:pPr>
              <w:jc w:val="both"/>
              <w:rPr>
                <w:rFonts w:eastAsia="Calibri"/>
                <w:sz w:val="20"/>
              </w:rPr>
            </w:pPr>
          </w:p>
        </w:tc>
      </w:tr>
      <w:tr w:rsidR="00D94824" w:rsidRPr="0084490B" w:rsidTr="001277D5">
        <w:trPr>
          <w:trHeight w:val="20"/>
        </w:trPr>
        <w:tc>
          <w:tcPr>
            <w:tcW w:w="2427" w:type="pct"/>
          </w:tcPr>
          <w:p w:rsidR="00D94824" w:rsidRPr="0084490B" w:rsidRDefault="00D94824" w:rsidP="001277D5">
            <w:pPr>
              <w:jc w:val="both"/>
              <w:rPr>
                <w:rFonts w:eastAsia="Calibri"/>
                <w:sz w:val="20"/>
              </w:rPr>
            </w:pPr>
            <w:r w:rsidRPr="0084490B">
              <w:rPr>
                <w:rFonts w:eastAsia="Calibri"/>
                <w:sz w:val="20"/>
              </w:rPr>
              <w:t>January 31, 2013</w:t>
            </w:r>
          </w:p>
          <w:p w:rsidR="00D94824" w:rsidRPr="0084490B" w:rsidRDefault="00D94824" w:rsidP="001277D5">
            <w:pPr>
              <w:jc w:val="both"/>
              <w:rPr>
                <w:rFonts w:eastAsia="Calibri"/>
                <w:sz w:val="20"/>
              </w:rPr>
            </w:pPr>
            <w:r w:rsidRPr="0084490B">
              <w:rPr>
                <w:rFonts w:eastAsia="Calibri"/>
                <w:sz w:val="20"/>
              </w:rPr>
              <w:t>Supreme Court of Canada</w:t>
            </w:r>
          </w:p>
        </w:tc>
        <w:tc>
          <w:tcPr>
            <w:tcW w:w="243" w:type="pct"/>
          </w:tcPr>
          <w:p w:rsidR="00D94824" w:rsidRPr="0084490B" w:rsidRDefault="00D94824" w:rsidP="001277D5">
            <w:pPr>
              <w:jc w:val="both"/>
              <w:rPr>
                <w:rFonts w:eastAsia="Calibri"/>
                <w:sz w:val="20"/>
              </w:rPr>
            </w:pPr>
          </w:p>
        </w:tc>
        <w:tc>
          <w:tcPr>
            <w:tcW w:w="2330" w:type="pct"/>
          </w:tcPr>
          <w:p w:rsidR="00D94824" w:rsidRPr="0084490B" w:rsidRDefault="00D94824" w:rsidP="001277D5">
            <w:pPr>
              <w:jc w:val="both"/>
              <w:rPr>
                <w:rFonts w:eastAsia="Calibri"/>
                <w:sz w:val="20"/>
              </w:rPr>
            </w:pPr>
            <w:r w:rsidRPr="0084490B">
              <w:rPr>
                <w:rFonts w:eastAsia="Calibri"/>
                <w:sz w:val="20"/>
              </w:rPr>
              <w:t>Application for leave to appeal filed</w:t>
            </w:r>
          </w:p>
        </w:tc>
      </w:tr>
    </w:tbl>
    <w:p w:rsidR="00EA65C4" w:rsidRDefault="00EA65C4" w:rsidP="00EA65C4">
      <w:pPr>
        <w:rPr>
          <w:sz w:val="20"/>
          <w:szCs w:val="20"/>
        </w:rPr>
      </w:pPr>
    </w:p>
    <w:p w:rsidR="00EA65C4" w:rsidRPr="00C50A5C" w:rsidRDefault="0028676C" w:rsidP="00EA65C4">
      <w:pPr>
        <w:rPr>
          <w:sz w:val="20"/>
          <w:szCs w:val="20"/>
        </w:rPr>
      </w:pPr>
      <w:r w:rsidRPr="0028676C">
        <w:rPr>
          <w:sz w:val="20"/>
          <w:szCs w:val="20"/>
          <w:lang w:val="fr-CA"/>
        </w:rPr>
        <w:pict>
          <v:rect id="_x0000_i1069" style="width:2in;height:1pt" o:hrpct="0" o:hralign="center" o:hrstd="t" o:hrnoshade="t" o:hr="t" fillcolor="black [3213]" stroked="f"/>
        </w:pict>
      </w:r>
    </w:p>
    <w:p w:rsidR="00EA65C4" w:rsidRDefault="00EA65C4" w:rsidP="00EA65C4">
      <w:pPr>
        <w:rPr>
          <w:sz w:val="20"/>
          <w:szCs w:val="20"/>
        </w:rPr>
      </w:pPr>
    </w:p>
    <w:p w:rsidR="00E402A7" w:rsidRDefault="00E402A7">
      <w:pPr>
        <w:rPr>
          <w:sz w:val="20"/>
          <w:szCs w:val="20"/>
          <w:u w:val="single"/>
          <w:lang w:val="fr-CA"/>
        </w:rPr>
      </w:pPr>
      <w:r>
        <w:rPr>
          <w:sz w:val="20"/>
          <w:szCs w:val="20"/>
          <w:u w:val="single"/>
          <w:lang w:val="fr-CA"/>
        </w:rPr>
        <w:br w:type="page"/>
      </w:r>
    </w:p>
    <w:p w:rsidR="00EA65C4" w:rsidRPr="001B157C" w:rsidRDefault="00EA65C4" w:rsidP="00EA65C4">
      <w:pPr>
        <w:rPr>
          <w:sz w:val="20"/>
          <w:szCs w:val="20"/>
          <w:u w:val="single"/>
          <w:lang w:val="fr-CA"/>
        </w:rPr>
      </w:pPr>
      <w:r w:rsidRPr="001B157C">
        <w:rPr>
          <w:sz w:val="20"/>
          <w:szCs w:val="20"/>
          <w:u w:val="single"/>
          <w:lang w:val="fr-CA"/>
        </w:rPr>
        <w:t>RÉSUMÉ DE L’AFFAIRE</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94824" w:rsidRPr="00B6040C" w:rsidTr="001277D5">
        <w:tc>
          <w:tcPr>
            <w:tcW w:w="5000" w:type="pct"/>
            <w:gridSpan w:val="3"/>
          </w:tcPr>
          <w:p w:rsidR="00D94824" w:rsidRPr="0084490B" w:rsidRDefault="00D94824" w:rsidP="001277D5">
            <w:pPr>
              <w:jc w:val="both"/>
              <w:rPr>
                <w:rFonts w:eastAsia="Calibri"/>
                <w:sz w:val="20"/>
                <w:lang w:val="fr-CA"/>
              </w:rPr>
            </w:pPr>
            <w:r w:rsidRPr="0084490B">
              <w:rPr>
                <w:rFonts w:eastAsia="Calibri"/>
                <w:sz w:val="20"/>
                <w:lang w:val="fr-CA"/>
              </w:rPr>
              <w:t xml:space="preserve">Procédure civile – Délais – Désistement – Permission d’appeler – La Cour d’appel a-t-elle commis une erreur en concluant au désistement réputé de la demande prévu par l’article 274.3 </w:t>
            </w:r>
            <w:r w:rsidRPr="0084490B">
              <w:rPr>
                <w:rFonts w:eastAsia="Calibri"/>
                <w:i/>
                <w:sz w:val="20"/>
                <w:lang w:val="fr-CA"/>
              </w:rPr>
              <w:t>C.p.c.</w:t>
            </w:r>
            <w:r w:rsidRPr="0084490B">
              <w:rPr>
                <w:rFonts w:eastAsia="Calibri"/>
                <w:sz w:val="20"/>
                <w:lang w:val="fr-CA"/>
              </w:rPr>
              <w:t>?</w:t>
            </w:r>
          </w:p>
        </w:tc>
      </w:tr>
      <w:tr w:rsidR="00D94824" w:rsidRPr="00B6040C" w:rsidTr="001277D5">
        <w:tc>
          <w:tcPr>
            <w:tcW w:w="5000" w:type="pct"/>
            <w:gridSpan w:val="3"/>
          </w:tcPr>
          <w:p w:rsidR="00D94824" w:rsidRPr="0084490B" w:rsidRDefault="00D94824" w:rsidP="001277D5">
            <w:pPr>
              <w:jc w:val="both"/>
              <w:rPr>
                <w:rFonts w:eastAsia="Calibri"/>
                <w:sz w:val="20"/>
                <w:lang w:val="fr-CA"/>
              </w:rPr>
            </w:pPr>
          </w:p>
        </w:tc>
      </w:tr>
      <w:tr w:rsidR="00D94824" w:rsidRPr="00B6040C" w:rsidTr="001277D5">
        <w:tc>
          <w:tcPr>
            <w:tcW w:w="5000" w:type="pct"/>
            <w:gridSpan w:val="3"/>
          </w:tcPr>
          <w:p w:rsidR="00D94824" w:rsidRPr="0084490B" w:rsidRDefault="00D94824" w:rsidP="001277D5">
            <w:pPr>
              <w:jc w:val="both"/>
              <w:rPr>
                <w:rFonts w:eastAsia="Calibri"/>
                <w:sz w:val="20"/>
                <w:lang w:val="fr-CA"/>
              </w:rPr>
            </w:pPr>
            <w:r w:rsidRPr="0084490B">
              <w:rPr>
                <w:rFonts w:eastAsia="Calibri"/>
                <w:sz w:val="20"/>
                <w:lang w:val="fr-CA"/>
              </w:rPr>
              <w:t>M. </w:t>
            </w:r>
            <w:proofErr w:type="spellStart"/>
            <w:r w:rsidRPr="0084490B">
              <w:rPr>
                <w:rFonts w:eastAsia="Calibri"/>
                <w:sz w:val="20"/>
                <w:lang w:val="fr-CA"/>
              </w:rPr>
              <w:t>Touri</w:t>
            </w:r>
            <w:proofErr w:type="spellEnd"/>
            <w:r w:rsidRPr="0084490B">
              <w:rPr>
                <w:rFonts w:eastAsia="Calibri"/>
                <w:sz w:val="20"/>
                <w:lang w:val="fr-CA"/>
              </w:rPr>
              <w:t>, demandeur, est mis une première fois en arrêt de travail à la suite d’une recommandation de son médecin traitant.  Cela résulterait, selon M. </w:t>
            </w:r>
            <w:proofErr w:type="spellStart"/>
            <w:r w:rsidRPr="0084490B">
              <w:rPr>
                <w:rFonts w:eastAsia="Calibri"/>
                <w:sz w:val="20"/>
                <w:lang w:val="fr-CA"/>
              </w:rPr>
              <w:t>Touri</w:t>
            </w:r>
            <w:proofErr w:type="spellEnd"/>
            <w:r w:rsidRPr="0084490B">
              <w:rPr>
                <w:rFonts w:eastAsia="Calibri"/>
                <w:sz w:val="20"/>
                <w:lang w:val="fr-CA"/>
              </w:rPr>
              <w:t>, du harcèlement psychologique que ce dernier soutient avoir subi au travail.  M. </w:t>
            </w:r>
            <w:proofErr w:type="spellStart"/>
            <w:r w:rsidRPr="0084490B">
              <w:rPr>
                <w:rFonts w:eastAsia="Calibri"/>
                <w:sz w:val="20"/>
                <w:lang w:val="fr-CA"/>
              </w:rPr>
              <w:t>Touri</w:t>
            </w:r>
            <w:proofErr w:type="spellEnd"/>
            <w:r w:rsidRPr="0084490B">
              <w:rPr>
                <w:rFonts w:eastAsia="Calibri"/>
                <w:sz w:val="20"/>
                <w:lang w:val="fr-CA"/>
              </w:rPr>
              <w:t xml:space="preserve"> reprendra le travail pour s’absenter ensuite de nouveau après avoir reçu un diagnostic médical.  Cette absence serait encore une fois liée, selon M. </w:t>
            </w:r>
            <w:proofErr w:type="spellStart"/>
            <w:r w:rsidRPr="0084490B">
              <w:rPr>
                <w:rFonts w:eastAsia="Calibri"/>
                <w:sz w:val="20"/>
                <w:lang w:val="fr-CA"/>
              </w:rPr>
              <w:t>Touri</w:t>
            </w:r>
            <w:proofErr w:type="spellEnd"/>
            <w:r w:rsidRPr="0084490B">
              <w:rPr>
                <w:rFonts w:eastAsia="Calibri"/>
                <w:sz w:val="20"/>
                <w:lang w:val="fr-CA"/>
              </w:rPr>
              <w:t xml:space="preserve">, au harcèlement au travail. </w:t>
            </w:r>
          </w:p>
          <w:p w:rsidR="00D94824" w:rsidRPr="0084490B" w:rsidRDefault="00D94824" w:rsidP="001277D5">
            <w:pPr>
              <w:jc w:val="both"/>
              <w:rPr>
                <w:rFonts w:eastAsia="Calibri"/>
                <w:sz w:val="20"/>
                <w:lang w:val="fr-CA"/>
              </w:rPr>
            </w:pPr>
          </w:p>
        </w:tc>
      </w:tr>
      <w:tr w:rsidR="00D94824" w:rsidRPr="00B6040C" w:rsidTr="001277D5">
        <w:tc>
          <w:tcPr>
            <w:tcW w:w="2427" w:type="pct"/>
          </w:tcPr>
          <w:p w:rsidR="00D94824" w:rsidRPr="0084490B" w:rsidRDefault="00D94824" w:rsidP="001277D5">
            <w:pPr>
              <w:jc w:val="both"/>
              <w:rPr>
                <w:rFonts w:eastAsia="Calibri"/>
                <w:sz w:val="20"/>
                <w:lang w:val="fr-CA"/>
              </w:rPr>
            </w:pPr>
            <w:r w:rsidRPr="0084490B">
              <w:rPr>
                <w:rFonts w:eastAsia="Calibri"/>
                <w:sz w:val="20"/>
                <w:lang w:val="fr-CA"/>
              </w:rPr>
              <w:t>Le 24 juillet 2009</w:t>
            </w:r>
          </w:p>
          <w:p w:rsidR="00D94824" w:rsidRPr="0084490B" w:rsidRDefault="00D94824" w:rsidP="001277D5">
            <w:pPr>
              <w:jc w:val="both"/>
              <w:rPr>
                <w:rFonts w:eastAsia="Calibri"/>
                <w:sz w:val="20"/>
                <w:lang w:val="fr-CA"/>
              </w:rPr>
            </w:pPr>
            <w:r w:rsidRPr="0084490B">
              <w:rPr>
                <w:rFonts w:eastAsia="Calibri"/>
                <w:sz w:val="20"/>
                <w:lang w:val="fr-CA"/>
              </w:rPr>
              <w:t>Commission des lésions professionnelles</w:t>
            </w:r>
          </w:p>
          <w:p w:rsidR="00D94824" w:rsidRPr="0084490B" w:rsidRDefault="00D94824" w:rsidP="001277D5">
            <w:pPr>
              <w:jc w:val="both"/>
              <w:rPr>
                <w:rFonts w:eastAsia="Calibri"/>
                <w:sz w:val="20"/>
                <w:lang w:val="fr-CA"/>
              </w:rPr>
            </w:pPr>
            <w:r w:rsidRPr="0084490B">
              <w:rPr>
                <w:rFonts w:eastAsia="Calibri"/>
                <w:sz w:val="20"/>
                <w:lang w:val="fr-CA"/>
              </w:rPr>
              <w:t>(Yolande Lemire, juge administratif)</w:t>
            </w:r>
          </w:p>
          <w:p w:rsidR="00D94824" w:rsidRPr="0084490B" w:rsidRDefault="00D94824" w:rsidP="001277D5">
            <w:pPr>
              <w:jc w:val="both"/>
              <w:rPr>
                <w:rFonts w:eastAsia="Calibri"/>
                <w:sz w:val="20"/>
                <w:lang w:val="fr-CA"/>
              </w:rPr>
            </w:pPr>
            <w:r w:rsidRPr="0084490B">
              <w:rPr>
                <w:rFonts w:eastAsia="Calibri"/>
                <w:sz w:val="20"/>
                <w:lang w:val="fr-CA"/>
              </w:rPr>
              <w:t>2009 QCCLP 5200</w:t>
            </w:r>
          </w:p>
        </w:tc>
        <w:tc>
          <w:tcPr>
            <w:tcW w:w="243" w:type="pct"/>
          </w:tcPr>
          <w:p w:rsidR="00D94824" w:rsidRPr="0084490B" w:rsidRDefault="00D94824" w:rsidP="001277D5">
            <w:pPr>
              <w:jc w:val="both"/>
              <w:rPr>
                <w:rFonts w:eastAsia="Calibri"/>
                <w:sz w:val="20"/>
                <w:lang w:val="fr-CA"/>
              </w:rPr>
            </w:pPr>
          </w:p>
        </w:tc>
        <w:tc>
          <w:tcPr>
            <w:tcW w:w="2330" w:type="pct"/>
          </w:tcPr>
          <w:p w:rsidR="00D94824" w:rsidRPr="0084490B" w:rsidRDefault="00D94824" w:rsidP="001277D5">
            <w:pPr>
              <w:jc w:val="both"/>
              <w:rPr>
                <w:rFonts w:eastAsia="Calibri"/>
                <w:sz w:val="20"/>
                <w:lang w:val="fr-CA"/>
              </w:rPr>
            </w:pPr>
            <w:r w:rsidRPr="0084490B">
              <w:rPr>
                <w:rFonts w:eastAsia="Calibri"/>
                <w:sz w:val="20"/>
                <w:lang w:val="fr-CA"/>
              </w:rPr>
              <w:t>Décision rendue le 15 novembre 2007 par la Commission de la santé et de la sécurité du travail à la suite d’une révision administrative confirmée;</w:t>
            </w:r>
          </w:p>
          <w:p w:rsidR="00D94824" w:rsidRPr="0084490B" w:rsidRDefault="00D94824" w:rsidP="001277D5">
            <w:pPr>
              <w:jc w:val="both"/>
              <w:rPr>
                <w:rFonts w:eastAsia="Calibri"/>
                <w:sz w:val="20"/>
                <w:lang w:val="fr-CA"/>
              </w:rPr>
            </w:pPr>
            <w:r w:rsidRPr="0084490B">
              <w:rPr>
                <w:rFonts w:eastAsia="Calibri"/>
                <w:sz w:val="20"/>
                <w:lang w:val="fr-CA"/>
              </w:rPr>
              <w:t>Déclaré que la lésion diagnostiquée dans le présent dossier n’est pas une lésion professionnelle</w:t>
            </w:r>
          </w:p>
          <w:p w:rsidR="00D94824" w:rsidRPr="0084490B" w:rsidRDefault="00D94824" w:rsidP="001277D5">
            <w:pPr>
              <w:jc w:val="both"/>
              <w:rPr>
                <w:rFonts w:eastAsia="Calibri"/>
                <w:sz w:val="20"/>
                <w:lang w:val="fr-CA"/>
              </w:rPr>
            </w:pPr>
          </w:p>
        </w:tc>
      </w:tr>
      <w:tr w:rsidR="00D94824" w:rsidRPr="00B6040C" w:rsidTr="001277D5">
        <w:tc>
          <w:tcPr>
            <w:tcW w:w="2427" w:type="pct"/>
          </w:tcPr>
          <w:p w:rsidR="00D94824" w:rsidRPr="0084490B" w:rsidRDefault="00D94824" w:rsidP="001277D5">
            <w:pPr>
              <w:jc w:val="both"/>
              <w:rPr>
                <w:rFonts w:eastAsia="Calibri"/>
                <w:sz w:val="20"/>
                <w:lang w:val="fr-CA"/>
              </w:rPr>
            </w:pPr>
            <w:r w:rsidRPr="0084490B">
              <w:rPr>
                <w:rFonts w:eastAsia="Calibri"/>
                <w:sz w:val="20"/>
                <w:lang w:val="fr-CA"/>
              </w:rPr>
              <w:t>Le 24 novembre 2009</w:t>
            </w:r>
          </w:p>
          <w:p w:rsidR="00D94824" w:rsidRPr="0084490B" w:rsidRDefault="00D94824" w:rsidP="001277D5">
            <w:pPr>
              <w:jc w:val="both"/>
              <w:rPr>
                <w:rFonts w:eastAsia="Calibri"/>
                <w:sz w:val="20"/>
                <w:lang w:val="fr-CA"/>
              </w:rPr>
            </w:pPr>
            <w:r w:rsidRPr="0084490B">
              <w:rPr>
                <w:rFonts w:eastAsia="Calibri"/>
                <w:sz w:val="20"/>
                <w:lang w:val="fr-CA"/>
              </w:rPr>
              <w:t>Commission des lésions professionnelles</w:t>
            </w:r>
          </w:p>
          <w:p w:rsidR="00D94824" w:rsidRPr="0084490B" w:rsidRDefault="00D94824" w:rsidP="001277D5">
            <w:pPr>
              <w:jc w:val="both"/>
              <w:rPr>
                <w:rFonts w:eastAsia="Calibri"/>
                <w:sz w:val="20"/>
                <w:lang w:val="fr-CA"/>
              </w:rPr>
            </w:pPr>
            <w:r w:rsidRPr="0084490B">
              <w:rPr>
                <w:rFonts w:eastAsia="Calibri"/>
                <w:sz w:val="20"/>
                <w:lang w:val="fr-CA"/>
              </w:rPr>
              <w:t xml:space="preserve">(René </w:t>
            </w:r>
            <w:proofErr w:type="spellStart"/>
            <w:r w:rsidRPr="0084490B">
              <w:rPr>
                <w:rFonts w:eastAsia="Calibri"/>
                <w:sz w:val="20"/>
                <w:lang w:val="fr-CA"/>
              </w:rPr>
              <w:t>Napert</w:t>
            </w:r>
            <w:proofErr w:type="spellEnd"/>
            <w:r w:rsidRPr="0084490B">
              <w:rPr>
                <w:rFonts w:eastAsia="Calibri"/>
                <w:sz w:val="20"/>
                <w:lang w:val="fr-CA"/>
              </w:rPr>
              <w:t>, juge administratif)</w:t>
            </w:r>
          </w:p>
          <w:p w:rsidR="00D94824" w:rsidRPr="0084490B" w:rsidRDefault="00D94824" w:rsidP="001277D5">
            <w:pPr>
              <w:jc w:val="both"/>
              <w:rPr>
                <w:rFonts w:eastAsia="Calibri"/>
                <w:sz w:val="20"/>
                <w:lang w:val="fr-CA"/>
              </w:rPr>
            </w:pPr>
            <w:r w:rsidRPr="0084490B">
              <w:rPr>
                <w:rFonts w:eastAsia="Calibri"/>
                <w:sz w:val="20"/>
                <w:lang w:val="fr-CA"/>
              </w:rPr>
              <w:t>2009 QCCLP 7940</w:t>
            </w:r>
          </w:p>
        </w:tc>
        <w:tc>
          <w:tcPr>
            <w:tcW w:w="243" w:type="pct"/>
          </w:tcPr>
          <w:p w:rsidR="00D94824" w:rsidRPr="0084490B" w:rsidRDefault="00D94824" w:rsidP="001277D5">
            <w:pPr>
              <w:jc w:val="both"/>
              <w:rPr>
                <w:rFonts w:eastAsia="Calibri"/>
                <w:sz w:val="20"/>
                <w:lang w:val="fr-CA"/>
              </w:rPr>
            </w:pPr>
          </w:p>
        </w:tc>
        <w:tc>
          <w:tcPr>
            <w:tcW w:w="2330" w:type="pct"/>
          </w:tcPr>
          <w:p w:rsidR="00D94824" w:rsidRPr="0084490B" w:rsidRDefault="00D94824" w:rsidP="001277D5">
            <w:pPr>
              <w:jc w:val="both"/>
              <w:rPr>
                <w:rFonts w:eastAsia="Calibri"/>
                <w:sz w:val="20"/>
                <w:lang w:val="fr-CA"/>
              </w:rPr>
            </w:pPr>
            <w:r w:rsidRPr="0084490B">
              <w:rPr>
                <w:rFonts w:eastAsia="Calibri"/>
                <w:sz w:val="20"/>
                <w:lang w:val="fr-CA"/>
              </w:rPr>
              <w:t>Décision rendue le 26 février 2009 par la Commission de la santé et de la sécurité du travail à la suite d’une révision administrative confirmée;</w:t>
            </w:r>
          </w:p>
          <w:p w:rsidR="00D94824" w:rsidRPr="0084490B" w:rsidRDefault="00D94824" w:rsidP="001277D5">
            <w:pPr>
              <w:jc w:val="both"/>
              <w:rPr>
                <w:rFonts w:eastAsia="Calibri"/>
                <w:sz w:val="20"/>
                <w:lang w:val="fr-CA"/>
              </w:rPr>
            </w:pPr>
            <w:r w:rsidRPr="0084490B">
              <w:rPr>
                <w:rFonts w:eastAsia="Calibri"/>
                <w:sz w:val="20"/>
                <w:lang w:val="fr-CA"/>
              </w:rPr>
              <w:t>Déclaré que le demandeur n’a pas subi de lésion professionnelle</w:t>
            </w:r>
          </w:p>
          <w:p w:rsidR="00D94824" w:rsidRPr="0084490B" w:rsidRDefault="00D94824" w:rsidP="001277D5">
            <w:pPr>
              <w:jc w:val="both"/>
              <w:rPr>
                <w:rFonts w:eastAsia="Calibri"/>
                <w:sz w:val="20"/>
                <w:lang w:val="fr-CA"/>
              </w:rPr>
            </w:pPr>
          </w:p>
        </w:tc>
      </w:tr>
      <w:tr w:rsidR="00D94824" w:rsidRPr="00B6040C" w:rsidTr="001277D5">
        <w:tc>
          <w:tcPr>
            <w:tcW w:w="2427" w:type="pct"/>
          </w:tcPr>
          <w:p w:rsidR="00D94824" w:rsidRPr="0084490B" w:rsidRDefault="00D94824" w:rsidP="001277D5">
            <w:pPr>
              <w:jc w:val="both"/>
              <w:rPr>
                <w:rFonts w:eastAsia="Calibri"/>
                <w:sz w:val="20"/>
                <w:lang w:val="fr-CA"/>
              </w:rPr>
            </w:pPr>
            <w:r w:rsidRPr="0084490B">
              <w:rPr>
                <w:rFonts w:eastAsia="Calibri"/>
                <w:sz w:val="20"/>
                <w:lang w:val="fr-CA"/>
              </w:rPr>
              <w:t>Le 6 novembre 2012</w:t>
            </w:r>
          </w:p>
          <w:p w:rsidR="00D94824" w:rsidRPr="0084490B" w:rsidRDefault="00D94824" w:rsidP="001277D5">
            <w:pPr>
              <w:jc w:val="both"/>
              <w:rPr>
                <w:rFonts w:eastAsia="Calibri"/>
                <w:sz w:val="20"/>
                <w:lang w:val="fr-CA"/>
              </w:rPr>
            </w:pPr>
            <w:r w:rsidRPr="0084490B">
              <w:rPr>
                <w:rFonts w:eastAsia="Calibri"/>
                <w:sz w:val="20"/>
                <w:lang w:val="fr-CA"/>
              </w:rPr>
              <w:t>Cour supérieure du Québec</w:t>
            </w:r>
          </w:p>
          <w:p w:rsidR="00D94824" w:rsidRPr="0084490B" w:rsidRDefault="00D94824" w:rsidP="001277D5">
            <w:pPr>
              <w:jc w:val="both"/>
              <w:rPr>
                <w:rFonts w:eastAsia="Calibri"/>
                <w:sz w:val="20"/>
                <w:lang w:val="fr-CA"/>
              </w:rPr>
            </w:pPr>
            <w:r w:rsidRPr="0084490B">
              <w:rPr>
                <w:rFonts w:eastAsia="Calibri"/>
                <w:sz w:val="20"/>
                <w:lang w:val="fr-CA"/>
              </w:rPr>
              <w:t>(Le juge de Grandpré)</w:t>
            </w:r>
          </w:p>
          <w:p w:rsidR="00D94824" w:rsidRPr="0084490B" w:rsidRDefault="00D94824" w:rsidP="001277D5">
            <w:pPr>
              <w:jc w:val="both"/>
              <w:rPr>
                <w:rFonts w:eastAsia="Calibri"/>
                <w:sz w:val="20"/>
                <w:lang w:val="fr-CA"/>
              </w:rPr>
            </w:pPr>
            <w:r w:rsidRPr="0084490B">
              <w:rPr>
                <w:rFonts w:eastAsia="Calibri"/>
                <w:sz w:val="20"/>
                <w:lang w:val="fr-CA"/>
              </w:rPr>
              <w:t>2012 QCCS 5563</w:t>
            </w:r>
          </w:p>
          <w:p w:rsidR="00D94824" w:rsidRPr="0084490B" w:rsidRDefault="00D94824" w:rsidP="001277D5">
            <w:pPr>
              <w:jc w:val="both"/>
              <w:rPr>
                <w:rFonts w:eastAsia="Calibri"/>
                <w:sz w:val="20"/>
                <w:lang w:val="fr-CA"/>
              </w:rPr>
            </w:pPr>
          </w:p>
        </w:tc>
        <w:tc>
          <w:tcPr>
            <w:tcW w:w="243" w:type="pct"/>
          </w:tcPr>
          <w:p w:rsidR="00D94824" w:rsidRPr="0084490B" w:rsidRDefault="00D94824" w:rsidP="001277D5">
            <w:pPr>
              <w:jc w:val="both"/>
              <w:rPr>
                <w:rFonts w:eastAsia="Calibri"/>
                <w:sz w:val="20"/>
                <w:lang w:val="fr-CA"/>
              </w:rPr>
            </w:pPr>
          </w:p>
        </w:tc>
        <w:tc>
          <w:tcPr>
            <w:tcW w:w="2330" w:type="pct"/>
          </w:tcPr>
          <w:p w:rsidR="00D94824" w:rsidRPr="0084490B" w:rsidRDefault="00D94824" w:rsidP="001277D5">
            <w:pPr>
              <w:jc w:val="both"/>
              <w:rPr>
                <w:rFonts w:eastAsia="Calibri"/>
                <w:sz w:val="20"/>
                <w:lang w:val="fr-CA"/>
              </w:rPr>
            </w:pPr>
            <w:r w:rsidRPr="0084490B">
              <w:rPr>
                <w:rFonts w:eastAsia="Calibri"/>
                <w:sz w:val="20"/>
                <w:lang w:val="fr-CA"/>
              </w:rPr>
              <w:t>Requête en révision judiciaire rejetée;</w:t>
            </w:r>
          </w:p>
          <w:p w:rsidR="00D94824" w:rsidRPr="0084490B" w:rsidRDefault="00D94824" w:rsidP="001277D5">
            <w:pPr>
              <w:jc w:val="both"/>
              <w:rPr>
                <w:rFonts w:eastAsia="Calibri"/>
                <w:sz w:val="20"/>
                <w:lang w:val="fr-CA"/>
              </w:rPr>
            </w:pPr>
            <w:r w:rsidRPr="0084490B">
              <w:rPr>
                <w:rFonts w:eastAsia="Calibri"/>
                <w:sz w:val="20"/>
                <w:lang w:val="fr-CA"/>
              </w:rPr>
              <w:t xml:space="preserve">Requête en rejet d’action déposée par la Commission des lésions professionnelles accueillie </w:t>
            </w:r>
          </w:p>
        </w:tc>
      </w:tr>
      <w:tr w:rsidR="00D94824" w:rsidRPr="0084490B" w:rsidTr="001277D5">
        <w:tc>
          <w:tcPr>
            <w:tcW w:w="2427" w:type="pct"/>
          </w:tcPr>
          <w:p w:rsidR="00D94824" w:rsidRPr="0084490B" w:rsidRDefault="00D94824" w:rsidP="001277D5">
            <w:pPr>
              <w:jc w:val="both"/>
              <w:rPr>
                <w:rFonts w:eastAsia="Calibri"/>
                <w:sz w:val="20"/>
                <w:lang w:val="fr-CA"/>
              </w:rPr>
            </w:pPr>
            <w:r w:rsidRPr="0084490B">
              <w:rPr>
                <w:rFonts w:eastAsia="Calibri"/>
                <w:sz w:val="20"/>
                <w:lang w:val="fr-CA"/>
              </w:rPr>
              <w:t>Le 13 décembre 2012</w:t>
            </w:r>
          </w:p>
          <w:p w:rsidR="00D94824" w:rsidRPr="0084490B" w:rsidRDefault="00D94824" w:rsidP="001277D5">
            <w:pPr>
              <w:jc w:val="both"/>
              <w:rPr>
                <w:rFonts w:eastAsia="Calibri"/>
                <w:sz w:val="20"/>
                <w:lang w:val="fr-CA"/>
              </w:rPr>
            </w:pPr>
            <w:r w:rsidRPr="0084490B">
              <w:rPr>
                <w:rFonts w:eastAsia="Calibri"/>
                <w:sz w:val="20"/>
                <w:lang w:val="fr-CA"/>
              </w:rPr>
              <w:t>Cour d’appel du Québec (Montréal)</w:t>
            </w:r>
          </w:p>
          <w:p w:rsidR="00D94824" w:rsidRPr="0084490B" w:rsidRDefault="00D94824" w:rsidP="001277D5">
            <w:pPr>
              <w:jc w:val="both"/>
              <w:rPr>
                <w:rFonts w:eastAsia="Calibri"/>
                <w:sz w:val="20"/>
                <w:lang w:val="fr-CA"/>
              </w:rPr>
            </w:pPr>
            <w:r w:rsidRPr="0084490B">
              <w:rPr>
                <w:rFonts w:eastAsia="Calibri"/>
                <w:sz w:val="20"/>
                <w:lang w:val="fr-CA"/>
              </w:rPr>
              <w:t>(Le juge Léger)</w:t>
            </w:r>
          </w:p>
          <w:p w:rsidR="00D94824" w:rsidRPr="0084490B" w:rsidRDefault="00D94824" w:rsidP="001277D5">
            <w:pPr>
              <w:jc w:val="both"/>
              <w:rPr>
                <w:rFonts w:eastAsia="Calibri"/>
                <w:sz w:val="20"/>
                <w:lang w:val="fr-CA"/>
              </w:rPr>
            </w:pPr>
            <w:r w:rsidRPr="0084490B">
              <w:rPr>
                <w:rFonts w:eastAsia="Calibri"/>
                <w:sz w:val="20"/>
                <w:lang w:val="fr-CA"/>
              </w:rPr>
              <w:t>2012 QCCA 2552</w:t>
            </w:r>
          </w:p>
          <w:p w:rsidR="00D94824" w:rsidRPr="0084490B" w:rsidRDefault="00D94824" w:rsidP="001277D5">
            <w:pPr>
              <w:jc w:val="both"/>
              <w:rPr>
                <w:rFonts w:eastAsia="Calibri"/>
                <w:sz w:val="20"/>
              </w:rPr>
            </w:pPr>
          </w:p>
        </w:tc>
        <w:tc>
          <w:tcPr>
            <w:tcW w:w="243" w:type="pct"/>
          </w:tcPr>
          <w:p w:rsidR="00D94824" w:rsidRPr="0084490B" w:rsidRDefault="00D94824" w:rsidP="001277D5">
            <w:pPr>
              <w:jc w:val="both"/>
              <w:rPr>
                <w:rFonts w:eastAsia="Calibri"/>
                <w:sz w:val="20"/>
              </w:rPr>
            </w:pPr>
          </w:p>
        </w:tc>
        <w:tc>
          <w:tcPr>
            <w:tcW w:w="2330" w:type="pct"/>
          </w:tcPr>
          <w:p w:rsidR="00D94824" w:rsidRPr="0084490B" w:rsidRDefault="00D94824" w:rsidP="001277D5">
            <w:pPr>
              <w:jc w:val="both"/>
              <w:rPr>
                <w:rFonts w:eastAsia="Calibri"/>
                <w:sz w:val="20"/>
                <w:lang w:val="fr-CA"/>
              </w:rPr>
            </w:pPr>
            <w:r w:rsidRPr="0084490B">
              <w:rPr>
                <w:rFonts w:eastAsia="Calibri"/>
                <w:sz w:val="20"/>
                <w:lang w:val="fr-CA"/>
              </w:rPr>
              <w:t>Requête pour permission d’appeler rejetée</w:t>
            </w:r>
          </w:p>
          <w:p w:rsidR="00D94824" w:rsidRPr="0084490B" w:rsidRDefault="00D94824" w:rsidP="001277D5">
            <w:pPr>
              <w:jc w:val="both"/>
              <w:rPr>
                <w:rFonts w:eastAsia="Calibri"/>
                <w:sz w:val="20"/>
                <w:lang w:val="fr-CA"/>
              </w:rPr>
            </w:pPr>
          </w:p>
        </w:tc>
      </w:tr>
      <w:tr w:rsidR="00D94824" w:rsidRPr="0084490B" w:rsidTr="001277D5">
        <w:trPr>
          <w:trHeight w:val="20"/>
        </w:trPr>
        <w:tc>
          <w:tcPr>
            <w:tcW w:w="2427" w:type="pct"/>
          </w:tcPr>
          <w:p w:rsidR="00D94824" w:rsidRPr="0084490B" w:rsidRDefault="00D94824" w:rsidP="001277D5">
            <w:pPr>
              <w:jc w:val="both"/>
              <w:rPr>
                <w:rFonts w:eastAsia="Calibri"/>
                <w:sz w:val="20"/>
                <w:lang w:val="fr-CA"/>
              </w:rPr>
            </w:pPr>
            <w:r w:rsidRPr="0084490B">
              <w:rPr>
                <w:rFonts w:eastAsia="Calibri"/>
                <w:sz w:val="20"/>
                <w:lang w:val="fr-CA"/>
              </w:rPr>
              <w:t>Le 31 janvier 2013</w:t>
            </w:r>
          </w:p>
          <w:p w:rsidR="00D94824" w:rsidRPr="0084490B" w:rsidRDefault="00D94824" w:rsidP="001277D5">
            <w:pPr>
              <w:jc w:val="both"/>
              <w:rPr>
                <w:rFonts w:eastAsia="Calibri"/>
                <w:sz w:val="20"/>
                <w:lang w:val="fr-CA"/>
              </w:rPr>
            </w:pPr>
            <w:r w:rsidRPr="0084490B">
              <w:rPr>
                <w:rFonts w:eastAsia="Calibri"/>
                <w:sz w:val="20"/>
                <w:lang w:val="fr-CA"/>
              </w:rPr>
              <w:t>Cour suprême du Canada</w:t>
            </w:r>
          </w:p>
        </w:tc>
        <w:tc>
          <w:tcPr>
            <w:tcW w:w="243" w:type="pct"/>
          </w:tcPr>
          <w:p w:rsidR="00D94824" w:rsidRPr="0084490B" w:rsidRDefault="00D94824" w:rsidP="001277D5">
            <w:pPr>
              <w:jc w:val="both"/>
              <w:rPr>
                <w:rFonts w:eastAsia="Calibri"/>
                <w:sz w:val="20"/>
                <w:lang w:val="fr-CA"/>
              </w:rPr>
            </w:pPr>
          </w:p>
        </w:tc>
        <w:tc>
          <w:tcPr>
            <w:tcW w:w="2330" w:type="pct"/>
          </w:tcPr>
          <w:p w:rsidR="00D94824" w:rsidRPr="0084490B" w:rsidRDefault="00D94824" w:rsidP="001277D5">
            <w:pPr>
              <w:jc w:val="both"/>
              <w:rPr>
                <w:rFonts w:eastAsia="Calibri"/>
                <w:sz w:val="20"/>
                <w:lang w:val="fr-CA"/>
              </w:rPr>
            </w:pPr>
            <w:r w:rsidRPr="0084490B">
              <w:rPr>
                <w:rFonts w:eastAsia="Calibri"/>
                <w:sz w:val="20"/>
                <w:lang w:val="fr-CA"/>
              </w:rPr>
              <w:t>Demande d’autorisation d’appel déposée</w:t>
            </w:r>
          </w:p>
        </w:tc>
      </w:tr>
    </w:tbl>
    <w:p w:rsidR="00EA65C4" w:rsidRDefault="00EA65C4" w:rsidP="00EA65C4">
      <w:pPr>
        <w:rPr>
          <w:sz w:val="20"/>
          <w:szCs w:val="20"/>
        </w:rPr>
      </w:pPr>
    </w:p>
    <w:p w:rsidR="00EA65C4" w:rsidRDefault="0028676C" w:rsidP="00EA65C4">
      <w:pPr>
        <w:rPr>
          <w:sz w:val="20"/>
          <w:szCs w:val="20"/>
        </w:rPr>
      </w:pPr>
      <w:r w:rsidRPr="0028676C">
        <w:rPr>
          <w:sz w:val="20"/>
          <w:szCs w:val="20"/>
          <w:lang w:val="fr-CA"/>
        </w:rPr>
        <w:pict>
          <v:rect id="_x0000_i1070" style="width:2in;height:1pt" o:hrpct="0" o:hralign="center" o:hrstd="t" o:hrnoshade="t" o:hr="t" fillcolor="black [3213]" stroked="f"/>
        </w:pict>
      </w:r>
    </w:p>
    <w:p w:rsidR="00EA65C4" w:rsidRDefault="00EA65C4" w:rsidP="00EA65C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64224" w:rsidRPr="0068500F" w:rsidTr="0071552E">
        <w:trPr>
          <w:cantSplit/>
        </w:trPr>
        <w:tc>
          <w:tcPr>
            <w:tcW w:w="1458" w:type="dxa"/>
          </w:tcPr>
          <w:p w:rsidR="00D64224" w:rsidRPr="0068500F" w:rsidRDefault="00D64224" w:rsidP="0071552E">
            <w:pPr>
              <w:rPr>
                <w:sz w:val="20"/>
                <w:szCs w:val="20"/>
              </w:rPr>
            </w:pPr>
            <w:r w:rsidRPr="0068500F">
              <w:rPr>
                <w:rStyle w:val="SCCFileNumberChar"/>
                <w:sz w:val="20"/>
                <w:szCs w:val="20"/>
              </w:rPr>
              <w:t>35240</w:t>
            </w:r>
          </w:p>
          <w:p w:rsidR="00D64224" w:rsidRPr="0068500F" w:rsidRDefault="00D64224" w:rsidP="0071552E">
            <w:pPr>
              <w:rPr>
                <w:b/>
                <w:sz w:val="20"/>
                <w:szCs w:val="20"/>
                <w:lang w:val="fr-CA"/>
              </w:rPr>
            </w:pPr>
          </w:p>
        </w:tc>
        <w:tc>
          <w:tcPr>
            <w:tcW w:w="8118" w:type="dxa"/>
          </w:tcPr>
          <w:p w:rsidR="00D64224" w:rsidRPr="0068500F" w:rsidRDefault="00D64224" w:rsidP="0071552E">
            <w:pPr>
              <w:rPr>
                <w:sz w:val="20"/>
                <w:szCs w:val="20"/>
              </w:rPr>
            </w:pPr>
            <w:r w:rsidRPr="00D64224">
              <w:rPr>
                <w:rStyle w:val="SCCLsocChar"/>
                <w:sz w:val="20"/>
                <w:szCs w:val="20"/>
                <w:lang w:val="en-CA"/>
              </w:rPr>
              <w:t>N</w:t>
            </w:r>
            <w:r w:rsidR="00B6040C">
              <w:rPr>
                <w:rStyle w:val="SCCLsocChar"/>
                <w:sz w:val="20"/>
                <w:szCs w:val="20"/>
                <w:lang w:val="en-CA"/>
              </w:rPr>
              <w:t>.C.B.</w:t>
            </w:r>
            <w:r w:rsidRPr="00D64224">
              <w:rPr>
                <w:rStyle w:val="SCCLsocChar"/>
                <w:sz w:val="20"/>
                <w:szCs w:val="20"/>
                <w:lang w:val="en-CA"/>
              </w:rPr>
              <w:t xml:space="preserve"> v. Her Majesty the Queen</w:t>
            </w:r>
            <w:r w:rsidRPr="0068500F">
              <w:rPr>
                <w:sz w:val="20"/>
                <w:szCs w:val="20"/>
              </w:rPr>
              <w:t xml:space="preserve"> (Alta.) (Criminal) (By Leave)</w:t>
            </w:r>
          </w:p>
          <w:p w:rsidR="00D64224" w:rsidRPr="0068500F" w:rsidRDefault="00D64224" w:rsidP="0071552E">
            <w:pPr>
              <w:rPr>
                <w:sz w:val="20"/>
                <w:szCs w:val="20"/>
              </w:rPr>
            </w:pPr>
          </w:p>
        </w:tc>
      </w:tr>
      <w:tr w:rsidR="00D64224" w:rsidRPr="0068500F" w:rsidTr="0071552E">
        <w:trPr>
          <w:cantSplit/>
        </w:trPr>
        <w:tc>
          <w:tcPr>
            <w:tcW w:w="1458" w:type="dxa"/>
          </w:tcPr>
          <w:p w:rsidR="00D64224" w:rsidRPr="0068500F" w:rsidRDefault="00D64224" w:rsidP="0071552E">
            <w:pPr>
              <w:rPr>
                <w:sz w:val="20"/>
                <w:szCs w:val="20"/>
              </w:rPr>
            </w:pPr>
            <w:r w:rsidRPr="0068500F">
              <w:rPr>
                <w:sz w:val="20"/>
                <w:szCs w:val="20"/>
              </w:rPr>
              <w:t>Coram :</w:t>
            </w:r>
          </w:p>
        </w:tc>
        <w:tc>
          <w:tcPr>
            <w:tcW w:w="8118" w:type="dxa"/>
          </w:tcPr>
          <w:p w:rsidR="00D64224" w:rsidRPr="0068500F" w:rsidRDefault="00D64224" w:rsidP="0071552E">
            <w:pPr>
              <w:rPr>
                <w:sz w:val="20"/>
                <w:szCs w:val="20"/>
              </w:rPr>
            </w:pPr>
            <w:proofErr w:type="spellStart"/>
            <w:r w:rsidRPr="00D64224">
              <w:rPr>
                <w:rStyle w:val="SCCCoramChar"/>
                <w:sz w:val="20"/>
                <w:szCs w:val="20"/>
                <w:lang w:val="en-CA"/>
              </w:rPr>
              <w:t>LeBel</w:t>
            </w:r>
            <w:proofErr w:type="spellEnd"/>
            <w:r w:rsidRPr="00D64224">
              <w:rPr>
                <w:rStyle w:val="SCCCoramChar"/>
                <w:sz w:val="20"/>
                <w:szCs w:val="20"/>
                <w:lang w:val="en-CA"/>
              </w:rPr>
              <w:t>, Karakatsanis and Wagner JJ.</w:t>
            </w:r>
          </w:p>
          <w:p w:rsidR="00D64224" w:rsidRPr="0068500F" w:rsidRDefault="00D64224" w:rsidP="0071552E">
            <w:pPr>
              <w:rPr>
                <w:sz w:val="20"/>
                <w:szCs w:val="20"/>
                <w:u w:val="single"/>
              </w:rPr>
            </w:pPr>
          </w:p>
        </w:tc>
      </w:tr>
      <w:tr w:rsidR="00D64224" w:rsidRPr="00B6040C" w:rsidTr="0071552E">
        <w:trPr>
          <w:cantSplit/>
        </w:trPr>
        <w:tc>
          <w:tcPr>
            <w:tcW w:w="9576" w:type="dxa"/>
            <w:gridSpan w:val="2"/>
          </w:tcPr>
          <w:p w:rsidR="00D64224" w:rsidRPr="0068500F" w:rsidRDefault="00D64224" w:rsidP="0071552E">
            <w:pPr>
              <w:pStyle w:val="SCCShortJudgment"/>
              <w:rPr>
                <w:szCs w:val="20"/>
              </w:rPr>
            </w:pPr>
            <w:r w:rsidRPr="0068500F">
              <w:rPr>
                <w:szCs w:val="20"/>
              </w:rPr>
              <w:t>The motion for an extension of time to serve and file the application for leave to appeal is granted. The application for leave to appeal from the judgment of the Court of Appeal of Alberta (Edmonton), Number 1103-0286-A, 2012 ABCA 238, dated July 26, 2012, is dismissed without costs.</w:t>
            </w:r>
          </w:p>
          <w:p w:rsidR="00D64224" w:rsidRPr="0068500F" w:rsidRDefault="00D64224" w:rsidP="0071552E">
            <w:pPr>
              <w:pStyle w:val="SCCShortJudgment"/>
              <w:ind w:firstLine="0"/>
              <w:rPr>
                <w:szCs w:val="20"/>
              </w:rPr>
            </w:pPr>
          </w:p>
          <w:p w:rsidR="00D64224" w:rsidRPr="0068500F" w:rsidRDefault="00D64224" w:rsidP="0071552E">
            <w:pPr>
              <w:pStyle w:val="SCCShortJudgment"/>
              <w:rPr>
                <w:szCs w:val="20"/>
                <w:lang w:val="fr-CA"/>
              </w:rPr>
            </w:pPr>
            <w:r w:rsidRPr="0068500F">
              <w:rPr>
                <w:szCs w:val="20"/>
                <w:lang w:val="fr-CA"/>
              </w:rPr>
              <w:t>La requête en prorogation du délai de signification et de dépôt de la demande d’autorisation d’appel est accueillie. La demande d’autorisation d’appel de l’arrêt de la Cour d’appel de l’Alberta (Edmonton), numéro 1103-0286-A, 2012 ABCA 238, daté du 26 juillet 2012, est rejetée sans dépens.</w:t>
            </w:r>
          </w:p>
        </w:tc>
      </w:tr>
    </w:tbl>
    <w:p w:rsidR="00EA65C4" w:rsidRPr="00D64224" w:rsidRDefault="00EA65C4" w:rsidP="00EA65C4">
      <w:pPr>
        <w:rPr>
          <w:sz w:val="20"/>
          <w:szCs w:val="20"/>
          <w:lang w:val="fr-CA"/>
        </w:rPr>
      </w:pPr>
    </w:p>
    <w:p w:rsidR="00EA65C4" w:rsidRPr="00B6040C" w:rsidRDefault="00EA65C4" w:rsidP="00EA65C4">
      <w:pPr>
        <w:rPr>
          <w:sz w:val="20"/>
          <w:szCs w:val="20"/>
          <w:u w:val="single"/>
        </w:rPr>
      </w:pPr>
      <w:r w:rsidRPr="00B6040C">
        <w:rPr>
          <w:sz w:val="20"/>
          <w:szCs w:val="20"/>
          <w:u w:val="single"/>
        </w:rPr>
        <w:t>CASE SUMMARY</w:t>
      </w:r>
    </w:p>
    <w:p w:rsidR="00EA65C4" w:rsidRPr="00B6040C"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6040C" w:rsidRPr="00B6040C" w:rsidTr="009C190F">
        <w:tc>
          <w:tcPr>
            <w:tcW w:w="5000" w:type="pct"/>
            <w:gridSpan w:val="3"/>
          </w:tcPr>
          <w:p w:rsidR="00B6040C" w:rsidRPr="00B6040C" w:rsidRDefault="00B6040C" w:rsidP="00B6040C">
            <w:pPr>
              <w:jc w:val="both"/>
              <w:rPr>
                <w:smallCaps/>
                <w:sz w:val="20"/>
                <w:szCs w:val="20"/>
              </w:rPr>
            </w:pPr>
            <w:r w:rsidRPr="00B6040C">
              <w:rPr>
                <w:smallCaps/>
                <w:sz w:val="20"/>
                <w:szCs w:val="20"/>
              </w:rPr>
              <w:t>(Publication ban in case)</w:t>
            </w:r>
          </w:p>
          <w:p w:rsidR="00B6040C" w:rsidRPr="00B6040C" w:rsidRDefault="00B6040C" w:rsidP="00B6040C">
            <w:pPr>
              <w:jc w:val="both"/>
              <w:rPr>
                <w:sz w:val="20"/>
                <w:szCs w:val="20"/>
              </w:rPr>
            </w:pPr>
          </w:p>
        </w:tc>
      </w:tr>
      <w:tr w:rsidR="00B6040C" w:rsidRPr="00B6040C" w:rsidTr="009C190F">
        <w:tc>
          <w:tcPr>
            <w:tcW w:w="5000" w:type="pct"/>
            <w:gridSpan w:val="3"/>
          </w:tcPr>
          <w:p w:rsidR="00B6040C" w:rsidRPr="00B6040C" w:rsidRDefault="00B6040C" w:rsidP="00B6040C">
            <w:pPr>
              <w:jc w:val="both"/>
              <w:rPr>
                <w:sz w:val="20"/>
                <w:szCs w:val="20"/>
              </w:rPr>
            </w:pPr>
            <w:r w:rsidRPr="00B6040C">
              <w:rPr>
                <w:sz w:val="20"/>
                <w:szCs w:val="20"/>
              </w:rPr>
              <w:t>Criminal law – Evidence – Assessment – Credibility – Reasonable apprehension of bias – Whether the Court of Appeal erred in law by applying the wrong legal test in determining that no reasonable apprehension of bias arose as a result of the submissions by both trial counsel in this matter and the resulting findings by the trial judge.</w:t>
            </w:r>
          </w:p>
        </w:tc>
      </w:tr>
      <w:tr w:rsidR="00B6040C" w:rsidRPr="00B6040C" w:rsidTr="009C190F">
        <w:tc>
          <w:tcPr>
            <w:tcW w:w="5000" w:type="pct"/>
            <w:gridSpan w:val="3"/>
          </w:tcPr>
          <w:p w:rsidR="00B6040C" w:rsidRPr="00B6040C" w:rsidRDefault="00B6040C" w:rsidP="00B6040C">
            <w:pPr>
              <w:jc w:val="both"/>
              <w:rPr>
                <w:sz w:val="20"/>
                <w:szCs w:val="20"/>
              </w:rPr>
            </w:pPr>
          </w:p>
          <w:p w:rsidR="00B6040C" w:rsidRPr="00B6040C" w:rsidRDefault="00B6040C" w:rsidP="00B6040C">
            <w:pPr>
              <w:jc w:val="both"/>
              <w:rPr>
                <w:sz w:val="20"/>
                <w:szCs w:val="20"/>
              </w:rPr>
            </w:pPr>
            <w:r w:rsidRPr="00B6040C">
              <w:rPr>
                <w:sz w:val="20"/>
                <w:szCs w:val="20"/>
              </w:rPr>
              <w:t>The applicant was convicted of sexual assault and child pornography offences involving the daughters of a family friend. She was originally jointly charged with her husband, whose guilt would have been proven beyond any doubt had he not committed suicide before the conclusion of trial. The evidence consisted of, among other things, photographs of the husband performing sexual acts on the girls, and the testimony of the girls who stated that the applicant supplied them with alcoholic drinks and took the photographs. The applicant denied any involvement and claimed she knew nothing of her husband’s conduct towards the girls. She appealed her conviction on three grounds, one of which was that the trial judge’s adverse credibility finding against her was tainted by a reasonable apprehension of bias which was the product of disparaging comments made about her and her husband’s credibility to the trial judge by their then-counsel on a motion to withdraw. In short, their counsel stated that “I have absolutely no confidence in anything they tell me right now”, and “I don’t want to be part of what might be perceived as an attempt to perpetrate a fraud on the Court”. The Court of Appeal dismissed the appeal.</w:t>
            </w:r>
          </w:p>
          <w:p w:rsidR="00B6040C" w:rsidRPr="00B6040C" w:rsidRDefault="00B6040C" w:rsidP="00B6040C">
            <w:pPr>
              <w:jc w:val="both"/>
              <w:rPr>
                <w:sz w:val="20"/>
                <w:szCs w:val="20"/>
              </w:rPr>
            </w:pPr>
          </w:p>
        </w:tc>
      </w:tr>
      <w:tr w:rsidR="00B6040C" w:rsidRPr="00B6040C" w:rsidTr="009C190F">
        <w:tc>
          <w:tcPr>
            <w:tcW w:w="2427" w:type="pct"/>
          </w:tcPr>
          <w:p w:rsidR="00B6040C" w:rsidRPr="00B6040C" w:rsidRDefault="00B6040C" w:rsidP="00B6040C">
            <w:pPr>
              <w:jc w:val="both"/>
              <w:rPr>
                <w:sz w:val="20"/>
                <w:szCs w:val="20"/>
              </w:rPr>
            </w:pPr>
            <w:r w:rsidRPr="00B6040C">
              <w:rPr>
                <w:sz w:val="20"/>
                <w:szCs w:val="20"/>
              </w:rPr>
              <w:t>September 28, 2011</w:t>
            </w:r>
          </w:p>
          <w:p w:rsidR="00B6040C" w:rsidRPr="00B6040C" w:rsidRDefault="00B6040C" w:rsidP="00B6040C">
            <w:pPr>
              <w:jc w:val="both"/>
              <w:rPr>
                <w:sz w:val="20"/>
                <w:szCs w:val="20"/>
              </w:rPr>
            </w:pPr>
            <w:r w:rsidRPr="00B6040C">
              <w:rPr>
                <w:sz w:val="20"/>
                <w:szCs w:val="20"/>
              </w:rPr>
              <w:t>Court of Queen’s Bench of Alberta</w:t>
            </w:r>
          </w:p>
          <w:p w:rsidR="00B6040C" w:rsidRPr="00B6040C" w:rsidRDefault="00B6040C" w:rsidP="00B6040C">
            <w:pPr>
              <w:jc w:val="both"/>
              <w:rPr>
                <w:sz w:val="20"/>
                <w:szCs w:val="20"/>
              </w:rPr>
            </w:pPr>
            <w:r w:rsidRPr="00B6040C">
              <w:rPr>
                <w:sz w:val="20"/>
                <w:szCs w:val="20"/>
              </w:rPr>
              <w:t>(Hughes J.)</w:t>
            </w:r>
          </w:p>
          <w:p w:rsidR="00B6040C" w:rsidRPr="00B6040C" w:rsidRDefault="00B6040C" w:rsidP="00B6040C">
            <w:pPr>
              <w:jc w:val="both"/>
              <w:rPr>
                <w:sz w:val="20"/>
                <w:szCs w:val="20"/>
              </w:rPr>
            </w:pPr>
          </w:p>
        </w:tc>
        <w:tc>
          <w:tcPr>
            <w:tcW w:w="243" w:type="pct"/>
          </w:tcPr>
          <w:p w:rsidR="00B6040C" w:rsidRPr="00B6040C" w:rsidRDefault="00B6040C" w:rsidP="00B6040C">
            <w:pPr>
              <w:jc w:val="both"/>
              <w:rPr>
                <w:sz w:val="20"/>
                <w:szCs w:val="20"/>
              </w:rPr>
            </w:pPr>
          </w:p>
        </w:tc>
        <w:tc>
          <w:tcPr>
            <w:tcW w:w="2330" w:type="pct"/>
          </w:tcPr>
          <w:p w:rsidR="00B6040C" w:rsidRPr="00B6040C" w:rsidRDefault="00B6040C" w:rsidP="00B6040C">
            <w:pPr>
              <w:jc w:val="both"/>
              <w:rPr>
                <w:sz w:val="20"/>
                <w:szCs w:val="20"/>
              </w:rPr>
            </w:pPr>
            <w:r w:rsidRPr="00B6040C">
              <w:rPr>
                <w:sz w:val="20"/>
                <w:szCs w:val="20"/>
              </w:rPr>
              <w:t>Applicant convicted of sexual assault and child pornography offences</w:t>
            </w:r>
          </w:p>
          <w:p w:rsidR="00B6040C" w:rsidRPr="00B6040C" w:rsidRDefault="00B6040C" w:rsidP="00B6040C">
            <w:pPr>
              <w:jc w:val="both"/>
              <w:rPr>
                <w:sz w:val="20"/>
                <w:szCs w:val="20"/>
              </w:rPr>
            </w:pPr>
          </w:p>
        </w:tc>
      </w:tr>
      <w:tr w:rsidR="00B6040C" w:rsidRPr="00B6040C" w:rsidTr="009C190F">
        <w:tc>
          <w:tcPr>
            <w:tcW w:w="2427" w:type="pct"/>
          </w:tcPr>
          <w:p w:rsidR="00B6040C" w:rsidRPr="00B6040C" w:rsidRDefault="00B6040C" w:rsidP="00B6040C">
            <w:pPr>
              <w:jc w:val="both"/>
              <w:rPr>
                <w:sz w:val="20"/>
                <w:szCs w:val="20"/>
              </w:rPr>
            </w:pPr>
            <w:r w:rsidRPr="00B6040C">
              <w:rPr>
                <w:sz w:val="20"/>
                <w:szCs w:val="20"/>
              </w:rPr>
              <w:t>July 26, 2012</w:t>
            </w:r>
          </w:p>
          <w:p w:rsidR="00B6040C" w:rsidRPr="00B6040C" w:rsidRDefault="00B6040C" w:rsidP="00B6040C">
            <w:pPr>
              <w:jc w:val="both"/>
              <w:rPr>
                <w:sz w:val="20"/>
                <w:szCs w:val="20"/>
              </w:rPr>
            </w:pPr>
            <w:r w:rsidRPr="00B6040C">
              <w:rPr>
                <w:sz w:val="20"/>
                <w:szCs w:val="20"/>
              </w:rPr>
              <w:t>Court of Appeal of Alberta (Edmonton)</w:t>
            </w:r>
          </w:p>
          <w:p w:rsidR="00B6040C" w:rsidRPr="00B6040C" w:rsidRDefault="00B6040C" w:rsidP="00B6040C">
            <w:pPr>
              <w:jc w:val="both"/>
              <w:rPr>
                <w:sz w:val="20"/>
                <w:szCs w:val="20"/>
              </w:rPr>
            </w:pPr>
            <w:r w:rsidRPr="00B6040C">
              <w:rPr>
                <w:sz w:val="20"/>
                <w:szCs w:val="20"/>
              </w:rPr>
              <w:t xml:space="preserve">(Watson, </w:t>
            </w:r>
            <w:proofErr w:type="spellStart"/>
            <w:r w:rsidRPr="00B6040C">
              <w:rPr>
                <w:sz w:val="20"/>
                <w:szCs w:val="20"/>
              </w:rPr>
              <w:t>Slatter</w:t>
            </w:r>
            <w:proofErr w:type="spellEnd"/>
            <w:r w:rsidRPr="00B6040C">
              <w:rPr>
                <w:sz w:val="20"/>
                <w:szCs w:val="20"/>
              </w:rPr>
              <w:t xml:space="preserve"> and </w:t>
            </w:r>
            <w:proofErr w:type="spellStart"/>
            <w:r w:rsidRPr="00B6040C">
              <w:rPr>
                <w:sz w:val="20"/>
                <w:szCs w:val="20"/>
              </w:rPr>
              <w:t>Bielby</w:t>
            </w:r>
            <w:proofErr w:type="spellEnd"/>
            <w:r w:rsidRPr="00B6040C">
              <w:rPr>
                <w:sz w:val="20"/>
                <w:szCs w:val="20"/>
              </w:rPr>
              <w:t xml:space="preserve"> JJ.A.)</w:t>
            </w:r>
          </w:p>
          <w:p w:rsidR="00B6040C" w:rsidRPr="00B6040C" w:rsidRDefault="00B6040C" w:rsidP="00B6040C">
            <w:pPr>
              <w:jc w:val="both"/>
              <w:rPr>
                <w:sz w:val="20"/>
                <w:szCs w:val="20"/>
              </w:rPr>
            </w:pPr>
            <w:r w:rsidRPr="00B6040C">
              <w:rPr>
                <w:sz w:val="20"/>
                <w:szCs w:val="20"/>
              </w:rPr>
              <w:t>2012 ABCA 238</w:t>
            </w:r>
          </w:p>
          <w:p w:rsidR="00B6040C" w:rsidRPr="00B6040C" w:rsidRDefault="00B6040C" w:rsidP="00B6040C">
            <w:pPr>
              <w:jc w:val="both"/>
              <w:rPr>
                <w:sz w:val="20"/>
                <w:szCs w:val="20"/>
              </w:rPr>
            </w:pPr>
          </w:p>
        </w:tc>
        <w:tc>
          <w:tcPr>
            <w:tcW w:w="243" w:type="pct"/>
          </w:tcPr>
          <w:p w:rsidR="00B6040C" w:rsidRPr="00B6040C" w:rsidRDefault="00B6040C" w:rsidP="00B6040C">
            <w:pPr>
              <w:jc w:val="both"/>
              <w:rPr>
                <w:sz w:val="20"/>
                <w:szCs w:val="20"/>
              </w:rPr>
            </w:pPr>
          </w:p>
        </w:tc>
        <w:tc>
          <w:tcPr>
            <w:tcW w:w="2330" w:type="pct"/>
          </w:tcPr>
          <w:p w:rsidR="00B6040C" w:rsidRPr="00B6040C" w:rsidRDefault="00B6040C" w:rsidP="00B6040C">
            <w:pPr>
              <w:jc w:val="both"/>
              <w:rPr>
                <w:sz w:val="20"/>
                <w:szCs w:val="20"/>
              </w:rPr>
            </w:pPr>
            <w:r w:rsidRPr="00B6040C">
              <w:rPr>
                <w:sz w:val="20"/>
                <w:szCs w:val="20"/>
              </w:rPr>
              <w:t xml:space="preserve">Appeal dismissed </w:t>
            </w:r>
          </w:p>
        </w:tc>
      </w:tr>
      <w:tr w:rsidR="00B6040C" w:rsidRPr="00B6040C" w:rsidTr="009C190F">
        <w:tc>
          <w:tcPr>
            <w:tcW w:w="2427" w:type="pct"/>
          </w:tcPr>
          <w:p w:rsidR="00B6040C" w:rsidRPr="00B6040C" w:rsidRDefault="00B6040C" w:rsidP="00B6040C">
            <w:pPr>
              <w:jc w:val="both"/>
              <w:rPr>
                <w:sz w:val="20"/>
                <w:szCs w:val="20"/>
              </w:rPr>
            </w:pPr>
            <w:r w:rsidRPr="00B6040C">
              <w:rPr>
                <w:sz w:val="20"/>
                <w:szCs w:val="20"/>
              </w:rPr>
              <w:t>February 28, 2013</w:t>
            </w:r>
          </w:p>
          <w:p w:rsidR="00B6040C" w:rsidRPr="00B6040C" w:rsidRDefault="00B6040C" w:rsidP="00B6040C">
            <w:pPr>
              <w:jc w:val="both"/>
              <w:rPr>
                <w:sz w:val="20"/>
                <w:szCs w:val="20"/>
              </w:rPr>
            </w:pPr>
            <w:r w:rsidRPr="00B6040C">
              <w:rPr>
                <w:sz w:val="20"/>
                <w:szCs w:val="20"/>
              </w:rPr>
              <w:t>Supreme Court of Canada</w:t>
            </w:r>
          </w:p>
        </w:tc>
        <w:tc>
          <w:tcPr>
            <w:tcW w:w="243" w:type="pct"/>
          </w:tcPr>
          <w:p w:rsidR="00B6040C" w:rsidRPr="00B6040C" w:rsidRDefault="00B6040C" w:rsidP="00B6040C">
            <w:pPr>
              <w:jc w:val="both"/>
              <w:rPr>
                <w:sz w:val="20"/>
                <w:szCs w:val="20"/>
              </w:rPr>
            </w:pPr>
          </w:p>
        </w:tc>
        <w:tc>
          <w:tcPr>
            <w:tcW w:w="2330" w:type="pct"/>
          </w:tcPr>
          <w:p w:rsidR="00B6040C" w:rsidRPr="00B6040C" w:rsidRDefault="00B6040C" w:rsidP="00B6040C">
            <w:pPr>
              <w:jc w:val="both"/>
              <w:rPr>
                <w:sz w:val="20"/>
                <w:szCs w:val="20"/>
              </w:rPr>
            </w:pPr>
            <w:r w:rsidRPr="00B6040C">
              <w:rPr>
                <w:sz w:val="20"/>
                <w:szCs w:val="20"/>
              </w:rPr>
              <w:t xml:space="preserve">Motion for extension of time and application for leave to appeal filed </w:t>
            </w:r>
          </w:p>
        </w:tc>
      </w:tr>
    </w:tbl>
    <w:p w:rsidR="00B6040C" w:rsidRPr="00B6040C" w:rsidRDefault="00B6040C" w:rsidP="00B6040C">
      <w:pPr>
        <w:jc w:val="both"/>
        <w:rPr>
          <w:sz w:val="20"/>
        </w:rPr>
      </w:pPr>
    </w:p>
    <w:p w:rsidR="00EA65C4" w:rsidRPr="00C50A5C" w:rsidRDefault="0028676C" w:rsidP="00EA65C4">
      <w:pPr>
        <w:rPr>
          <w:sz w:val="20"/>
          <w:szCs w:val="20"/>
        </w:rPr>
      </w:pPr>
      <w:r w:rsidRPr="0028676C">
        <w:rPr>
          <w:sz w:val="20"/>
          <w:szCs w:val="20"/>
          <w:lang w:val="fr-CA"/>
        </w:rPr>
        <w:pict>
          <v:rect id="_x0000_i1071" style="width:2in;height:1pt" o:hrpct="0" o:hralign="center" o:hrstd="t" o:hrnoshade="t" o:hr="t" fillcolor="black [3213]" stroked="f"/>
        </w:pict>
      </w:r>
    </w:p>
    <w:p w:rsidR="00EA65C4" w:rsidRDefault="00EA65C4" w:rsidP="00EA65C4">
      <w:pPr>
        <w:rPr>
          <w:sz w:val="20"/>
          <w:szCs w:val="20"/>
        </w:rPr>
      </w:pPr>
    </w:p>
    <w:p w:rsidR="00EA65C4" w:rsidRPr="001B157C" w:rsidRDefault="00EA65C4" w:rsidP="00EA65C4">
      <w:pPr>
        <w:rPr>
          <w:sz w:val="20"/>
          <w:szCs w:val="20"/>
          <w:u w:val="single"/>
          <w:lang w:val="fr-CA"/>
        </w:rPr>
      </w:pPr>
      <w:r w:rsidRPr="001B157C">
        <w:rPr>
          <w:sz w:val="20"/>
          <w:szCs w:val="20"/>
          <w:u w:val="single"/>
          <w:lang w:val="fr-CA"/>
        </w:rPr>
        <w:t>RÉSUMÉ DE L’AFFAIRE</w:t>
      </w:r>
    </w:p>
    <w:p w:rsidR="00EA65C4" w:rsidRPr="00B6040C"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6040C" w:rsidRPr="00B6040C" w:rsidTr="009C190F">
        <w:tc>
          <w:tcPr>
            <w:tcW w:w="5000" w:type="pct"/>
            <w:gridSpan w:val="3"/>
          </w:tcPr>
          <w:p w:rsidR="00B6040C" w:rsidRPr="00B6040C" w:rsidRDefault="00B6040C" w:rsidP="00B6040C">
            <w:pPr>
              <w:jc w:val="both"/>
              <w:rPr>
                <w:smallCaps/>
                <w:sz w:val="20"/>
                <w:szCs w:val="20"/>
                <w:lang w:val="fr-FR"/>
              </w:rPr>
            </w:pPr>
            <w:r w:rsidRPr="00B6040C">
              <w:rPr>
                <w:smallCaps/>
                <w:sz w:val="20"/>
                <w:szCs w:val="20"/>
                <w:lang w:val="fr-FR"/>
              </w:rPr>
              <w:t>(ordonnance de non-publication dans le dossier)</w:t>
            </w:r>
          </w:p>
          <w:p w:rsidR="00B6040C" w:rsidRPr="00B6040C" w:rsidRDefault="00B6040C" w:rsidP="00B6040C">
            <w:pPr>
              <w:jc w:val="both"/>
              <w:rPr>
                <w:sz w:val="20"/>
                <w:szCs w:val="20"/>
                <w:lang w:val="fr-FR"/>
              </w:rPr>
            </w:pPr>
          </w:p>
        </w:tc>
      </w:tr>
      <w:tr w:rsidR="00B6040C" w:rsidRPr="00B6040C" w:rsidTr="009C190F">
        <w:tc>
          <w:tcPr>
            <w:tcW w:w="5000" w:type="pct"/>
            <w:gridSpan w:val="3"/>
          </w:tcPr>
          <w:p w:rsidR="00B6040C" w:rsidRPr="00B6040C" w:rsidRDefault="00B6040C" w:rsidP="00B6040C">
            <w:pPr>
              <w:jc w:val="both"/>
              <w:rPr>
                <w:sz w:val="20"/>
                <w:szCs w:val="20"/>
                <w:lang w:val="fr-FR"/>
              </w:rPr>
            </w:pPr>
            <w:r w:rsidRPr="00B6040C">
              <w:rPr>
                <w:sz w:val="20"/>
                <w:szCs w:val="20"/>
                <w:lang w:val="fr-FR"/>
              </w:rPr>
              <w:t>Droit criminel – Preuve – Appréciation – Crédibilité – Crainte raisonnable de partialité – La Cour d’appel a-t-elle commis une erreur de droit en appliquant le mauvais critère juridique pour décider qu’aucune crainte raisonnable de partialité ne découle des observations faites par les deux avocats au procès en l’espèce et des conclusions qu’en a tirées la juge de première instance?</w:t>
            </w:r>
          </w:p>
        </w:tc>
      </w:tr>
      <w:tr w:rsidR="00B6040C" w:rsidRPr="00B6040C" w:rsidTr="009C190F">
        <w:tc>
          <w:tcPr>
            <w:tcW w:w="5000" w:type="pct"/>
            <w:gridSpan w:val="3"/>
          </w:tcPr>
          <w:p w:rsidR="00B6040C" w:rsidRPr="00B6040C" w:rsidRDefault="00B6040C" w:rsidP="00B6040C">
            <w:pPr>
              <w:jc w:val="both"/>
              <w:rPr>
                <w:sz w:val="20"/>
                <w:szCs w:val="20"/>
                <w:lang w:val="fr-FR"/>
              </w:rPr>
            </w:pPr>
          </w:p>
          <w:p w:rsidR="00B6040C" w:rsidRPr="00B6040C" w:rsidRDefault="00B6040C" w:rsidP="00B6040C">
            <w:pPr>
              <w:jc w:val="both"/>
              <w:rPr>
                <w:sz w:val="20"/>
                <w:szCs w:val="20"/>
                <w:lang w:val="fr-CA"/>
              </w:rPr>
            </w:pPr>
            <w:r w:rsidRPr="00B6040C">
              <w:rPr>
                <w:sz w:val="20"/>
                <w:szCs w:val="20"/>
                <w:lang w:val="fr-FR"/>
              </w:rPr>
              <w:t>La demanderesse a été reconnue coupable d’agression sexuelle et d’infractions en matière de pornographie juvénile à l’endroit des filles d’un ami de la famille.  Elle avait été accusée conjointement au départ avec son mari, dont la culpabilité aurait été établie hors de tout doute raisonnable s’il ne s’était pas suicidé avant la conclusion du procès.  La preuve était constituée notamment de photos du mari se livrant à des actes sexuels sur les filles et du témoignage des filles selon lequel la demanderesse leur a servi des boissons alcoolisées et a pris les photos.  La demanderesse a nié quelque participation que ce soit et prétendu qu’elle ignorait tout de la conduite de son mari envers les filles.  Elle a fait appel de sa déclaration de culpabilité pour trois motifs, dont l’un est que la conclusion défavorable du juge du procès quant à sa crédibilité était entachée d’une crainte raisonnable de partialité qui prend sa source dans des remarques désobligeantes faites à propos de sa crédibilité et de celle de son mari par leur avocat à l’époque relativement à une requête pour cesser d’occuper.  Bref, leur avocat a dit : [</w:t>
            </w:r>
            <w:r w:rsidRPr="00B6040C">
              <w:rPr>
                <w:smallCaps/>
                <w:sz w:val="20"/>
                <w:szCs w:val="20"/>
                <w:lang w:val="fr-FR"/>
              </w:rPr>
              <w:t>traduction</w:t>
            </w:r>
            <w:r w:rsidRPr="00B6040C">
              <w:rPr>
                <w:sz w:val="20"/>
                <w:szCs w:val="20"/>
                <w:lang w:val="fr-FR"/>
              </w:rPr>
              <w:t xml:space="preserve">] « Je ne crois absolument rien de tout ce qu’ils me disent présentement » et « Je refuse de prendre part à ce qui pourrait être perçu comme une tentative de duper la Cour ».  </w:t>
            </w:r>
            <w:r w:rsidRPr="00B6040C">
              <w:rPr>
                <w:sz w:val="20"/>
                <w:szCs w:val="20"/>
                <w:lang w:val="fr-CA"/>
              </w:rPr>
              <w:t>La Cour d’appel a rejeté l’appel.</w:t>
            </w:r>
          </w:p>
          <w:p w:rsidR="00B6040C" w:rsidRPr="00B6040C" w:rsidRDefault="00B6040C" w:rsidP="00B6040C">
            <w:pPr>
              <w:jc w:val="both"/>
              <w:rPr>
                <w:sz w:val="20"/>
                <w:szCs w:val="20"/>
                <w:lang w:val="fr-CA"/>
              </w:rPr>
            </w:pPr>
          </w:p>
        </w:tc>
      </w:tr>
      <w:tr w:rsidR="00B6040C" w:rsidRPr="00B6040C" w:rsidTr="009C190F">
        <w:tc>
          <w:tcPr>
            <w:tcW w:w="2427" w:type="pct"/>
          </w:tcPr>
          <w:p w:rsidR="00B6040C" w:rsidRPr="00B6040C" w:rsidRDefault="00B6040C" w:rsidP="00B6040C">
            <w:pPr>
              <w:jc w:val="both"/>
              <w:rPr>
                <w:sz w:val="20"/>
                <w:szCs w:val="20"/>
                <w:lang w:val="fr-FR"/>
              </w:rPr>
            </w:pPr>
            <w:r w:rsidRPr="00B6040C">
              <w:rPr>
                <w:sz w:val="20"/>
                <w:szCs w:val="20"/>
                <w:lang w:val="fr-FR"/>
              </w:rPr>
              <w:t>28 septembre 2011</w:t>
            </w:r>
          </w:p>
          <w:p w:rsidR="00B6040C" w:rsidRPr="00B6040C" w:rsidRDefault="00B6040C" w:rsidP="00B6040C">
            <w:pPr>
              <w:jc w:val="both"/>
              <w:rPr>
                <w:sz w:val="20"/>
                <w:szCs w:val="20"/>
                <w:lang w:val="fr-FR"/>
              </w:rPr>
            </w:pPr>
            <w:r w:rsidRPr="00B6040C">
              <w:rPr>
                <w:sz w:val="20"/>
                <w:szCs w:val="20"/>
                <w:lang w:val="fr-FR"/>
              </w:rPr>
              <w:t>Cour du Banc de la Reine de l’Alberta</w:t>
            </w:r>
          </w:p>
          <w:p w:rsidR="00B6040C" w:rsidRPr="00B6040C" w:rsidRDefault="00B6040C" w:rsidP="00B6040C">
            <w:pPr>
              <w:jc w:val="both"/>
              <w:rPr>
                <w:sz w:val="20"/>
                <w:szCs w:val="20"/>
              </w:rPr>
            </w:pPr>
            <w:r w:rsidRPr="00B6040C">
              <w:rPr>
                <w:sz w:val="20"/>
                <w:szCs w:val="20"/>
              </w:rPr>
              <w:t>(</w:t>
            </w:r>
            <w:proofErr w:type="spellStart"/>
            <w:r w:rsidRPr="00B6040C">
              <w:rPr>
                <w:sz w:val="20"/>
                <w:szCs w:val="20"/>
              </w:rPr>
              <w:t>Juge</w:t>
            </w:r>
            <w:proofErr w:type="spellEnd"/>
            <w:r w:rsidRPr="00B6040C">
              <w:rPr>
                <w:sz w:val="20"/>
                <w:szCs w:val="20"/>
              </w:rPr>
              <w:t xml:space="preserve"> Hughes)</w:t>
            </w:r>
          </w:p>
          <w:p w:rsidR="00B6040C" w:rsidRPr="00B6040C" w:rsidRDefault="00B6040C" w:rsidP="00B6040C">
            <w:pPr>
              <w:jc w:val="both"/>
              <w:rPr>
                <w:sz w:val="20"/>
                <w:szCs w:val="20"/>
              </w:rPr>
            </w:pPr>
          </w:p>
        </w:tc>
        <w:tc>
          <w:tcPr>
            <w:tcW w:w="243" w:type="pct"/>
          </w:tcPr>
          <w:p w:rsidR="00B6040C" w:rsidRPr="00B6040C" w:rsidRDefault="00B6040C" w:rsidP="00B6040C">
            <w:pPr>
              <w:jc w:val="both"/>
              <w:rPr>
                <w:sz w:val="20"/>
                <w:szCs w:val="20"/>
              </w:rPr>
            </w:pPr>
          </w:p>
        </w:tc>
        <w:tc>
          <w:tcPr>
            <w:tcW w:w="2330" w:type="pct"/>
          </w:tcPr>
          <w:p w:rsidR="00B6040C" w:rsidRPr="00B6040C" w:rsidRDefault="00B6040C" w:rsidP="00B6040C">
            <w:pPr>
              <w:jc w:val="both"/>
              <w:rPr>
                <w:sz w:val="20"/>
                <w:szCs w:val="20"/>
                <w:lang w:val="fr-FR"/>
              </w:rPr>
            </w:pPr>
            <w:r w:rsidRPr="00B6040C">
              <w:rPr>
                <w:sz w:val="20"/>
                <w:szCs w:val="20"/>
                <w:lang w:val="fr-FR"/>
              </w:rPr>
              <w:t xml:space="preserve">Demanderesse reconnue coupable d’agression sexuelle et d’infractions en matière de pornographie juvénile </w:t>
            </w:r>
          </w:p>
          <w:p w:rsidR="00B6040C" w:rsidRPr="00B6040C" w:rsidRDefault="00B6040C" w:rsidP="00B6040C">
            <w:pPr>
              <w:jc w:val="both"/>
              <w:rPr>
                <w:sz w:val="20"/>
                <w:szCs w:val="20"/>
                <w:lang w:val="fr-FR"/>
              </w:rPr>
            </w:pPr>
          </w:p>
        </w:tc>
      </w:tr>
      <w:tr w:rsidR="00B6040C" w:rsidRPr="00B6040C" w:rsidTr="009C190F">
        <w:tc>
          <w:tcPr>
            <w:tcW w:w="2427" w:type="pct"/>
          </w:tcPr>
          <w:p w:rsidR="00B6040C" w:rsidRPr="00B6040C" w:rsidRDefault="00B6040C" w:rsidP="00B6040C">
            <w:pPr>
              <w:jc w:val="both"/>
              <w:rPr>
                <w:sz w:val="20"/>
                <w:szCs w:val="20"/>
                <w:lang w:val="fr-FR"/>
              </w:rPr>
            </w:pPr>
            <w:r w:rsidRPr="00B6040C">
              <w:rPr>
                <w:sz w:val="20"/>
                <w:szCs w:val="20"/>
                <w:lang w:val="fr-FR"/>
              </w:rPr>
              <w:t>26 juillet 2012</w:t>
            </w:r>
          </w:p>
          <w:p w:rsidR="00B6040C" w:rsidRPr="00B6040C" w:rsidRDefault="00B6040C" w:rsidP="00B6040C">
            <w:pPr>
              <w:jc w:val="both"/>
              <w:rPr>
                <w:sz w:val="20"/>
                <w:szCs w:val="20"/>
                <w:lang w:val="fr-FR"/>
              </w:rPr>
            </w:pPr>
            <w:r w:rsidRPr="00B6040C">
              <w:rPr>
                <w:sz w:val="20"/>
                <w:szCs w:val="20"/>
                <w:lang w:val="fr-FR"/>
              </w:rPr>
              <w:t>Cour d’appel de l’Alberta (Edmonton)</w:t>
            </w:r>
          </w:p>
          <w:p w:rsidR="00B6040C" w:rsidRPr="00B6040C" w:rsidRDefault="00B6040C" w:rsidP="00B6040C">
            <w:pPr>
              <w:jc w:val="both"/>
              <w:rPr>
                <w:sz w:val="20"/>
                <w:szCs w:val="20"/>
                <w:lang w:val="fr-FR"/>
              </w:rPr>
            </w:pPr>
            <w:r w:rsidRPr="00B6040C">
              <w:rPr>
                <w:sz w:val="20"/>
                <w:szCs w:val="20"/>
                <w:lang w:val="fr-FR"/>
              </w:rPr>
              <w:t xml:space="preserve">(Juges Watson, </w:t>
            </w:r>
            <w:proofErr w:type="spellStart"/>
            <w:r w:rsidRPr="00B6040C">
              <w:rPr>
                <w:sz w:val="20"/>
                <w:szCs w:val="20"/>
                <w:lang w:val="fr-FR"/>
              </w:rPr>
              <w:t>Slatter</w:t>
            </w:r>
            <w:proofErr w:type="spellEnd"/>
            <w:r w:rsidRPr="00B6040C">
              <w:rPr>
                <w:sz w:val="20"/>
                <w:szCs w:val="20"/>
                <w:lang w:val="fr-FR"/>
              </w:rPr>
              <w:t xml:space="preserve"> et </w:t>
            </w:r>
            <w:proofErr w:type="spellStart"/>
            <w:r w:rsidRPr="00B6040C">
              <w:rPr>
                <w:sz w:val="20"/>
                <w:szCs w:val="20"/>
                <w:lang w:val="fr-FR"/>
              </w:rPr>
              <w:t>Bielby</w:t>
            </w:r>
            <w:proofErr w:type="spellEnd"/>
            <w:r w:rsidRPr="00B6040C">
              <w:rPr>
                <w:sz w:val="20"/>
                <w:szCs w:val="20"/>
                <w:lang w:val="fr-FR"/>
              </w:rPr>
              <w:t>)</w:t>
            </w:r>
          </w:p>
          <w:p w:rsidR="00B6040C" w:rsidRPr="00B6040C" w:rsidRDefault="00B6040C" w:rsidP="00B6040C">
            <w:pPr>
              <w:jc w:val="both"/>
              <w:rPr>
                <w:sz w:val="20"/>
                <w:szCs w:val="20"/>
              </w:rPr>
            </w:pPr>
            <w:r w:rsidRPr="00B6040C">
              <w:rPr>
                <w:sz w:val="20"/>
                <w:szCs w:val="20"/>
              </w:rPr>
              <w:t>2012 ABCA 238</w:t>
            </w:r>
          </w:p>
          <w:p w:rsidR="00B6040C" w:rsidRPr="00B6040C" w:rsidRDefault="00B6040C" w:rsidP="00B6040C">
            <w:pPr>
              <w:jc w:val="both"/>
              <w:rPr>
                <w:sz w:val="20"/>
                <w:szCs w:val="20"/>
              </w:rPr>
            </w:pPr>
          </w:p>
        </w:tc>
        <w:tc>
          <w:tcPr>
            <w:tcW w:w="243" w:type="pct"/>
          </w:tcPr>
          <w:p w:rsidR="00B6040C" w:rsidRPr="00B6040C" w:rsidRDefault="00B6040C" w:rsidP="00B6040C">
            <w:pPr>
              <w:jc w:val="both"/>
              <w:rPr>
                <w:sz w:val="20"/>
                <w:szCs w:val="20"/>
              </w:rPr>
            </w:pPr>
          </w:p>
        </w:tc>
        <w:tc>
          <w:tcPr>
            <w:tcW w:w="2330" w:type="pct"/>
          </w:tcPr>
          <w:p w:rsidR="00B6040C" w:rsidRPr="00B6040C" w:rsidRDefault="00B6040C" w:rsidP="00B6040C">
            <w:pPr>
              <w:jc w:val="both"/>
              <w:rPr>
                <w:sz w:val="20"/>
                <w:szCs w:val="20"/>
              </w:rPr>
            </w:pPr>
            <w:proofErr w:type="spellStart"/>
            <w:r w:rsidRPr="00B6040C">
              <w:rPr>
                <w:sz w:val="20"/>
                <w:szCs w:val="20"/>
              </w:rPr>
              <w:t>Appel</w:t>
            </w:r>
            <w:proofErr w:type="spellEnd"/>
            <w:r w:rsidRPr="00B6040C">
              <w:rPr>
                <w:sz w:val="20"/>
                <w:szCs w:val="20"/>
              </w:rPr>
              <w:t xml:space="preserve"> </w:t>
            </w:r>
            <w:proofErr w:type="spellStart"/>
            <w:r w:rsidRPr="00B6040C">
              <w:rPr>
                <w:sz w:val="20"/>
                <w:szCs w:val="20"/>
              </w:rPr>
              <w:t>rejeté</w:t>
            </w:r>
            <w:proofErr w:type="spellEnd"/>
            <w:r w:rsidRPr="00B6040C">
              <w:rPr>
                <w:sz w:val="20"/>
                <w:szCs w:val="20"/>
              </w:rPr>
              <w:t xml:space="preserve"> </w:t>
            </w:r>
          </w:p>
        </w:tc>
      </w:tr>
      <w:tr w:rsidR="00B6040C" w:rsidRPr="00B6040C" w:rsidTr="009C190F">
        <w:tc>
          <w:tcPr>
            <w:tcW w:w="2427" w:type="pct"/>
          </w:tcPr>
          <w:p w:rsidR="00B6040C" w:rsidRPr="00B6040C" w:rsidRDefault="00B6040C" w:rsidP="00B6040C">
            <w:pPr>
              <w:jc w:val="both"/>
              <w:rPr>
                <w:sz w:val="20"/>
                <w:szCs w:val="20"/>
                <w:lang w:val="fr-FR"/>
              </w:rPr>
            </w:pPr>
            <w:r w:rsidRPr="00B6040C">
              <w:rPr>
                <w:sz w:val="20"/>
                <w:szCs w:val="20"/>
                <w:lang w:val="fr-FR"/>
              </w:rPr>
              <w:t>28 février 2013</w:t>
            </w:r>
          </w:p>
          <w:p w:rsidR="00B6040C" w:rsidRPr="00B6040C" w:rsidRDefault="00B6040C" w:rsidP="00B6040C">
            <w:pPr>
              <w:jc w:val="both"/>
              <w:rPr>
                <w:sz w:val="20"/>
                <w:szCs w:val="20"/>
                <w:lang w:val="fr-FR"/>
              </w:rPr>
            </w:pPr>
            <w:r w:rsidRPr="00B6040C">
              <w:rPr>
                <w:sz w:val="20"/>
                <w:szCs w:val="20"/>
                <w:lang w:val="fr-FR"/>
              </w:rPr>
              <w:t>Cour suprême du Canada</w:t>
            </w:r>
          </w:p>
        </w:tc>
        <w:tc>
          <w:tcPr>
            <w:tcW w:w="243" w:type="pct"/>
          </w:tcPr>
          <w:p w:rsidR="00B6040C" w:rsidRPr="00B6040C" w:rsidRDefault="00B6040C" w:rsidP="00B6040C">
            <w:pPr>
              <w:jc w:val="both"/>
              <w:rPr>
                <w:sz w:val="20"/>
                <w:szCs w:val="20"/>
                <w:lang w:val="fr-FR"/>
              </w:rPr>
            </w:pPr>
          </w:p>
        </w:tc>
        <w:tc>
          <w:tcPr>
            <w:tcW w:w="2330" w:type="pct"/>
          </w:tcPr>
          <w:p w:rsidR="00B6040C" w:rsidRPr="00B6040C" w:rsidRDefault="00B6040C" w:rsidP="00B6040C">
            <w:pPr>
              <w:jc w:val="both"/>
              <w:rPr>
                <w:sz w:val="20"/>
                <w:szCs w:val="20"/>
                <w:lang w:val="fr-FR"/>
              </w:rPr>
            </w:pPr>
            <w:r w:rsidRPr="00B6040C">
              <w:rPr>
                <w:sz w:val="20"/>
                <w:szCs w:val="20"/>
                <w:lang w:val="fr-FR"/>
              </w:rPr>
              <w:t xml:space="preserve">Requête en prorogation de délai et demande d’autorisation </w:t>
            </w:r>
            <w:proofErr w:type="gramStart"/>
            <w:r w:rsidRPr="00B6040C">
              <w:rPr>
                <w:sz w:val="20"/>
                <w:szCs w:val="20"/>
                <w:lang w:val="fr-FR"/>
              </w:rPr>
              <w:t>d’appel déposées</w:t>
            </w:r>
            <w:proofErr w:type="gramEnd"/>
            <w:r w:rsidRPr="00B6040C">
              <w:rPr>
                <w:sz w:val="20"/>
                <w:szCs w:val="20"/>
                <w:lang w:val="fr-FR"/>
              </w:rPr>
              <w:t xml:space="preserve"> </w:t>
            </w:r>
          </w:p>
        </w:tc>
      </w:tr>
    </w:tbl>
    <w:p w:rsidR="00EA65C4" w:rsidRPr="00B6040C" w:rsidRDefault="00EA65C4" w:rsidP="00EA65C4">
      <w:pPr>
        <w:rPr>
          <w:sz w:val="20"/>
          <w:szCs w:val="20"/>
          <w:lang w:val="fr-FR"/>
        </w:rPr>
      </w:pPr>
    </w:p>
    <w:p w:rsidR="00EA65C4" w:rsidRDefault="0028676C" w:rsidP="00EA65C4">
      <w:pPr>
        <w:rPr>
          <w:sz w:val="20"/>
          <w:szCs w:val="20"/>
        </w:rPr>
      </w:pPr>
      <w:r w:rsidRPr="0028676C">
        <w:rPr>
          <w:sz w:val="20"/>
          <w:szCs w:val="20"/>
          <w:lang w:val="fr-CA"/>
        </w:rPr>
        <w:pict>
          <v:rect id="_x0000_i1072" style="width:2in;height:1pt" o:hrpct="0" o:hralign="center" o:hrstd="t" o:hrnoshade="t" o:hr="t" fillcolor="black [3213]" stroked="f"/>
        </w:pict>
      </w:r>
    </w:p>
    <w:p w:rsidR="00EA65C4" w:rsidRDefault="00EA65C4" w:rsidP="00EA65C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64224" w:rsidRPr="0068500F" w:rsidTr="0071552E">
        <w:trPr>
          <w:cantSplit/>
        </w:trPr>
        <w:tc>
          <w:tcPr>
            <w:tcW w:w="1458" w:type="dxa"/>
          </w:tcPr>
          <w:p w:rsidR="00D64224" w:rsidRPr="0068500F" w:rsidRDefault="00D64224" w:rsidP="0071552E">
            <w:pPr>
              <w:rPr>
                <w:sz w:val="20"/>
                <w:szCs w:val="20"/>
              </w:rPr>
            </w:pPr>
            <w:r w:rsidRPr="0068500F">
              <w:rPr>
                <w:rStyle w:val="SCCFileNumberChar"/>
                <w:sz w:val="20"/>
                <w:szCs w:val="20"/>
              </w:rPr>
              <w:t>35247</w:t>
            </w:r>
          </w:p>
          <w:p w:rsidR="00D64224" w:rsidRPr="0068500F" w:rsidRDefault="00D64224" w:rsidP="0071552E">
            <w:pPr>
              <w:rPr>
                <w:b/>
                <w:sz w:val="20"/>
                <w:szCs w:val="20"/>
                <w:lang w:val="fr-CA"/>
              </w:rPr>
            </w:pPr>
          </w:p>
        </w:tc>
        <w:tc>
          <w:tcPr>
            <w:tcW w:w="8118" w:type="dxa"/>
          </w:tcPr>
          <w:p w:rsidR="00D64224" w:rsidRPr="0068500F" w:rsidRDefault="00D64224" w:rsidP="0071552E">
            <w:pPr>
              <w:rPr>
                <w:sz w:val="20"/>
                <w:szCs w:val="20"/>
              </w:rPr>
            </w:pPr>
            <w:r w:rsidRPr="00D64224">
              <w:rPr>
                <w:rStyle w:val="SCCLsocChar"/>
                <w:sz w:val="20"/>
                <w:szCs w:val="20"/>
                <w:lang w:val="en-CA"/>
              </w:rPr>
              <w:t xml:space="preserve">Gary </w:t>
            </w:r>
            <w:proofErr w:type="spellStart"/>
            <w:r w:rsidRPr="00D64224">
              <w:rPr>
                <w:rStyle w:val="SCCLsocChar"/>
                <w:sz w:val="20"/>
                <w:szCs w:val="20"/>
                <w:lang w:val="en-CA"/>
              </w:rPr>
              <w:t>Hamill</w:t>
            </w:r>
            <w:proofErr w:type="spellEnd"/>
            <w:r w:rsidRPr="00D64224">
              <w:rPr>
                <w:rStyle w:val="SCCLsocChar"/>
                <w:sz w:val="20"/>
                <w:szCs w:val="20"/>
                <w:lang w:val="en-CA"/>
              </w:rPr>
              <w:t xml:space="preserve"> v. Glenda </w:t>
            </w:r>
            <w:proofErr w:type="spellStart"/>
            <w:r w:rsidRPr="00D64224">
              <w:rPr>
                <w:rStyle w:val="SCCLsocChar"/>
                <w:sz w:val="20"/>
                <w:szCs w:val="20"/>
                <w:lang w:val="en-CA"/>
              </w:rPr>
              <w:t>Kudryk</w:t>
            </w:r>
            <w:proofErr w:type="spellEnd"/>
            <w:r w:rsidRPr="0068500F">
              <w:rPr>
                <w:sz w:val="20"/>
                <w:szCs w:val="20"/>
              </w:rPr>
              <w:t xml:space="preserve"> (Alta.) (Civil) (By Leave)</w:t>
            </w:r>
          </w:p>
          <w:p w:rsidR="00D64224" w:rsidRPr="0068500F" w:rsidRDefault="00D64224" w:rsidP="0071552E">
            <w:pPr>
              <w:rPr>
                <w:sz w:val="20"/>
                <w:szCs w:val="20"/>
              </w:rPr>
            </w:pPr>
          </w:p>
        </w:tc>
      </w:tr>
      <w:tr w:rsidR="00D64224" w:rsidRPr="0068500F" w:rsidTr="0071552E">
        <w:trPr>
          <w:cantSplit/>
        </w:trPr>
        <w:tc>
          <w:tcPr>
            <w:tcW w:w="1458" w:type="dxa"/>
          </w:tcPr>
          <w:p w:rsidR="00D64224" w:rsidRPr="0068500F" w:rsidRDefault="00D64224" w:rsidP="0071552E">
            <w:pPr>
              <w:rPr>
                <w:sz w:val="20"/>
                <w:szCs w:val="20"/>
              </w:rPr>
            </w:pPr>
            <w:r w:rsidRPr="0068500F">
              <w:rPr>
                <w:sz w:val="20"/>
                <w:szCs w:val="20"/>
              </w:rPr>
              <w:t>Coram :</w:t>
            </w:r>
          </w:p>
        </w:tc>
        <w:tc>
          <w:tcPr>
            <w:tcW w:w="8118" w:type="dxa"/>
          </w:tcPr>
          <w:p w:rsidR="00D64224" w:rsidRPr="0068500F" w:rsidRDefault="00D64224" w:rsidP="0071552E">
            <w:pPr>
              <w:rPr>
                <w:sz w:val="20"/>
                <w:szCs w:val="20"/>
              </w:rPr>
            </w:pPr>
            <w:proofErr w:type="spellStart"/>
            <w:r w:rsidRPr="00D64224">
              <w:rPr>
                <w:rStyle w:val="SCCCoramChar"/>
                <w:sz w:val="20"/>
                <w:szCs w:val="20"/>
                <w:lang w:val="en-CA"/>
              </w:rPr>
              <w:t>LeBel</w:t>
            </w:r>
            <w:proofErr w:type="spellEnd"/>
            <w:r w:rsidRPr="00D64224">
              <w:rPr>
                <w:rStyle w:val="SCCCoramChar"/>
                <w:sz w:val="20"/>
                <w:szCs w:val="20"/>
                <w:lang w:val="en-CA"/>
              </w:rPr>
              <w:t>, Karakatsanis and Wagner JJ.</w:t>
            </w:r>
          </w:p>
          <w:p w:rsidR="00D64224" w:rsidRPr="0068500F" w:rsidRDefault="00D64224" w:rsidP="0071552E">
            <w:pPr>
              <w:rPr>
                <w:sz w:val="20"/>
                <w:szCs w:val="20"/>
                <w:u w:val="single"/>
              </w:rPr>
            </w:pPr>
          </w:p>
        </w:tc>
      </w:tr>
      <w:tr w:rsidR="00D64224" w:rsidRPr="00B6040C" w:rsidTr="0071552E">
        <w:trPr>
          <w:cantSplit/>
        </w:trPr>
        <w:tc>
          <w:tcPr>
            <w:tcW w:w="9576" w:type="dxa"/>
            <w:gridSpan w:val="2"/>
          </w:tcPr>
          <w:p w:rsidR="00D64224" w:rsidRPr="0068500F" w:rsidRDefault="00D64224" w:rsidP="0071552E">
            <w:pPr>
              <w:pStyle w:val="SCCShortJudgment"/>
              <w:rPr>
                <w:szCs w:val="20"/>
              </w:rPr>
            </w:pPr>
            <w:r w:rsidRPr="0068500F">
              <w:rPr>
                <w:szCs w:val="20"/>
              </w:rPr>
              <w:t>The application for leave to appeal from the judgment of the Court of Appeal of Alberta (Edmonton), Number 1203-0139-AC, 2013 ABCA 37, dated January 31, 2013, is dismissed with costs.</w:t>
            </w:r>
          </w:p>
          <w:p w:rsidR="00D64224" w:rsidRPr="0068500F" w:rsidRDefault="00D64224" w:rsidP="0071552E">
            <w:pPr>
              <w:pStyle w:val="SCCShortJudgment"/>
              <w:ind w:firstLine="0"/>
              <w:rPr>
                <w:szCs w:val="20"/>
              </w:rPr>
            </w:pPr>
          </w:p>
          <w:p w:rsidR="00D64224" w:rsidRPr="0068500F" w:rsidRDefault="00D64224" w:rsidP="0071552E">
            <w:pPr>
              <w:pStyle w:val="SCCShortJudgment"/>
              <w:rPr>
                <w:szCs w:val="20"/>
                <w:lang w:val="fr-CA"/>
              </w:rPr>
            </w:pPr>
            <w:r w:rsidRPr="0068500F">
              <w:rPr>
                <w:szCs w:val="20"/>
                <w:lang w:val="fr-CA"/>
              </w:rPr>
              <w:t>La demande d’autorisation d’appel de l’arrêt de la Cour d’appel de l’Alberta (Edmonton), numéro 1203-0139-AC, 2013 ABCA 37, daté du 31 janvier 2013, est rejetée avec dépens.</w:t>
            </w:r>
          </w:p>
        </w:tc>
      </w:tr>
    </w:tbl>
    <w:p w:rsidR="00EA65C4" w:rsidRPr="00D64224" w:rsidRDefault="00EA65C4" w:rsidP="00EA65C4">
      <w:pPr>
        <w:rPr>
          <w:sz w:val="20"/>
          <w:szCs w:val="20"/>
          <w:lang w:val="fr-CA"/>
        </w:rPr>
      </w:pPr>
    </w:p>
    <w:p w:rsidR="00EA65C4" w:rsidRPr="001B157C" w:rsidRDefault="00EA65C4" w:rsidP="00EA65C4">
      <w:pPr>
        <w:rPr>
          <w:sz w:val="20"/>
          <w:szCs w:val="20"/>
          <w:u w:val="single"/>
        </w:rPr>
      </w:pPr>
      <w:r w:rsidRPr="001B157C">
        <w:rPr>
          <w:sz w:val="20"/>
          <w:szCs w:val="20"/>
          <w:u w:val="single"/>
        </w:rPr>
        <w:t>CASE SUMMARY</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94824" w:rsidRPr="0084490B" w:rsidTr="001277D5">
        <w:tc>
          <w:tcPr>
            <w:tcW w:w="5000" w:type="pct"/>
            <w:gridSpan w:val="3"/>
          </w:tcPr>
          <w:p w:rsidR="00D94824" w:rsidRPr="0084490B" w:rsidRDefault="00D94824" w:rsidP="001277D5">
            <w:pPr>
              <w:jc w:val="both"/>
              <w:rPr>
                <w:rFonts w:eastAsia="Calibri"/>
                <w:sz w:val="20"/>
              </w:rPr>
            </w:pPr>
            <w:r w:rsidRPr="0084490B">
              <w:rPr>
                <w:rFonts w:eastAsia="Calibri"/>
                <w:sz w:val="20"/>
              </w:rPr>
              <w:t xml:space="preserve">Civil Procedure – Appeals – Extension of time – Whether an extension of time to appeal the order of Master </w:t>
            </w:r>
            <w:proofErr w:type="spellStart"/>
            <w:r w:rsidRPr="0084490B">
              <w:rPr>
                <w:rFonts w:eastAsia="Calibri"/>
                <w:sz w:val="20"/>
              </w:rPr>
              <w:t>Breitkreuz</w:t>
            </w:r>
            <w:proofErr w:type="spellEnd"/>
            <w:r w:rsidRPr="0084490B">
              <w:rPr>
                <w:rFonts w:eastAsia="Calibri"/>
                <w:sz w:val="20"/>
              </w:rPr>
              <w:t xml:space="preserve"> should have been granted in this case.</w:t>
            </w:r>
          </w:p>
        </w:tc>
      </w:tr>
      <w:tr w:rsidR="00D94824" w:rsidRPr="0084490B" w:rsidTr="001277D5">
        <w:tc>
          <w:tcPr>
            <w:tcW w:w="5000" w:type="pct"/>
            <w:gridSpan w:val="3"/>
          </w:tcPr>
          <w:p w:rsidR="00D94824" w:rsidRPr="0084490B" w:rsidRDefault="00D94824" w:rsidP="001277D5">
            <w:pPr>
              <w:jc w:val="both"/>
              <w:rPr>
                <w:rFonts w:eastAsia="Calibri"/>
                <w:sz w:val="20"/>
              </w:rPr>
            </w:pPr>
          </w:p>
        </w:tc>
      </w:tr>
      <w:tr w:rsidR="00D94824" w:rsidRPr="0084490B" w:rsidTr="001277D5">
        <w:tc>
          <w:tcPr>
            <w:tcW w:w="5000" w:type="pct"/>
            <w:gridSpan w:val="3"/>
          </w:tcPr>
          <w:p w:rsidR="00D94824" w:rsidRPr="0084490B" w:rsidRDefault="00D94824" w:rsidP="001277D5">
            <w:pPr>
              <w:jc w:val="both"/>
              <w:rPr>
                <w:rFonts w:eastAsia="Calibri"/>
                <w:sz w:val="20"/>
              </w:rPr>
            </w:pPr>
            <w:r w:rsidRPr="0084490B">
              <w:rPr>
                <w:rFonts w:eastAsia="Calibri"/>
                <w:sz w:val="20"/>
              </w:rPr>
              <w:t xml:space="preserve">The applicant Gary </w:t>
            </w:r>
            <w:proofErr w:type="spellStart"/>
            <w:r w:rsidRPr="0084490B">
              <w:rPr>
                <w:rFonts w:eastAsia="Calibri"/>
                <w:sz w:val="20"/>
              </w:rPr>
              <w:t>Hamill</w:t>
            </w:r>
            <w:proofErr w:type="spellEnd"/>
            <w:r w:rsidRPr="0084490B">
              <w:rPr>
                <w:rFonts w:eastAsia="Calibri"/>
                <w:sz w:val="20"/>
              </w:rPr>
              <w:t xml:space="preserve"> sued his sister, the respondent Glenda </w:t>
            </w:r>
            <w:proofErr w:type="spellStart"/>
            <w:r w:rsidRPr="0084490B">
              <w:rPr>
                <w:rFonts w:eastAsia="Calibri"/>
                <w:sz w:val="20"/>
              </w:rPr>
              <w:t>Kudryk</w:t>
            </w:r>
            <w:proofErr w:type="spellEnd"/>
            <w:r w:rsidRPr="0084490B">
              <w:rPr>
                <w:rFonts w:eastAsia="Calibri"/>
                <w:sz w:val="20"/>
              </w:rPr>
              <w:t>, over their mother’s estate.  In response, Ms. </w:t>
            </w:r>
            <w:proofErr w:type="spellStart"/>
            <w:r w:rsidRPr="0084490B">
              <w:rPr>
                <w:rFonts w:eastAsia="Calibri"/>
                <w:sz w:val="20"/>
              </w:rPr>
              <w:t>Kudryk</w:t>
            </w:r>
            <w:proofErr w:type="spellEnd"/>
            <w:r w:rsidRPr="0084490B">
              <w:rPr>
                <w:rFonts w:eastAsia="Calibri"/>
                <w:sz w:val="20"/>
              </w:rPr>
              <w:t xml:space="preserve"> filed an application for summary dismissal and, in the alternative, for security for costs.  She alleged that the suit appeared to contradict a signed assignment of Mr. </w:t>
            </w:r>
            <w:proofErr w:type="spellStart"/>
            <w:r w:rsidRPr="0084490B">
              <w:rPr>
                <w:rFonts w:eastAsia="Calibri"/>
                <w:sz w:val="20"/>
              </w:rPr>
              <w:t>Hamill’s</w:t>
            </w:r>
            <w:proofErr w:type="spellEnd"/>
            <w:r w:rsidRPr="0084490B">
              <w:rPr>
                <w:rFonts w:eastAsia="Calibri"/>
                <w:sz w:val="20"/>
              </w:rPr>
              <w:t xml:space="preserve"> rights and </w:t>
            </w:r>
            <w:proofErr w:type="gramStart"/>
            <w:r w:rsidRPr="0084490B">
              <w:rPr>
                <w:rFonts w:eastAsia="Calibri"/>
                <w:sz w:val="20"/>
              </w:rPr>
              <w:t>that,</w:t>
            </w:r>
            <w:proofErr w:type="gramEnd"/>
            <w:r w:rsidRPr="0084490B">
              <w:rPr>
                <w:rFonts w:eastAsia="Calibri"/>
                <w:sz w:val="20"/>
              </w:rPr>
              <w:t xml:space="preserve"> in any event, the claim lied outside the statutory limitation period.</w:t>
            </w:r>
          </w:p>
          <w:p w:rsidR="00D94824" w:rsidRPr="0084490B" w:rsidRDefault="00D94824" w:rsidP="001277D5">
            <w:pPr>
              <w:jc w:val="both"/>
              <w:rPr>
                <w:rFonts w:eastAsia="Calibri"/>
                <w:sz w:val="20"/>
              </w:rPr>
            </w:pPr>
          </w:p>
          <w:p w:rsidR="00D94824" w:rsidRPr="0084490B" w:rsidRDefault="00D94824" w:rsidP="001277D5">
            <w:pPr>
              <w:jc w:val="both"/>
              <w:rPr>
                <w:rFonts w:eastAsia="Calibri"/>
                <w:sz w:val="20"/>
              </w:rPr>
            </w:pPr>
            <w:r w:rsidRPr="0084490B">
              <w:rPr>
                <w:rFonts w:eastAsia="Calibri"/>
                <w:sz w:val="20"/>
              </w:rPr>
              <w:t xml:space="preserve">Master </w:t>
            </w:r>
            <w:proofErr w:type="spellStart"/>
            <w:r w:rsidRPr="0084490B">
              <w:rPr>
                <w:rFonts w:eastAsia="Calibri"/>
                <w:sz w:val="20"/>
              </w:rPr>
              <w:t>Breitkreuz</w:t>
            </w:r>
            <w:proofErr w:type="spellEnd"/>
            <w:r w:rsidRPr="0084490B">
              <w:rPr>
                <w:rFonts w:eastAsia="Calibri"/>
                <w:sz w:val="20"/>
              </w:rPr>
              <w:t xml:space="preserve"> of the Court of Queen’s Bench allowed Ms. </w:t>
            </w:r>
            <w:proofErr w:type="spellStart"/>
            <w:r w:rsidRPr="0084490B">
              <w:rPr>
                <w:rFonts w:eastAsia="Calibri"/>
                <w:sz w:val="20"/>
              </w:rPr>
              <w:t>Kudryk’s</w:t>
            </w:r>
            <w:proofErr w:type="spellEnd"/>
            <w:r w:rsidRPr="0084490B">
              <w:rPr>
                <w:rFonts w:eastAsia="Calibri"/>
                <w:sz w:val="20"/>
              </w:rPr>
              <w:t xml:space="preserve"> motion in part.  He did not dismiss the suit because, in his view, there was just enough doubt to allow the trial. However, because the “chances of succeeding in this are so remote”, he ordered Mr. </w:t>
            </w:r>
            <w:proofErr w:type="spellStart"/>
            <w:r w:rsidRPr="0084490B">
              <w:rPr>
                <w:rFonts w:eastAsia="Calibri"/>
                <w:sz w:val="20"/>
              </w:rPr>
              <w:t>Hamill</w:t>
            </w:r>
            <w:proofErr w:type="spellEnd"/>
            <w:r w:rsidRPr="0084490B">
              <w:rPr>
                <w:rFonts w:eastAsia="Calibri"/>
                <w:sz w:val="20"/>
              </w:rPr>
              <w:t xml:space="preserve"> to post security in the amount of $17,500.  If security was not posted by May 7, 2012, the action would be dismissed and the caveat against the house forming part of the estate would be discharged without further court order.  All further proceedings were stayed in the meantime. </w:t>
            </w:r>
          </w:p>
          <w:p w:rsidR="00D94824" w:rsidRPr="0084490B" w:rsidRDefault="00D94824" w:rsidP="001277D5">
            <w:pPr>
              <w:jc w:val="both"/>
              <w:rPr>
                <w:rFonts w:eastAsia="Calibri"/>
                <w:sz w:val="20"/>
              </w:rPr>
            </w:pPr>
          </w:p>
          <w:p w:rsidR="00D94824" w:rsidRPr="0084490B" w:rsidRDefault="00D94824" w:rsidP="001277D5">
            <w:pPr>
              <w:jc w:val="both"/>
              <w:rPr>
                <w:rFonts w:eastAsia="Calibri"/>
                <w:sz w:val="20"/>
              </w:rPr>
            </w:pPr>
            <w:r w:rsidRPr="0084490B">
              <w:rPr>
                <w:rFonts w:eastAsia="Calibri"/>
                <w:sz w:val="20"/>
              </w:rPr>
              <w:t>Mr. </w:t>
            </w:r>
            <w:proofErr w:type="spellStart"/>
            <w:r w:rsidRPr="0084490B">
              <w:rPr>
                <w:rFonts w:eastAsia="Calibri"/>
                <w:sz w:val="20"/>
              </w:rPr>
              <w:t>Hamill</w:t>
            </w:r>
            <w:proofErr w:type="spellEnd"/>
            <w:r w:rsidRPr="0084490B">
              <w:rPr>
                <w:rFonts w:eastAsia="Calibri"/>
                <w:sz w:val="20"/>
              </w:rPr>
              <w:t xml:space="preserve"> sought an extension of time to appeal before the Court of Queen’s Bench.  Applying the criteria in </w:t>
            </w:r>
            <w:r w:rsidRPr="0084490B">
              <w:rPr>
                <w:rFonts w:eastAsia="Calibri"/>
                <w:i/>
                <w:sz w:val="20"/>
              </w:rPr>
              <w:t>Cairns v. Cairns</w:t>
            </w:r>
            <w:r w:rsidRPr="0084490B">
              <w:rPr>
                <w:rFonts w:eastAsia="Calibri"/>
                <w:sz w:val="20"/>
              </w:rPr>
              <w:t xml:space="preserve">, [1931] 26 Alta L.R. 69, Thomas J. refused the extension of time. The Court of Appeal dismissed the appeal. </w:t>
            </w:r>
          </w:p>
          <w:p w:rsidR="00D94824" w:rsidRPr="0084490B" w:rsidRDefault="00D94824" w:rsidP="001277D5">
            <w:pPr>
              <w:jc w:val="both"/>
              <w:rPr>
                <w:rFonts w:eastAsia="Calibri"/>
                <w:sz w:val="20"/>
              </w:rPr>
            </w:pPr>
          </w:p>
        </w:tc>
      </w:tr>
      <w:tr w:rsidR="00D94824" w:rsidRPr="0084490B" w:rsidTr="001277D5">
        <w:tc>
          <w:tcPr>
            <w:tcW w:w="2427" w:type="pct"/>
          </w:tcPr>
          <w:p w:rsidR="00D94824" w:rsidRPr="0084490B" w:rsidRDefault="00D94824" w:rsidP="001277D5">
            <w:pPr>
              <w:jc w:val="both"/>
              <w:rPr>
                <w:rFonts w:eastAsia="Calibri"/>
                <w:sz w:val="20"/>
              </w:rPr>
            </w:pPr>
            <w:r w:rsidRPr="0084490B">
              <w:rPr>
                <w:rFonts w:eastAsia="Calibri"/>
                <w:sz w:val="20"/>
              </w:rPr>
              <w:t>June 18, 2012</w:t>
            </w:r>
          </w:p>
          <w:p w:rsidR="00D94824" w:rsidRPr="0084490B" w:rsidRDefault="00D94824" w:rsidP="001277D5">
            <w:pPr>
              <w:jc w:val="both"/>
              <w:rPr>
                <w:rFonts w:eastAsia="Calibri"/>
                <w:sz w:val="20"/>
              </w:rPr>
            </w:pPr>
            <w:r w:rsidRPr="0084490B">
              <w:rPr>
                <w:rFonts w:eastAsia="Calibri"/>
                <w:sz w:val="20"/>
              </w:rPr>
              <w:t>Court of Queen’s Bench of Alberta</w:t>
            </w:r>
          </w:p>
          <w:p w:rsidR="00D94824" w:rsidRPr="0084490B" w:rsidRDefault="00D94824" w:rsidP="001277D5">
            <w:pPr>
              <w:jc w:val="both"/>
              <w:rPr>
                <w:rFonts w:eastAsia="Calibri"/>
                <w:sz w:val="20"/>
              </w:rPr>
            </w:pPr>
            <w:r w:rsidRPr="0084490B">
              <w:rPr>
                <w:rFonts w:eastAsia="Calibri"/>
                <w:sz w:val="20"/>
              </w:rPr>
              <w:t>(Thomas J.)</w:t>
            </w:r>
          </w:p>
          <w:p w:rsidR="00D94824" w:rsidRPr="0084490B" w:rsidRDefault="00D94824" w:rsidP="001277D5">
            <w:pPr>
              <w:jc w:val="both"/>
              <w:rPr>
                <w:rFonts w:eastAsia="Calibri"/>
                <w:sz w:val="20"/>
              </w:rPr>
            </w:pPr>
          </w:p>
        </w:tc>
        <w:tc>
          <w:tcPr>
            <w:tcW w:w="243" w:type="pct"/>
          </w:tcPr>
          <w:p w:rsidR="00D94824" w:rsidRPr="0084490B" w:rsidRDefault="00D94824" w:rsidP="001277D5">
            <w:pPr>
              <w:jc w:val="both"/>
              <w:rPr>
                <w:rFonts w:eastAsia="Calibri"/>
                <w:sz w:val="20"/>
              </w:rPr>
            </w:pPr>
          </w:p>
        </w:tc>
        <w:tc>
          <w:tcPr>
            <w:tcW w:w="2330" w:type="pct"/>
          </w:tcPr>
          <w:p w:rsidR="00D94824" w:rsidRPr="0084490B" w:rsidRDefault="00D94824" w:rsidP="001277D5">
            <w:pPr>
              <w:jc w:val="both"/>
              <w:rPr>
                <w:rFonts w:eastAsia="Calibri"/>
                <w:sz w:val="20"/>
              </w:rPr>
            </w:pPr>
            <w:r w:rsidRPr="0084490B">
              <w:rPr>
                <w:rFonts w:eastAsia="Calibri"/>
                <w:sz w:val="20"/>
              </w:rPr>
              <w:t xml:space="preserve">Application for an extension of time to appeal an order of Master </w:t>
            </w:r>
            <w:proofErr w:type="spellStart"/>
            <w:r w:rsidRPr="0084490B">
              <w:rPr>
                <w:rFonts w:eastAsia="Calibri"/>
                <w:sz w:val="20"/>
              </w:rPr>
              <w:t>Breitkreuz</w:t>
            </w:r>
            <w:proofErr w:type="spellEnd"/>
            <w:r w:rsidRPr="0084490B">
              <w:rPr>
                <w:rFonts w:eastAsia="Calibri"/>
                <w:sz w:val="20"/>
              </w:rPr>
              <w:t xml:space="preserve"> dated March 7, 2012, dismissed</w:t>
            </w:r>
          </w:p>
          <w:p w:rsidR="00D94824" w:rsidRPr="0084490B" w:rsidRDefault="00D94824" w:rsidP="001277D5">
            <w:pPr>
              <w:jc w:val="both"/>
              <w:rPr>
                <w:rFonts w:eastAsia="Calibri"/>
                <w:sz w:val="20"/>
              </w:rPr>
            </w:pPr>
          </w:p>
        </w:tc>
      </w:tr>
      <w:tr w:rsidR="00D94824" w:rsidRPr="0084490B" w:rsidTr="001277D5">
        <w:tc>
          <w:tcPr>
            <w:tcW w:w="2427" w:type="pct"/>
          </w:tcPr>
          <w:p w:rsidR="00D94824" w:rsidRPr="0084490B" w:rsidRDefault="00D94824" w:rsidP="001277D5">
            <w:pPr>
              <w:jc w:val="both"/>
              <w:rPr>
                <w:rFonts w:eastAsia="Calibri"/>
                <w:sz w:val="20"/>
              </w:rPr>
            </w:pPr>
            <w:r w:rsidRPr="0084490B">
              <w:rPr>
                <w:rFonts w:eastAsia="Calibri"/>
                <w:sz w:val="20"/>
              </w:rPr>
              <w:t>January 31, 2013</w:t>
            </w:r>
          </w:p>
          <w:p w:rsidR="00D94824" w:rsidRPr="0084490B" w:rsidRDefault="00D94824" w:rsidP="001277D5">
            <w:pPr>
              <w:jc w:val="both"/>
              <w:rPr>
                <w:rFonts w:eastAsia="Calibri"/>
                <w:sz w:val="20"/>
              </w:rPr>
            </w:pPr>
            <w:r w:rsidRPr="0084490B">
              <w:rPr>
                <w:rFonts w:eastAsia="Calibri"/>
                <w:sz w:val="20"/>
              </w:rPr>
              <w:t>Court of Appeal of Alberta (Edmonton)</w:t>
            </w:r>
          </w:p>
          <w:p w:rsidR="00D94824" w:rsidRPr="0084490B" w:rsidRDefault="00D94824" w:rsidP="001277D5">
            <w:pPr>
              <w:jc w:val="both"/>
              <w:rPr>
                <w:rFonts w:eastAsia="Calibri"/>
                <w:sz w:val="20"/>
              </w:rPr>
            </w:pPr>
            <w:r w:rsidRPr="0084490B">
              <w:rPr>
                <w:rFonts w:eastAsia="Calibri"/>
                <w:sz w:val="20"/>
              </w:rPr>
              <w:t>(</w:t>
            </w:r>
            <w:proofErr w:type="spellStart"/>
            <w:r w:rsidRPr="0084490B">
              <w:rPr>
                <w:rFonts w:eastAsia="Calibri"/>
                <w:sz w:val="20"/>
              </w:rPr>
              <w:t>Côté</w:t>
            </w:r>
            <w:proofErr w:type="spellEnd"/>
            <w:r w:rsidRPr="0084490B">
              <w:rPr>
                <w:rFonts w:eastAsia="Calibri"/>
                <w:sz w:val="20"/>
              </w:rPr>
              <w:t xml:space="preserve">, McDonald and </w:t>
            </w:r>
            <w:proofErr w:type="spellStart"/>
            <w:r w:rsidRPr="0084490B">
              <w:rPr>
                <w:rFonts w:eastAsia="Calibri"/>
                <w:sz w:val="20"/>
              </w:rPr>
              <w:t>Bielby</w:t>
            </w:r>
            <w:proofErr w:type="spellEnd"/>
            <w:r w:rsidRPr="0084490B">
              <w:rPr>
                <w:rFonts w:eastAsia="Calibri"/>
                <w:sz w:val="20"/>
              </w:rPr>
              <w:t xml:space="preserve"> JJ.A.)</w:t>
            </w:r>
          </w:p>
          <w:p w:rsidR="00D94824" w:rsidRPr="0084490B" w:rsidRDefault="00D94824" w:rsidP="001277D5">
            <w:pPr>
              <w:jc w:val="both"/>
              <w:rPr>
                <w:rFonts w:eastAsia="Calibri"/>
                <w:sz w:val="20"/>
              </w:rPr>
            </w:pPr>
            <w:r w:rsidRPr="0084490B">
              <w:rPr>
                <w:rFonts w:eastAsia="Calibri"/>
                <w:sz w:val="20"/>
              </w:rPr>
              <w:t>2013 ABCA 37; 1203-0139-AC</w:t>
            </w:r>
          </w:p>
          <w:p w:rsidR="00D94824" w:rsidRPr="0084490B" w:rsidRDefault="00D94824" w:rsidP="001277D5">
            <w:pPr>
              <w:jc w:val="both"/>
              <w:rPr>
                <w:rFonts w:eastAsia="Calibri"/>
                <w:sz w:val="20"/>
              </w:rPr>
            </w:pPr>
          </w:p>
        </w:tc>
        <w:tc>
          <w:tcPr>
            <w:tcW w:w="243" w:type="pct"/>
          </w:tcPr>
          <w:p w:rsidR="00D94824" w:rsidRPr="0084490B" w:rsidRDefault="00D94824" w:rsidP="001277D5">
            <w:pPr>
              <w:jc w:val="both"/>
              <w:rPr>
                <w:rFonts w:eastAsia="Calibri"/>
                <w:sz w:val="20"/>
              </w:rPr>
            </w:pPr>
          </w:p>
        </w:tc>
        <w:tc>
          <w:tcPr>
            <w:tcW w:w="2330" w:type="pct"/>
          </w:tcPr>
          <w:p w:rsidR="00D94824" w:rsidRPr="0084490B" w:rsidRDefault="00D94824" w:rsidP="001277D5">
            <w:pPr>
              <w:jc w:val="both"/>
              <w:rPr>
                <w:rFonts w:eastAsia="Calibri"/>
                <w:sz w:val="20"/>
              </w:rPr>
            </w:pPr>
            <w:r w:rsidRPr="0084490B">
              <w:rPr>
                <w:rFonts w:eastAsia="Calibri"/>
                <w:sz w:val="20"/>
              </w:rPr>
              <w:t>Appeal dismissed</w:t>
            </w:r>
          </w:p>
          <w:p w:rsidR="00D94824" w:rsidRPr="0084490B" w:rsidRDefault="00D94824" w:rsidP="001277D5">
            <w:pPr>
              <w:jc w:val="both"/>
              <w:rPr>
                <w:rFonts w:eastAsia="Calibri"/>
                <w:sz w:val="20"/>
              </w:rPr>
            </w:pPr>
          </w:p>
        </w:tc>
      </w:tr>
      <w:tr w:rsidR="00D94824" w:rsidRPr="0084490B" w:rsidTr="001277D5">
        <w:tc>
          <w:tcPr>
            <w:tcW w:w="2427" w:type="pct"/>
          </w:tcPr>
          <w:p w:rsidR="00D94824" w:rsidRPr="0084490B" w:rsidRDefault="00D94824" w:rsidP="001277D5">
            <w:pPr>
              <w:jc w:val="both"/>
              <w:rPr>
                <w:rFonts w:eastAsia="Calibri"/>
                <w:sz w:val="20"/>
              </w:rPr>
            </w:pPr>
            <w:r w:rsidRPr="0084490B">
              <w:rPr>
                <w:rFonts w:eastAsia="Calibri"/>
                <w:sz w:val="20"/>
              </w:rPr>
              <w:t>March 1, 2013</w:t>
            </w:r>
          </w:p>
          <w:p w:rsidR="00D94824" w:rsidRPr="0084490B" w:rsidRDefault="00D94824" w:rsidP="001277D5">
            <w:pPr>
              <w:jc w:val="both"/>
              <w:rPr>
                <w:rFonts w:eastAsia="Calibri"/>
                <w:sz w:val="20"/>
              </w:rPr>
            </w:pPr>
            <w:r w:rsidRPr="0084490B">
              <w:rPr>
                <w:rFonts w:eastAsia="Calibri"/>
                <w:sz w:val="20"/>
              </w:rPr>
              <w:t>Supreme Court of Canada</w:t>
            </w:r>
          </w:p>
        </w:tc>
        <w:tc>
          <w:tcPr>
            <w:tcW w:w="243" w:type="pct"/>
          </w:tcPr>
          <w:p w:rsidR="00D94824" w:rsidRPr="0084490B" w:rsidRDefault="00D94824" w:rsidP="001277D5">
            <w:pPr>
              <w:jc w:val="both"/>
              <w:rPr>
                <w:rFonts w:eastAsia="Calibri"/>
                <w:sz w:val="20"/>
              </w:rPr>
            </w:pPr>
          </w:p>
        </w:tc>
        <w:tc>
          <w:tcPr>
            <w:tcW w:w="2330" w:type="pct"/>
          </w:tcPr>
          <w:p w:rsidR="00D94824" w:rsidRPr="0084490B" w:rsidRDefault="00D94824" w:rsidP="001277D5">
            <w:pPr>
              <w:jc w:val="both"/>
              <w:rPr>
                <w:rFonts w:eastAsia="Calibri"/>
                <w:sz w:val="20"/>
              </w:rPr>
            </w:pPr>
            <w:r w:rsidRPr="0084490B">
              <w:rPr>
                <w:rFonts w:eastAsia="Calibri"/>
                <w:sz w:val="20"/>
              </w:rPr>
              <w:t>Application for leave to appeal filed</w:t>
            </w:r>
          </w:p>
          <w:p w:rsidR="00D94824" w:rsidRPr="0084490B" w:rsidRDefault="00D94824" w:rsidP="001277D5">
            <w:pPr>
              <w:jc w:val="both"/>
              <w:rPr>
                <w:rFonts w:eastAsia="Calibri"/>
                <w:sz w:val="20"/>
              </w:rPr>
            </w:pPr>
          </w:p>
        </w:tc>
      </w:tr>
    </w:tbl>
    <w:p w:rsidR="00EA65C4" w:rsidRDefault="00EA65C4" w:rsidP="00EA65C4">
      <w:pPr>
        <w:rPr>
          <w:sz w:val="20"/>
          <w:szCs w:val="20"/>
        </w:rPr>
      </w:pPr>
    </w:p>
    <w:p w:rsidR="00EA65C4" w:rsidRPr="00C50A5C" w:rsidRDefault="0028676C" w:rsidP="00EA65C4">
      <w:pPr>
        <w:rPr>
          <w:sz w:val="20"/>
          <w:szCs w:val="20"/>
        </w:rPr>
      </w:pPr>
      <w:r w:rsidRPr="0028676C">
        <w:rPr>
          <w:sz w:val="20"/>
          <w:szCs w:val="20"/>
          <w:lang w:val="fr-CA"/>
        </w:rPr>
        <w:pict>
          <v:rect id="_x0000_i1073" style="width:2in;height:1pt" o:hrpct="0" o:hralign="center" o:hrstd="t" o:hrnoshade="t" o:hr="t" fillcolor="black [3213]" stroked="f"/>
        </w:pict>
      </w:r>
    </w:p>
    <w:p w:rsidR="00EA65C4" w:rsidRDefault="00EA65C4" w:rsidP="00EA65C4">
      <w:pPr>
        <w:rPr>
          <w:sz w:val="20"/>
          <w:szCs w:val="20"/>
        </w:rPr>
      </w:pPr>
    </w:p>
    <w:p w:rsidR="00EA65C4" w:rsidRPr="001B157C" w:rsidRDefault="00EA65C4" w:rsidP="00EA65C4">
      <w:pPr>
        <w:rPr>
          <w:sz w:val="20"/>
          <w:szCs w:val="20"/>
          <w:u w:val="single"/>
          <w:lang w:val="fr-CA"/>
        </w:rPr>
      </w:pPr>
      <w:r w:rsidRPr="001B157C">
        <w:rPr>
          <w:sz w:val="20"/>
          <w:szCs w:val="20"/>
          <w:u w:val="single"/>
          <w:lang w:val="fr-CA"/>
        </w:rPr>
        <w:t>RÉSUMÉ DE L’AFFAIRE</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94824" w:rsidRPr="00B6040C" w:rsidTr="001277D5">
        <w:tc>
          <w:tcPr>
            <w:tcW w:w="5000" w:type="pct"/>
            <w:gridSpan w:val="3"/>
          </w:tcPr>
          <w:p w:rsidR="00D94824" w:rsidRPr="0084490B" w:rsidRDefault="00D94824" w:rsidP="001277D5">
            <w:pPr>
              <w:jc w:val="both"/>
              <w:rPr>
                <w:rFonts w:eastAsia="Calibri"/>
                <w:sz w:val="20"/>
                <w:lang w:val="fr-CA"/>
              </w:rPr>
            </w:pPr>
            <w:r w:rsidRPr="0084490B">
              <w:rPr>
                <w:rFonts w:eastAsia="Calibri"/>
                <w:sz w:val="20"/>
                <w:lang w:val="fr-CA"/>
              </w:rPr>
              <w:t xml:space="preserve">Procédure civile – Appels – Prorogation d’un délai – Aurait-il fallu accorder en l’espèce une prorogation du délai pour interjeter appel de l’ordonnance du protonotaire </w:t>
            </w:r>
            <w:proofErr w:type="spellStart"/>
            <w:r w:rsidRPr="0084490B">
              <w:rPr>
                <w:rFonts w:eastAsia="Calibri"/>
                <w:sz w:val="20"/>
                <w:lang w:val="fr-CA"/>
              </w:rPr>
              <w:t>Breitkreuz</w:t>
            </w:r>
            <w:proofErr w:type="spellEnd"/>
            <w:r w:rsidRPr="0084490B">
              <w:rPr>
                <w:rFonts w:eastAsia="Calibri"/>
                <w:sz w:val="20"/>
                <w:lang w:val="fr-CA"/>
              </w:rPr>
              <w:t xml:space="preserve">? </w:t>
            </w:r>
          </w:p>
        </w:tc>
      </w:tr>
      <w:tr w:rsidR="00D94824" w:rsidRPr="00B6040C" w:rsidTr="001277D5">
        <w:tc>
          <w:tcPr>
            <w:tcW w:w="5000" w:type="pct"/>
            <w:gridSpan w:val="3"/>
          </w:tcPr>
          <w:p w:rsidR="00D94824" w:rsidRPr="0084490B" w:rsidRDefault="00D94824" w:rsidP="001277D5">
            <w:pPr>
              <w:jc w:val="both"/>
              <w:rPr>
                <w:rFonts w:eastAsia="Calibri"/>
                <w:sz w:val="20"/>
                <w:lang w:val="fr-CA"/>
              </w:rPr>
            </w:pPr>
          </w:p>
        </w:tc>
      </w:tr>
      <w:tr w:rsidR="00D94824" w:rsidRPr="0084490B" w:rsidTr="001277D5">
        <w:tc>
          <w:tcPr>
            <w:tcW w:w="5000" w:type="pct"/>
            <w:gridSpan w:val="3"/>
          </w:tcPr>
          <w:p w:rsidR="00D94824" w:rsidRPr="0084490B" w:rsidRDefault="00D94824" w:rsidP="001277D5">
            <w:pPr>
              <w:jc w:val="both"/>
              <w:rPr>
                <w:rFonts w:eastAsia="Calibri"/>
                <w:sz w:val="20"/>
                <w:lang w:val="fr-FR"/>
              </w:rPr>
            </w:pPr>
            <w:r w:rsidRPr="0084490B">
              <w:rPr>
                <w:rFonts w:eastAsia="Calibri"/>
                <w:sz w:val="20"/>
                <w:lang w:val="fr-FR"/>
              </w:rPr>
              <w:t xml:space="preserve">Le demandeur Gary </w:t>
            </w:r>
            <w:proofErr w:type="spellStart"/>
            <w:r w:rsidRPr="0084490B">
              <w:rPr>
                <w:rFonts w:eastAsia="Calibri"/>
                <w:sz w:val="20"/>
                <w:lang w:val="fr-FR"/>
              </w:rPr>
              <w:t>Hamill</w:t>
            </w:r>
            <w:proofErr w:type="spellEnd"/>
            <w:r w:rsidRPr="0084490B">
              <w:rPr>
                <w:rFonts w:eastAsia="Calibri"/>
                <w:sz w:val="20"/>
                <w:lang w:val="fr-FR"/>
              </w:rPr>
              <w:t xml:space="preserve"> a poursuivi en justice sa sœur, l’intimée Glenda </w:t>
            </w:r>
            <w:proofErr w:type="spellStart"/>
            <w:r w:rsidRPr="0084490B">
              <w:rPr>
                <w:rFonts w:eastAsia="Calibri"/>
                <w:sz w:val="20"/>
                <w:lang w:val="fr-FR"/>
              </w:rPr>
              <w:t>Kudryk</w:t>
            </w:r>
            <w:proofErr w:type="spellEnd"/>
            <w:r w:rsidRPr="0084490B">
              <w:rPr>
                <w:rFonts w:eastAsia="Calibri"/>
                <w:sz w:val="20"/>
                <w:lang w:val="fr-FR"/>
              </w:rPr>
              <w:t>, relativement à la succession de leur mère.  M</w:t>
            </w:r>
            <w:r w:rsidRPr="0084490B">
              <w:rPr>
                <w:rFonts w:eastAsia="Calibri"/>
                <w:sz w:val="20"/>
                <w:vertAlign w:val="superscript"/>
                <w:lang w:val="fr-FR"/>
              </w:rPr>
              <w:t>me </w:t>
            </w:r>
            <w:proofErr w:type="spellStart"/>
            <w:r w:rsidRPr="0084490B">
              <w:rPr>
                <w:rFonts w:eastAsia="Calibri"/>
                <w:sz w:val="20"/>
                <w:lang w:val="fr-FR"/>
              </w:rPr>
              <w:t>Kudryk</w:t>
            </w:r>
            <w:proofErr w:type="spellEnd"/>
            <w:r w:rsidRPr="0084490B">
              <w:rPr>
                <w:rFonts w:eastAsia="Calibri"/>
                <w:sz w:val="20"/>
                <w:lang w:val="fr-FR"/>
              </w:rPr>
              <w:t xml:space="preserve"> a répliqué en présentant une requête visant à obtenir un jugement sommaire et, subsidiairement, un cautionnement pour dépens.  Elle a prétendu que la poursuite semblait contredire une cession signée des droits de M. </w:t>
            </w:r>
            <w:proofErr w:type="spellStart"/>
            <w:r w:rsidRPr="0084490B">
              <w:rPr>
                <w:rFonts w:eastAsia="Calibri"/>
                <w:sz w:val="20"/>
                <w:lang w:val="fr-FR"/>
              </w:rPr>
              <w:t>Hamill</w:t>
            </w:r>
            <w:proofErr w:type="spellEnd"/>
            <w:r w:rsidRPr="0084490B">
              <w:rPr>
                <w:rFonts w:eastAsia="Calibri"/>
                <w:sz w:val="20"/>
                <w:lang w:val="fr-FR"/>
              </w:rPr>
              <w:t xml:space="preserve"> et qu’en tout état de cause, la poursuite avait été engagée au-delà du délai de prescription prévu par la loi. </w:t>
            </w:r>
          </w:p>
          <w:p w:rsidR="00D94824" w:rsidRPr="0084490B" w:rsidRDefault="00D94824" w:rsidP="001277D5">
            <w:pPr>
              <w:jc w:val="both"/>
              <w:rPr>
                <w:rFonts w:eastAsia="Calibri"/>
                <w:sz w:val="20"/>
                <w:lang w:val="fr-FR"/>
              </w:rPr>
            </w:pPr>
          </w:p>
          <w:p w:rsidR="00D94824" w:rsidRPr="0084490B" w:rsidRDefault="00D94824" w:rsidP="001277D5">
            <w:pPr>
              <w:jc w:val="both"/>
              <w:rPr>
                <w:rFonts w:eastAsia="Calibri"/>
                <w:sz w:val="20"/>
                <w:lang w:val="fr-FR"/>
              </w:rPr>
            </w:pPr>
            <w:r w:rsidRPr="0084490B">
              <w:rPr>
                <w:rFonts w:eastAsia="Calibri"/>
                <w:sz w:val="20"/>
                <w:lang w:val="fr-FR"/>
              </w:rPr>
              <w:t xml:space="preserve">Le protonotaire </w:t>
            </w:r>
            <w:proofErr w:type="spellStart"/>
            <w:r w:rsidRPr="0084490B">
              <w:rPr>
                <w:rFonts w:eastAsia="Calibri"/>
                <w:sz w:val="20"/>
                <w:lang w:val="fr-FR"/>
              </w:rPr>
              <w:t>Breitkreuz</w:t>
            </w:r>
            <w:proofErr w:type="spellEnd"/>
            <w:r w:rsidRPr="0084490B">
              <w:rPr>
                <w:rFonts w:eastAsia="Calibri"/>
                <w:sz w:val="20"/>
                <w:lang w:val="fr-FR"/>
              </w:rPr>
              <w:t>, de la Cour du Banc de la Reine, a accueilli la requête de M</w:t>
            </w:r>
            <w:r w:rsidRPr="0084490B">
              <w:rPr>
                <w:rFonts w:eastAsia="Calibri"/>
                <w:sz w:val="20"/>
                <w:vertAlign w:val="superscript"/>
                <w:lang w:val="fr-FR"/>
              </w:rPr>
              <w:t>me </w:t>
            </w:r>
            <w:proofErr w:type="spellStart"/>
            <w:r w:rsidRPr="0084490B">
              <w:rPr>
                <w:rFonts w:eastAsia="Calibri"/>
                <w:sz w:val="20"/>
                <w:lang w:val="fr-FR"/>
              </w:rPr>
              <w:t>Kudryk</w:t>
            </w:r>
            <w:proofErr w:type="spellEnd"/>
            <w:r w:rsidRPr="0084490B">
              <w:rPr>
                <w:rFonts w:eastAsia="Calibri"/>
                <w:sz w:val="20"/>
                <w:lang w:val="fr-FR"/>
              </w:rPr>
              <w:t xml:space="preserve"> en partie.  Il n’a pas rejeté la poursuite parce qu’il entretenait juste assez de doute pour en autoriser l’instruction.  Toutefois, puisque les [</w:t>
            </w:r>
            <w:r w:rsidRPr="0084490B">
              <w:rPr>
                <w:rFonts w:eastAsia="Calibri"/>
                <w:smallCaps/>
                <w:sz w:val="20"/>
                <w:lang w:val="fr-FR"/>
              </w:rPr>
              <w:t>traduction</w:t>
            </w:r>
            <w:r w:rsidRPr="0084490B">
              <w:rPr>
                <w:rFonts w:eastAsia="Calibri"/>
                <w:sz w:val="20"/>
                <w:lang w:val="fr-FR"/>
              </w:rPr>
              <w:t>] « chances d’avoir gain de cause en l’espèce sont si minces », il a ordonné à M. </w:t>
            </w:r>
            <w:proofErr w:type="spellStart"/>
            <w:r w:rsidRPr="0084490B">
              <w:rPr>
                <w:rFonts w:eastAsia="Calibri"/>
                <w:sz w:val="20"/>
                <w:lang w:val="fr-FR"/>
              </w:rPr>
              <w:t>Hamill</w:t>
            </w:r>
            <w:proofErr w:type="spellEnd"/>
            <w:r w:rsidRPr="0084490B">
              <w:rPr>
                <w:rFonts w:eastAsia="Calibri"/>
                <w:sz w:val="20"/>
                <w:lang w:val="fr-FR"/>
              </w:rPr>
              <w:t xml:space="preserve"> de déposer un cautionnement de 17 500 $.  S’il ne déposait pas ce cautionnement au plus tard le 7 mai 2012, son action serait rejetée et l’opposition contre la résidence faisant partie de la succession serait levée sans autre ordonnance judiciaire.  Toutes les autres procédures ont été suspendues entre-temps. </w:t>
            </w:r>
          </w:p>
          <w:p w:rsidR="00D94824" w:rsidRPr="0084490B" w:rsidRDefault="00D94824" w:rsidP="001277D5">
            <w:pPr>
              <w:jc w:val="both"/>
              <w:rPr>
                <w:rFonts w:eastAsia="Calibri"/>
                <w:sz w:val="20"/>
                <w:lang w:val="fr-FR"/>
              </w:rPr>
            </w:pPr>
          </w:p>
          <w:p w:rsidR="00D94824" w:rsidRPr="0084490B" w:rsidRDefault="00D94824" w:rsidP="001277D5">
            <w:pPr>
              <w:jc w:val="both"/>
              <w:rPr>
                <w:rFonts w:eastAsia="Calibri"/>
                <w:sz w:val="20"/>
              </w:rPr>
            </w:pPr>
            <w:r w:rsidRPr="0084490B">
              <w:rPr>
                <w:rFonts w:eastAsia="Calibri"/>
                <w:sz w:val="20"/>
                <w:lang w:val="fr-FR"/>
              </w:rPr>
              <w:t>M. </w:t>
            </w:r>
            <w:proofErr w:type="spellStart"/>
            <w:r w:rsidRPr="0084490B">
              <w:rPr>
                <w:rFonts w:eastAsia="Calibri"/>
                <w:sz w:val="20"/>
                <w:lang w:val="fr-FR"/>
              </w:rPr>
              <w:t>Hamill</w:t>
            </w:r>
            <w:proofErr w:type="spellEnd"/>
            <w:r w:rsidRPr="0084490B">
              <w:rPr>
                <w:rFonts w:eastAsia="Calibri"/>
                <w:sz w:val="20"/>
                <w:lang w:val="fr-FR"/>
              </w:rPr>
              <w:t xml:space="preserve"> a demandé une prorogation du délai d’appel à la Cour du Banc de la Reine.  Appliquant le critère établi dans </w:t>
            </w:r>
            <w:r w:rsidRPr="0084490B">
              <w:rPr>
                <w:rFonts w:eastAsia="Calibri"/>
                <w:i/>
                <w:sz w:val="20"/>
                <w:lang w:val="fr-FR"/>
              </w:rPr>
              <w:t>Cairns c. Cairns</w:t>
            </w:r>
            <w:r w:rsidRPr="0084490B">
              <w:rPr>
                <w:rFonts w:eastAsia="Calibri"/>
                <w:sz w:val="20"/>
                <w:lang w:val="fr-FR"/>
              </w:rPr>
              <w:t>, [1931] 26 Alta L.R. 69, le juge Thomas a refusé la prorogation du délai.  La Cour d’appel a rejeté l’appel</w:t>
            </w:r>
            <w:r w:rsidRPr="0084490B">
              <w:rPr>
                <w:rFonts w:eastAsia="Calibri"/>
                <w:sz w:val="20"/>
              </w:rPr>
              <w:t xml:space="preserve">. </w:t>
            </w:r>
          </w:p>
          <w:p w:rsidR="00D94824" w:rsidRPr="0084490B" w:rsidRDefault="00D94824" w:rsidP="001277D5">
            <w:pPr>
              <w:jc w:val="both"/>
              <w:rPr>
                <w:rFonts w:eastAsia="Calibri"/>
                <w:sz w:val="20"/>
              </w:rPr>
            </w:pPr>
          </w:p>
        </w:tc>
      </w:tr>
      <w:tr w:rsidR="00D94824" w:rsidRPr="00B6040C" w:rsidTr="001277D5">
        <w:tc>
          <w:tcPr>
            <w:tcW w:w="2427" w:type="pct"/>
          </w:tcPr>
          <w:p w:rsidR="00D94824" w:rsidRPr="0084490B" w:rsidRDefault="00D94824" w:rsidP="001277D5">
            <w:pPr>
              <w:jc w:val="both"/>
              <w:rPr>
                <w:rFonts w:eastAsia="Calibri"/>
                <w:sz w:val="20"/>
                <w:lang w:val="fr-CA"/>
              </w:rPr>
            </w:pPr>
            <w:r w:rsidRPr="0084490B">
              <w:rPr>
                <w:rFonts w:eastAsia="Calibri"/>
                <w:sz w:val="20"/>
                <w:lang w:val="fr-CA"/>
              </w:rPr>
              <w:t>18 juin 2012</w:t>
            </w:r>
          </w:p>
          <w:p w:rsidR="00D94824" w:rsidRPr="0084490B" w:rsidRDefault="00D94824" w:rsidP="001277D5">
            <w:pPr>
              <w:jc w:val="both"/>
              <w:rPr>
                <w:rFonts w:eastAsia="Calibri"/>
                <w:sz w:val="20"/>
                <w:lang w:val="fr-FR"/>
              </w:rPr>
            </w:pPr>
            <w:r w:rsidRPr="0084490B">
              <w:rPr>
                <w:rFonts w:eastAsia="Calibri"/>
                <w:sz w:val="20"/>
                <w:lang w:val="fr-FR"/>
              </w:rPr>
              <w:t>Cour du Banc de la Reine de l’Alberta</w:t>
            </w:r>
          </w:p>
          <w:p w:rsidR="00D94824" w:rsidRPr="0084490B" w:rsidRDefault="00D94824" w:rsidP="001277D5">
            <w:pPr>
              <w:jc w:val="both"/>
              <w:rPr>
                <w:rFonts w:eastAsia="Calibri"/>
                <w:sz w:val="20"/>
              </w:rPr>
            </w:pPr>
            <w:r w:rsidRPr="0084490B">
              <w:rPr>
                <w:rFonts w:eastAsia="Calibri"/>
                <w:sz w:val="20"/>
              </w:rPr>
              <w:t>(</w:t>
            </w:r>
            <w:proofErr w:type="spellStart"/>
            <w:r w:rsidRPr="0084490B">
              <w:rPr>
                <w:rFonts w:eastAsia="Calibri"/>
                <w:sz w:val="20"/>
              </w:rPr>
              <w:t>Juge</w:t>
            </w:r>
            <w:proofErr w:type="spellEnd"/>
            <w:r w:rsidRPr="0084490B">
              <w:rPr>
                <w:rFonts w:eastAsia="Calibri"/>
                <w:sz w:val="20"/>
              </w:rPr>
              <w:t xml:space="preserve"> Thomas)</w:t>
            </w:r>
          </w:p>
          <w:p w:rsidR="00D94824" w:rsidRPr="0084490B" w:rsidRDefault="00D94824" w:rsidP="001277D5">
            <w:pPr>
              <w:jc w:val="both"/>
              <w:rPr>
                <w:rFonts w:eastAsia="Calibri"/>
                <w:sz w:val="20"/>
              </w:rPr>
            </w:pPr>
          </w:p>
        </w:tc>
        <w:tc>
          <w:tcPr>
            <w:tcW w:w="243" w:type="pct"/>
          </w:tcPr>
          <w:p w:rsidR="00D94824" w:rsidRPr="0084490B" w:rsidRDefault="00D94824" w:rsidP="001277D5">
            <w:pPr>
              <w:jc w:val="both"/>
              <w:rPr>
                <w:rFonts w:eastAsia="Calibri"/>
                <w:sz w:val="20"/>
              </w:rPr>
            </w:pPr>
          </w:p>
        </w:tc>
        <w:tc>
          <w:tcPr>
            <w:tcW w:w="2330" w:type="pct"/>
          </w:tcPr>
          <w:p w:rsidR="00D94824" w:rsidRPr="0084490B" w:rsidRDefault="00D94824" w:rsidP="001277D5">
            <w:pPr>
              <w:jc w:val="both"/>
              <w:rPr>
                <w:rFonts w:eastAsia="Calibri"/>
                <w:sz w:val="20"/>
                <w:lang w:val="fr-FR"/>
              </w:rPr>
            </w:pPr>
            <w:r w:rsidRPr="0084490B">
              <w:rPr>
                <w:rFonts w:eastAsia="Calibri"/>
                <w:sz w:val="20"/>
                <w:lang w:val="fr-FR"/>
              </w:rPr>
              <w:t xml:space="preserve">Demande de prorogation du délai pour interjeter appel de l’ordonnance du protonotaire </w:t>
            </w:r>
            <w:proofErr w:type="spellStart"/>
            <w:r w:rsidRPr="0084490B">
              <w:rPr>
                <w:rFonts w:eastAsia="Calibri"/>
                <w:sz w:val="20"/>
                <w:lang w:val="fr-FR"/>
              </w:rPr>
              <w:t>Breitkreuz</w:t>
            </w:r>
            <w:proofErr w:type="spellEnd"/>
            <w:r w:rsidRPr="0084490B">
              <w:rPr>
                <w:rFonts w:eastAsia="Calibri"/>
                <w:sz w:val="20"/>
                <w:lang w:val="fr-FR"/>
              </w:rPr>
              <w:t xml:space="preserve"> datée du 7 mars 2012, rejetée</w:t>
            </w:r>
          </w:p>
          <w:p w:rsidR="00D94824" w:rsidRPr="0084490B" w:rsidRDefault="00D94824" w:rsidP="001277D5">
            <w:pPr>
              <w:jc w:val="both"/>
              <w:rPr>
                <w:rFonts w:eastAsia="Calibri"/>
                <w:sz w:val="20"/>
                <w:lang w:val="fr-FR"/>
              </w:rPr>
            </w:pPr>
          </w:p>
        </w:tc>
      </w:tr>
      <w:tr w:rsidR="00D94824" w:rsidRPr="0084490B" w:rsidTr="001277D5">
        <w:tc>
          <w:tcPr>
            <w:tcW w:w="2427" w:type="pct"/>
          </w:tcPr>
          <w:p w:rsidR="00D94824" w:rsidRPr="0084490B" w:rsidRDefault="00D94824" w:rsidP="001277D5">
            <w:pPr>
              <w:jc w:val="both"/>
              <w:rPr>
                <w:rFonts w:eastAsia="Calibri"/>
                <w:sz w:val="20"/>
                <w:lang w:val="fr-FR"/>
              </w:rPr>
            </w:pPr>
            <w:r w:rsidRPr="0084490B">
              <w:rPr>
                <w:rFonts w:eastAsia="Calibri"/>
                <w:sz w:val="20"/>
                <w:lang w:val="fr-FR"/>
              </w:rPr>
              <w:t>31 janvier 2013</w:t>
            </w:r>
          </w:p>
          <w:p w:rsidR="00D94824" w:rsidRPr="0084490B" w:rsidRDefault="00D94824" w:rsidP="001277D5">
            <w:pPr>
              <w:jc w:val="both"/>
              <w:rPr>
                <w:rFonts w:eastAsia="Calibri"/>
                <w:sz w:val="20"/>
                <w:lang w:val="fr-FR"/>
              </w:rPr>
            </w:pPr>
            <w:r w:rsidRPr="0084490B">
              <w:rPr>
                <w:rFonts w:eastAsia="Calibri"/>
                <w:sz w:val="20"/>
                <w:lang w:val="fr-FR"/>
              </w:rPr>
              <w:t>Cour d’appel de l’Alberta (Edmonton)</w:t>
            </w:r>
          </w:p>
          <w:p w:rsidR="00D94824" w:rsidRPr="0084490B" w:rsidRDefault="00D94824" w:rsidP="001277D5">
            <w:pPr>
              <w:jc w:val="both"/>
              <w:rPr>
                <w:rFonts w:eastAsia="Calibri"/>
                <w:sz w:val="20"/>
                <w:lang w:val="fr-FR"/>
              </w:rPr>
            </w:pPr>
            <w:r w:rsidRPr="0084490B">
              <w:rPr>
                <w:rFonts w:eastAsia="Calibri"/>
                <w:sz w:val="20"/>
                <w:lang w:val="fr-FR"/>
              </w:rPr>
              <w:t xml:space="preserve">(Juges Côté, McDonald et </w:t>
            </w:r>
            <w:proofErr w:type="spellStart"/>
            <w:r w:rsidRPr="0084490B">
              <w:rPr>
                <w:rFonts w:eastAsia="Calibri"/>
                <w:sz w:val="20"/>
                <w:lang w:val="fr-FR"/>
              </w:rPr>
              <w:t>Bielby</w:t>
            </w:r>
            <w:proofErr w:type="spellEnd"/>
            <w:r w:rsidRPr="0084490B">
              <w:rPr>
                <w:rFonts w:eastAsia="Calibri"/>
                <w:sz w:val="20"/>
                <w:lang w:val="fr-FR"/>
              </w:rPr>
              <w:t>)</w:t>
            </w:r>
          </w:p>
          <w:p w:rsidR="00D94824" w:rsidRPr="0084490B" w:rsidRDefault="00D94824" w:rsidP="001277D5">
            <w:pPr>
              <w:jc w:val="both"/>
              <w:rPr>
                <w:rFonts w:eastAsia="Calibri"/>
                <w:sz w:val="20"/>
              </w:rPr>
            </w:pPr>
            <w:r w:rsidRPr="0084490B">
              <w:rPr>
                <w:rFonts w:eastAsia="Calibri"/>
                <w:sz w:val="20"/>
              </w:rPr>
              <w:t>2013 ABCA 37; 1203-0139-AC</w:t>
            </w:r>
          </w:p>
          <w:p w:rsidR="00D94824" w:rsidRPr="0084490B" w:rsidRDefault="00D94824" w:rsidP="001277D5">
            <w:pPr>
              <w:jc w:val="both"/>
              <w:rPr>
                <w:rFonts w:eastAsia="Calibri"/>
                <w:sz w:val="20"/>
              </w:rPr>
            </w:pPr>
          </w:p>
        </w:tc>
        <w:tc>
          <w:tcPr>
            <w:tcW w:w="243" w:type="pct"/>
          </w:tcPr>
          <w:p w:rsidR="00D94824" w:rsidRPr="0084490B" w:rsidRDefault="00D94824" w:rsidP="001277D5">
            <w:pPr>
              <w:jc w:val="both"/>
              <w:rPr>
                <w:rFonts w:eastAsia="Calibri"/>
                <w:sz w:val="20"/>
              </w:rPr>
            </w:pPr>
          </w:p>
        </w:tc>
        <w:tc>
          <w:tcPr>
            <w:tcW w:w="2330" w:type="pct"/>
          </w:tcPr>
          <w:p w:rsidR="00D94824" w:rsidRPr="0084490B" w:rsidRDefault="00D94824" w:rsidP="001277D5">
            <w:pPr>
              <w:jc w:val="both"/>
              <w:rPr>
                <w:rFonts w:eastAsia="Calibri"/>
                <w:sz w:val="20"/>
              </w:rPr>
            </w:pPr>
            <w:proofErr w:type="spellStart"/>
            <w:r w:rsidRPr="0084490B">
              <w:rPr>
                <w:rFonts w:eastAsia="Calibri"/>
                <w:sz w:val="20"/>
              </w:rPr>
              <w:t>Appel</w:t>
            </w:r>
            <w:proofErr w:type="spellEnd"/>
            <w:r w:rsidRPr="0084490B">
              <w:rPr>
                <w:rFonts w:eastAsia="Calibri"/>
                <w:sz w:val="20"/>
              </w:rPr>
              <w:t xml:space="preserve"> </w:t>
            </w:r>
            <w:proofErr w:type="spellStart"/>
            <w:r w:rsidRPr="0084490B">
              <w:rPr>
                <w:rFonts w:eastAsia="Calibri"/>
                <w:sz w:val="20"/>
              </w:rPr>
              <w:t>rejeté</w:t>
            </w:r>
            <w:proofErr w:type="spellEnd"/>
          </w:p>
          <w:p w:rsidR="00D94824" w:rsidRPr="0084490B" w:rsidRDefault="00D94824" w:rsidP="001277D5">
            <w:pPr>
              <w:jc w:val="both"/>
              <w:rPr>
                <w:rFonts w:eastAsia="Calibri"/>
                <w:sz w:val="20"/>
              </w:rPr>
            </w:pPr>
          </w:p>
        </w:tc>
      </w:tr>
      <w:tr w:rsidR="00D94824" w:rsidRPr="0084490B" w:rsidTr="001277D5">
        <w:tc>
          <w:tcPr>
            <w:tcW w:w="2427" w:type="pct"/>
          </w:tcPr>
          <w:p w:rsidR="00D94824" w:rsidRPr="0084490B" w:rsidRDefault="00D94824" w:rsidP="001277D5">
            <w:pPr>
              <w:jc w:val="both"/>
              <w:rPr>
                <w:rFonts w:eastAsia="Calibri"/>
                <w:sz w:val="20"/>
                <w:lang w:val="fr-FR"/>
              </w:rPr>
            </w:pPr>
            <w:r w:rsidRPr="0084490B">
              <w:rPr>
                <w:rFonts w:eastAsia="Calibri"/>
                <w:sz w:val="20"/>
                <w:lang w:val="fr-FR"/>
              </w:rPr>
              <w:t>1</w:t>
            </w:r>
            <w:r w:rsidRPr="0084490B">
              <w:rPr>
                <w:rFonts w:eastAsia="Calibri"/>
                <w:sz w:val="20"/>
                <w:vertAlign w:val="superscript"/>
                <w:lang w:val="fr-FR"/>
              </w:rPr>
              <w:t xml:space="preserve">er </w:t>
            </w:r>
            <w:r w:rsidRPr="0084490B">
              <w:rPr>
                <w:rFonts w:eastAsia="Calibri"/>
                <w:sz w:val="20"/>
                <w:lang w:val="fr-FR"/>
              </w:rPr>
              <w:t>mars 2013</w:t>
            </w:r>
          </w:p>
          <w:p w:rsidR="00D94824" w:rsidRPr="0084490B" w:rsidRDefault="00D94824" w:rsidP="001277D5">
            <w:pPr>
              <w:jc w:val="both"/>
              <w:rPr>
                <w:rFonts w:eastAsia="Calibri"/>
                <w:sz w:val="20"/>
                <w:lang w:val="fr-FR"/>
              </w:rPr>
            </w:pPr>
            <w:r w:rsidRPr="0084490B">
              <w:rPr>
                <w:rFonts w:eastAsia="Calibri"/>
                <w:sz w:val="20"/>
                <w:lang w:val="fr-FR"/>
              </w:rPr>
              <w:t>Cour suprême du Canada</w:t>
            </w:r>
          </w:p>
        </w:tc>
        <w:tc>
          <w:tcPr>
            <w:tcW w:w="243" w:type="pct"/>
          </w:tcPr>
          <w:p w:rsidR="00D94824" w:rsidRPr="0084490B" w:rsidRDefault="00D94824" w:rsidP="001277D5">
            <w:pPr>
              <w:jc w:val="both"/>
              <w:rPr>
                <w:rFonts w:eastAsia="Calibri"/>
                <w:sz w:val="20"/>
                <w:lang w:val="fr-FR"/>
              </w:rPr>
            </w:pPr>
          </w:p>
        </w:tc>
        <w:tc>
          <w:tcPr>
            <w:tcW w:w="2330" w:type="pct"/>
          </w:tcPr>
          <w:p w:rsidR="00D94824" w:rsidRPr="0084490B" w:rsidRDefault="00D94824" w:rsidP="001277D5">
            <w:pPr>
              <w:jc w:val="both"/>
              <w:rPr>
                <w:rFonts w:eastAsia="Calibri"/>
                <w:sz w:val="20"/>
              </w:rPr>
            </w:pPr>
            <w:proofErr w:type="spellStart"/>
            <w:r w:rsidRPr="0084490B">
              <w:rPr>
                <w:rFonts w:eastAsia="Calibri"/>
                <w:sz w:val="20"/>
              </w:rPr>
              <w:t>Demande</w:t>
            </w:r>
            <w:proofErr w:type="spellEnd"/>
            <w:r w:rsidRPr="0084490B">
              <w:rPr>
                <w:rFonts w:eastAsia="Calibri"/>
                <w:sz w:val="20"/>
              </w:rPr>
              <w:t xml:space="preserve"> </w:t>
            </w:r>
            <w:proofErr w:type="spellStart"/>
            <w:r w:rsidRPr="0084490B">
              <w:rPr>
                <w:rFonts w:eastAsia="Calibri"/>
                <w:sz w:val="20"/>
              </w:rPr>
              <w:t>d’autorisation</w:t>
            </w:r>
            <w:proofErr w:type="spellEnd"/>
            <w:r w:rsidRPr="0084490B">
              <w:rPr>
                <w:rFonts w:eastAsia="Calibri"/>
                <w:sz w:val="20"/>
              </w:rPr>
              <w:t xml:space="preserve"> </w:t>
            </w:r>
            <w:proofErr w:type="spellStart"/>
            <w:r w:rsidRPr="0084490B">
              <w:rPr>
                <w:rFonts w:eastAsia="Calibri"/>
                <w:sz w:val="20"/>
              </w:rPr>
              <w:t>d’appel</w:t>
            </w:r>
            <w:proofErr w:type="spellEnd"/>
            <w:r w:rsidRPr="0084490B">
              <w:rPr>
                <w:rFonts w:eastAsia="Calibri"/>
                <w:sz w:val="20"/>
              </w:rPr>
              <w:t xml:space="preserve"> </w:t>
            </w:r>
            <w:proofErr w:type="spellStart"/>
            <w:r w:rsidRPr="0084490B">
              <w:rPr>
                <w:rFonts w:eastAsia="Calibri"/>
                <w:sz w:val="20"/>
              </w:rPr>
              <w:t>déposée</w:t>
            </w:r>
            <w:proofErr w:type="spellEnd"/>
            <w:r w:rsidRPr="0084490B">
              <w:rPr>
                <w:rFonts w:eastAsia="Calibri"/>
                <w:sz w:val="20"/>
              </w:rPr>
              <w:t xml:space="preserve"> </w:t>
            </w:r>
          </w:p>
          <w:p w:rsidR="00D94824" w:rsidRPr="0084490B" w:rsidRDefault="00D94824" w:rsidP="001277D5">
            <w:pPr>
              <w:jc w:val="both"/>
              <w:rPr>
                <w:rFonts w:eastAsia="Calibri"/>
                <w:sz w:val="20"/>
              </w:rPr>
            </w:pPr>
          </w:p>
        </w:tc>
      </w:tr>
    </w:tbl>
    <w:p w:rsidR="00EA65C4" w:rsidRDefault="00EA65C4" w:rsidP="00EA65C4">
      <w:pPr>
        <w:rPr>
          <w:sz w:val="20"/>
          <w:szCs w:val="20"/>
        </w:rPr>
      </w:pPr>
    </w:p>
    <w:p w:rsidR="00EA65C4" w:rsidRDefault="0028676C" w:rsidP="00EA65C4">
      <w:pPr>
        <w:rPr>
          <w:sz w:val="20"/>
          <w:szCs w:val="20"/>
        </w:rPr>
      </w:pPr>
      <w:r w:rsidRPr="0028676C">
        <w:rPr>
          <w:sz w:val="20"/>
          <w:szCs w:val="20"/>
          <w:lang w:val="fr-CA"/>
        </w:rPr>
        <w:pict>
          <v:rect id="_x0000_i1074" style="width:2in;height:1pt" o:hrpct="0" o:hralign="center" o:hrstd="t" o:hrnoshade="t" o:hr="t" fillcolor="black [3213]" stroked="f"/>
        </w:pict>
      </w:r>
    </w:p>
    <w:p w:rsidR="00EA65C4" w:rsidRDefault="00EA65C4" w:rsidP="00EA65C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64224" w:rsidRPr="0068500F" w:rsidTr="0071552E">
        <w:trPr>
          <w:cantSplit/>
        </w:trPr>
        <w:tc>
          <w:tcPr>
            <w:tcW w:w="1458" w:type="dxa"/>
          </w:tcPr>
          <w:p w:rsidR="00D64224" w:rsidRPr="0068500F" w:rsidRDefault="00D64224" w:rsidP="0071552E">
            <w:pPr>
              <w:rPr>
                <w:sz w:val="20"/>
                <w:szCs w:val="20"/>
              </w:rPr>
            </w:pPr>
            <w:r w:rsidRPr="0068500F">
              <w:rPr>
                <w:rStyle w:val="SCCFileNumberChar"/>
                <w:sz w:val="20"/>
                <w:szCs w:val="20"/>
              </w:rPr>
              <w:t>35252</w:t>
            </w:r>
          </w:p>
          <w:p w:rsidR="00D64224" w:rsidRPr="0068500F" w:rsidRDefault="00D64224" w:rsidP="0071552E">
            <w:pPr>
              <w:rPr>
                <w:b/>
                <w:sz w:val="20"/>
                <w:szCs w:val="20"/>
                <w:lang w:val="fr-CA"/>
              </w:rPr>
            </w:pPr>
          </w:p>
        </w:tc>
        <w:tc>
          <w:tcPr>
            <w:tcW w:w="8118" w:type="dxa"/>
          </w:tcPr>
          <w:p w:rsidR="00D64224" w:rsidRPr="0068500F" w:rsidRDefault="00D64224" w:rsidP="0071552E">
            <w:pPr>
              <w:rPr>
                <w:sz w:val="20"/>
                <w:szCs w:val="20"/>
              </w:rPr>
            </w:pPr>
            <w:r w:rsidRPr="00D64224">
              <w:rPr>
                <w:rStyle w:val="SCCLsocChar"/>
                <w:sz w:val="20"/>
                <w:szCs w:val="20"/>
                <w:lang w:val="en-CA"/>
              </w:rPr>
              <w:t>Jean Ann James v. Her Majesty the Queen</w:t>
            </w:r>
            <w:r w:rsidRPr="0068500F">
              <w:rPr>
                <w:sz w:val="20"/>
                <w:szCs w:val="20"/>
              </w:rPr>
              <w:t xml:space="preserve"> (B.C.) (Criminal) (By Leave)</w:t>
            </w:r>
          </w:p>
          <w:p w:rsidR="00D64224" w:rsidRPr="0068500F" w:rsidRDefault="00D64224" w:rsidP="0071552E">
            <w:pPr>
              <w:rPr>
                <w:sz w:val="20"/>
                <w:szCs w:val="20"/>
              </w:rPr>
            </w:pPr>
          </w:p>
        </w:tc>
      </w:tr>
      <w:tr w:rsidR="00D64224" w:rsidRPr="0068500F" w:rsidTr="0071552E">
        <w:trPr>
          <w:cantSplit/>
        </w:trPr>
        <w:tc>
          <w:tcPr>
            <w:tcW w:w="1458" w:type="dxa"/>
          </w:tcPr>
          <w:p w:rsidR="00D64224" w:rsidRPr="0068500F" w:rsidRDefault="00D64224" w:rsidP="0071552E">
            <w:pPr>
              <w:rPr>
                <w:sz w:val="20"/>
                <w:szCs w:val="20"/>
              </w:rPr>
            </w:pPr>
            <w:r w:rsidRPr="0068500F">
              <w:rPr>
                <w:sz w:val="20"/>
                <w:szCs w:val="20"/>
              </w:rPr>
              <w:t>Coram :</w:t>
            </w:r>
          </w:p>
        </w:tc>
        <w:tc>
          <w:tcPr>
            <w:tcW w:w="8118" w:type="dxa"/>
          </w:tcPr>
          <w:p w:rsidR="00D64224" w:rsidRPr="0068500F" w:rsidRDefault="00D64224" w:rsidP="0071552E">
            <w:pPr>
              <w:rPr>
                <w:sz w:val="20"/>
                <w:szCs w:val="20"/>
              </w:rPr>
            </w:pPr>
            <w:r w:rsidRPr="00D64224">
              <w:rPr>
                <w:rStyle w:val="SCCCoramChar"/>
                <w:sz w:val="20"/>
                <w:szCs w:val="20"/>
                <w:lang w:val="en-CA"/>
              </w:rPr>
              <w:t xml:space="preserve">McLachlin C.J. and </w:t>
            </w:r>
            <w:proofErr w:type="spellStart"/>
            <w:r w:rsidRPr="00D64224">
              <w:rPr>
                <w:rStyle w:val="SCCCoramChar"/>
                <w:sz w:val="20"/>
                <w:szCs w:val="20"/>
                <w:lang w:val="en-CA"/>
              </w:rPr>
              <w:t>Abella</w:t>
            </w:r>
            <w:proofErr w:type="spellEnd"/>
            <w:r w:rsidRPr="00D64224">
              <w:rPr>
                <w:rStyle w:val="SCCCoramChar"/>
                <w:sz w:val="20"/>
                <w:szCs w:val="20"/>
                <w:lang w:val="en-CA"/>
              </w:rPr>
              <w:t xml:space="preserve"> and Cromwell JJ.</w:t>
            </w:r>
          </w:p>
          <w:p w:rsidR="00D64224" w:rsidRPr="0068500F" w:rsidRDefault="00D64224" w:rsidP="0071552E">
            <w:pPr>
              <w:rPr>
                <w:sz w:val="20"/>
                <w:szCs w:val="20"/>
                <w:u w:val="single"/>
              </w:rPr>
            </w:pPr>
          </w:p>
        </w:tc>
      </w:tr>
      <w:tr w:rsidR="00D64224" w:rsidRPr="00B6040C" w:rsidTr="0071552E">
        <w:trPr>
          <w:cantSplit/>
        </w:trPr>
        <w:tc>
          <w:tcPr>
            <w:tcW w:w="9576" w:type="dxa"/>
            <w:gridSpan w:val="2"/>
          </w:tcPr>
          <w:p w:rsidR="00D64224" w:rsidRPr="0068500F" w:rsidRDefault="00D64224" w:rsidP="0071552E">
            <w:pPr>
              <w:pStyle w:val="SCCShortJudgment"/>
              <w:rPr>
                <w:szCs w:val="20"/>
              </w:rPr>
            </w:pPr>
            <w:r w:rsidRPr="0068500F">
              <w:rPr>
                <w:szCs w:val="20"/>
              </w:rPr>
              <w:t>The application for leave to appeal from the judgment of the Court of Appeal for British Columbia (Vancouver), Number CA039510, 2013 BCCA 11, dated January 11, 2013, is dismissed without costs.</w:t>
            </w:r>
          </w:p>
          <w:p w:rsidR="00D64224" w:rsidRPr="0068500F" w:rsidRDefault="00D64224" w:rsidP="0071552E">
            <w:pPr>
              <w:pStyle w:val="SCCShortJudgment"/>
              <w:ind w:firstLine="0"/>
              <w:rPr>
                <w:szCs w:val="20"/>
              </w:rPr>
            </w:pPr>
          </w:p>
          <w:p w:rsidR="00D64224" w:rsidRPr="0068500F" w:rsidRDefault="00D64224" w:rsidP="0071552E">
            <w:pPr>
              <w:pStyle w:val="SCCShortJudgment"/>
              <w:rPr>
                <w:szCs w:val="20"/>
                <w:lang w:val="fr-CA"/>
              </w:rPr>
            </w:pPr>
            <w:r w:rsidRPr="0068500F">
              <w:rPr>
                <w:szCs w:val="20"/>
                <w:lang w:val="fr-CA"/>
              </w:rPr>
              <w:t>La demande d’autorisation d’appel de l’arrêt de la Cour d’appel de la Colombie-Britannique (Vancouver), numéro CA039510, 2013 BCCA 11, daté du 11 janvier 2013, est rejetée sans dépens.</w:t>
            </w:r>
          </w:p>
        </w:tc>
      </w:tr>
    </w:tbl>
    <w:p w:rsidR="00EA65C4" w:rsidRPr="00D64224" w:rsidRDefault="00EA65C4" w:rsidP="00EA65C4">
      <w:pPr>
        <w:rPr>
          <w:sz w:val="20"/>
          <w:szCs w:val="20"/>
          <w:lang w:val="fr-CA"/>
        </w:rPr>
      </w:pPr>
    </w:p>
    <w:p w:rsidR="00EA65C4" w:rsidRPr="001B157C" w:rsidRDefault="00EA65C4" w:rsidP="00EA65C4">
      <w:pPr>
        <w:rPr>
          <w:sz w:val="20"/>
          <w:szCs w:val="20"/>
          <w:u w:val="single"/>
        </w:rPr>
      </w:pPr>
      <w:r w:rsidRPr="001B157C">
        <w:rPr>
          <w:sz w:val="20"/>
          <w:szCs w:val="20"/>
          <w:u w:val="single"/>
        </w:rPr>
        <w:t>CASE SUMMARY</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94824" w:rsidRPr="0084490B" w:rsidTr="001277D5">
        <w:tc>
          <w:tcPr>
            <w:tcW w:w="5000" w:type="pct"/>
            <w:gridSpan w:val="3"/>
          </w:tcPr>
          <w:p w:rsidR="00D94824" w:rsidRPr="0084490B" w:rsidRDefault="00D94824" w:rsidP="001277D5">
            <w:pPr>
              <w:jc w:val="both"/>
              <w:rPr>
                <w:rFonts w:eastAsia="Calibri"/>
                <w:smallCaps/>
                <w:sz w:val="20"/>
              </w:rPr>
            </w:pPr>
            <w:r w:rsidRPr="0084490B">
              <w:rPr>
                <w:rFonts w:eastAsia="Calibri"/>
                <w:smallCaps/>
                <w:sz w:val="20"/>
              </w:rPr>
              <w:t xml:space="preserve">(Publication </w:t>
            </w:r>
            <w:r>
              <w:rPr>
                <w:rFonts w:eastAsia="Calibri"/>
                <w:smallCaps/>
                <w:sz w:val="20"/>
              </w:rPr>
              <w:t>B</w:t>
            </w:r>
            <w:r w:rsidRPr="0084490B">
              <w:rPr>
                <w:rFonts w:eastAsia="Calibri"/>
                <w:smallCaps/>
                <w:sz w:val="20"/>
              </w:rPr>
              <w:t xml:space="preserve">an in </w:t>
            </w:r>
            <w:r>
              <w:rPr>
                <w:rFonts w:eastAsia="Calibri"/>
                <w:smallCaps/>
                <w:sz w:val="20"/>
              </w:rPr>
              <w:t>C</w:t>
            </w:r>
            <w:r w:rsidRPr="0084490B">
              <w:rPr>
                <w:rFonts w:eastAsia="Calibri"/>
                <w:smallCaps/>
                <w:sz w:val="20"/>
              </w:rPr>
              <w:t>ase)</w:t>
            </w:r>
          </w:p>
          <w:p w:rsidR="00D94824" w:rsidRPr="0084490B" w:rsidRDefault="00D94824" w:rsidP="001277D5">
            <w:pPr>
              <w:jc w:val="both"/>
              <w:rPr>
                <w:rFonts w:eastAsia="Calibri"/>
                <w:sz w:val="20"/>
              </w:rPr>
            </w:pPr>
          </w:p>
          <w:p w:rsidR="00D94824" w:rsidRPr="0084490B" w:rsidRDefault="00D94824" w:rsidP="001277D5">
            <w:pPr>
              <w:jc w:val="both"/>
              <w:rPr>
                <w:rFonts w:eastAsia="Calibri"/>
                <w:sz w:val="20"/>
              </w:rPr>
            </w:pPr>
            <w:r w:rsidRPr="0084490B">
              <w:rPr>
                <w:rFonts w:eastAsia="Calibri"/>
                <w:sz w:val="20"/>
              </w:rPr>
              <w:t>Criminal law – Charge to jury – Limiting instructions – Powers of the Court of Appeal – Curative proviso – Whether the Court of Appeal erred in finding that a limiting instruction to the jury on bad character evidence does not have to address all forms of bad character evidence admitted at trial – Whether the Court of Appeal erred by applying the second branch of the curative proviso on its own motion and by finding that there was overwhelming evidence of guilt when the Crown had not sought to “cure” the error on this basis.</w:t>
            </w:r>
          </w:p>
        </w:tc>
      </w:tr>
      <w:tr w:rsidR="00D94824" w:rsidRPr="0084490B" w:rsidTr="001277D5">
        <w:tc>
          <w:tcPr>
            <w:tcW w:w="5000" w:type="pct"/>
            <w:gridSpan w:val="3"/>
          </w:tcPr>
          <w:p w:rsidR="00D94824" w:rsidRPr="0084490B" w:rsidRDefault="00D94824" w:rsidP="001277D5">
            <w:pPr>
              <w:jc w:val="both"/>
              <w:rPr>
                <w:rFonts w:eastAsia="Calibri"/>
                <w:sz w:val="20"/>
              </w:rPr>
            </w:pPr>
          </w:p>
        </w:tc>
      </w:tr>
      <w:tr w:rsidR="00D94824" w:rsidRPr="0084490B" w:rsidTr="001277D5">
        <w:tc>
          <w:tcPr>
            <w:tcW w:w="5000" w:type="pct"/>
            <w:gridSpan w:val="3"/>
          </w:tcPr>
          <w:p w:rsidR="00D94824" w:rsidRPr="0084490B" w:rsidRDefault="00D94824" w:rsidP="001277D5">
            <w:pPr>
              <w:jc w:val="both"/>
              <w:rPr>
                <w:rFonts w:eastAsia="Calibri"/>
                <w:sz w:val="20"/>
              </w:rPr>
            </w:pPr>
            <w:r w:rsidRPr="0084490B">
              <w:rPr>
                <w:rFonts w:eastAsia="Calibri"/>
                <w:sz w:val="20"/>
              </w:rPr>
              <w:t>The applicant, Ms. James, was convicted of first degree murder.  The deceased was found in her home with her throat cut and with several other cuts and wounds to her body.  The murder occurred in 1992, but it was only in 2007 that Ms. James became the target of an undercover police operation which culminated in her detailed confession to an undercover officer that she committed the murder.  At trial, the confession was essentially the whole of the Crown’s case. There was no physical or forensic evidence linking Ms. James to the crime scene.  Ms. James’ appeal from conviction was dismissed.</w:t>
            </w:r>
          </w:p>
          <w:p w:rsidR="00D94824" w:rsidRPr="0084490B" w:rsidRDefault="00D94824" w:rsidP="001277D5">
            <w:pPr>
              <w:jc w:val="both"/>
              <w:rPr>
                <w:rFonts w:eastAsia="Calibri"/>
                <w:sz w:val="20"/>
              </w:rPr>
            </w:pPr>
          </w:p>
        </w:tc>
      </w:tr>
      <w:tr w:rsidR="00D94824" w:rsidRPr="0084490B" w:rsidTr="001277D5">
        <w:tc>
          <w:tcPr>
            <w:tcW w:w="2427" w:type="pct"/>
          </w:tcPr>
          <w:p w:rsidR="00D94824" w:rsidRPr="0084490B" w:rsidRDefault="00D94824" w:rsidP="001277D5">
            <w:pPr>
              <w:jc w:val="both"/>
              <w:rPr>
                <w:rFonts w:eastAsia="Calibri"/>
                <w:sz w:val="20"/>
              </w:rPr>
            </w:pPr>
            <w:r w:rsidRPr="0084490B">
              <w:rPr>
                <w:rFonts w:eastAsia="Calibri"/>
                <w:sz w:val="20"/>
              </w:rPr>
              <w:t>November 24, 2011</w:t>
            </w:r>
          </w:p>
          <w:p w:rsidR="00D94824" w:rsidRPr="0084490B" w:rsidRDefault="00D94824" w:rsidP="001277D5">
            <w:pPr>
              <w:jc w:val="both"/>
              <w:rPr>
                <w:rFonts w:eastAsia="Calibri"/>
                <w:sz w:val="20"/>
              </w:rPr>
            </w:pPr>
            <w:r w:rsidRPr="0084490B">
              <w:rPr>
                <w:rFonts w:eastAsia="Calibri"/>
                <w:sz w:val="20"/>
              </w:rPr>
              <w:t>Supreme Court of British Columbia</w:t>
            </w:r>
          </w:p>
          <w:p w:rsidR="00D94824" w:rsidRPr="0084490B" w:rsidRDefault="00D94824" w:rsidP="001277D5">
            <w:pPr>
              <w:jc w:val="both"/>
              <w:rPr>
                <w:rFonts w:eastAsia="Calibri"/>
                <w:sz w:val="20"/>
              </w:rPr>
            </w:pPr>
            <w:r w:rsidRPr="0084490B">
              <w:rPr>
                <w:rFonts w:eastAsia="Calibri"/>
                <w:sz w:val="20"/>
              </w:rPr>
              <w:t>(Bruce J.)</w:t>
            </w:r>
          </w:p>
          <w:p w:rsidR="00D94824" w:rsidRPr="0084490B" w:rsidRDefault="00D94824" w:rsidP="001277D5">
            <w:pPr>
              <w:jc w:val="both"/>
              <w:rPr>
                <w:rFonts w:eastAsia="Calibri"/>
                <w:sz w:val="20"/>
              </w:rPr>
            </w:pPr>
          </w:p>
        </w:tc>
        <w:tc>
          <w:tcPr>
            <w:tcW w:w="243" w:type="pct"/>
          </w:tcPr>
          <w:p w:rsidR="00D94824" w:rsidRPr="0084490B" w:rsidRDefault="00D94824" w:rsidP="001277D5">
            <w:pPr>
              <w:jc w:val="both"/>
              <w:rPr>
                <w:rFonts w:eastAsia="Calibri"/>
                <w:sz w:val="20"/>
              </w:rPr>
            </w:pPr>
          </w:p>
        </w:tc>
        <w:tc>
          <w:tcPr>
            <w:tcW w:w="2330" w:type="pct"/>
          </w:tcPr>
          <w:p w:rsidR="00D94824" w:rsidRPr="0084490B" w:rsidRDefault="00D94824" w:rsidP="001277D5">
            <w:pPr>
              <w:jc w:val="both"/>
              <w:rPr>
                <w:rFonts w:eastAsia="Calibri"/>
                <w:sz w:val="20"/>
              </w:rPr>
            </w:pPr>
            <w:r w:rsidRPr="0084490B">
              <w:rPr>
                <w:rFonts w:eastAsia="Calibri"/>
                <w:sz w:val="20"/>
              </w:rPr>
              <w:t>Applicant convicted of first degree murder</w:t>
            </w:r>
          </w:p>
        </w:tc>
      </w:tr>
      <w:tr w:rsidR="00D94824" w:rsidRPr="0084490B" w:rsidTr="001277D5">
        <w:tc>
          <w:tcPr>
            <w:tcW w:w="2427" w:type="pct"/>
          </w:tcPr>
          <w:p w:rsidR="00D94824" w:rsidRPr="0084490B" w:rsidRDefault="00D94824" w:rsidP="001277D5">
            <w:pPr>
              <w:jc w:val="both"/>
              <w:rPr>
                <w:rFonts w:eastAsia="Calibri"/>
                <w:sz w:val="20"/>
              </w:rPr>
            </w:pPr>
            <w:r w:rsidRPr="0084490B">
              <w:rPr>
                <w:rFonts w:eastAsia="Calibri"/>
                <w:sz w:val="20"/>
              </w:rPr>
              <w:t>January 11, 2013</w:t>
            </w:r>
          </w:p>
          <w:p w:rsidR="00D94824" w:rsidRPr="0084490B" w:rsidRDefault="00D94824" w:rsidP="001277D5">
            <w:pPr>
              <w:jc w:val="both"/>
              <w:rPr>
                <w:rFonts w:eastAsia="Calibri"/>
                <w:sz w:val="20"/>
              </w:rPr>
            </w:pPr>
            <w:r w:rsidRPr="0084490B">
              <w:rPr>
                <w:rFonts w:eastAsia="Calibri"/>
                <w:sz w:val="20"/>
              </w:rPr>
              <w:t xml:space="preserve">Court of Appeal for British Columbia </w:t>
            </w:r>
          </w:p>
          <w:p w:rsidR="00D94824" w:rsidRPr="0084490B" w:rsidRDefault="00D94824" w:rsidP="001277D5">
            <w:pPr>
              <w:jc w:val="both"/>
              <w:rPr>
                <w:rFonts w:eastAsia="Calibri"/>
                <w:sz w:val="20"/>
              </w:rPr>
            </w:pPr>
            <w:r w:rsidRPr="0084490B">
              <w:rPr>
                <w:rFonts w:eastAsia="Calibri"/>
                <w:sz w:val="20"/>
              </w:rPr>
              <w:t>(Finch C.J. and Lowry and Smith JJ.A.)</w:t>
            </w:r>
          </w:p>
          <w:p w:rsidR="00D94824" w:rsidRPr="0084490B" w:rsidRDefault="00D94824" w:rsidP="001277D5">
            <w:pPr>
              <w:jc w:val="both"/>
              <w:rPr>
                <w:rFonts w:eastAsia="Calibri"/>
                <w:sz w:val="20"/>
              </w:rPr>
            </w:pPr>
            <w:r w:rsidRPr="0084490B">
              <w:rPr>
                <w:rFonts w:eastAsia="Calibri"/>
                <w:sz w:val="20"/>
              </w:rPr>
              <w:t>2013 BCCA 11</w:t>
            </w:r>
          </w:p>
          <w:p w:rsidR="00D94824" w:rsidRPr="0084490B" w:rsidRDefault="00D94824" w:rsidP="001277D5">
            <w:pPr>
              <w:jc w:val="both"/>
              <w:rPr>
                <w:rFonts w:eastAsia="Calibri"/>
                <w:sz w:val="20"/>
              </w:rPr>
            </w:pPr>
          </w:p>
        </w:tc>
        <w:tc>
          <w:tcPr>
            <w:tcW w:w="243" w:type="pct"/>
          </w:tcPr>
          <w:p w:rsidR="00D94824" w:rsidRPr="0084490B" w:rsidRDefault="00D94824" w:rsidP="001277D5">
            <w:pPr>
              <w:jc w:val="both"/>
              <w:rPr>
                <w:rFonts w:eastAsia="Calibri"/>
                <w:sz w:val="20"/>
              </w:rPr>
            </w:pPr>
          </w:p>
        </w:tc>
        <w:tc>
          <w:tcPr>
            <w:tcW w:w="2330" w:type="pct"/>
          </w:tcPr>
          <w:p w:rsidR="00D94824" w:rsidRPr="0084490B" w:rsidRDefault="00D94824" w:rsidP="001277D5">
            <w:pPr>
              <w:jc w:val="both"/>
              <w:rPr>
                <w:rFonts w:eastAsia="Calibri"/>
                <w:sz w:val="20"/>
              </w:rPr>
            </w:pPr>
            <w:r w:rsidRPr="0084490B">
              <w:rPr>
                <w:rFonts w:eastAsia="Calibri"/>
                <w:sz w:val="20"/>
              </w:rPr>
              <w:t>Appeal dismissed</w:t>
            </w:r>
          </w:p>
        </w:tc>
      </w:tr>
      <w:tr w:rsidR="00D94824" w:rsidRPr="0084490B" w:rsidTr="001277D5">
        <w:tc>
          <w:tcPr>
            <w:tcW w:w="2427" w:type="pct"/>
          </w:tcPr>
          <w:p w:rsidR="00D94824" w:rsidRPr="0084490B" w:rsidRDefault="00D94824" w:rsidP="001277D5">
            <w:pPr>
              <w:jc w:val="both"/>
              <w:rPr>
                <w:rFonts w:eastAsia="Calibri"/>
                <w:sz w:val="20"/>
              </w:rPr>
            </w:pPr>
            <w:r w:rsidRPr="0084490B">
              <w:rPr>
                <w:rFonts w:eastAsia="Calibri"/>
                <w:sz w:val="20"/>
              </w:rPr>
              <w:t>March 7, 2013</w:t>
            </w:r>
          </w:p>
          <w:p w:rsidR="00D94824" w:rsidRPr="0084490B" w:rsidRDefault="00D94824" w:rsidP="001277D5">
            <w:pPr>
              <w:jc w:val="both"/>
              <w:rPr>
                <w:rFonts w:eastAsia="Calibri"/>
                <w:sz w:val="20"/>
              </w:rPr>
            </w:pPr>
            <w:r w:rsidRPr="0084490B">
              <w:rPr>
                <w:rFonts w:eastAsia="Calibri"/>
                <w:sz w:val="20"/>
              </w:rPr>
              <w:t>Supreme Court of Canada</w:t>
            </w:r>
          </w:p>
        </w:tc>
        <w:tc>
          <w:tcPr>
            <w:tcW w:w="243" w:type="pct"/>
          </w:tcPr>
          <w:p w:rsidR="00D94824" w:rsidRPr="0084490B" w:rsidRDefault="00D94824" w:rsidP="001277D5">
            <w:pPr>
              <w:jc w:val="both"/>
              <w:rPr>
                <w:rFonts w:eastAsia="Calibri"/>
                <w:sz w:val="20"/>
              </w:rPr>
            </w:pPr>
          </w:p>
        </w:tc>
        <w:tc>
          <w:tcPr>
            <w:tcW w:w="2330" w:type="pct"/>
          </w:tcPr>
          <w:p w:rsidR="00D94824" w:rsidRPr="0084490B" w:rsidRDefault="00D94824" w:rsidP="001277D5">
            <w:pPr>
              <w:jc w:val="both"/>
              <w:rPr>
                <w:rFonts w:eastAsia="Calibri"/>
                <w:sz w:val="20"/>
              </w:rPr>
            </w:pPr>
            <w:r w:rsidRPr="0084490B">
              <w:rPr>
                <w:rFonts w:eastAsia="Calibri"/>
                <w:sz w:val="20"/>
              </w:rPr>
              <w:t>Application for leave to appeal filed</w:t>
            </w:r>
          </w:p>
          <w:p w:rsidR="00D94824" w:rsidRPr="0084490B" w:rsidRDefault="00D94824" w:rsidP="001277D5">
            <w:pPr>
              <w:jc w:val="both"/>
              <w:rPr>
                <w:rFonts w:eastAsia="Calibri"/>
                <w:sz w:val="20"/>
              </w:rPr>
            </w:pPr>
          </w:p>
        </w:tc>
      </w:tr>
    </w:tbl>
    <w:p w:rsidR="00EA65C4" w:rsidRDefault="00EA65C4" w:rsidP="00EA65C4">
      <w:pPr>
        <w:rPr>
          <w:sz w:val="20"/>
          <w:szCs w:val="20"/>
        </w:rPr>
      </w:pPr>
    </w:p>
    <w:p w:rsidR="00EA65C4" w:rsidRPr="00C50A5C" w:rsidRDefault="0028676C" w:rsidP="00EA65C4">
      <w:pPr>
        <w:rPr>
          <w:sz w:val="20"/>
          <w:szCs w:val="20"/>
        </w:rPr>
      </w:pPr>
      <w:r w:rsidRPr="0028676C">
        <w:rPr>
          <w:sz w:val="20"/>
          <w:szCs w:val="20"/>
          <w:lang w:val="fr-CA"/>
        </w:rPr>
        <w:pict>
          <v:rect id="_x0000_i1075" style="width:2in;height:1pt" o:hrpct="0" o:hralign="center" o:hrstd="t" o:hrnoshade="t" o:hr="t" fillcolor="black [3213]" stroked="f"/>
        </w:pict>
      </w:r>
    </w:p>
    <w:p w:rsidR="00EA65C4" w:rsidRDefault="00EA65C4" w:rsidP="00EA65C4">
      <w:pPr>
        <w:rPr>
          <w:sz w:val="20"/>
          <w:szCs w:val="20"/>
        </w:rPr>
      </w:pPr>
    </w:p>
    <w:p w:rsidR="00EA65C4" w:rsidRPr="001B157C" w:rsidRDefault="00EA65C4" w:rsidP="00EA65C4">
      <w:pPr>
        <w:rPr>
          <w:sz w:val="20"/>
          <w:szCs w:val="20"/>
          <w:u w:val="single"/>
          <w:lang w:val="fr-CA"/>
        </w:rPr>
      </w:pPr>
      <w:r w:rsidRPr="001B157C">
        <w:rPr>
          <w:sz w:val="20"/>
          <w:szCs w:val="20"/>
          <w:u w:val="single"/>
          <w:lang w:val="fr-CA"/>
        </w:rPr>
        <w:t>RÉSUMÉ DE L’AFFAIRE</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94824" w:rsidRPr="00B6040C" w:rsidTr="001277D5">
        <w:tc>
          <w:tcPr>
            <w:tcW w:w="5000" w:type="pct"/>
            <w:gridSpan w:val="3"/>
          </w:tcPr>
          <w:p w:rsidR="00D94824" w:rsidRPr="0084490B" w:rsidRDefault="00D94824" w:rsidP="001277D5">
            <w:pPr>
              <w:jc w:val="both"/>
              <w:rPr>
                <w:rFonts w:eastAsia="Calibri"/>
                <w:smallCaps/>
                <w:sz w:val="20"/>
                <w:lang w:val="fr-FR"/>
              </w:rPr>
            </w:pPr>
            <w:r w:rsidRPr="0084490B">
              <w:rPr>
                <w:rFonts w:eastAsia="Calibri"/>
                <w:smallCaps/>
                <w:sz w:val="20"/>
                <w:lang w:val="fr-FR"/>
              </w:rPr>
              <w:t>(</w:t>
            </w:r>
            <w:r w:rsidR="008B658D">
              <w:rPr>
                <w:rFonts w:eastAsia="Calibri"/>
                <w:smallCaps/>
                <w:sz w:val="20"/>
                <w:lang w:val="fr-FR"/>
              </w:rPr>
              <w:t>O</w:t>
            </w:r>
            <w:r w:rsidRPr="0084490B">
              <w:rPr>
                <w:rFonts w:eastAsia="Calibri"/>
                <w:smallCaps/>
                <w:sz w:val="20"/>
                <w:lang w:val="fr-FR"/>
              </w:rPr>
              <w:t>rdonnance de non-publication dans le dossier)</w:t>
            </w:r>
          </w:p>
          <w:p w:rsidR="00D94824" w:rsidRPr="0084490B" w:rsidRDefault="00D94824" w:rsidP="001277D5">
            <w:pPr>
              <w:jc w:val="both"/>
              <w:rPr>
                <w:rFonts w:eastAsia="Calibri"/>
                <w:sz w:val="20"/>
                <w:lang w:val="fr-FR"/>
              </w:rPr>
            </w:pPr>
          </w:p>
          <w:p w:rsidR="00D94824" w:rsidRPr="0084490B" w:rsidRDefault="00D94824" w:rsidP="001277D5">
            <w:pPr>
              <w:jc w:val="both"/>
              <w:rPr>
                <w:rFonts w:eastAsia="Calibri"/>
                <w:sz w:val="20"/>
                <w:lang w:val="fr-FR"/>
              </w:rPr>
            </w:pPr>
            <w:r w:rsidRPr="0084490B">
              <w:rPr>
                <w:rFonts w:eastAsia="Calibri"/>
                <w:sz w:val="20"/>
                <w:lang w:val="fr-FR"/>
              </w:rPr>
              <w:t>Droit criminel – Exposé au jury – Directives restrictives – Pouvoirs de la Cour d’appel – Disposition réparatrice – La Cour d’appel a-t-elle conclu à tort qu’il n’est pas nécessaire qu’une directive restrictive donnée au jury concernant la preuve de mauvaise moralité traite de toutes les formes de preuve de ce genre admises au procès? – La Cour d’appel a-t-elle fait erreur en appliquant de son propre chef le deuxième volet de la disposition réparatrice et en concluant à l’existence d’une preuve accablante de culpabilité alors que le ministère public n’avait pas cherché à « corriger » l’erreur sur ce fondement.</w:t>
            </w:r>
          </w:p>
        </w:tc>
      </w:tr>
      <w:tr w:rsidR="00D94824" w:rsidRPr="00B6040C" w:rsidTr="001277D5">
        <w:tc>
          <w:tcPr>
            <w:tcW w:w="5000" w:type="pct"/>
            <w:gridSpan w:val="3"/>
          </w:tcPr>
          <w:p w:rsidR="00D94824" w:rsidRPr="0084490B" w:rsidRDefault="00D94824" w:rsidP="001277D5">
            <w:pPr>
              <w:jc w:val="both"/>
              <w:rPr>
                <w:rFonts w:eastAsia="Calibri"/>
                <w:sz w:val="20"/>
                <w:lang w:val="fr-FR"/>
              </w:rPr>
            </w:pPr>
          </w:p>
        </w:tc>
      </w:tr>
      <w:tr w:rsidR="00D94824" w:rsidRPr="00B6040C" w:rsidTr="001277D5">
        <w:tc>
          <w:tcPr>
            <w:tcW w:w="5000" w:type="pct"/>
            <w:gridSpan w:val="3"/>
          </w:tcPr>
          <w:p w:rsidR="00D94824" w:rsidRPr="0084490B" w:rsidRDefault="00D94824" w:rsidP="001277D5">
            <w:pPr>
              <w:jc w:val="both"/>
              <w:rPr>
                <w:rFonts w:eastAsia="Calibri"/>
                <w:sz w:val="20"/>
                <w:lang w:val="fr-FR"/>
              </w:rPr>
            </w:pPr>
            <w:r w:rsidRPr="0084490B">
              <w:rPr>
                <w:rFonts w:eastAsia="Calibri"/>
                <w:sz w:val="20"/>
                <w:lang w:val="fr-FR"/>
              </w:rPr>
              <w:t>La demanderesse, M</w:t>
            </w:r>
            <w:r w:rsidRPr="0084490B">
              <w:rPr>
                <w:rFonts w:eastAsia="Calibri"/>
                <w:sz w:val="20"/>
                <w:vertAlign w:val="superscript"/>
                <w:lang w:val="fr-FR"/>
              </w:rPr>
              <w:t>me</w:t>
            </w:r>
            <w:r w:rsidRPr="0084490B">
              <w:rPr>
                <w:rFonts w:eastAsia="Calibri"/>
                <w:sz w:val="20"/>
                <w:lang w:val="fr-FR"/>
              </w:rPr>
              <w:t> James, a été reconnue coupable de meurtre au premier degré.  La défunte avait été retrouvée chez elle, la gorge tranchée et le corps parsemé d’autres coupures et blessures.  Le meurtre a eu lieu en 1992, mais ce n’est qu’en 2007 que M</w:t>
            </w:r>
            <w:r w:rsidRPr="0084490B">
              <w:rPr>
                <w:rFonts w:eastAsia="Calibri"/>
                <w:sz w:val="20"/>
                <w:vertAlign w:val="superscript"/>
                <w:lang w:val="fr-FR"/>
              </w:rPr>
              <w:t>me</w:t>
            </w:r>
            <w:r w:rsidRPr="0084490B">
              <w:rPr>
                <w:rFonts w:eastAsia="Calibri"/>
                <w:sz w:val="20"/>
                <w:lang w:val="fr-FR"/>
              </w:rPr>
              <w:t> James est devenue la cible d’une enquête policière secrète à l’issue de laquelle elle a avoué de façon détaillée à un agent d’infiltration qu’elle était l’auteure du meurtre.  Les aveux constituaient essentiellement l’ensemble de la preuve produite au procès par le ministère public.  Aucune preuve matérielle ou scientifique ne reliait M</w:t>
            </w:r>
            <w:r w:rsidRPr="0084490B">
              <w:rPr>
                <w:rFonts w:eastAsia="Calibri"/>
                <w:sz w:val="20"/>
                <w:vertAlign w:val="superscript"/>
                <w:lang w:val="fr-FR"/>
              </w:rPr>
              <w:t>me</w:t>
            </w:r>
            <w:r w:rsidRPr="0084490B">
              <w:rPr>
                <w:rFonts w:eastAsia="Calibri"/>
                <w:sz w:val="20"/>
                <w:lang w:val="fr-FR"/>
              </w:rPr>
              <w:t> James au lieu du crime.  L’appel interjeté par M</w:t>
            </w:r>
            <w:r w:rsidRPr="0084490B">
              <w:rPr>
                <w:rFonts w:eastAsia="Calibri"/>
                <w:sz w:val="20"/>
                <w:vertAlign w:val="superscript"/>
                <w:lang w:val="fr-FR"/>
              </w:rPr>
              <w:t>me</w:t>
            </w:r>
            <w:r w:rsidRPr="0084490B">
              <w:rPr>
                <w:rFonts w:eastAsia="Calibri"/>
                <w:sz w:val="20"/>
                <w:lang w:val="fr-FR"/>
              </w:rPr>
              <w:t> James contre sa déclaration de culpabilité a été rejeté.</w:t>
            </w:r>
          </w:p>
          <w:p w:rsidR="00D94824" w:rsidRPr="0084490B" w:rsidRDefault="00D94824" w:rsidP="001277D5">
            <w:pPr>
              <w:jc w:val="both"/>
              <w:rPr>
                <w:rFonts w:eastAsia="Calibri"/>
                <w:sz w:val="20"/>
                <w:lang w:val="fr-FR"/>
              </w:rPr>
            </w:pPr>
          </w:p>
        </w:tc>
      </w:tr>
      <w:tr w:rsidR="00D94824" w:rsidRPr="00B6040C" w:rsidTr="001277D5">
        <w:tc>
          <w:tcPr>
            <w:tcW w:w="2427" w:type="pct"/>
          </w:tcPr>
          <w:p w:rsidR="00D94824" w:rsidRPr="0084490B" w:rsidRDefault="00D94824" w:rsidP="001277D5">
            <w:pPr>
              <w:jc w:val="both"/>
              <w:rPr>
                <w:rFonts w:eastAsia="Calibri"/>
                <w:sz w:val="20"/>
                <w:lang w:val="fr-FR"/>
              </w:rPr>
            </w:pPr>
            <w:r w:rsidRPr="0084490B">
              <w:rPr>
                <w:rFonts w:eastAsia="Calibri"/>
                <w:sz w:val="20"/>
                <w:lang w:val="fr-FR"/>
              </w:rPr>
              <w:t>24 novembre 2011</w:t>
            </w:r>
          </w:p>
          <w:p w:rsidR="00D94824" w:rsidRPr="0084490B" w:rsidRDefault="00D94824" w:rsidP="001277D5">
            <w:pPr>
              <w:jc w:val="both"/>
              <w:rPr>
                <w:rFonts w:eastAsia="Calibri"/>
                <w:sz w:val="20"/>
                <w:lang w:val="fr-FR"/>
              </w:rPr>
            </w:pPr>
            <w:r w:rsidRPr="0084490B">
              <w:rPr>
                <w:rFonts w:eastAsia="Calibri"/>
                <w:sz w:val="20"/>
                <w:lang w:val="fr-FR"/>
              </w:rPr>
              <w:t>Cour suprême de la Colombie-Britannique</w:t>
            </w:r>
          </w:p>
          <w:p w:rsidR="00D94824" w:rsidRPr="0084490B" w:rsidRDefault="00D94824" w:rsidP="001277D5">
            <w:pPr>
              <w:jc w:val="both"/>
              <w:rPr>
                <w:rFonts w:eastAsia="Calibri"/>
                <w:sz w:val="20"/>
              </w:rPr>
            </w:pPr>
            <w:r w:rsidRPr="0084490B">
              <w:rPr>
                <w:rFonts w:eastAsia="Calibri"/>
                <w:sz w:val="20"/>
              </w:rPr>
              <w:t>(</w:t>
            </w:r>
            <w:proofErr w:type="spellStart"/>
            <w:r w:rsidRPr="0084490B">
              <w:rPr>
                <w:rFonts w:eastAsia="Calibri"/>
                <w:sz w:val="20"/>
              </w:rPr>
              <w:t>Juge</w:t>
            </w:r>
            <w:proofErr w:type="spellEnd"/>
            <w:r w:rsidRPr="0084490B">
              <w:rPr>
                <w:rFonts w:eastAsia="Calibri"/>
                <w:sz w:val="20"/>
              </w:rPr>
              <w:t xml:space="preserve"> Bruce)</w:t>
            </w:r>
          </w:p>
          <w:p w:rsidR="00D94824" w:rsidRPr="0084490B" w:rsidRDefault="00D94824" w:rsidP="001277D5">
            <w:pPr>
              <w:jc w:val="both"/>
              <w:rPr>
                <w:rFonts w:eastAsia="Calibri"/>
                <w:sz w:val="20"/>
              </w:rPr>
            </w:pPr>
          </w:p>
        </w:tc>
        <w:tc>
          <w:tcPr>
            <w:tcW w:w="243" w:type="pct"/>
          </w:tcPr>
          <w:p w:rsidR="00D94824" w:rsidRPr="0084490B" w:rsidRDefault="00D94824" w:rsidP="001277D5">
            <w:pPr>
              <w:jc w:val="both"/>
              <w:rPr>
                <w:rFonts w:eastAsia="Calibri"/>
                <w:sz w:val="20"/>
              </w:rPr>
            </w:pPr>
          </w:p>
        </w:tc>
        <w:tc>
          <w:tcPr>
            <w:tcW w:w="2330" w:type="pct"/>
          </w:tcPr>
          <w:p w:rsidR="00D94824" w:rsidRPr="0084490B" w:rsidRDefault="00D94824" w:rsidP="001277D5">
            <w:pPr>
              <w:jc w:val="both"/>
              <w:rPr>
                <w:rFonts w:eastAsia="Calibri"/>
                <w:sz w:val="20"/>
                <w:lang w:val="fr-FR"/>
              </w:rPr>
            </w:pPr>
            <w:r w:rsidRPr="0084490B">
              <w:rPr>
                <w:rFonts w:eastAsia="Calibri"/>
                <w:sz w:val="20"/>
                <w:lang w:val="fr-FR"/>
              </w:rPr>
              <w:t xml:space="preserve">Demanderesse reconnue coupable de meurtre au premier degré </w:t>
            </w:r>
          </w:p>
        </w:tc>
      </w:tr>
      <w:tr w:rsidR="00D94824" w:rsidRPr="0084490B" w:rsidTr="001277D5">
        <w:tc>
          <w:tcPr>
            <w:tcW w:w="2427" w:type="pct"/>
          </w:tcPr>
          <w:p w:rsidR="00D94824" w:rsidRPr="0084490B" w:rsidRDefault="00D94824" w:rsidP="001277D5">
            <w:pPr>
              <w:jc w:val="both"/>
              <w:rPr>
                <w:rFonts w:eastAsia="Calibri"/>
                <w:sz w:val="20"/>
                <w:lang w:val="fr-FR"/>
              </w:rPr>
            </w:pPr>
            <w:r w:rsidRPr="0084490B">
              <w:rPr>
                <w:rFonts w:eastAsia="Calibri"/>
                <w:sz w:val="20"/>
                <w:lang w:val="fr-FR"/>
              </w:rPr>
              <w:t>11 janvier 2013</w:t>
            </w:r>
          </w:p>
          <w:p w:rsidR="00D94824" w:rsidRPr="0084490B" w:rsidRDefault="00D94824" w:rsidP="001277D5">
            <w:pPr>
              <w:jc w:val="both"/>
              <w:rPr>
                <w:rFonts w:eastAsia="Calibri"/>
                <w:sz w:val="20"/>
                <w:lang w:val="fr-FR"/>
              </w:rPr>
            </w:pPr>
            <w:r w:rsidRPr="0084490B">
              <w:rPr>
                <w:rFonts w:eastAsia="Calibri"/>
                <w:sz w:val="20"/>
                <w:lang w:val="fr-FR"/>
              </w:rPr>
              <w:t xml:space="preserve">Cour d’appel de la Colombie-Britannique </w:t>
            </w:r>
          </w:p>
          <w:p w:rsidR="00D94824" w:rsidRPr="0084490B" w:rsidRDefault="00D94824" w:rsidP="001277D5">
            <w:pPr>
              <w:jc w:val="both"/>
              <w:rPr>
                <w:rFonts w:eastAsia="Calibri"/>
                <w:sz w:val="20"/>
                <w:lang w:val="fr-FR"/>
              </w:rPr>
            </w:pPr>
            <w:r w:rsidRPr="0084490B">
              <w:rPr>
                <w:rFonts w:eastAsia="Calibri"/>
                <w:sz w:val="20"/>
                <w:lang w:val="fr-FR"/>
              </w:rPr>
              <w:t xml:space="preserve">(Juge en chef </w:t>
            </w:r>
            <w:proofErr w:type="spellStart"/>
            <w:r w:rsidRPr="0084490B">
              <w:rPr>
                <w:rFonts w:eastAsia="Calibri"/>
                <w:sz w:val="20"/>
                <w:lang w:val="fr-FR"/>
              </w:rPr>
              <w:t>Finch</w:t>
            </w:r>
            <w:proofErr w:type="spellEnd"/>
            <w:r w:rsidRPr="0084490B">
              <w:rPr>
                <w:rFonts w:eastAsia="Calibri"/>
                <w:sz w:val="20"/>
                <w:lang w:val="fr-FR"/>
              </w:rPr>
              <w:t xml:space="preserve"> et juges Lowry et Smith)</w:t>
            </w:r>
          </w:p>
          <w:p w:rsidR="00D94824" w:rsidRPr="0084490B" w:rsidRDefault="00D94824" w:rsidP="001277D5">
            <w:pPr>
              <w:jc w:val="both"/>
              <w:rPr>
                <w:rFonts w:eastAsia="Calibri"/>
                <w:sz w:val="20"/>
                <w:lang w:val="fr-FR"/>
              </w:rPr>
            </w:pPr>
            <w:r w:rsidRPr="0084490B">
              <w:rPr>
                <w:rFonts w:eastAsia="Calibri"/>
                <w:sz w:val="20"/>
                <w:lang w:val="fr-FR"/>
              </w:rPr>
              <w:t>2013 BCCA 11</w:t>
            </w:r>
          </w:p>
          <w:p w:rsidR="00D94824" w:rsidRPr="0084490B" w:rsidRDefault="00D94824" w:rsidP="001277D5">
            <w:pPr>
              <w:jc w:val="both"/>
              <w:rPr>
                <w:rFonts w:eastAsia="Calibri"/>
                <w:sz w:val="20"/>
                <w:lang w:val="fr-FR"/>
              </w:rPr>
            </w:pPr>
          </w:p>
        </w:tc>
        <w:tc>
          <w:tcPr>
            <w:tcW w:w="243" w:type="pct"/>
          </w:tcPr>
          <w:p w:rsidR="00D94824" w:rsidRPr="0084490B" w:rsidRDefault="00D94824" w:rsidP="001277D5">
            <w:pPr>
              <w:jc w:val="both"/>
              <w:rPr>
                <w:rFonts w:eastAsia="Calibri"/>
                <w:sz w:val="20"/>
                <w:lang w:val="fr-FR"/>
              </w:rPr>
            </w:pPr>
          </w:p>
        </w:tc>
        <w:tc>
          <w:tcPr>
            <w:tcW w:w="2330" w:type="pct"/>
          </w:tcPr>
          <w:p w:rsidR="00D94824" w:rsidRPr="0084490B" w:rsidRDefault="00D94824" w:rsidP="001277D5">
            <w:pPr>
              <w:jc w:val="both"/>
              <w:rPr>
                <w:rFonts w:eastAsia="Calibri"/>
                <w:sz w:val="20"/>
              </w:rPr>
            </w:pPr>
            <w:proofErr w:type="spellStart"/>
            <w:r w:rsidRPr="0084490B">
              <w:rPr>
                <w:rFonts w:eastAsia="Calibri"/>
                <w:sz w:val="20"/>
              </w:rPr>
              <w:t>Appel</w:t>
            </w:r>
            <w:proofErr w:type="spellEnd"/>
            <w:r w:rsidRPr="0084490B">
              <w:rPr>
                <w:rFonts w:eastAsia="Calibri"/>
                <w:sz w:val="20"/>
              </w:rPr>
              <w:t xml:space="preserve"> </w:t>
            </w:r>
            <w:proofErr w:type="spellStart"/>
            <w:r w:rsidRPr="0084490B">
              <w:rPr>
                <w:rFonts w:eastAsia="Calibri"/>
                <w:sz w:val="20"/>
              </w:rPr>
              <w:t>rejeté</w:t>
            </w:r>
            <w:proofErr w:type="spellEnd"/>
          </w:p>
        </w:tc>
      </w:tr>
      <w:tr w:rsidR="00D94824" w:rsidRPr="0084490B" w:rsidTr="001277D5">
        <w:tc>
          <w:tcPr>
            <w:tcW w:w="2427" w:type="pct"/>
          </w:tcPr>
          <w:p w:rsidR="00D94824" w:rsidRPr="0084490B" w:rsidRDefault="00D94824" w:rsidP="001277D5">
            <w:pPr>
              <w:jc w:val="both"/>
              <w:rPr>
                <w:rFonts w:eastAsia="Calibri"/>
                <w:sz w:val="20"/>
                <w:lang w:val="fr-FR"/>
              </w:rPr>
            </w:pPr>
            <w:r w:rsidRPr="0084490B">
              <w:rPr>
                <w:rFonts w:eastAsia="Calibri"/>
                <w:sz w:val="20"/>
                <w:lang w:val="fr-FR"/>
              </w:rPr>
              <w:t>7 mars 2013</w:t>
            </w:r>
          </w:p>
          <w:p w:rsidR="00D94824" w:rsidRPr="0084490B" w:rsidRDefault="00D94824" w:rsidP="001277D5">
            <w:pPr>
              <w:jc w:val="both"/>
              <w:rPr>
                <w:rFonts w:eastAsia="Calibri"/>
                <w:sz w:val="20"/>
                <w:lang w:val="fr-FR"/>
              </w:rPr>
            </w:pPr>
            <w:r w:rsidRPr="0084490B">
              <w:rPr>
                <w:rFonts w:eastAsia="Calibri"/>
                <w:sz w:val="20"/>
                <w:lang w:val="fr-FR"/>
              </w:rPr>
              <w:t>Cour suprême du Canada</w:t>
            </w:r>
          </w:p>
        </w:tc>
        <w:tc>
          <w:tcPr>
            <w:tcW w:w="243" w:type="pct"/>
          </w:tcPr>
          <w:p w:rsidR="00D94824" w:rsidRPr="0084490B" w:rsidRDefault="00D94824" w:rsidP="001277D5">
            <w:pPr>
              <w:jc w:val="both"/>
              <w:rPr>
                <w:rFonts w:eastAsia="Calibri"/>
                <w:sz w:val="20"/>
                <w:lang w:val="fr-FR"/>
              </w:rPr>
            </w:pPr>
          </w:p>
        </w:tc>
        <w:tc>
          <w:tcPr>
            <w:tcW w:w="2330" w:type="pct"/>
          </w:tcPr>
          <w:p w:rsidR="00D94824" w:rsidRPr="0084490B" w:rsidRDefault="00D94824" w:rsidP="001277D5">
            <w:pPr>
              <w:jc w:val="both"/>
              <w:rPr>
                <w:rFonts w:eastAsia="Calibri"/>
                <w:sz w:val="20"/>
              </w:rPr>
            </w:pPr>
            <w:proofErr w:type="spellStart"/>
            <w:r w:rsidRPr="0084490B">
              <w:rPr>
                <w:rFonts w:eastAsia="Calibri"/>
                <w:sz w:val="20"/>
              </w:rPr>
              <w:t>Demande</w:t>
            </w:r>
            <w:proofErr w:type="spellEnd"/>
            <w:r w:rsidRPr="0084490B">
              <w:rPr>
                <w:rFonts w:eastAsia="Calibri"/>
                <w:sz w:val="20"/>
              </w:rPr>
              <w:t xml:space="preserve"> </w:t>
            </w:r>
            <w:proofErr w:type="spellStart"/>
            <w:r w:rsidRPr="0084490B">
              <w:rPr>
                <w:rFonts w:eastAsia="Calibri"/>
                <w:sz w:val="20"/>
              </w:rPr>
              <w:t>d’autorisation</w:t>
            </w:r>
            <w:proofErr w:type="spellEnd"/>
            <w:r w:rsidRPr="0084490B">
              <w:rPr>
                <w:rFonts w:eastAsia="Calibri"/>
                <w:sz w:val="20"/>
              </w:rPr>
              <w:t xml:space="preserve"> </w:t>
            </w:r>
            <w:proofErr w:type="spellStart"/>
            <w:r w:rsidRPr="0084490B">
              <w:rPr>
                <w:rFonts w:eastAsia="Calibri"/>
                <w:sz w:val="20"/>
              </w:rPr>
              <w:t>d’appel</w:t>
            </w:r>
            <w:proofErr w:type="spellEnd"/>
            <w:r w:rsidRPr="0084490B">
              <w:rPr>
                <w:rFonts w:eastAsia="Calibri"/>
                <w:sz w:val="20"/>
              </w:rPr>
              <w:t xml:space="preserve"> </w:t>
            </w:r>
            <w:proofErr w:type="spellStart"/>
            <w:r w:rsidRPr="0084490B">
              <w:rPr>
                <w:rFonts w:eastAsia="Calibri"/>
                <w:sz w:val="20"/>
              </w:rPr>
              <w:t>déposée</w:t>
            </w:r>
            <w:proofErr w:type="spellEnd"/>
            <w:r w:rsidRPr="0084490B">
              <w:rPr>
                <w:rFonts w:eastAsia="Calibri"/>
                <w:sz w:val="20"/>
              </w:rPr>
              <w:t xml:space="preserve"> </w:t>
            </w:r>
          </w:p>
          <w:p w:rsidR="00D94824" w:rsidRPr="0084490B" w:rsidRDefault="00D94824" w:rsidP="001277D5">
            <w:pPr>
              <w:jc w:val="both"/>
              <w:rPr>
                <w:rFonts w:eastAsia="Calibri"/>
                <w:sz w:val="20"/>
              </w:rPr>
            </w:pPr>
          </w:p>
        </w:tc>
      </w:tr>
    </w:tbl>
    <w:p w:rsidR="00EA65C4" w:rsidRDefault="00EA65C4" w:rsidP="00EA65C4">
      <w:pPr>
        <w:rPr>
          <w:sz w:val="20"/>
          <w:szCs w:val="20"/>
        </w:rPr>
      </w:pPr>
    </w:p>
    <w:p w:rsidR="00EA65C4" w:rsidRDefault="0028676C" w:rsidP="00EA65C4">
      <w:pPr>
        <w:rPr>
          <w:sz w:val="20"/>
          <w:szCs w:val="20"/>
        </w:rPr>
      </w:pPr>
      <w:r w:rsidRPr="0028676C">
        <w:rPr>
          <w:sz w:val="20"/>
          <w:szCs w:val="20"/>
          <w:lang w:val="fr-CA"/>
        </w:rPr>
        <w:pict>
          <v:rect id="_x0000_i1076" style="width:2in;height:1pt" o:hrpct="0" o:hralign="center" o:hrstd="t" o:hrnoshade="t" o:hr="t" fillcolor="black [3213]" stroked="f"/>
        </w:pict>
      </w:r>
    </w:p>
    <w:p w:rsidR="00EA65C4" w:rsidRDefault="00EA65C4" w:rsidP="00EA65C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64224" w:rsidRPr="0068500F" w:rsidTr="0071552E">
        <w:trPr>
          <w:cantSplit/>
        </w:trPr>
        <w:tc>
          <w:tcPr>
            <w:tcW w:w="1458" w:type="dxa"/>
          </w:tcPr>
          <w:p w:rsidR="00D64224" w:rsidRPr="0068500F" w:rsidRDefault="00D64224" w:rsidP="0071552E">
            <w:pPr>
              <w:rPr>
                <w:sz w:val="20"/>
                <w:szCs w:val="20"/>
              </w:rPr>
            </w:pPr>
            <w:r w:rsidRPr="0068500F">
              <w:rPr>
                <w:rStyle w:val="SCCFileNumberChar"/>
                <w:sz w:val="20"/>
                <w:szCs w:val="20"/>
              </w:rPr>
              <w:t>35260</w:t>
            </w:r>
          </w:p>
          <w:p w:rsidR="00D64224" w:rsidRPr="0068500F" w:rsidRDefault="00D64224" w:rsidP="0071552E">
            <w:pPr>
              <w:rPr>
                <w:b/>
                <w:sz w:val="20"/>
                <w:szCs w:val="20"/>
                <w:lang w:val="fr-CA"/>
              </w:rPr>
            </w:pPr>
          </w:p>
        </w:tc>
        <w:tc>
          <w:tcPr>
            <w:tcW w:w="8118" w:type="dxa"/>
          </w:tcPr>
          <w:p w:rsidR="00D64224" w:rsidRPr="0068500F" w:rsidRDefault="00D64224" w:rsidP="0071552E">
            <w:pPr>
              <w:rPr>
                <w:sz w:val="20"/>
                <w:szCs w:val="20"/>
              </w:rPr>
            </w:pPr>
            <w:r w:rsidRPr="00D64224">
              <w:rPr>
                <w:rStyle w:val="SCCLsocChar"/>
                <w:sz w:val="20"/>
                <w:szCs w:val="20"/>
                <w:lang w:val="en-CA"/>
              </w:rPr>
              <w:t xml:space="preserve">Robert </w:t>
            </w:r>
            <w:proofErr w:type="spellStart"/>
            <w:r w:rsidRPr="00D64224">
              <w:rPr>
                <w:rStyle w:val="SCCLsocChar"/>
                <w:sz w:val="20"/>
                <w:szCs w:val="20"/>
                <w:lang w:val="en-CA"/>
              </w:rPr>
              <w:t>Burgiss</w:t>
            </w:r>
            <w:proofErr w:type="spellEnd"/>
            <w:r w:rsidRPr="00D64224">
              <w:rPr>
                <w:rStyle w:val="SCCLsocChar"/>
                <w:sz w:val="20"/>
                <w:szCs w:val="20"/>
                <w:lang w:val="en-CA"/>
              </w:rPr>
              <w:t xml:space="preserve"> v. Attorney General of Canada</w:t>
            </w:r>
            <w:r w:rsidRPr="0068500F">
              <w:rPr>
                <w:sz w:val="20"/>
                <w:szCs w:val="20"/>
              </w:rPr>
              <w:t xml:space="preserve"> (Ont.) (Civil) (By Leave)</w:t>
            </w:r>
          </w:p>
          <w:p w:rsidR="00D64224" w:rsidRPr="0068500F" w:rsidRDefault="00D64224" w:rsidP="0071552E">
            <w:pPr>
              <w:rPr>
                <w:sz w:val="20"/>
                <w:szCs w:val="20"/>
              </w:rPr>
            </w:pPr>
          </w:p>
        </w:tc>
      </w:tr>
      <w:tr w:rsidR="00D64224" w:rsidRPr="0068500F" w:rsidTr="0071552E">
        <w:trPr>
          <w:cantSplit/>
        </w:trPr>
        <w:tc>
          <w:tcPr>
            <w:tcW w:w="1458" w:type="dxa"/>
          </w:tcPr>
          <w:p w:rsidR="00D64224" w:rsidRPr="0068500F" w:rsidRDefault="00D64224" w:rsidP="0071552E">
            <w:pPr>
              <w:rPr>
                <w:sz w:val="20"/>
                <w:szCs w:val="20"/>
              </w:rPr>
            </w:pPr>
            <w:r w:rsidRPr="0068500F">
              <w:rPr>
                <w:sz w:val="20"/>
                <w:szCs w:val="20"/>
              </w:rPr>
              <w:t>Coram :</w:t>
            </w:r>
          </w:p>
        </w:tc>
        <w:tc>
          <w:tcPr>
            <w:tcW w:w="8118" w:type="dxa"/>
          </w:tcPr>
          <w:p w:rsidR="00D64224" w:rsidRPr="0068500F" w:rsidRDefault="00D64224" w:rsidP="0071552E">
            <w:pPr>
              <w:rPr>
                <w:sz w:val="20"/>
                <w:szCs w:val="20"/>
              </w:rPr>
            </w:pPr>
            <w:r w:rsidRPr="00D64224">
              <w:rPr>
                <w:rStyle w:val="SCCCoramChar"/>
                <w:sz w:val="20"/>
                <w:szCs w:val="20"/>
                <w:lang w:val="en-CA"/>
              </w:rPr>
              <w:t>Fish, Rothstein and Moldaver JJ.</w:t>
            </w:r>
          </w:p>
          <w:p w:rsidR="00D64224" w:rsidRPr="0068500F" w:rsidRDefault="00D64224" w:rsidP="0071552E">
            <w:pPr>
              <w:rPr>
                <w:sz w:val="20"/>
                <w:szCs w:val="20"/>
                <w:u w:val="single"/>
              </w:rPr>
            </w:pPr>
          </w:p>
        </w:tc>
      </w:tr>
      <w:tr w:rsidR="00D64224" w:rsidRPr="00B6040C" w:rsidTr="0071552E">
        <w:trPr>
          <w:cantSplit/>
        </w:trPr>
        <w:tc>
          <w:tcPr>
            <w:tcW w:w="9576" w:type="dxa"/>
            <w:gridSpan w:val="2"/>
          </w:tcPr>
          <w:p w:rsidR="00D64224" w:rsidRPr="0068500F" w:rsidRDefault="00D64224" w:rsidP="0071552E">
            <w:pPr>
              <w:pStyle w:val="SCCShortJudgment"/>
              <w:rPr>
                <w:szCs w:val="20"/>
              </w:rPr>
            </w:pPr>
            <w:r w:rsidRPr="0068500F">
              <w:rPr>
                <w:szCs w:val="20"/>
              </w:rPr>
              <w:t>The application for leave to appeal from the judgment of the Court of Appeal for Ontario, Number C55897, 2013 ONCA 16, dated January 11, 2013, is dismissed with costs.</w:t>
            </w:r>
          </w:p>
          <w:p w:rsidR="00D64224" w:rsidRPr="0068500F" w:rsidRDefault="00D64224" w:rsidP="0071552E">
            <w:pPr>
              <w:pStyle w:val="SCCShortJudgment"/>
              <w:ind w:firstLine="0"/>
              <w:rPr>
                <w:szCs w:val="20"/>
              </w:rPr>
            </w:pPr>
          </w:p>
          <w:p w:rsidR="00D64224" w:rsidRPr="0068500F" w:rsidRDefault="00D64224" w:rsidP="0071552E">
            <w:pPr>
              <w:pStyle w:val="SCCShortJudgment"/>
              <w:rPr>
                <w:szCs w:val="20"/>
                <w:lang w:val="fr-CA"/>
              </w:rPr>
            </w:pPr>
            <w:r w:rsidRPr="0068500F">
              <w:rPr>
                <w:szCs w:val="20"/>
                <w:lang w:val="fr-CA"/>
              </w:rPr>
              <w:t>La demande d’autorisation d’appel de l’arrêt de la Cour d’appel de l’Ontario, numéro C55897, 2013 ONCA 16, daté du 11 janvier 2013, est rejetée avec dépens.</w:t>
            </w:r>
          </w:p>
        </w:tc>
      </w:tr>
    </w:tbl>
    <w:p w:rsidR="00EA65C4" w:rsidRPr="00D64224" w:rsidRDefault="00EA65C4" w:rsidP="00EA65C4">
      <w:pPr>
        <w:rPr>
          <w:sz w:val="20"/>
          <w:szCs w:val="20"/>
          <w:lang w:val="fr-CA"/>
        </w:rPr>
      </w:pPr>
    </w:p>
    <w:p w:rsidR="00EA65C4" w:rsidRPr="001B157C" w:rsidRDefault="00EA65C4" w:rsidP="00EA65C4">
      <w:pPr>
        <w:rPr>
          <w:sz w:val="20"/>
          <w:szCs w:val="20"/>
          <w:u w:val="single"/>
        </w:rPr>
      </w:pPr>
      <w:r w:rsidRPr="001B157C">
        <w:rPr>
          <w:sz w:val="20"/>
          <w:szCs w:val="20"/>
          <w:u w:val="single"/>
        </w:rPr>
        <w:t>CASE SUMMARY</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0649D" w:rsidRPr="0084490B" w:rsidTr="001277D5">
        <w:tc>
          <w:tcPr>
            <w:tcW w:w="5000" w:type="pct"/>
            <w:gridSpan w:val="3"/>
          </w:tcPr>
          <w:p w:rsidR="0080649D" w:rsidRPr="0084490B" w:rsidRDefault="0080649D" w:rsidP="001277D5">
            <w:pPr>
              <w:jc w:val="both"/>
              <w:rPr>
                <w:rFonts w:eastAsia="Calibri"/>
                <w:sz w:val="20"/>
              </w:rPr>
            </w:pPr>
            <w:r w:rsidRPr="0084490B">
              <w:rPr>
                <w:rFonts w:eastAsia="Calibri"/>
                <w:sz w:val="20"/>
              </w:rPr>
              <w:t>Police – Powers – Public service – Whether there is a public law duty of police to investigate crime</w:t>
            </w:r>
          </w:p>
        </w:tc>
      </w:tr>
      <w:tr w:rsidR="0080649D" w:rsidRPr="0084490B" w:rsidTr="001277D5">
        <w:tc>
          <w:tcPr>
            <w:tcW w:w="5000" w:type="pct"/>
            <w:gridSpan w:val="3"/>
          </w:tcPr>
          <w:p w:rsidR="0080649D" w:rsidRPr="0084490B" w:rsidRDefault="0080649D" w:rsidP="001277D5">
            <w:pPr>
              <w:jc w:val="both"/>
              <w:rPr>
                <w:rFonts w:eastAsia="Calibri"/>
                <w:sz w:val="20"/>
              </w:rPr>
            </w:pPr>
          </w:p>
        </w:tc>
      </w:tr>
      <w:tr w:rsidR="0080649D" w:rsidRPr="0084490B" w:rsidTr="001277D5">
        <w:tc>
          <w:tcPr>
            <w:tcW w:w="5000" w:type="pct"/>
            <w:gridSpan w:val="3"/>
          </w:tcPr>
          <w:p w:rsidR="0080649D" w:rsidRPr="0084490B" w:rsidRDefault="0080649D" w:rsidP="001277D5">
            <w:pPr>
              <w:jc w:val="both"/>
              <w:rPr>
                <w:rFonts w:eastAsia="Calibri"/>
                <w:sz w:val="20"/>
              </w:rPr>
            </w:pPr>
            <w:r w:rsidRPr="0084490B">
              <w:rPr>
                <w:rFonts w:eastAsia="Calibri"/>
                <w:sz w:val="20"/>
              </w:rPr>
              <w:t>In 2011, Mr. </w:t>
            </w:r>
            <w:proofErr w:type="spellStart"/>
            <w:r w:rsidRPr="0084490B">
              <w:rPr>
                <w:rFonts w:eastAsia="Calibri"/>
                <w:sz w:val="20"/>
              </w:rPr>
              <w:t>Burgiss</w:t>
            </w:r>
            <w:proofErr w:type="spellEnd"/>
            <w:r w:rsidRPr="0084490B">
              <w:rPr>
                <w:rFonts w:eastAsia="Calibri"/>
                <w:sz w:val="20"/>
              </w:rPr>
              <w:t xml:space="preserve"> contacted the Royal Canadian Mounted Police, asking them to investigate the Hamilton Police and the Ontario Civilian Police Commission for covering up complaints against the police.  They did not conduct any investigation into those complaints.  Mr. </w:t>
            </w:r>
            <w:proofErr w:type="spellStart"/>
            <w:r w:rsidRPr="0084490B">
              <w:rPr>
                <w:rFonts w:eastAsia="Calibri"/>
                <w:sz w:val="20"/>
              </w:rPr>
              <w:t>Burgiss</w:t>
            </w:r>
            <w:proofErr w:type="spellEnd"/>
            <w:r w:rsidRPr="0084490B">
              <w:rPr>
                <w:rFonts w:eastAsia="Calibri"/>
                <w:sz w:val="20"/>
              </w:rPr>
              <w:t xml:space="preserve"> brought an action against the Attorney General of Canada for negligent investigation and misfeasance in public office.</w:t>
            </w:r>
          </w:p>
          <w:p w:rsidR="0080649D" w:rsidRPr="0084490B" w:rsidRDefault="0080649D" w:rsidP="001277D5">
            <w:pPr>
              <w:jc w:val="both"/>
              <w:rPr>
                <w:rFonts w:eastAsia="Calibri"/>
                <w:sz w:val="20"/>
              </w:rPr>
            </w:pPr>
          </w:p>
        </w:tc>
      </w:tr>
      <w:tr w:rsidR="0080649D" w:rsidRPr="0084490B" w:rsidTr="001277D5">
        <w:tc>
          <w:tcPr>
            <w:tcW w:w="2427" w:type="pct"/>
          </w:tcPr>
          <w:p w:rsidR="0080649D" w:rsidRPr="0084490B" w:rsidRDefault="0080649D" w:rsidP="001277D5">
            <w:pPr>
              <w:jc w:val="both"/>
              <w:rPr>
                <w:rFonts w:eastAsia="Calibri"/>
                <w:sz w:val="20"/>
              </w:rPr>
            </w:pPr>
            <w:r w:rsidRPr="0084490B">
              <w:rPr>
                <w:rFonts w:eastAsia="Calibri"/>
                <w:sz w:val="20"/>
              </w:rPr>
              <w:t>July 24, 2012</w:t>
            </w:r>
          </w:p>
          <w:p w:rsidR="0080649D" w:rsidRPr="0084490B" w:rsidRDefault="0080649D" w:rsidP="001277D5">
            <w:pPr>
              <w:jc w:val="both"/>
              <w:rPr>
                <w:rFonts w:eastAsia="Calibri"/>
                <w:sz w:val="20"/>
              </w:rPr>
            </w:pPr>
            <w:r w:rsidRPr="0084490B">
              <w:rPr>
                <w:rFonts w:eastAsia="Calibri"/>
                <w:sz w:val="20"/>
              </w:rPr>
              <w:t>Ontario Superior Court of Justice</w:t>
            </w:r>
          </w:p>
          <w:p w:rsidR="0080649D" w:rsidRPr="0084490B" w:rsidRDefault="0080649D" w:rsidP="001277D5">
            <w:pPr>
              <w:jc w:val="both"/>
              <w:rPr>
                <w:rFonts w:eastAsia="Calibri"/>
                <w:sz w:val="20"/>
              </w:rPr>
            </w:pPr>
            <w:r w:rsidRPr="0084490B">
              <w:rPr>
                <w:rFonts w:eastAsia="Calibri"/>
                <w:sz w:val="20"/>
              </w:rPr>
              <w:t>(Gordon J.)</w:t>
            </w:r>
          </w:p>
          <w:p w:rsidR="0080649D" w:rsidRPr="0084490B" w:rsidRDefault="0080649D" w:rsidP="001277D5">
            <w:pPr>
              <w:jc w:val="both"/>
              <w:rPr>
                <w:rFonts w:eastAsia="Calibri"/>
                <w:sz w:val="20"/>
              </w:rPr>
            </w:pPr>
          </w:p>
        </w:tc>
        <w:tc>
          <w:tcPr>
            <w:tcW w:w="243" w:type="pct"/>
          </w:tcPr>
          <w:p w:rsidR="0080649D" w:rsidRPr="0084490B" w:rsidRDefault="0080649D" w:rsidP="001277D5">
            <w:pPr>
              <w:jc w:val="both"/>
              <w:rPr>
                <w:rFonts w:eastAsia="Calibri"/>
                <w:sz w:val="20"/>
              </w:rPr>
            </w:pPr>
          </w:p>
        </w:tc>
        <w:tc>
          <w:tcPr>
            <w:tcW w:w="2330" w:type="pct"/>
          </w:tcPr>
          <w:p w:rsidR="0080649D" w:rsidRPr="0084490B" w:rsidRDefault="0080649D" w:rsidP="001277D5">
            <w:pPr>
              <w:jc w:val="both"/>
              <w:rPr>
                <w:rFonts w:eastAsia="Calibri"/>
                <w:sz w:val="20"/>
              </w:rPr>
            </w:pPr>
            <w:r w:rsidRPr="0084490B">
              <w:rPr>
                <w:rFonts w:eastAsia="Calibri"/>
                <w:sz w:val="20"/>
              </w:rPr>
              <w:t>Respondent’s motion to strike statement of claim granted.  Applicant’s action dismissed</w:t>
            </w:r>
          </w:p>
          <w:p w:rsidR="0080649D" w:rsidRPr="0084490B" w:rsidRDefault="0080649D" w:rsidP="001277D5">
            <w:pPr>
              <w:jc w:val="both"/>
              <w:rPr>
                <w:rFonts w:eastAsia="Calibri"/>
                <w:sz w:val="20"/>
              </w:rPr>
            </w:pPr>
          </w:p>
        </w:tc>
      </w:tr>
      <w:tr w:rsidR="0080649D" w:rsidRPr="0084490B" w:rsidTr="00D64224">
        <w:trPr>
          <w:cantSplit/>
        </w:trPr>
        <w:tc>
          <w:tcPr>
            <w:tcW w:w="2427" w:type="pct"/>
          </w:tcPr>
          <w:p w:rsidR="0080649D" w:rsidRPr="0084490B" w:rsidRDefault="0080649D" w:rsidP="001277D5">
            <w:pPr>
              <w:jc w:val="both"/>
              <w:rPr>
                <w:rFonts w:eastAsia="Calibri"/>
                <w:sz w:val="20"/>
              </w:rPr>
            </w:pPr>
            <w:r w:rsidRPr="0084490B">
              <w:rPr>
                <w:rFonts w:eastAsia="Calibri"/>
                <w:sz w:val="20"/>
              </w:rPr>
              <w:t>January 11, 2013</w:t>
            </w:r>
          </w:p>
          <w:p w:rsidR="0080649D" w:rsidRPr="0084490B" w:rsidRDefault="0080649D" w:rsidP="001277D5">
            <w:pPr>
              <w:jc w:val="both"/>
              <w:rPr>
                <w:rFonts w:eastAsia="Calibri"/>
                <w:sz w:val="20"/>
              </w:rPr>
            </w:pPr>
            <w:r w:rsidRPr="0084490B">
              <w:rPr>
                <w:rFonts w:eastAsia="Calibri"/>
                <w:sz w:val="20"/>
              </w:rPr>
              <w:t>Court of Appeal for Ontario</w:t>
            </w:r>
          </w:p>
          <w:p w:rsidR="0080649D" w:rsidRPr="0084490B" w:rsidRDefault="0080649D" w:rsidP="001277D5">
            <w:pPr>
              <w:jc w:val="both"/>
              <w:rPr>
                <w:rFonts w:eastAsia="Calibri"/>
                <w:sz w:val="20"/>
              </w:rPr>
            </w:pPr>
            <w:r w:rsidRPr="0084490B">
              <w:rPr>
                <w:rFonts w:eastAsia="Calibri"/>
                <w:sz w:val="20"/>
              </w:rPr>
              <w:t>(</w:t>
            </w:r>
            <w:proofErr w:type="spellStart"/>
            <w:r w:rsidRPr="0084490B">
              <w:rPr>
                <w:rFonts w:eastAsia="Calibri"/>
                <w:sz w:val="20"/>
              </w:rPr>
              <w:t>MacPherson</w:t>
            </w:r>
            <w:proofErr w:type="spellEnd"/>
            <w:r w:rsidRPr="0084490B">
              <w:rPr>
                <w:rFonts w:eastAsia="Calibri"/>
                <w:sz w:val="20"/>
              </w:rPr>
              <w:t xml:space="preserve">, </w:t>
            </w:r>
            <w:proofErr w:type="spellStart"/>
            <w:r w:rsidRPr="0084490B">
              <w:rPr>
                <w:rFonts w:eastAsia="Calibri"/>
                <w:sz w:val="20"/>
              </w:rPr>
              <w:t>Cronk</w:t>
            </w:r>
            <w:proofErr w:type="spellEnd"/>
            <w:r w:rsidRPr="0084490B">
              <w:rPr>
                <w:rFonts w:eastAsia="Calibri"/>
                <w:sz w:val="20"/>
              </w:rPr>
              <w:t xml:space="preserve"> and </w:t>
            </w:r>
            <w:proofErr w:type="spellStart"/>
            <w:r w:rsidRPr="0084490B">
              <w:rPr>
                <w:rFonts w:eastAsia="Calibri"/>
                <w:sz w:val="20"/>
              </w:rPr>
              <w:t>Lauwers</w:t>
            </w:r>
            <w:proofErr w:type="spellEnd"/>
            <w:r w:rsidRPr="0084490B">
              <w:rPr>
                <w:rFonts w:eastAsia="Calibri"/>
                <w:sz w:val="20"/>
              </w:rPr>
              <w:t xml:space="preserve"> JJ.A.)</w:t>
            </w:r>
          </w:p>
          <w:p w:rsidR="0080649D" w:rsidRPr="0084490B" w:rsidRDefault="0080649D" w:rsidP="001277D5">
            <w:pPr>
              <w:jc w:val="both"/>
              <w:rPr>
                <w:rFonts w:eastAsia="Calibri"/>
                <w:sz w:val="20"/>
              </w:rPr>
            </w:pPr>
            <w:r w:rsidRPr="0084490B">
              <w:rPr>
                <w:rFonts w:eastAsia="Calibri"/>
                <w:sz w:val="20"/>
              </w:rPr>
              <w:t>2013 ONCA 16</w:t>
            </w:r>
          </w:p>
          <w:p w:rsidR="0080649D" w:rsidRPr="0084490B" w:rsidRDefault="0080649D" w:rsidP="001277D5">
            <w:pPr>
              <w:jc w:val="both"/>
              <w:rPr>
                <w:rFonts w:eastAsia="Calibri"/>
                <w:sz w:val="20"/>
              </w:rPr>
            </w:pPr>
          </w:p>
        </w:tc>
        <w:tc>
          <w:tcPr>
            <w:tcW w:w="243" w:type="pct"/>
          </w:tcPr>
          <w:p w:rsidR="0080649D" w:rsidRPr="0084490B" w:rsidRDefault="0080649D" w:rsidP="001277D5">
            <w:pPr>
              <w:jc w:val="both"/>
              <w:rPr>
                <w:rFonts w:eastAsia="Calibri"/>
                <w:sz w:val="20"/>
              </w:rPr>
            </w:pPr>
          </w:p>
        </w:tc>
        <w:tc>
          <w:tcPr>
            <w:tcW w:w="2330" w:type="pct"/>
          </w:tcPr>
          <w:p w:rsidR="0080649D" w:rsidRPr="0084490B" w:rsidRDefault="0080649D" w:rsidP="001277D5">
            <w:pPr>
              <w:jc w:val="both"/>
              <w:rPr>
                <w:rFonts w:eastAsia="Calibri"/>
                <w:sz w:val="20"/>
              </w:rPr>
            </w:pPr>
            <w:r w:rsidRPr="0084490B">
              <w:rPr>
                <w:rFonts w:eastAsia="Calibri"/>
                <w:sz w:val="20"/>
              </w:rPr>
              <w:t>Appeal dismissed</w:t>
            </w:r>
          </w:p>
          <w:p w:rsidR="0080649D" w:rsidRPr="0084490B" w:rsidRDefault="0080649D" w:rsidP="001277D5">
            <w:pPr>
              <w:jc w:val="both"/>
              <w:rPr>
                <w:rFonts w:eastAsia="Calibri"/>
                <w:sz w:val="20"/>
              </w:rPr>
            </w:pPr>
          </w:p>
        </w:tc>
      </w:tr>
      <w:tr w:rsidR="0080649D" w:rsidRPr="0084490B" w:rsidTr="00D64224">
        <w:trPr>
          <w:cantSplit/>
        </w:trPr>
        <w:tc>
          <w:tcPr>
            <w:tcW w:w="2427" w:type="pct"/>
          </w:tcPr>
          <w:p w:rsidR="0080649D" w:rsidRPr="0084490B" w:rsidRDefault="0080649D" w:rsidP="001277D5">
            <w:pPr>
              <w:jc w:val="both"/>
              <w:rPr>
                <w:rFonts w:eastAsia="Calibri"/>
                <w:sz w:val="20"/>
              </w:rPr>
            </w:pPr>
            <w:r w:rsidRPr="0084490B">
              <w:rPr>
                <w:rFonts w:eastAsia="Calibri"/>
                <w:sz w:val="20"/>
              </w:rPr>
              <w:t>March 11, 2013</w:t>
            </w:r>
          </w:p>
          <w:p w:rsidR="0080649D" w:rsidRPr="0084490B" w:rsidRDefault="0080649D" w:rsidP="001277D5">
            <w:pPr>
              <w:jc w:val="both"/>
              <w:rPr>
                <w:rFonts w:eastAsia="Calibri"/>
                <w:sz w:val="20"/>
              </w:rPr>
            </w:pPr>
            <w:r w:rsidRPr="0084490B">
              <w:rPr>
                <w:rFonts w:eastAsia="Calibri"/>
                <w:sz w:val="20"/>
              </w:rPr>
              <w:t>Supreme Court of Canada</w:t>
            </w:r>
          </w:p>
        </w:tc>
        <w:tc>
          <w:tcPr>
            <w:tcW w:w="243" w:type="pct"/>
          </w:tcPr>
          <w:p w:rsidR="0080649D" w:rsidRPr="0084490B" w:rsidRDefault="0080649D" w:rsidP="001277D5">
            <w:pPr>
              <w:jc w:val="both"/>
              <w:rPr>
                <w:rFonts w:eastAsia="Calibri"/>
                <w:sz w:val="20"/>
              </w:rPr>
            </w:pPr>
          </w:p>
        </w:tc>
        <w:tc>
          <w:tcPr>
            <w:tcW w:w="2330" w:type="pct"/>
          </w:tcPr>
          <w:p w:rsidR="0080649D" w:rsidRPr="0084490B" w:rsidRDefault="0080649D" w:rsidP="001277D5">
            <w:pPr>
              <w:jc w:val="both"/>
              <w:rPr>
                <w:rFonts w:eastAsia="Calibri"/>
                <w:sz w:val="20"/>
              </w:rPr>
            </w:pPr>
            <w:r w:rsidRPr="0084490B">
              <w:rPr>
                <w:rFonts w:eastAsia="Calibri"/>
                <w:sz w:val="20"/>
              </w:rPr>
              <w:t>Application for leave to appeal filed</w:t>
            </w:r>
          </w:p>
          <w:p w:rsidR="0080649D" w:rsidRPr="0084490B" w:rsidRDefault="0080649D" w:rsidP="001277D5">
            <w:pPr>
              <w:jc w:val="both"/>
              <w:rPr>
                <w:rFonts w:eastAsia="Calibri"/>
                <w:sz w:val="20"/>
              </w:rPr>
            </w:pPr>
          </w:p>
        </w:tc>
      </w:tr>
    </w:tbl>
    <w:p w:rsidR="00EA65C4" w:rsidRDefault="00EA65C4" w:rsidP="00EA65C4">
      <w:pPr>
        <w:rPr>
          <w:sz w:val="20"/>
          <w:szCs w:val="20"/>
        </w:rPr>
      </w:pPr>
    </w:p>
    <w:p w:rsidR="00EA65C4" w:rsidRPr="00C50A5C" w:rsidRDefault="0028676C" w:rsidP="00EA65C4">
      <w:pPr>
        <w:rPr>
          <w:sz w:val="20"/>
          <w:szCs w:val="20"/>
        </w:rPr>
      </w:pPr>
      <w:r w:rsidRPr="0028676C">
        <w:rPr>
          <w:sz w:val="20"/>
          <w:szCs w:val="20"/>
          <w:lang w:val="fr-CA"/>
        </w:rPr>
        <w:pict>
          <v:rect id="_x0000_i1077" style="width:2in;height:1pt" o:hrpct="0" o:hralign="center" o:hrstd="t" o:hrnoshade="t" o:hr="t" fillcolor="black [3213]" stroked="f"/>
        </w:pict>
      </w:r>
    </w:p>
    <w:p w:rsidR="00EA65C4" w:rsidRDefault="00EA65C4" w:rsidP="00EA65C4">
      <w:pPr>
        <w:rPr>
          <w:sz w:val="20"/>
          <w:szCs w:val="20"/>
        </w:rPr>
      </w:pPr>
    </w:p>
    <w:p w:rsidR="00EA65C4" w:rsidRPr="001B157C" w:rsidRDefault="00EA65C4" w:rsidP="00EA65C4">
      <w:pPr>
        <w:rPr>
          <w:sz w:val="20"/>
          <w:szCs w:val="20"/>
          <w:u w:val="single"/>
          <w:lang w:val="fr-CA"/>
        </w:rPr>
      </w:pPr>
      <w:r w:rsidRPr="001B157C">
        <w:rPr>
          <w:sz w:val="20"/>
          <w:szCs w:val="20"/>
          <w:u w:val="single"/>
          <w:lang w:val="fr-CA"/>
        </w:rPr>
        <w:t>RÉSUMÉ DE L’AFFAIRE</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0649D" w:rsidRPr="00B6040C" w:rsidTr="001277D5">
        <w:tc>
          <w:tcPr>
            <w:tcW w:w="5000" w:type="pct"/>
            <w:gridSpan w:val="3"/>
          </w:tcPr>
          <w:p w:rsidR="0080649D" w:rsidRPr="0084490B" w:rsidRDefault="0080649D" w:rsidP="001277D5">
            <w:pPr>
              <w:jc w:val="both"/>
              <w:rPr>
                <w:rFonts w:eastAsia="Calibri"/>
                <w:sz w:val="20"/>
                <w:lang w:val="fr-CA"/>
              </w:rPr>
            </w:pPr>
            <w:r w:rsidRPr="0084490B">
              <w:rPr>
                <w:rFonts w:eastAsia="Calibri"/>
                <w:sz w:val="20"/>
                <w:lang w:val="fr-CA"/>
              </w:rPr>
              <w:t>Police – Pouvoirs – Charge publique – Existe-t-il une règle de droit public obligeant la police à faire enquête sur un crime?</w:t>
            </w:r>
          </w:p>
        </w:tc>
      </w:tr>
      <w:tr w:rsidR="0080649D" w:rsidRPr="00B6040C" w:rsidTr="001277D5">
        <w:tc>
          <w:tcPr>
            <w:tcW w:w="5000" w:type="pct"/>
            <w:gridSpan w:val="3"/>
          </w:tcPr>
          <w:p w:rsidR="0080649D" w:rsidRPr="0084490B" w:rsidRDefault="0080649D" w:rsidP="001277D5">
            <w:pPr>
              <w:jc w:val="both"/>
              <w:rPr>
                <w:rFonts w:eastAsia="Calibri"/>
                <w:sz w:val="20"/>
                <w:lang w:val="fr-CA"/>
              </w:rPr>
            </w:pPr>
          </w:p>
        </w:tc>
      </w:tr>
      <w:tr w:rsidR="0080649D" w:rsidRPr="00B6040C" w:rsidTr="001277D5">
        <w:tc>
          <w:tcPr>
            <w:tcW w:w="5000" w:type="pct"/>
            <w:gridSpan w:val="3"/>
          </w:tcPr>
          <w:p w:rsidR="0080649D" w:rsidRPr="0084490B" w:rsidRDefault="0080649D" w:rsidP="001277D5">
            <w:pPr>
              <w:jc w:val="both"/>
              <w:rPr>
                <w:rFonts w:eastAsia="Calibri"/>
                <w:sz w:val="20"/>
                <w:lang w:val="fr-CA"/>
              </w:rPr>
            </w:pPr>
            <w:r w:rsidRPr="0084490B">
              <w:rPr>
                <w:rFonts w:eastAsia="Calibri"/>
                <w:sz w:val="20"/>
                <w:lang w:val="fr-CA"/>
              </w:rPr>
              <w:t>En 2011, M. </w:t>
            </w:r>
            <w:proofErr w:type="spellStart"/>
            <w:r w:rsidRPr="0084490B">
              <w:rPr>
                <w:rFonts w:eastAsia="Calibri"/>
                <w:sz w:val="20"/>
                <w:lang w:val="fr-CA"/>
              </w:rPr>
              <w:t>Burgiss</w:t>
            </w:r>
            <w:proofErr w:type="spellEnd"/>
            <w:r w:rsidRPr="0084490B">
              <w:rPr>
                <w:rFonts w:eastAsia="Calibri"/>
                <w:sz w:val="20"/>
                <w:lang w:val="fr-CA"/>
              </w:rPr>
              <w:t xml:space="preserve"> a demandé à la Gendarmerie royale du Canada de mener une enquête sur la police de Hamilton et la Commission civile de l’Ontario sur la police qui auraient étouffé des plaintes contre la police.  Elles n’ont ouvert aucune enquête à ce sujet.  M. </w:t>
            </w:r>
            <w:proofErr w:type="spellStart"/>
            <w:r w:rsidRPr="0084490B">
              <w:rPr>
                <w:rFonts w:eastAsia="Calibri"/>
                <w:sz w:val="20"/>
                <w:lang w:val="fr-CA"/>
              </w:rPr>
              <w:t>Burgiss</w:t>
            </w:r>
            <w:proofErr w:type="spellEnd"/>
            <w:r w:rsidRPr="0084490B">
              <w:rPr>
                <w:rFonts w:eastAsia="Calibri"/>
                <w:sz w:val="20"/>
                <w:lang w:val="fr-CA"/>
              </w:rPr>
              <w:t xml:space="preserve"> a intenté une action contre le procureur général du Canada pour enquête négligente et faute dans l’exercice d’une charge publique.</w:t>
            </w:r>
          </w:p>
          <w:p w:rsidR="0080649D" w:rsidRPr="0084490B" w:rsidRDefault="0080649D" w:rsidP="001277D5">
            <w:pPr>
              <w:jc w:val="both"/>
              <w:rPr>
                <w:rFonts w:eastAsia="Calibri"/>
                <w:sz w:val="20"/>
                <w:lang w:val="fr-CA"/>
              </w:rPr>
            </w:pPr>
          </w:p>
        </w:tc>
      </w:tr>
      <w:tr w:rsidR="0080649D" w:rsidRPr="0084490B" w:rsidTr="001277D5">
        <w:tc>
          <w:tcPr>
            <w:tcW w:w="2427" w:type="pct"/>
          </w:tcPr>
          <w:p w:rsidR="0080649D" w:rsidRPr="0084490B" w:rsidRDefault="0080649D" w:rsidP="001277D5">
            <w:pPr>
              <w:jc w:val="both"/>
              <w:rPr>
                <w:rFonts w:eastAsia="Calibri"/>
                <w:sz w:val="20"/>
                <w:lang w:val="fr-CA"/>
              </w:rPr>
            </w:pPr>
            <w:r w:rsidRPr="0084490B">
              <w:rPr>
                <w:rFonts w:eastAsia="Calibri"/>
                <w:sz w:val="20"/>
                <w:lang w:val="fr-CA"/>
              </w:rPr>
              <w:t>24 juillet 2012</w:t>
            </w:r>
          </w:p>
          <w:p w:rsidR="0080649D" w:rsidRPr="0084490B" w:rsidRDefault="0080649D" w:rsidP="001277D5">
            <w:pPr>
              <w:jc w:val="both"/>
              <w:rPr>
                <w:rFonts w:eastAsia="Calibri"/>
                <w:sz w:val="20"/>
                <w:lang w:val="fr-CA"/>
              </w:rPr>
            </w:pPr>
            <w:r w:rsidRPr="0084490B">
              <w:rPr>
                <w:rFonts w:eastAsia="Calibri"/>
                <w:sz w:val="20"/>
                <w:lang w:val="fr-CA"/>
              </w:rPr>
              <w:t xml:space="preserve">Cour supérieure de justice de l’Ontario </w:t>
            </w:r>
          </w:p>
          <w:p w:rsidR="0080649D" w:rsidRPr="0084490B" w:rsidRDefault="0080649D" w:rsidP="001277D5">
            <w:pPr>
              <w:jc w:val="both"/>
              <w:rPr>
                <w:rFonts w:eastAsia="Calibri"/>
                <w:sz w:val="20"/>
                <w:lang w:val="fr-CA"/>
              </w:rPr>
            </w:pPr>
            <w:r w:rsidRPr="0084490B">
              <w:rPr>
                <w:rFonts w:eastAsia="Calibri"/>
                <w:sz w:val="20"/>
                <w:lang w:val="fr-CA"/>
              </w:rPr>
              <w:t>(juge Gordon)</w:t>
            </w:r>
          </w:p>
          <w:p w:rsidR="0080649D" w:rsidRPr="0084490B" w:rsidRDefault="0080649D" w:rsidP="001277D5">
            <w:pPr>
              <w:jc w:val="both"/>
              <w:rPr>
                <w:rFonts w:eastAsia="Calibri"/>
                <w:sz w:val="20"/>
                <w:lang w:val="fr-CA"/>
              </w:rPr>
            </w:pPr>
          </w:p>
        </w:tc>
        <w:tc>
          <w:tcPr>
            <w:tcW w:w="243" w:type="pct"/>
          </w:tcPr>
          <w:p w:rsidR="0080649D" w:rsidRPr="0084490B" w:rsidRDefault="0080649D" w:rsidP="001277D5">
            <w:pPr>
              <w:jc w:val="both"/>
              <w:rPr>
                <w:rFonts w:eastAsia="Calibri"/>
                <w:sz w:val="20"/>
                <w:lang w:val="fr-CA"/>
              </w:rPr>
            </w:pPr>
          </w:p>
        </w:tc>
        <w:tc>
          <w:tcPr>
            <w:tcW w:w="2330" w:type="pct"/>
          </w:tcPr>
          <w:p w:rsidR="0080649D" w:rsidRPr="0084490B" w:rsidRDefault="0080649D" w:rsidP="001277D5">
            <w:pPr>
              <w:jc w:val="both"/>
              <w:rPr>
                <w:rFonts w:eastAsia="Calibri"/>
                <w:sz w:val="20"/>
                <w:lang w:val="fr-CA"/>
              </w:rPr>
            </w:pPr>
            <w:r w:rsidRPr="0084490B">
              <w:rPr>
                <w:rFonts w:eastAsia="Calibri"/>
                <w:sz w:val="20"/>
                <w:lang w:val="fr-CA"/>
              </w:rPr>
              <w:t>La requête en radiation de la déclaration est accueillie.  L’action du demandeur est rejetée</w:t>
            </w:r>
          </w:p>
          <w:p w:rsidR="0080649D" w:rsidRPr="0084490B" w:rsidRDefault="0080649D" w:rsidP="001277D5">
            <w:pPr>
              <w:jc w:val="both"/>
              <w:rPr>
                <w:rFonts w:eastAsia="Calibri"/>
                <w:sz w:val="20"/>
                <w:lang w:val="fr-CA"/>
              </w:rPr>
            </w:pPr>
          </w:p>
        </w:tc>
      </w:tr>
      <w:tr w:rsidR="0080649D" w:rsidRPr="0084490B" w:rsidTr="001277D5">
        <w:tc>
          <w:tcPr>
            <w:tcW w:w="2427" w:type="pct"/>
          </w:tcPr>
          <w:p w:rsidR="0080649D" w:rsidRPr="0084490B" w:rsidRDefault="0080649D" w:rsidP="001277D5">
            <w:pPr>
              <w:jc w:val="both"/>
              <w:rPr>
                <w:rFonts w:eastAsia="Calibri"/>
                <w:sz w:val="20"/>
                <w:lang w:val="fr-CA"/>
              </w:rPr>
            </w:pPr>
            <w:r w:rsidRPr="0084490B">
              <w:rPr>
                <w:rFonts w:eastAsia="Calibri"/>
                <w:sz w:val="20"/>
                <w:lang w:val="fr-CA"/>
              </w:rPr>
              <w:t>11 janvier 2013</w:t>
            </w:r>
          </w:p>
          <w:p w:rsidR="0080649D" w:rsidRPr="0084490B" w:rsidRDefault="0080649D" w:rsidP="001277D5">
            <w:pPr>
              <w:jc w:val="both"/>
              <w:rPr>
                <w:rFonts w:eastAsia="Calibri"/>
                <w:sz w:val="20"/>
                <w:lang w:val="fr-CA"/>
              </w:rPr>
            </w:pPr>
            <w:r w:rsidRPr="0084490B">
              <w:rPr>
                <w:rFonts w:eastAsia="Calibri"/>
                <w:sz w:val="20"/>
                <w:lang w:val="fr-CA"/>
              </w:rPr>
              <w:t>Cour d’appel de l’Ontario</w:t>
            </w:r>
          </w:p>
          <w:p w:rsidR="0080649D" w:rsidRPr="0084490B" w:rsidRDefault="0080649D" w:rsidP="001277D5">
            <w:pPr>
              <w:jc w:val="both"/>
              <w:rPr>
                <w:rFonts w:eastAsia="Calibri"/>
                <w:sz w:val="20"/>
                <w:lang w:val="fr-CA"/>
              </w:rPr>
            </w:pPr>
            <w:r w:rsidRPr="0084490B">
              <w:rPr>
                <w:rFonts w:eastAsia="Calibri"/>
                <w:sz w:val="20"/>
                <w:lang w:val="fr-CA"/>
              </w:rPr>
              <w:t xml:space="preserve">(juges </w:t>
            </w:r>
            <w:proofErr w:type="spellStart"/>
            <w:r w:rsidRPr="0084490B">
              <w:rPr>
                <w:rFonts w:eastAsia="Calibri"/>
                <w:sz w:val="20"/>
                <w:lang w:val="fr-CA"/>
              </w:rPr>
              <w:t>MacPherson</w:t>
            </w:r>
            <w:proofErr w:type="spellEnd"/>
            <w:r w:rsidRPr="0084490B">
              <w:rPr>
                <w:rFonts w:eastAsia="Calibri"/>
                <w:sz w:val="20"/>
                <w:lang w:val="fr-CA"/>
              </w:rPr>
              <w:t xml:space="preserve">, </w:t>
            </w:r>
            <w:proofErr w:type="spellStart"/>
            <w:r w:rsidRPr="0084490B">
              <w:rPr>
                <w:rFonts w:eastAsia="Calibri"/>
                <w:sz w:val="20"/>
                <w:lang w:val="fr-CA"/>
              </w:rPr>
              <w:t>Cronk</w:t>
            </w:r>
            <w:proofErr w:type="spellEnd"/>
            <w:r w:rsidRPr="0084490B">
              <w:rPr>
                <w:rFonts w:eastAsia="Calibri"/>
                <w:sz w:val="20"/>
                <w:lang w:val="fr-CA"/>
              </w:rPr>
              <w:t xml:space="preserve"> et </w:t>
            </w:r>
            <w:proofErr w:type="spellStart"/>
            <w:r w:rsidRPr="0084490B">
              <w:rPr>
                <w:rFonts w:eastAsia="Calibri"/>
                <w:sz w:val="20"/>
                <w:lang w:val="fr-CA"/>
              </w:rPr>
              <w:t>Lauwers</w:t>
            </w:r>
            <w:proofErr w:type="spellEnd"/>
            <w:r w:rsidRPr="0084490B">
              <w:rPr>
                <w:rFonts w:eastAsia="Calibri"/>
                <w:sz w:val="20"/>
                <w:lang w:val="fr-CA"/>
              </w:rPr>
              <w:t>)</w:t>
            </w:r>
          </w:p>
          <w:p w:rsidR="0080649D" w:rsidRPr="0084490B" w:rsidRDefault="0080649D" w:rsidP="001277D5">
            <w:pPr>
              <w:jc w:val="both"/>
              <w:rPr>
                <w:rFonts w:eastAsia="Calibri"/>
                <w:sz w:val="20"/>
                <w:lang w:val="fr-CA"/>
              </w:rPr>
            </w:pPr>
            <w:r w:rsidRPr="0084490B">
              <w:rPr>
                <w:rFonts w:eastAsia="Calibri"/>
                <w:sz w:val="20"/>
                <w:lang w:val="fr-CA"/>
              </w:rPr>
              <w:t>2013 ONCA 16</w:t>
            </w:r>
          </w:p>
          <w:p w:rsidR="0080649D" w:rsidRPr="0084490B" w:rsidRDefault="0080649D" w:rsidP="001277D5">
            <w:pPr>
              <w:jc w:val="both"/>
              <w:rPr>
                <w:rFonts w:eastAsia="Calibri"/>
                <w:sz w:val="20"/>
                <w:lang w:val="fr-CA"/>
              </w:rPr>
            </w:pPr>
          </w:p>
        </w:tc>
        <w:tc>
          <w:tcPr>
            <w:tcW w:w="243" w:type="pct"/>
          </w:tcPr>
          <w:p w:rsidR="0080649D" w:rsidRPr="0084490B" w:rsidRDefault="0080649D" w:rsidP="001277D5">
            <w:pPr>
              <w:jc w:val="both"/>
              <w:rPr>
                <w:rFonts w:eastAsia="Calibri"/>
                <w:sz w:val="20"/>
                <w:lang w:val="fr-CA"/>
              </w:rPr>
            </w:pPr>
          </w:p>
        </w:tc>
        <w:tc>
          <w:tcPr>
            <w:tcW w:w="2330" w:type="pct"/>
          </w:tcPr>
          <w:p w:rsidR="0080649D" w:rsidRPr="0084490B" w:rsidRDefault="0080649D" w:rsidP="001277D5">
            <w:pPr>
              <w:jc w:val="both"/>
              <w:rPr>
                <w:rFonts w:eastAsia="Calibri"/>
                <w:sz w:val="20"/>
                <w:lang w:val="fr-CA"/>
              </w:rPr>
            </w:pPr>
            <w:r w:rsidRPr="0084490B">
              <w:rPr>
                <w:rFonts w:eastAsia="Calibri"/>
                <w:sz w:val="20"/>
                <w:lang w:val="fr-CA"/>
              </w:rPr>
              <w:t>Appel rejeté</w:t>
            </w:r>
          </w:p>
          <w:p w:rsidR="0080649D" w:rsidRPr="0084490B" w:rsidRDefault="0080649D" w:rsidP="001277D5">
            <w:pPr>
              <w:jc w:val="both"/>
              <w:rPr>
                <w:rFonts w:eastAsia="Calibri"/>
                <w:sz w:val="20"/>
                <w:lang w:val="fr-CA"/>
              </w:rPr>
            </w:pPr>
          </w:p>
        </w:tc>
      </w:tr>
      <w:tr w:rsidR="0080649D" w:rsidRPr="0084490B" w:rsidTr="001277D5">
        <w:tc>
          <w:tcPr>
            <w:tcW w:w="2427" w:type="pct"/>
          </w:tcPr>
          <w:p w:rsidR="0080649D" w:rsidRPr="0084490B" w:rsidRDefault="0080649D" w:rsidP="001277D5">
            <w:pPr>
              <w:jc w:val="both"/>
              <w:rPr>
                <w:rFonts w:eastAsia="Calibri"/>
                <w:sz w:val="20"/>
                <w:lang w:val="fr-CA"/>
              </w:rPr>
            </w:pPr>
            <w:r w:rsidRPr="0084490B">
              <w:rPr>
                <w:rFonts w:eastAsia="Calibri"/>
                <w:sz w:val="20"/>
                <w:lang w:val="fr-CA"/>
              </w:rPr>
              <w:t>11 mars 2013</w:t>
            </w:r>
          </w:p>
          <w:p w:rsidR="0080649D" w:rsidRPr="0084490B" w:rsidRDefault="0080649D" w:rsidP="001277D5">
            <w:pPr>
              <w:jc w:val="both"/>
              <w:rPr>
                <w:rFonts w:eastAsia="Calibri"/>
                <w:sz w:val="20"/>
                <w:lang w:val="fr-CA"/>
              </w:rPr>
            </w:pPr>
            <w:r w:rsidRPr="0084490B">
              <w:rPr>
                <w:rFonts w:eastAsia="Calibri"/>
                <w:sz w:val="20"/>
                <w:lang w:val="fr-CA"/>
              </w:rPr>
              <w:t>Cour suprême du Canada</w:t>
            </w:r>
          </w:p>
        </w:tc>
        <w:tc>
          <w:tcPr>
            <w:tcW w:w="243" w:type="pct"/>
          </w:tcPr>
          <w:p w:rsidR="0080649D" w:rsidRPr="0084490B" w:rsidRDefault="0080649D" w:rsidP="001277D5">
            <w:pPr>
              <w:jc w:val="both"/>
              <w:rPr>
                <w:rFonts w:eastAsia="Calibri"/>
                <w:sz w:val="20"/>
                <w:lang w:val="fr-CA"/>
              </w:rPr>
            </w:pPr>
          </w:p>
        </w:tc>
        <w:tc>
          <w:tcPr>
            <w:tcW w:w="2330" w:type="pct"/>
          </w:tcPr>
          <w:p w:rsidR="0080649D" w:rsidRPr="0084490B" w:rsidRDefault="0080649D" w:rsidP="001277D5">
            <w:pPr>
              <w:jc w:val="both"/>
              <w:rPr>
                <w:rFonts w:eastAsia="Calibri"/>
                <w:sz w:val="20"/>
                <w:lang w:val="fr-CA"/>
              </w:rPr>
            </w:pPr>
            <w:r w:rsidRPr="0084490B">
              <w:rPr>
                <w:rFonts w:eastAsia="Calibri"/>
                <w:sz w:val="20"/>
                <w:lang w:val="fr-CA"/>
              </w:rPr>
              <w:t>Demande d’autorisation d’appel déposée</w:t>
            </w:r>
          </w:p>
          <w:p w:rsidR="0080649D" w:rsidRPr="0084490B" w:rsidRDefault="0080649D" w:rsidP="001277D5">
            <w:pPr>
              <w:jc w:val="both"/>
              <w:rPr>
                <w:rFonts w:eastAsia="Calibri"/>
                <w:sz w:val="20"/>
                <w:lang w:val="fr-CA"/>
              </w:rPr>
            </w:pPr>
          </w:p>
        </w:tc>
      </w:tr>
    </w:tbl>
    <w:p w:rsidR="00EA65C4" w:rsidRDefault="00EA65C4" w:rsidP="00EA65C4">
      <w:pPr>
        <w:rPr>
          <w:sz w:val="20"/>
          <w:szCs w:val="20"/>
        </w:rPr>
      </w:pPr>
    </w:p>
    <w:p w:rsidR="00EA65C4" w:rsidRDefault="0028676C" w:rsidP="00EA65C4">
      <w:pPr>
        <w:rPr>
          <w:sz w:val="20"/>
          <w:szCs w:val="20"/>
        </w:rPr>
      </w:pPr>
      <w:r w:rsidRPr="0028676C">
        <w:rPr>
          <w:sz w:val="20"/>
          <w:szCs w:val="20"/>
          <w:lang w:val="fr-CA"/>
        </w:rPr>
        <w:pict>
          <v:rect id="_x0000_i1078" style="width:2in;height:1pt" o:hrpct="0" o:hralign="center" o:hrstd="t" o:hrnoshade="t" o:hr="t" fillcolor="black [3213]" stroked="f"/>
        </w:pict>
      </w:r>
    </w:p>
    <w:p w:rsidR="00EA65C4" w:rsidRDefault="00EA65C4" w:rsidP="00EA65C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64224" w:rsidRPr="0068500F" w:rsidTr="0071552E">
        <w:trPr>
          <w:cantSplit/>
        </w:trPr>
        <w:tc>
          <w:tcPr>
            <w:tcW w:w="1458" w:type="dxa"/>
          </w:tcPr>
          <w:p w:rsidR="00D64224" w:rsidRPr="0068500F" w:rsidRDefault="00D64224" w:rsidP="0071552E">
            <w:pPr>
              <w:rPr>
                <w:sz w:val="20"/>
                <w:szCs w:val="20"/>
              </w:rPr>
            </w:pPr>
            <w:r w:rsidRPr="0068500F">
              <w:rPr>
                <w:rStyle w:val="SCCFileNumberChar"/>
                <w:sz w:val="20"/>
                <w:szCs w:val="20"/>
              </w:rPr>
              <w:t>35261</w:t>
            </w:r>
          </w:p>
          <w:p w:rsidR="00D64224" w:rsidRPr="0068500F" w:rsidRDefault="00D64224" w:rsidP="0071552E">
            <w:pPr>
              <w:rPr>
                <w:b/>
                <w:sz w:val="20"/>
                <w:szCs w:val="20"/>
                <w:lang w:val="fr-CA"/>
              </w:rPr>
            </w:pPr>
          </w:p>
        </w:tc>
        <w:tc>
          <w:tcPr>
            <w:tcW w:w="8118" w:type="dxa"/>
          </w:tcPr>
          <w:p w:rsidR="00D64224" w:rsidRPr="0068500F" w:rsidRDefault="00D64224" w:rsidP="0071552E">
            <w:pPr>
              <w:jc w:val="both"/>
              <w:rPr>
                <w:sz w:val="20"/>
                <w:szCs w:val="20"/>
              </w:rPr>
            </w:pPr>
            <w:proofErr w:type="spellStart"/>
            <w:r w:rsidRPr="00D64224">
              <w:rPr>
                <w:rStyle w:val="SCCLsocChar"/>
                <w:sz w:val="20"/>
                <w:szCs w:val="20"/>
                <w:lang w:val="en-CA"/>
              </w:rPr>
              <w:t>Balwinder</w:t>
            </w:r>
            <w:proofErr w:type="spellEnd"/>
            <w:r w:rsidRPr="00D64224">
              <w:rPr>
                <w:rStyle w:val="SCCLsocChar"/>
                <w:sz w:val="20"/>
                <w:szCs w:val="20"/>
                <w:lang w:val="en-CA"/>
              </w:rPr>
              <w:t xml:space="preserve"> </w:t>
            </w:r>
            <w:proofErr w:type="spellStart"/>
            <w:r w:rsidRPr="00D64224">
              <w:rPr>
                <w:rStyle w:val="SCCLsocChar"/>
                <w:sz w:val="20"/>
                <w:szCs w:val="20"/>
                <w:lang w:val="en-CA"/>
              </w:rPr>
              <w:t>Aujla</w:t>
            </w:r>
            <w:proofErr w:type="spellEnd"/>
            <w:r w:rsidRPr="00D64224">
              <w:rPr>
                <w:rStyle w:val="SCCLsocChar"/>
                <w:sz w:val="20"/>
                <w:szCs w:val="20"/>
                <w:lang w:val="en-CA"/>
              </w:rPr>
              <w:t xml:space="preserve"> and </w:t>
            </w:r>
            <w:proofErr w:type="spellStart"/>
            <w:r w:rsidRPr="00D64224">
              <w:rPr>
                <w:rStyle w:val="SCCLsocChar"/>
                <w:sz w:val="20"/>
                <w:szCs w:val="20"/>
                <w:lang w:val="en-CA"/>
              </w:rPr>
              <w:t>Harwinder</w:t>
            </w:r>
            <w:proofErr w:type="spellEnd"/>
            <w:r w:rsidRPr="00D64224">
              <w:rPr>
                <w:rStyle w:val="SCCLsocChar"/>
                <w:sz w:val="20"/>
                <w:szCs w:val="20"/>
                <w:lang w:val="en-CA"/>
              </w:rPr>
              <w:t xml:space="preserve"> </w:t>
            </w:r>
            <w:proofErr w:type="spellStart"/>
            <w:r w:rsidRPr="00D64224">
              <w:rPr>
                <w:rStyle w:val="SCCLsocChar"/>
                <w:sz w:val="20"/>
                <w:szCs w:val="20"/>
                <w:lang w:val="en-CA"/>
              </w:rPr>
              <w:t>Aujla</w:t>
            </w:r>
            <w:proofErr w:type="spellEnd"/>
            <w:r w:rsidRPr="00D64224">
              <w:rPr>
                <w:rStyle w:val="SCCLsocChar"/>
                <w:sz w:val="20"/>
                <w:szCs w:val="20"/>
                <w:lang w:val="en-CA"/>
              </w:rPr>
              <w:t xml:space="preserve"> v. 581257 Alberta Ltd.</w:t>
            </w:r>
            <w:r w:rsidRPr="0068500F">
              <w:rPr>
                <w:sz w:val="20"/>
                <w:szCs w:val="20"/>
              </w:rPr>
              <w:t xml:space="preserve"> (Alta.) (Civil) (By Leave)</w:t>
            </w:r>
          </w:p>
          <w:p w:rsidR="00D64224" w:rsidRPr="0068500F" w:rsidRDefault="00D64224" w:rsidP="0071552E">
            <w:pPr>
              <w:jc w:val="both"/>
              <w:rPr>
                <w:sz w:val="20"/>
                <w:szCs w:val="20"/>
              </w:rPr>
            </w:pPr>
          </w:p>
        </w:tc>
      </w:tr>
      <w:tr w:rsidR="00D64224" w:rsidRPr="0068500F" w:rsidTr="0071552E">
        <w:trPr>
          <w:cantSplit/>
        </w:trPr>
        <w:tc>
          <w:tcPr>
            <w:tcW w:w="1458" w:type="dxa"/>
          </w:tcPr>
          <w:p w:rsidR="00D64224" w:rsidRPr="0068500F" w:rsidRDefault="00D64224" w:rsidP="0071552E">
            <w:pPr>
              <w:rPr>
                <w:sz w:val="20"/>
                <w:szCs w:val="20"/>
              </w:rPr>
            </w:pPr>
            <w:r w:rsidRPr="0068500F">
              <w:rPr>
                <w:sz w:val="20"/>
                <w:szCs w:val="20"/>
              </w:rPr>
              <w:t>Coram :</w:t>
            </w:r>
          </w:p>
        </w:tc>
        <w:tc>
          <w:tcPr>
            <w:tcW w:w="8118" w:type="dxa"/>
          </w:tcPr>
          <w:p w:rsidR="00D64224" w:rsidRPr="0068500F" w:rsidRDefault="00D64224" w:rsidP="0071552E">
            <w:pPr>
              <w:rPr>
                <w:sz w:val="20"/>
                <w:szCs w:val="20"/>
              </w:rPr>
            </w:pPr>
            <w:r w:rsidRPr="00D64224">
              <w:rPr>
                <w:rStyle w:val="SCCCoramChar"/>
                <w:sz w:val="20"/>
                <w:szCs w:val="20"/>
                <w:lang w:val="en-CA"/>
              </w:rPr>
              <w:t xml:space="preserve">McLachlin C.J. and </w:t>
            </w:r>
            <w:proofErr w:type="spellStart"/>
            <w:r w:rsidRPr="00D64224">
              <w:rPr>
                <w:rStyle w:val="SCCCoramChar"/>
                <w:sz w:val="20"/>
                <w:szCs w:val="20"/>
                <w:lang w:val="en-CA"/>
              </w:rPr>
              <w:t>Abella</w:t>
            </w:r>
            <w:proofErr w:type="spellEnd"/>
            <w:r w:rsidRPr="00D64224">
              <w:rPr>
                <w:rStyle w:val="SCCCoramChar"/>
                <w:sz w:val="20"/>
                <w:szCs w:val="20"/>
                <w:lang w:val="en-CA"/>
              </w:rPr>
              <w:t xml:space="preserve"> and Cromwell JJ.</w:t>
            </w:r>
          </w:p>
          <w:p w:rsidR="00D64224" w:rsidRPr="0068500F" w:rsidRDefault="00D64224" w:rsidP="0071552E">
            <w:pPr>
              <w:rPr>
                <w:sz w:val="20"/>
                <w:szCs w:val="20"/>
                <w:u w:val="single"/>
              </w:rPr>
            </w:pPr>
          </w:p>
        </w:tc>
      </w:tr>
      <w:tr w:rsidR="00D64224" w:rsidRPr="00B6040C" w:rsidTr="0071552E">
        <w:trPr>
          <w:cantSplit/>
        </w:trPr>
        <w:tc>
          <w:tcPr>
            <w:tcW w:w="9576" w:type="dxa"/>
            <w:gridSpan w:val="2"/>
          </w:tcPr>
          <w:p w:rsidR="00D64224" w:rsidRPr="0068500F" w:rsidRDefault="00D64224" w:rsidP="0071552E">
            <w:pPr>
              <w:pStyle w:val="SCCShortJudgment"/>
              <w:rPr>
                <w:szCs w:val="20"/>
              </w:rPr>
            </w:pPr>
            <w:r w:rsidRPr="0068500F">
              <w:rPr>
                <w:szCs w:val="20"/>
              </w:rPr>
              <w:t>The application for leave to appeal from the judgment of the Court of Appeal of Alberta (Edmonton), Number 1103-0328-AC, 2013 ABCA 16, dated January 24, 2013, is dismissed with costs.</w:t>
            </w:r>
          </w:p>
          <w:p w:rsidR="00D64224" w:rsidRPr="0068500F" w:rsidRDefault="00D64224" w:rsidP="0071552E">
            <w:pPr>
              <w:pStyle w:val="SCCShortJudgment"/>
              <w:ind w:firstLine="0"/>
              <w:rPr>
                <w:szCs w:val="20"/>
              </w:rPr>
            </w:pPr>
          </w:p>
          <w:p w:rsidR="00D64224" w:rsidRPr="0068500F" w:rsidRDefault="00D64224" w:rsidP="0071552E">
            <w:pPr>
              <w:pStyle w:val="SCCShortJudgment"/>
              <w:rPr>
                <w:szCs w:val="20"/>
                <w:lang w:val="fr-CA"/>
              </w:rPr>
            </w:pPr>
            <w:r w:rsidRPr="0068500F">
              <w:rPr>
                <w:szCs w:val="20"/>
                <w:lang w:val="fr-CA"/>
              </w:rPr>
              <w:t>La demande d’autorisation d’appel de l’arrêt de la Cour d'appel de l’Alberta (Edmonton), numéro 1103-0328-AC, 2013 ABCA 16, daté du 24 janvier 2013, est rejetée avec dépens.</w:t>
            </w:r>
          </w:p>
        </w:tc>
      </w:tr>
    </w:tbl>
    <w:p w:rsidR="00EA65C4" w:rsidRPr="00D64224" w:rsidRDefault="00EA65C4" w:rsidP="00EA65C4">
      <w:pPr>
        <w:rPr>
          <w:sz w:val="20"/>
          <w:szCs w:val="20"/>
          <w:lang w:val="fr-CA"/>
        </w:rPr>
      </w:pPr>
    </w:p>
    <w:p w:rsidR="00D64224" w:rsidRPr="00835FBA" w:rsidRDefault="00D64224">
      <w:pPr>
        <w:rPr>
          <w:sz w:val="20"/>
          <w:szCs w:val="20"/>
          <w:u w:val="single"/>
          <w:lang w:val="fr-CA"/>
        </w:rPr>
      </w:pPr>
      <w:r w:rsidRPr="00835FBA">
        <w:rPr>
          <w:sz w:val="20"/>
          <w:szCs w:val="20"/>
          <w:u w:val="single"/>
          <w:lang w:val="fr-CA"/>
        </w:rPr>
        <w:br w:type="page"/>
      </w:r>
    </w:p>
    <w:p w:rsidR="00EA65C4" w:rsidRPr="001B157C" w:rsidRDefault="00EA65C4" w:rsidP="00EA65C4">
      <w:pPr>
        <w:rPr>
          <w:sz w:val="20"/>
          <w:szCs w:val="20"/>
          <w:u w:val="single"/>
        </w:rPr>
      </w:pPr>
      <w:r w:rsidRPr="001B157C">
        <w:rPr>
          <w:sz w:val="20"/>
          <w:szCs w:val="20"/>
          <w:u w:val="single"/>
        </w:rPr>
        <w:t>CASE SUMMARY</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0649D" w:rsidRPr="0084490B" w:rsidTr="001277D5">
        <w:trPr>
          <w:trHeight w:val="2016"/>
        </w:trPr>
        <w:tc>
          <w:tcPr>
            <w:tcW w:w="5000" w:type="pct"/>
            <w:gridSpan w:val="3"/>
          </w:tcPr>
          <w:p w:rsidR="0080649D" w:rsidRPr="0084490B" w:rsidRDefault="0080649D" w:rsidP="001277D5">
            <w:pPr>
              <w:jc w:val="both"/>
              <w:rPr>
                <w:rFonts w:eastAsia="Calibri"/>
                <w:sz w:val="20"/>
              </w:rPr>
            </w:pPr>
            <w:r w:rsidRPr="0084490B">
              <w:rPr>
                <w:rFonts w:eastAsia="Calibri"/>
                <w:sz w:val="20"/>
              </w:rPr>
              <w:t>Civil procedure – Appeals – Torts – Intentional torts – Fraud – Pleadings – Whether Court of Appeal exceeded the limits of appellate review, unduly extended the scope of fiduciary obligations and interfered with the trial decision concerning a ground of mixed fact and law – Whether Court of Appeal erred in finding that theft where the employee takes steps to cover up the theft was fraud</w:t>
            </w:r>
          </w:p>
          <w:p w:rsidR="0080649D" w:rsidRPr="0084490B" w:rsidRDefault="0080649D" w:rsidP="001277D5">
            <w:pPr>
              <w:jc w:val="both"/>
              <w:rPr>
                <w:rFonts w:eastAsia="Calibri"/>
                <w:sz w:val="20"/>
              </w:rPr>
            </w:pPr>
          </w:p>
          <w:p w:rsidR="0080649D" w:rsidRPr="0084490B" w:rsidRDefault="0080649D" w:rsidP="001277D5">
            <w:pPr>
              <w:tabs>
                <w:tab w:val="left" w:pos="9270"/>
              </w:tabs>
              <w:jc w:val="both"/>
              <w:rPr>
                <w:sz w:val="20"/>
              </w:rPr>
            </w:pPr>
            <w:r w:rsidRPr="0084490B">
              <w:rPr>
                <w:color w:val="000000"/>
                <w:sz w:val="20"/>
              </w:rPr>
              <w:t xml:space="preserve">581257 Alberta Ltd. operated a liquor store at which </w:t>
            </w:r>
            <w:proofErr w:type="spellStart"/>
            <w:r w:rsidRPr="0084490B">
              <w:rPr>
                <w:color w:val="000000"/>
                <w:sz w:val="20"/>
              </w:rPr>
              <w:t>Balwinder</w:t>
            </w:r>
            <w:proofErr w:type="spellEnd"/>
            <w:r w:rsidRPr="0084490B">
              <w:rPr>
                <w:color w:val="000000"/>
                <w:sz w:val="20"/>
              </w:rPr>
              <w:t xml:space="preserve"> and </w:t>
            </w:r>
            <w:proofErr w:type="spellStart"/>
            <w:r w:rsidRPr="0084490B">
              <w:rPr>
                <w:color w:val="000000"/>
                <w:sz w:val="20"/>
              </w:rPr>
              <w:t>Harwinder</w:t>
            </w:r>
            <w:proofErr w:type="spellEnd"/>
            <w:r w:rsidRPr="0084490B">
              <w:rPr>
                <w:color w:val="000000"/>
                <w:sz w:val="20"/>
              </w:rPr>
              <w:t xml:space="preserve"> </w:t>
            </w:r>
            <w:proofErr w:type="spellStart"/>
            <w:r w:rsidRPr="0084490B">
              <w:rPr>
                <w:color w:val="000000"/>
                <w:sz w:val="20"/>
              </w:rPr>
              <w:t>Aujla</w:t>
            </w:r>
            <w:proofErr w:type="spellEnd"/>
            <w:r w:rsidRPr="0084490B">
              <w:rPr>
                <w:color w:val="000000"/>
                <w:sz w:val="20"/>
              </w:rPr>
              <w:t xml:space="preserve">, husband and wife, were employed.  The principal and directing mind of the numbered company was </w:t>
            </w:r>
            <w:proofErr w:type="spellStart"/>
            <w:r w:rsidRPr="0084490B">
              <w:rPr>
                <w:color w:val="000000"/>
                <w:sz w:val="20"/>
              </w:rPr>
              <w:t>Nirmal</w:t>
            </w:r>
            <w:proofErr w:type="spellEnd"/>
            <w:r w:rsidRPr="0084490B">
              <w:rPr>
                <w:color w:val="000000"/>
                <w:sz w:val="20"/>
              </w:rPr>
              <w:t xml:space="preserve"> </w:t>
            </w:r>
            <w:proofErr w:type="spellStart"/>
            <w:r w:rsidRPr="0084490B">
              <w:rPr>
                <w:color w:val="000000"/>
                <w:sz w:val="20"/>
              </w:rPr>
              <w:t>Longowal</w:t>
            </w:r>
            <w:proofErr w:type="spellEnd"/>
            <w:r w:rsidRPr="0084490B">
              <w:rPr>
                <w:color w:val="000000"/>
                <w:sz w:val="20"/>
              </w:rPr>
              <w:t>.  The store trained its surveillance cameras on customer areas of the store until Mr. </w:t>
            </w:r>
            <w:proofErr w:type="spellStart"/>
            <w:r w:rsidRPr="0084490B">
              <w:rPr>
                <w:color w:val="000000"/>
                <w:sz w:val="20"/>
              </w:rPr>
              <w:t>Longowal</w:t>
            </w:r>
            <w:proofErr w:type="spellEnd"/>
            <w:r w:rsidRPr="0084490B">
              <w:rPr>
                <w:color w:val="000000"/>
                <w:sz w:val="20"/>
              </w:rPr>
              <w:t xml:space="preserve"> became suspicious that employees were stealing from the store.  A new hidden camera trained on the cash desk revealed that both of the </w:t>
            </w:r>
            <w:proofErr w:type="spellStart"/>
            <w:r w:rsidRPr="0084490B">
              <w:rPr>
                <w:color w:val="000000"/>
                <w:sz w:val="20"/>
              </w:rPr>
              <w:t>Aujlas</w:t>
            </w:r>
            <w:proofErr w:type="spellEnd"/>
            <w:r w:rsidRPr="0084490B">
              <w:rPr>
                <w:color w:val="000000"/>
                <w:sz w:val="20"/>
              </w:rPr>
              <w:t xml:space="preserve"> were stealing money.  581257 Alberta Ltd. sued, claiming the </w:t>
            </w:r>
            <w:proofErr w:type="spellStart"/>
            <w:r w:rsidRPr="0084490B">
              <w:rPr>
                <w:color w:val="000000"/>
                <w:sz w:val="20"/>
              </w:rPr>
              <w:t>Aujlas</w:t>
            </w:r>
            <w:proofErr w:type="spellEnd"/>
            <w:r w:rsidRPr="0084490B">
              <w:rPr>
                <w:color w:val="000000"/>
                <w:sz w:val="20"/>
              </w:rPr>
              <w:t xml:space="preserve"> converted its money to their own use by employing a number of methods to avoid detection and by transferring the proceeds of their conversion into other assets.  The amount claimed was reduced to $116,000, in light of evidence from the </w:t>
            </w:r>
            <w:proofErr w:type="spellStart"/>
            <w:r w:rsidRPr="0084490B">
              <w:rPr>
                <w:color w:val="000000"/>
                <w:sz w:val="20"/>
              </w:rPr>
              <w:t>Aujlas</w:t>
            </w:r>
            <w:proofErr w:type="spellEnd"/>
            <w:r w:rsidRPr="0084490B">
              <w:rPr>
                <w:color w:val="000000"/>
                <w:sz w:val="20"/>
              </w:rPr>
              <w:t xml:space="preserve">' son that some of the money in their bank accounts was his.  581257 Alberta Ltd. was ultimately awarded $8,124 against </w:t>
            </w:r>
            <w:proofErr w:type="spellStart"/>
            <w:r w:rsidRPr="0084490B">
              <w:rPr>
                <w:color w:val="000000"/>
                <w:sz w:val="20"/>
              </w:rPr>
              <w:t>Balwinder</w:t>
            </w:r>
            <w:proofErr w:type="spellEnd"/>
            <w:r w:rsidRPr="0084490B">
              <w:rPr>
                <w:color w:val="000000"/>
                <w:sz w:val="20"/>
              </w:rPr>
              <w:t xml:space="preserve"> </w:t>
            </w:r>
            <w:proofErr w:type="spellStart"/>
            <w:r w:rsidRPr="0084490B">
              <w:rPr>
                <w:color w:val="000000"/>
                <w:sz w:val="20"/>
              </w:rPr>
              <w:t>Aujla</w:t>
            </w:r>
            <w:proofErr w:type="spellEnd"/>
            <w:r w:rsidRPr="0084490B">
              <w:rPr>
                <w:color w:val="000000"/>
                <w:sz w:val="20"/>
              </w:rPr>
              <w:t xml:space="preserve"> and $6,434 against </w:t>
            </w:r>
            <w:proofErr w:type="spellStart"/>
            <w:r w:rsidRPr="0084490B">
              <w:rPr>
                <w:color w:val="000000"/>
                <w:sz w:val="20"/>
              </w:rPr>
              <w:t>Harwinder</w:t>
            </w:r>
            <w:proofErr w:type="spellEnd"/>
            <w:r w:rsidRPr="0084490B">
              <w:rPr>
                <w:color w:val="000000"/>
                <w:sz w:val="20"/>
              </w:rPr>
              <w:t xml:space="preserve"> </w:t>
            </w:r>
            <w:proofErr w:type="spellStart"/>
            <w:r w:rsidRPr="0084490B">
              <w:rPr>
                <w:color w:val="000000"/>
                <w:sz w:val="20"/>
              </w:rPr>
              <w:t>Aujla</w:t>
            </w:r>
            <w:proofErr w:type="spellEnd"/>
            <w:r w:rsidRPr="0084490B">
              <w:rPr>
                <w:color w:val="000000"/>
                <w:sz w:val="20"/>
              </w:rPr>
              <w:t xml:space="preserve">. </w:t>
            </w:r>
          </w:p>
        </w:tc>
      </w:tr>
      <w:tr w:rsidR="0080649D" w:rsidRPr="0084490B" w:rsidTr="001277D5">
        <w:tc>
          <w:tcPr>
            <w:tcW w:w="5000" w:type="pct"/>
            <w:gridSpan w:val="3"/>
          </w:tcPr>
          <w:p w:rsidR="0080649D" w:rsidRPr="0084490B" w:rsidRDefault="0080649D" w:rsidP="001277D5">
            <w:pPr>
              <w:jc w:val="both"/>
              <w:rPr>
                <w:rFonts w:eastAsia="Calibri"/>
                <w:sz w:val="20"/>
              </w:rPr>
            </w:pPr>
          </w:p>
        </w:tc>
      </w:tr>
      <w:tr w:rsidR="0080649D" w:rsidRPr="0084490B" w:rsidTr="001277D5">
        <w:tc>
          <w:tcPr>
            <w:tcW w:w="2427" w:type="pct"/>
          </w:tcPr>
          <w:p w:rsidR="0080649D" w:rsidRPr="0084490B" w:rsidRDefault="0080649D" w:rsidP="001277D5">
            <w:pPr>
              <w:jc w:val="both"/>
              <w:rPr>
                <w:rFonts w:eastAsia="Calibri"/>
                <w:sz w:val="20"/>
              </w:rPr>
            </w:pPr>
            <w:r w:rsidRPr="0084490B">
              <w:rPr>
                <w:rFonts w:eastAsia="Calibri"/>
                <w:sz w:val="20"/>
              </w:rPr>
              <w:t>January 25, 2011</w:t>
            </w:r>
          </w:p>
          <w:p w:rsidR="0080649D" w:rsidRPr="0084490B" w:rsidRDefault="0080649D" w:rsidP="001277D5">
            <w:pPr>
              <w:jc w:val="both"/>
              <w:rPr>
                <w:rFonts w:eastAsia="Calibri"/>
                <w:sz w:val="20"/>
              </w:rPr>
            </w:pPr>
            <w:r w:rsidRPr="0084490B">
              <w:rPr>
                <w:rFonts w:eastAsia="Calibri"/>
                <w:sz w:val="20"/>
              </w:rPr>
              <w:t>Court of Queen’s Bench of Alberta</w:t>
            </w:r>
          </w:p>
          <w:p w:rsidR="0080649D" w:rsidRPr="0084490B" w:rsidRDefault="0080649D" w:rsidP="001277D5">
            <w:pPr>
              <w:jc w:val="both"/>
              <w:rPr>
                <w:rFonts w:eastAsia="Calibri"/>
                <w:sz w:val="20"/>
              </w:rPr>
            </w:pPr>
            <w:r w:rsidRPr="0084490B">
              <w:rPr>
                <w:rFonts w:eastAsia="Calibri"/>
                <w:sz w:val="20"/>
              </w:rPr>
              <w:t>(</w:t>
            </w:r>
            <w:proofErr w:type="spellStart"/>
            <w:r w:rsidRPr="0084490B">
              <w:rPr>
                <w:rFonts w:eastAsia="Calibri"/>
                <w:sz w:val="20"/>
              </w:rPr>
              <w:t>Topolniski</w:t>
            </w:r>
            <w:proofErr w:type="spellEnd"/>
            <w:r w:rsidRPr="0084490B">
              <w:rPr>
                <w:rFonts w:eastAsia="Calibri"/>
                <w:sz w:val="20"/>
              </w:rPr>
              <w:t xml:space="preserve"> J.)</w:t>
            </w:r>
          </w:p>
          <w:p w:rsidR="0080649D" w:rsidRPr="0084490B" w:rsidRDefault="0080649D" w:rsidP="001277D5">
            <w:pPr>
              <w:jc w:val="both"/>
              <w:rPr>
                <w:rFonts w:eastAsia="Calibri"/>
                <w:sz w:val="20"/>
              </w:rPr>
            </w:pPr>
          </w:p>
        </w:tc>
        <w:tc>
          <w:tcPr>
            <w:tcW w:w="243" w:type="pct"/>
          </w:tcPr>
          <w:p w:rsidR="0080649D" w:rsidRPr="0084490B" w:rsidRDefault="0080649D" w:rsidP="001277D5">
            <w:pPr>
              <w:jc w:val="both"/>
              <w:rPr>
                <w:rFonts w:eastAsia="Calibri"/>
                <w:sz w:val="20"/>
              </w:rPr>
            </w:pPr>
          </w:p>
        </w:tc>
        <w:tc>
          <w:tcPr>
            <w:tcW w:w="2330" w:type="pct"/>
          </w:tcPr>
          <w:p w:rsidR="0080649D" w:rsidRPr="0084490B" w:rsidRDefault="0080649D" w:rsidP="001277D5">
            <w:pPr>
              <w:jc w:val="both"/>
              <w:rPr>
                <w:rFonts w:eastAsia="Calibri"/>
                <w:sz w:val="20"/>
              </w:rPr>
            </w:pPr>
            <w:r w:rsidRPr="0084490B">
              <w:rPr>
                <w:rFonts w:eastAsia="Calibri"/>
                <w:sz w:val="20"/>
              </w:rPr>
              <w:t xml:space="preserve">Applicants held liable to Respondent in damages </w:t>
            </w:r>
          </w:p>
        </w:tc>
      </w:tr>
      <w:tr w:rsidR="0080649D" w:rsidRPr="0084490B" w:rsidTr="001277D5">
        <w:tc>
          <w:tcPr>
            <w:tcW w:w="2427" w:type="pct"/>
          </w:tcPr>
          <w:p w:rsidR="0080649D" w:rsidRPr="0084490B" w:rsidRDefault="0080649D" w:rsidP="001277D5">
            <w:pPr>
              <w:jc w:val="both"/>
              <w:rPr>
                <w:rFonts w:eastAsia="Calibri"/>
                <w:sz w:val="20"/>
              </w:rPr>
            </w:pPr>
            <w:r w:rsidRPr="0084490B">
              <w:rPr>
                <w:rFonts w:eastAsia="Calibri"/>
                <w:sz w:val="20"/>
              </w:rPr>
              <w:t>January 24, 2013</w:t>
            </w:r>
          </w:p>
          <w:p w:rsidR="0080649D" w:rsidRPr="0084490B" w:rsidRDefault="0080649D" w:rsidP="001277D5">
            <w:pPr>
              <w:jc w:val="both"/>
              <w:rPr>
                <w:rFonts w:eastAsia="Calibri"/>
                <w:sz w:val="20"/>
              </w:rPr>
            </w:pPr>
            <w:r w:rsidRPr="0084490B">
              <w:rPr>
                <w:rFonts w:eastAsia="Calibri"/>
                <w:sz w:val="20"/>
              </w:rPr>
              <w:t>Court of Appeal of Alberta (Edmonton)</w:t>
            </w:r>
          </w:p>
          <w:p w:rsidR="0080649D" w:rsidRPr="0084490B" w:rsidRDefault="0080649D" w:rsidP="001277D5">
            <w:pPr>
              <w:jc w:val="both"/>
              <w:rPr>
                <w:rFonts w:eastAsia="Calibri"/>
                <w:sz w:val="20"/>
              </w:rPr>
            </w:pPr>
            <w:r w:rsidRPr="0084490B">
              <w:rPr>
                <w:rFonts w:eastAsia="Calibri"/>
                <w:sz w:val="20"/>
              </w:rPr>
              <w:t>(Fraser C.J., O'Brien and McDonald JJ.A.)</w:t>
            </w:r>
          </w:p>
          <w:p w:rsidR="0080649D" w:rsidRPr="0084490B" w:rsidRDefault="0080649D" w:rsidP="001277D5">
            <w:pPr>
              <w:jc w:val="both"/>
              <w:rPr>
                <w:rFonts w:eastAsia="Calibri"/>
                <w:sz w:val="20"/>
              </w:rPr>
            </w:pPr>
          </w:p>
        </w:tc>
        <w:tc>
          <w:tcPr>
            <w:tcW w:w="243" w:type="pct"/>
          </w:tcPr>
          <w:p w:rsidR="0080649D" w:rsidRPr="0084490B" w:rsidRDefault="0080649D" w:rsidP="001277D5">
            <w:pPr>
              <w:jc w:val="both"/>
              <w:rPr>
                <w:rFonts w:eastAsia="Calibri"/>
                <w:sz w:val="20"/>
              </w:rPr>
            </w:pPr>
          </w:p>
        </w:tc>
        <w:tc>
          <w:tcPr>
            <w:tcW w:w="2330" w:type="pct"/>
          </w:tcPr>
          <w:p w:rsidR="0080649D" w:rsidRPr="0084490B" w:rsidRDefault="0080649D" w:rsidP="001277D5">
            <w:pPr>
              <w:jc w:val="both"/>
              <w:rPr>
                <w:rFonts w:eastAsia="Calibri"/>
                <w:sz w:val="20"/>
              </w:rPr>
            </w:pPr>
            <w:r w:rsidRPr="0084490B">
              <w:rPr>
                <w:rFonts w:eastAsia="Calibri"/>
                <w:sz w:val="20"/>
              </w:rPr>
              <w:t>Respondent’s appeal allowed; new trial ordered</w:t>
            </w:r>
          </w:p>
          <w:p w:rsidR="0080649D" w:rsidRPr="0084490B" w:rsidRDefault="0080649D" w:rsidP="001277D5">
            <w:pPr>
              <w:jc w:val="both"/>
              <w:rPr>
                <w:rFonts w:eastAsia="Calibri"/>
                <w:sz w:val="20"/>
              </w:rPr>
            </w:pPr>
          </w:p>
        </w:tc>
      </w:tr>
      <w:tr w:rsidR="0080649D" w:rsidRPr="0084490B" w:rsidTr="001277D5">
        <w:tc>
          <w:tcPr>
            <w:tcW w:w="2427" w:type="pct"/>
          </w:tcPr>
          <w:p w:rsidR="0080649D" w:rsidRPr="0084490B" w:rsidRDefault="0080649D" w:rsidP="001277D5">
            <w:pPr>
              <w:jc w:val="both"/>
              <w:rPr>
                <w:rFonts w:eastAsia="Calibri"/>
                <w:sz w:val="20"/>
              </w:rPr>
            </w:pPr>
            <w:r w:rsidRPr="0084490B">
              <w:rPr>
                <w:rFonts w:eastAsia="Calibri"/>
                <w:sz w:val="20"/>
              </w:rPr>
              <w:t>March 12, 2013</w:t>
            </w:r>
          </w:p>
          <w:p w:rsidR="0080649D" w:rsidRPr="0084490B" w:rsidRDefault="0080649D" w:rsidP="001277D5">
            <w:pPr>
              <w:jc w:val="both"/>
              <w:rPr>
                <w:rFonts w:eastAsia="Calibri"/>
                <w:sz w:val="20"/>
              </w:rPr>
            </w:pPr>
            <w:r w:rsidRPr="0084490B">
              <w:rPr>
                <w:rFonts w:eastAsia="Calibri"/>
                <w:sz w:val="20"/>
              </w:rPr>
              <w:t>Supreme Court of Canada</w:t>
            </w:r>
          </w:p>
        </w:tc>
        <w:tc>
          <w:tcPr>
            <w:tcW w:w="243" w:type="pct"/>
          </w:tcPr>
          <w:p w:rsidR="0080649D" w:rsidRPr="0084490B" w:rsidRDefault="0080649D" w:rsidP="001277D5">
            <w:pPr>
              <w:jc w:val="both"/>
              <w:rPr>
                <w:rFonts w:eastAsia="Calibri"/>
                <w:sz w:val="20"/>
              </w:rPr>
            </w:pPr>
          </w:p>
        </w:tc>
        <w:tc>
          <w:tcPr>
            <w:tcW w:w="2330" w:type="pct"/>
          </w:tcPr>
          <w:p w:rsidR="0080649D" w:rsidRPr="0084490B" w:rsidRDefault="0080649D" w:rsidP="001277D5">
            <w:pPr>
              <w:jc w:val="both"/>
              <w:rPr>
                <w:rFonts w:eastAsia="Calibri"/>
                <w:sz w:val="20"/>
              </w:rPr>
            </w:pPr>
            <w:r w:rsidRPr="0084490B">
              <w:rPr>
                <w:rFonts w:eastAsia="Calibri"/>
                <w:sz w:val="20"/>
              </w:rPr>
              <w:t>Application for leave to appeal filed</w:t>
            </w:r>
          </w:p>
          <w:p w:rsidR="0080649D" w:rsidRPr="0084490B" w:rsidRDefault="0080649D" w:rsidP="001277D5">
            <w:pPr>
              <w:jc w:val="both"/>
              <w:rPr>
                <w:rFonts w:eastAsia="Calibri"/>
                <w:sz w:val="20"/>
              </w:rPr>
            </w:pPr>
          </w:p>
        </w:tc>
      </w:tr>
    </w:tbl>
    <w:p w:rsidR="00EA65C4" w:rsidRDefault="00EA65C4" w:rsidP="00EA65C4">
      <w:pPr>
        <w:rPr>
          <w:sz w:val="20"/>
          <w:szCs w:val="20"/>
        </w:rPr>
      </w:pPr>
    </w:p>
    <w:p w:rsidR="00EA65C4" w:rsidRPr="00C50A5C" w:rsidRDefault="0028676C" w:rsidP="00EA65C4">
      <w:pPr>
        <w:rPr>
          <w:sz w:val="20"/>
          <w:szCs w:val="20"/>
        </w:rPr>
      </w:pPr>
      <w:r w:rsidRPr="0028676C">
        <w:rPr>
          <w:sz w:val="20"/>
          <w:szCs w:val="20"/>
          <w:lang w:val="fr-CA"/>
        </w:rPr>
        <w:pict>
          <v:rect id="_x0000_i1079" style="width:2in;height:1pt" o:hrpct="0" o:hralign="center" o:hrstd="t" o:hrnoshade="t" o:hr="t" fillcolor="black [3213]" stroked="f"/>
        </w:pict>
      </w:r>
    </w:p>
    <w:p w:rsidR="00EA65C4" w:rsidRDefault="00EA65C4" w:rsidP="00EA65C4">
      <w:pPr>
        <w:rPr>
          <w:sz w:val="20"/>
          <w:szCs w:val="20"/>
        </w:rPr>
      </w:pPr>
    </w:p>
    <w:p w:rsidR="00EA65C4" w:rsidRPr="001B157C" w:rsidRDefault="00EA65C4" w:rsidP="00EA65C4">
      <w:pPr>
        <w:rPr>
          <w:sz w:val="20"/>
          <w:szCs w:val="20"/>
          <w:u w:val="single"/>
          <w:lang w:val="fr-CA"/>
        </w:rPr>
      </w:pPr>
      <w:r w:rsidRPr="001B157C">
        <w:rPr>
          <w:sz w:val="20"/>
          <w:szCs w:val="20"/>
          <w:u w:val="single"/>
          <w:lang w:val="fr-CA"/>
        </w:rPr>
        <w:t>RÉSUMÉ DE L’AFFAIRE</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0649D" w:rsidRPr="00B6040C" w:rsidTr="001277D5">
        <w:tc>
          <w:tcPr>
            <w:tcW w:w="5000" w:type="pct"/>
            <w:gridSpan w:val="3"/>
          </w:tcPr>
          <w:p w:rsidR="0080649D" w:rsidRPr="0084490B" w:rsidRDefault="0080649D" w:rsidP="001277D5">
            <w:pPr>
              <w:jc w:val="both"/>
              <w:rPr>
                <w:rFonts w:eastAsia="Calibri"/>
                <w:sz w:val="20"/>
                <w:lang w:val="fr-FR"/>
              </w:rPr>
            </w:pPr>
            <w:r w:rsidRPr="0084490B">
              <w:rPr>
                <w:rFonts w:eastAsia="Calibri"/>
                <w:sz w:val="20"/>
                <w:lang w:val="fr-FR"/>
              </w:rPr>
              <w:t>Procédure civile – Appels – Responsabilité délictuelle – Délits intentionnels – Fraude – Actes de procédure – La Cour d’appel a-t-elle outrepassé les limites de la révision en appel, élargi indûment la portée des obligations fiduciaires et modifié la décision de première instance sur une question mixte de fait et de droit? – La Cour d’appel a-t-elle conclu à tort qu’un vol dissimulé par l’employé constitue une fraude?</w:t>
            </w:r>
          </w:p>
          <w:p w:rsidR="0080649D" w:rsidRPr="0084490B" w:rsidRDefault="0080649D" w:rsidP="001277D5">
            <w:pPr>
              <w:jc w:val="both"/>
              <w:rPr>
                <w:rFonts w:eastAsia="Calibri"/>
                <w:sz w:val="20"/>
                <w:lang w:val="fr-FR"/>
              </w:rPr>
            </w:pPr>
          </w:p>
          <w:p w:rsidR="0080649D" w:rsidRPr="0084490B" w:rsidRDefault="0080649D" w:rsidP="001277D5">
            <w:pPr>
              <w:tabs>
                <w:tab w:val="left" w:pos="9270"/>
              </w:tabs>
              <w:jc w:val="both"/>
              <w:rPr>
                <w:sz w:val="20"/>
                <w:lang w:val="fr-FR"/>
              </w:rPr>
            </w:pPr>
            <w:r w:rsidRPr="0084490B">
              <w:rPr>
                <w:color w:val="000000"/>
                <w:sz w:val="20"/>
                <w:lang w:val="fr-FR"/>
              </w:rPr>
              <w:t xml:space="preserve">581257 Alberta Ltd. exploitait un magasin de vins et spiritueux où travaillaient </w:t>
            </w:r>
            <w:proofErr w:type="spellStart"/>
            <w:r w:rsidRPr="0084490B">
              <w:rPr>
                <w:color w:val="000000"/>
                <w:sz w:val="20"/>
                <w:lang w:val="fr-FR"/>
              </w:rPr>
              <w:t>Balwinder</w:t>
            </w:r>
            <w:proofErr w:type="spellEnd"/>
            <w:r w:rsidRPr="0084490B">
              <w:rPr>
                <w:color w:val="000000"/>
                <w:sz w:val="20"/>
                <w:lang w:val="fr-FR"/>
              </w:rPr>
              <w:t xml:space="preserve"> et </w:t>
            </w:r>
            <w:proofErr w:type="spellStart"/>
            <w:r w:rsidRPr="0084490B">
              <w:rPr>
                <w:color w:val="000000"/>
                <w:sz w:val="20"/>
                <w:lang w:val="fr-FR"/>
              </w:rPr>
              <w:t>Harwinder</w:t>
            </w:r>
            <w:proofErr w:type="spellEnd"/>
            <w:r w:rsidRPr="0084490B">
              <w:rPr>
                <w:color w:val="000000"/>
                <w:sz w:val="20"/>
                <w:lang w:val="fr-FR"/>
              </w:rPr>
              <w:t xml:space="preserve"> </w:t>
            </w:r>
            <w:proofErr w:type="spellStart"/>
            <w:r w:rsidRPr="0084490B">
              <w:rPr>
                <w:color w:val="000000"/>
                <w:sz w:val="20"/>
                <w:lang w:val="fr-FR"/>
              </w:rPr>
              <w:t>Aujla</w:t>
            </w:r>
            <w:proofErr w:type="spellEnd"/>
            <w:r w:rsidRPr="0084490B">
              <w:rPr>
                <w:color w:val="000000"/>
                <w:sz w:val="20"/>
                <w:lang w:val="fr-FR"/>
              </w:rPr>
              <w:t xml:space="preserve">, un couple marié.  Le dirigeant et cerveau de la société à dénomination numérique se nommait </w:t>
            </w:r>
            <w:proofErr w:type="spellStart"/>
            <w:r w:rsidRPr="0084490B">
              <w:rPr>
                <w:color w:val="000000"/>
                <w:sz w:val="20"/>
                <w:lang w:val="fr-FR"/>
              </w:rPr>
              <w:t>Nirmal</w:t>
            </w:r>
            <w:proofErr w:type="spellEnd"/>
            <w:r w:rsidRPr="0084490B">
              <w:rPr>
                <w:color w:val="000000"/>
                <w:sz w:val="20"/>
                <w:lang w:val="fr-FR"/>
              </w:rPr>
              <w:t xml:space="preserve"> </w:t>
            </w:r>
            <w:proofErr w:type="spellStart"/>
            <w:r w:rsidRPr="0084490B">
              <w:rPr>
                <w:color w:val="000000"/>
                <w:sz w:val="20"/>
                <w:lang w:val="fr-FR"/>
              </w:rPr>
              <w:t>Longowal</w:t>
            </w:r>
            <w:proofErr w:type="spellEnd"/>
            <w:r w:rsidRPr="0084490B">
              <w:rPr>
                <w:color w:val="000000"/>
                <w:sz w:val="20"/>
                <w:lang w:val="fr-FR"/>
              </w:rPr>
              <w:t xml:space="preserve">.  Des caméras de surveillance du magasin étaient pointées vers les zones accessibles aux clients jusqu’à ce que M. </w:t>
            </w:r>
            <w:proofErr w:type="spellStart"/>
            <w:r w:rsidRPr="0084490B">
              <w:rPr>
                <w:color w:val="000000"/>
                <w:sz w:val="20"/>
                <w:lang w:val="fr-FR"/>
              </w:rPr>
              <w:t>Longowal</w:t>
            </w:r>
            <w:proofErr w:type="spellEnd"/>
            <w:r w:rsidRPr="0084490B">
              <w:rPr>
                <w:color w:val="000000"/>
                <w:sz w:val="20"/>
                <w:lang w:val="fr-FR"/>
              </w:rPr>
              <w:t xml:space="preserve"> se mette à soupçonner des employés de voler le magasin.  Une nouvelle caméra cachée pointée vers le comptoir de la caisse enregistreuse montrait les </w:t>
            </w:r>
            <w:proofErr w:type="spellStart"/>
            <w:r w:rsidRPr="0084490B">
              <w:rPr>
                <w:color w:val="000000"/>
                <w:sz w:val="20"/>
                <w:lang w:val="fr-FR"/>
              </w:rPr>
              <w:t>Aujla</w:t>
            </w:r>
            <w:proofErr w:type="spellEnd"/>
            <w:r w:rsidRPr="0084490B">
              <w:rPr>
                <w:color w:val="000000"/>
                <w:sz w:val="20"/>
                <w:lang w:val="fr-FR"/>
              </w:rPr>
              <w:t xml:space="preserve"> en train de voler de l’argent.  581257 Alberta Ltd. a poursuivi en justice les </w:t>
            </w:r>
            <w:proofErr w:type="spellStart"/>
            <w:r w:rsidRPr="0084490B">
              <w:rPr>
                <w:color w:val="000000"/>
                <w:sz w:val="20"/>
                <w:lang w:val="fr-FR"/>
              </w:rPr>
              <w:t>Aujla</w:t>
            </w:r>
            <w:proofErr w:type="spellEnd"/>
            <w:r w:rsidRPr="0084490B">
              <w:rPr>
                <w:color w:val="000000"/>
                <w:sz w:val="20"/>
                <w:lang w:val="fr-FR"/>
              </w:rPr>
              <w:t xml:space="preserve">, prétendant qu’ils avaient utilisé son argent à leurs propres fins en ayant recours à plusieurs méthodes pour éviter de se faire prendre et en transférant le produit de leur conversion dans d’autres éléments d’actif.  La somme réclamée a été réduite à 116 000 $, compte tenu du témoignage du fils des </w:t>
            </w:r>
            <w:proofErr w:type="spellStart"/>
            <w:r w:rsidRPr="0084490B">
              <w:rPr>
                <w:color w:val="000000"/>
                <w:sz w:val="20"/>
                <w:lang w:val="fr-FR"/>
              </w:rPr>
              <w:t>Aujla</w:t>
            </w:r>
            <w:proofErr w:type="spellEnd"/>
            <w:r w:rsidRPr="0084490B">
              <w:rPr>
                <w:color w:val="000000"/>
                <w:sz w:val="20"/>
                <w:lang w:val="fr-FR"/>
              </w:rPr>
              <w:t xml:space="preserve"> qu’une partie de l’argent placé dans leurs comptes bancaires lui appartenait.  </w:t>
            </w:r>
            <w:proofErr w:type="spellStart"/>
            <w:r w:rsidRPr="0084490B">
              <w:rPr>
                <w:color w:val="000000"/>
                <w:sz w:val="20"/>
                <w:lang w:val="fr-FR"/>
              </w:rPr>
              <w:t>Balwinder</w:t>
            </w:r>
            <w:proofErr w:type="spellEnd"/>
            <w:r w:rsidRPr="0084490B">
              <w:rPr>
                <w:color w:val="000000"/>
                <w:sz w:val="20"/>
                <w:lang w:val="fr-FR"/>
              </w:rPr>
              <w:t xml:space="preserve"> et </w:t>
            </w:r>
            <w:proofErr w:type="spellStart"/>
            <w:r w:rsidRPr="0084490B">
              <w:rPr>
                <w:color w:val="000000"/>
                <w:sz w:val="20"/>
                <w:lang w:val="fr-FR"/>
              </w:rPr>
              <w:t>Harwinder</w:t>
            </w:r>
            <w:proofErr w:type="spellEnd"/>
            <w:r w:rsidRPr="0084490B">
              <w:rPr>
                <w:color w:val="000000"/>
                <w:sz w:val="20"/>
                <w:lang w:val="fr-FR"/>
              </w:rPr>
              <w:t xml:space="preserve"> </w:t>
            </w:r>
            <w:proofErr w:type="spellStart"/>
            <w:r w:rsidRPr="0084490B">
              <w:rPr>
                <w:color w:val="000000"/>
                <w:sz w:val="20"/>
                <w:lang w:val="fr-FR"/>
              </w:rPr>
              <w:t>Aujla</w:t>
            </w:r>
            <w:proofErr w:type="spellEnd"/>
            <w:r w:rsidRPr="0084490B">
              <w:rPr>
                <w:color w:val="000000"/>
                <w:sz w:val="20"/>
                <w:lang w:val="fr-FR"/>
              </w:rPr>
              <w:t xml:space="preserve"> ont finalement été condamnés respectivement à verser 8 124 $ et 6 434 $ en dommages-intérêts à 581257 Alberta Ltd. </w:t>
            </w:r>
          </w:p>
        </w:tc>
      </w:tr>
      <w:tr w:rsidR="0080649D" w:rsidRPr="00B6040C" w:rsidTr="001277D5">
        <w:tc>
          <w:tcPr>
            <w:tcW w:w="5000" w:type="pct"/>
            <w:gridSpan w:val="3"/>
          </w:tcPr>
          <w:p w:rsidR="0080649D" w:rsidRPr="0084490B" w:rsidRDefault="0080649D" w:rsidP="001277D5">
            <w:pPr>
              <w:jc w:val="both"/>
              <w:rPr>
                <w:rFonts w:eastAsia="Calibri"/>
                <w:sz w:val="20"/>
                <w:lang w:val="fr-FR"/>
              </w:rPr>
            </w:pPr>
          </w:p>
        </w:tc>
      </w:tr>
      <w:tr w:rsidR="0080649D" w:rsidRPr="00B6040C" w:rsidTr="00D64224">
        <w:trPr>
          <w:cantSplit/>
        </w:trPr>
        <w:tc>
          <w:tcPr>
            <w:tcW w:w="2427" w:type="pct"/>
          </w:tcPr>
          <w:p w:rsidR="0080649D" w:rsidRPr="0084490B" w:rsidRDefault="0080649D" w:rsidP="001277D5">
            <w:pPr>
              <w:jc w:val="both"/>
              <w:rPr>
                <w:rFonts w:eastAsia="Calibri"/>
                <w:sz w:val="20"/>
                <w:lang w:val="fr-FR"/>
              </w:rPr>
            </w:pPr>
            <w:r w:rsidRPr="0084490B">
              <w:rPr>
                <w:rFonts w:eastAsia="Calibri"/>
                <w:sz w:val="20"/>
                <w:lang w:val="fr-FR"/>
              </w:rPr>
              <w:t>25 janvier 2011</w:t>
            </w:r>
          </w:p>
          <w:p w:rsidR="0080649D" w:rsidRPr="0084490B" w:rsidRDefault="0080649D" w:rsidP="001277D5">
            <w:pPr>
              <w:jc w:val="both"/>
              <w:rPr>
                <w:rFonts w:eastAsia="Calibri"/>
                <w:sz w:val="20"/>
                <w:lang w:val="fr-FR"/>
              </w:rPr>
            </w:pPr>
            <w:r w:rsidRPr="0084490B">
              <w:rPr>
                <w:rFonts w:eastAsia="Calibri"/>
                <w:sz w:val="20"/>
                <w:lang w:val="fr-FR"/>
              </w:rPr>
              <w:t>Cour du Banc de la Reine de l’Alberta</w:t>
            </w:r>
          </w:p>
          <w:p w:rsidR="0080649D" w:rsidRPr="0084490B" w:rsidRDefault="0080649D" w:rsidP="001277D5">
            <w:pPr>
              <w:jc w:val="both"/>
              <w:rPr>
                <w:rFonts w:eastAsia="Calibri"/>
                <w:sz w:val="20"/>
              </w:rPr>
            </w:pPr>
            <w:r w:rsidRPr="0084490B">
              <w:rPr>
                <w:rFonts w:eastAsia="Calibri"/>
                <w:sz w:val="20"/>
              </w:rPr>
              <w:t>(</w:t>
            </w:r>
            <w:proofErr w:type="spellStart"/>
            <w:r w:rsidRPr="0084490B">
              <w:rPr>
                <w:rFonts w:eastAsia="Calibri"/>
                <w:sz w:val="20"/>
              </w:rPr>
              <w:t>Juge</w:t>
            </w:r>
            <w:proofErr w:type="spellEnd"/>
            <w:r w:rsidRPr="0084490B">
              <w:rPr>
                <w:rFonts w:eastAsia="Calibri"/>
                <w:sz w:val="20"/>
              </w:rPr>
              <w:t xml:space="preserve"> </w:t>
            </w:r>
            <w:proofErr w:type="spellStart"/>
            <w:r w:rsidRPr="0084490B">
              <w:rPr>
                <w:rFonts w:eastAsia="Calibri"/>
                <w:sz w:val="20"/>
              </w:rPr>
              <w:t>Topolniski</w:t>
            </w:r>
            <w:proofErr w:type="spellEnd"/>
            <w:r w:rsidRPr="0084490B">
              <w:rPr>
                <w:rFonts w:eastAsia="Calibri"/>
                <w:sz w:val="20"/>
              </w:rPr>
              <w:t>)</w:t>
            </w:r>
          </w:p>
          <w:p w:rsidR="0080649D" w:rsidRPr="0084490B" w:rsidRDefault="0080649D" w:rsidP="001277D5">
            <w:pPr>
              <w:jc w:val="both"/>
              <w:rPr>
                <w:rFonts w:eastAsia="Calibri"/>
                <w:sz w:val="20"/>
              </w:rPr>
            </w:pPr>
          </w:p>
        </w:tc>
        <w:tc>
          <w:tcPr>
            <w:tcW w:w="243" w:type="pct"/>
          </w:tcPr>
          <w:p w:rsidR="0080649D" w:rsidRPr="0084490B" w:rsidRDefault="0080649D" w:rsidP="001277D5">
            <w:pPr>
              <w:jc w:val="both"/>
              <w:rPr>
                <w:rFonts w:eastAsia="Calibri"/>
                <w:sz w:val="20"/>
              </w:rPr>
            </w:pPr>
          </w:p>
        </w:tc>
        <w:tc>
          <w:tcPr>
            <w:tcW w:w="2330" w:type="pct"/>
          </w:tcPr>
          <w:p w:rsidR="0080649D" w:rsidRPr="0084490B" w:rsidRDefault="0080649D" w:rsidP="001277D5">
            <w:pPr>
              <w:jc w:val="both"/>
              <w:rPr>
                <w:rFonts w:eastAsia="Calibri"/>
                <w:sz w:val="20"/>
                <w:lang w:val="fr-FR"/>
              </w:rPr>
            </w:pPr>
            <w:r w:rsidRPr="0084490B">
              <w:rPr>
                <w:rFonts w:eastAsia="Calibri"/>
                <w:sz w:val="20"/>
                <w:lang w:val="fr-FR"/>
              </w:rPr>
              <w:t xml:space="preserve">Demandeurs condamnés à verser des dommages-intérêts à l’intimée </w:t>
            </w:r>
          </w:p>
        </w:tc>
      </w:tr>
      <w:tr w:rsidR="0080649D" w:rsidRPr="00B6040C" w:rsidTr="00D64224">
        <w:trPr>
          <w:cantSplit/>
        </w:trPr>
        <w:tc>
          <w:tcPr>
            <w:tcW w:w="2427" w:type="pct"/>
          </w:tcPr>
          <w:p w:rsidR="0080649D" w:rsidRPr="0084490B" w:rsidRDefault="0080649D" w:rsidP="001277D5">
            <w:pPr>
              <w:jc w:val="both"/>
              <w:rPr>
                <w:rFonts w:eastAsia="Calibri"/>
                <w:sz w:val="20"/>
                <w:lang w:val="fr-FR"/>
              </w:rPr>
            </w:pPr>
            <w:r w:rsidRPr="0084490B">
              <w:rPr>
                <w:rFonts w:eastAsia="Calibri"/>
                <w:sz w:val="20"/>
                <w:lang w:val="fr-FR"/>
              </w:rPr>
              <w:t>24 janvier 2013</w:t>
            </w:r>
          </w:p>
          <w:p w:rsidR="0080649D" w:rsidRPr="0084490B" w:rsidRDefault="0080649D" w:rsidP="001277D5">
            <w:pPr>
              <w:jc w:val="both"/>
              <w:rPr>
                <w:rFonts w:eastAsia="Calibri"/>
                <w:sz w:val="20"/>
                <w:lang w:val="fr-FR"/>
              </w:rPr>
            </w:pPr>
            <w:r w:rsidRPr="0084490B">
              <w:rPr>
                <w:rFonts w:eastAsia="Calibri"/>
                <w:sz w:val="20"/>
                <w:lang w:val="fr-FR"/>
              </w:rPr>
              <w:t>Cour d’appel de l’Alberta (Edmonton)</w:t>
            </w:r>
          </w:p>
          <w:p w:rsidR="0080649D" w:rsidRPr="0084490B" w:rsidRDefault="0080649D" w:rsidP="001277D5">
            <w:pPr>
              <w:jc w:val="both"/>
              <w:rPr>
                <w:rFonts w:eastAsia="Calibri"/>
                <w:sz w:val="20"/>
                <w:lang w:val="fr-FR"/>
              </w:rPr>
            </w:pPr>
            <w:r w:rsidRPr="0084490B">
              <w:rPr>
                <w:rFonts w:eastAsia="Calibri"/>
                <w:sz w:val="20"/>
                <w:lang w:val="fr-FR"/>
              </w:rPr>
              <w:t>(Juge en chef Fraser et juges O'Brien et McDonald)</w:t>
            </w:r>
          </w:p>
          <w:p w:rsidR="0080649D" w:rsidRPr="0084490B" w:rsidRDefault="0080649D" w:rsidP="001277D5">
            <w:pPr>
              <w:jc w:val="both"/>
              <w:rPr>
                <w:rFonts w:eastAsia="Calibri"/>
                <w:sz w:val="20"/>
                <w:lang w:val="fr-FR"/>
              </w:rPr>
            </w:pPr>
          </w:p>
        </w:tc>
        <w:tc>
          <w:tcPr>
            <w:tcW w:w="243" w:type="pct"/>
          </w:tcPr>
          <w:p w:rsidR="0080649D" w:rsidRPr="0084490B" w:rsidRDefault="0080649D" w:rsidP="001277D5">
            <w:pPr>
              <w:jc w:val="both"/>
              <w:rPr>
                <w:rFonts w:eastAsia="Calibri"/>
                <w:sz w:val="20"/>
                <w:lang w:val="fr-FR"/>
              </w:rPr>
            </w:pPr>
          </w:p>
        </w:tc>
        <w:tc>
          <w:tcPr>
            <w:tcW w:w="2330" w:type="pct"/>
          </w:tcPr>
          <w:p w:rsidR="0080649D" w:rsidRPr="0084490B" w:rsidRDefault="0080649D" w:rsidP="001277D5">
            <w:pPr>
              <w:jc w:val="both"/>
              <w:rPr>
                <w:rFonts w:eastAsia="Calibri"/>
                <w:sz w:val="20"/>
                <w:lang w:val="fr-FR"/>
              </w:rPr>
            </w:pPr>
            <w:r w:rsidRPr="0084490B">
              <w:rPr>
                <w:rFonts w:eastAsia="Calibri"/>
                <w:sz w:val="20"/>
                <w:lang w:val="fr-FR"/>
              </w:rPr>
              <w:t>Appel de l’intimée accueilli; nouveau procès ordonné</w:t>
            </w:r>
          </w:p>
          <w:p w:rsidR="0080649D" w:rsidRPr="0084490B" w:rsidRDefault="0080649D" w:rsidP="001277D5">
            <w:pPr>
              <w:jc w:val="both"/>
              <w:rPr>
                <w:rFonts w:eastAsia="Calibri"/>
                <w:sz w:val="20"/>
                <w:lang w:val="fr-FR"/>
              </w:rPr>
            </w:pPr>
          </w:p>
        </w:tc>
      </w:tr>
      <w:tr w:rsidR="0080649D" w:rsidRPr="0084490B" w:rsidTr="00D64224">
        <w:trPr>
          <w:cantSplit/>
        </w:trPr>
        <w:tc>
          <w:tcPr>
            <w:tcW w:w="2427" w:type="pct"/>
          </w:tcPr>
          <w:p w:rsidR="0080649D" w:rsidRPr="0084490B" w:rsidRDefault="0080649D" w:rsidP="001277D5">
            <w:pPr>
              <w:jc w:val="both"/>
              <w:rPr>
                <w:rFonts w:eastAsia="Calibri"/>
                <w:sz w:val="20"/>
                <w:lang w:val="fr-FR"/>
              </w:rPr>
            </w:pPr>
            <w:r w:rsidRPr="0084490B">
              <w:rPr>
                <w:rFonts w:eastAsia="Calibri"/>
                <w:sz w:val="20"/>
                <w:lang w:val="fr-FR"/>
              </w:rPr>
              <w:t>12 mars 2013</w:t>
            </w:r>
          </w:p>
          <w:p w:rsidR="0080649D" w:rsidRPr="0084490B" w:rsidRDefault="0080649D" w:rsidP="001277D5">
            <w:pPr>
              <w:jc w:val="both"/>
              <w:rPr>
                <w:rFonts w:eastAsia="Calibri"/>
                <w:sz w:val="20"/>
                <w:lang w:val="fr-FR"/>
              </w:rPr>
            </w:pPr>
            <w:r w:rsidRPr="0084490B">
              <w:rPr>
                <w:rFonts w:eastAsia="Calibri"/>
                <w:sz w:val="20"/>
                <w:lang w:val="fr-FR"/>
              </w:rPr>
              <w:t>Cour suprême du Canada</w:t>
            </w:r>
          </w:p>
        </w:tc>
        <w:tc>
          <w:tcPr>
            <w:tcW w:w="243" w:type="pct"/>
          </w:tcPr>
          <w:p w:rsidR="0080649D" w:rsidRPr="0084490B" w:rsidRDefault="0080649D" w:rsidP="001277D5">
            <w:pPr>
              <w:jc w:val="both"/>
              <w:rPr>
                <w:rFonts w:eastAsia="Calibri"/>
                <w:sz w:val="20"/>
                <w:lang w:val="fr-FR"/>
              </w:rPr>
            </w:pPr>
          </w:p>
        </w:tc>
        <w:tc>
          <w:tcPr>
            <w:tcW w:w="2330" w:type="pct"/>
          </w:tcPr>
          <w:p w:rsidR="0080649D" w:rsidRPr="0084490B" w:rsidRDefault="0080649D" w:rsidP="001277D5">
            <w:pPr>
              <w:jc w:val="both"/>
              <w:rPr>
                <w:rFonts w:eastAsia="Calibri"/>
                <w:sz w:val="20"/>
              </w:rPr>
            </w:pPr>
            <w:proofErr w:type="spellStart"/>
            <w:r w:rsidRPr="0084490B">
              <w:rPr>
                <w:rFonts w:eastAsia="Calibri"/>
                <w:sz w:val="20"/>
              </w:rPr>
              <w:t>Demande</w:t>
            </w:r>
            <w:proofErr w:type="spellEnd"/>
            <w:r w:rsidRPr="0084490B">
              <w:rPr>
                <w:rFonts w:eastAsia="Calibri"/>
                <w:sz w:val="20"/>
              </w:rPr>
              <w:t xml:space="preserve"> </w:t>
            </w:r>
            <w:proofErr w:type="spellStart"/>
            <w:r w:rsidRPr="0084490B">
              <w:rPr>
                <w:rFonts w:eastAsia="Calibri"/>
                <w:sz w:val="20"/>
              </w:rPr>
              <w:t>d’autorisation</w:t>
            </w:r>
            <w:proofErr w:type="spellEnd"/>
            <w:r w:rsidRPr="0084490B">
              <w:rPr>
                <w:rFonts w:eastAsia="Calibri"/>
                <w:sz w:val="20"/>
              </w:rPr>
              <w:t xml:space="preserve"> </w:t>
            </w:r>
            <w:proofErr w:type="spellStart"/>
            <w:r w:rsidRPr="0084490B">
              <w:rPr>
                <w:rFonts w:eastAsia="Calibri"/>
                <w:sz w:val="20"/>
              </w:rPr>
              <w:t>d’appel</w:t>
            </w:r>
            <w:proofErr w:type="spellEnd"/>
          </w:p>
          <w:p w:rsidR="0080649D" w:rsidRPr="0084490B" w:rsidRDefault="0080649D" w:rsidP="001277D5">
            <w:pPr>
              <w:jc w:val="both"/>
              <w:rPr>
                <w:rFonts w:eastAsia="Calibri"/>
                <w:sz w:val="20"/>
              </w:rPr>
            </w:pPr>
          </w:p>
        </w:tc>
      </w:tr>
    </w:tbl>
    <w:p w:rsidR="00EA65C4" w:rsidRDefault="00EA65C4" w:rsidP="00EA65C4">
      <w:pPr>
        <w:rPr>
          <w:sz w:val="20"/>
          <w:szCs w:val="20"/>
        </w:rPr>
      </w:pPr>
    </w:p>
    <w:p w:rsidR="00EA65C4" w:rsidRDefault="0028676C" w:rsidP="00EA65C4">
      <w:pPr>
        <w:rPr>
          <w:sz w:val="20"/>
          <w:szCs w:val="20"/>
        </w:rPr>
      </w:pPr>
      <w:r w:rsidRPr="0028676C">
        <w:rPr>
          <w:sz w:val="20"/>
          <w:szCs w:val="20"/>
          <w:lang w:val="fr-CA"/>
        </w:rPr>
        <w:pict>
          <v:rect id="_x0000_i1080" style="width:2in;height:1pt" o:hrpct="0" o:hralign="center" o:hrstd="t" o:hrnoshade="t" o:hr="t" fillcolor="black [3213]" stroked="f"/>
        </w:pict>
      </w:r>
    </w:p>
    <w:p w:rsidR="00EA65C4" w:rsidRDefault="00EA65C4" w:rsidP="00EA65C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64224" w:rsidRPr="00B6040C" w:rsidTr="0071552E">
        <w:trPr>
          <w:cantSplit/>
        </w:trPr>
        <w:tc>
          <w:tcPr>
            <w:tcW w:w="1458" w:type="dxa"/>
          </w:tcPr>
          <w:p w:rsidR="00D64224" w:rsidRPr="0068500F" w:rsidRDefault="00D64224" w:rsidP="0071552E">
            <w:pPr>
              <w:rPr>
                <w:sz w:val="20"/>
                <w:szCs w:val="20"/>
              </w:rPr>
            </w:pPr>
            <w:r w:rsidRPr="0068500F">
              <w:rPr>
                <w:rStyle w:val="SCCFileNumberChar"/>
                <w:sz w:val="20"/>
                <w:szCs w:val="20"/>
              </w:rPr>
              <w:t>35267</w:t>
            </w:r>
          </w:p>
          <w:p w:rsidR="00D64224" w:rsidRPr="0068500F" w:rsidRDefault="00D64224" w:rsidP="0071552E">
            <w:pPr>
              <w:rPr>
                <w:b/>
                <w:sz w:val="20"/>
                <w:szCs w:val="20"/>
                <w:lang w:val="fr-CA"/>
              </w:rPr>
            </w:pPr>
          </w:p>
        </w:tc>
        <w:tc>
          <w:tcPr>
            <w:tcW w:w="8118" w:type="dxa"/>
          </w:tcPr>
          <w:p w:rsidR="00D64224" w:rsidRPr="0068500F" w:rsidRDefault="00D64224" w:rsidP="0071552E">
            <w:pPr>
              <w:jc w:val="both"/>
              <w:rPr>
                <w:sz w:val="20"/>
                <w:szCs w:val="20"/>
                <w:lang w:val="fr-CA"/>
              </w:rPr>
            </w:pPr>
            <w:r w:rsidRPr="0068500F">
              <w:rPr>
                <w:rStyle w:val="SCCLsocChar"/>
                <w:sz w:val="20"/>
                <w:szCs w:val="20"/>
              </w:rPr>
              <w:t>Albert Beauchamp c. Gouvernement du Québec, Ministère de la Justice et Procureur général du Québec</w:t>
            </w:r>
            <w:r w:rsidRPr="0068500F">
              <w:rPr>
                <w:sz w:val="20"/>
                <w:szCs w:val="20"/>
                <w:lang w:val="fr-CA"/>
              </w:rPr>
              <w:t xml:space="preserve"> (</w:t>
            </w:r>
            <w:proofErr w:type="spellStart"/>
            <w:r w:rsidRPr="0068500F">
              <w:rPr>
                <w:sz w:val="20"/>
                <w:szCs w:val="20"/>
                <w:lang w:val="fr-CA"/>
              </w:rPr>
              <w:t>Qc</w:t>
            </w:r>
            <w:proofErr w:type="spellEnd"/>
            <w:r w:rsidRPr="0068500F">
              <w:rPr>
                <w:sz w:val="20"/>
                <w:szCs w:val="20"/>
                <w:lang w:val="fr-CA"/>
              </w:rPr>
              <w:t>) (Civile) (Autorisation)</w:t>
            </w:r>
          </w:p>
          <w:p w:rsidR="00D64224" w:rsidRPr="0068500F" w:rsidRDefault="00D64224" w:rsidP="0071552E">
            <w:pPr>
              <w:jc w:val="both"/>
              <w:rPr>
                <w:sz w:val="20"/>
                <w:szCs w:val="20"/>
                <w:lang w:val="fr-CA"/>
              </w:rPr>
            </w:pPr>
          </w:p>
        </w:tc>
      </w:tr>
      <w:tr w:rsidR="00D64224" w:rsidRPr="00B6040C" w:rsidTr="0071552E">
        <w:trPr>
          <w:cantSplit/>
        </w:trPr>
        <w:tc>
          <w:tcPr>
            <w:tcW w:w="1458" w:type="dxa"/>
          </w:tcPr>
          <w:p w:rsidR="00D64224" w:rsidRPr="0068500F" w:rsidRDefault="00D64224" w:rsidP="0071552E">
            <w:pPr>
              <w:rPr>
                <w:sz w:val="20"/>
                <w:szCs w:val="20"/>
              </w:rPr>
            </w:pPr>
            <w:r w:rsidRPr="0068500F">
              <w:rPr>
                <w:sz w:val="20"/>
                <w:szCs w:val="20"/>
              </w:rPr>
              <w:t>Coram :</w:t>
            </w:r>
          </w:p>
        </w:tc>
        <w:tc>
          <w:tcPr>
            <w:tcW w:w="8118" w:type="dxa"/>
          </w:tcPr>
          <w:p w:rsidR="00D64224" w:rsidRPr="0068500F" w:rsidRDefault="00D64224" w:rsidP="0071552E">
            <w:pPr>
              <w:rPr>
                <w:sz w:val="20"/>
                <w:szCs w:val="20"/>
                <w:lang w:val="fr-CA"/>
              </w:rPr>
            </w:pPr>
            <w:r w:rsidRPr="0068500F">
              <w:rPr>
                <w:rStyle w:val="SCCCoramChar"/>
                <w:sz w:val="20"/>
                <w:szCs w:val="20"/>
              </w:rPr>
              <w:t xml:space="preserve">Les juges </w:t>
            </w:r>
            <w:proofErr w:type="spellStart"/>
            <w:r w:rsidRPr="0068500F">
              <w:rPr>
                <w:rStyle w:val="SCCCoramChar"/>
                <w:sz w:val="20"/>
                <w:szCs w:val="20"/>
              </w:rPr>
              <w:t>LeBel</w:t>
            </w:r>
            <w:proofErr w:type="spellEnd"/>
            <w:r w:rsidRPr="0068500F">
              <w:rPr>
                <w:rStyle w:val="SCCCoramChar"/>
                <w:sz w:val="20"/>
                <w:szCs w:val="20"/>
              </w:rPr>
              <w:t>, Karakatsanis et Wagner</w:t>
            </w:r>
          </w:p>
          <w:p w:rsidR="00D64224" w:rsidRPr="0068500F" w:rsidRDefault="00D64224" w:rsidP="0071552E">
            <w:pPr>
              <w:rPr>
                <w:sz w:val="20"/>
                <w:szCs w:val="20"/>
                <w:u w:val="single"/>
                <w:lang w:val="fr-CA"/>
              </w:rPr>
            </w:pPr>
          </w:p>
        </w:tc>
      </w:tr>
      <w:tr w:rsidR="00D64224" w:rsidRPr="0068500F" w:rsidTr="0071552E">
        <w:trPr>
          <w:cantSplit/>
        </w:trPr>
        <w:tc>
          <w:tcPr>
            <w:tcW w:w="9576" w:type="dxa"/>
            <w:gridSpan w:val="2"/>
          </w:tcPr>
          <w:p w:rsidR="00D64224" w:rsidRPr="0068500F" w:rsidRDefault="00D64224" w:rsidP="0071552E">
            <w:pPr>
              <w:pStyle w:val="SCCShortJudgment"/>
              <w:rPr>
                <w:szCs w:val="20"/>
                <w:lang w:val="fr-CA"/>
              </w:rPr>
            </w:pPr>
            <w:r w:rsidRPr="0068500F">
              <w:rPr>
                <w:szCs w:val="20"/>
                <w:lang w:val="fr-CA"/>
              </w:rPr>
              <w:t>La demande d’anonymisation de la demande d’autorisation d’appel est rejetée. La requête visant à obtenir une ordonnance de mise sous scellés est rejetée et il est ordonné au greffe de retourner au demandeur les documents visés par sa requête. La demande d’autorisation d’appel de l’arrêt de la Cour d’appel du Québec (Québec), numéro 500-09-023169-121, 2013 QCCA 201, daté du 11 janvier 2013, est rejetée sans dépens.</w:t>
            </w:r>
          </w:p>
          <w:p w:rsidR="00D64224" w:rsidRPr="0068500F" w:rsidRDefault="00D64224" w:rsidP="0071552E">
            <w:pPr>
              <w:pStyle w:val="SCCShortJudgment"/>
              <w:ind w:firstLine="0"/>
              <w:rPr>
                <w:szCs w:val="20"/>
                <w:lang w:val="fr-CA"/>
              </w:rPr>
            </w:pPr>
          </w:p>
          <w:p w:rsidR="00D64224" w:rsidRPr="0068500F" w:rsidRDefault="00D64224" w:rsidP="0071552E">
            <w:pPr>
              <w:pStyle w:val="SCCShortJudgment"/>
              <w:rPr>
                <w:szCs w:val="20"/>
              </w:rPr>
            </w:pPr>
            <w:r w:rsidRPr="0068500F">
              <w:rPr>
                <w:szCs w:val="20"/>
              </w:rPr>
              <w:t xml:space="preserve">The request that the application for leave to appeal be </w:t>
            </w:r>
            <w:proofErr w:type="spellStart"/>
            <w:r w:rsidRPr="0068500F">
              <w:rPr>
                <w:szCs w:val="20"/>
              </w:rPr>
              <w:t>anonymized</w:t>
            </w:r>
            <w:proofErr w:type="spellEnd"/>
            <w:r w:rsidRPr="0068500F">
              <w:rPr>
                <w:szCs w:val="20"/>
              </w:rPr>
              <w:t xml:space="preserve"> is dismissed. The motion for a sealing order is dismissed and the Registry is directed to return to the applicant the documents referred to in the motion. The application for leave to appeal from the judgment of the Court of Appeal of Quebec (Québec), Number 500-09-023169-121, 2013 QCCA 201, dated January 11, 2013, is dismissed without costs.</w:t>
            </w:r>
          </w:p>
        </w:tc>
      </w:tr>
    </w:tbl>
    <w:p w:rsidR="00EA65C4" w:rsidRDefault="00EA65C4" w:rsidP="00EA65C4">
      <w:pPr>
        <w:rPr>
          <w:sz w:val="20"/>
          <w:szCs w:val="20"/>
        </w:rPr>
      </w:pPr>
    </w:p>
    <w:p w:rsidR="00EA65C4" w:rsidRPr="001B157C" w:rsidRDefault="00EA65C4" w:rsidP="00EA65C4">
      <w:pPr>
        <w:rPr>
          <w:sz w:val="20"/>
          <w:szCs w:val="20"/>
          <w:u w:val="single"/>
        </w:rPr>
      </w:pPr>
      <w:r w:rsidRPr="001B157C">
        <w:rPr>
          <w:sz w:val="20"/>
          <w:szCs w:val="20"/>
          <w:u w:val="single"/>
        </w:rPr>
        <w:t>CASE SUMMARY</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0649D" w:rsidRPr="0084490B" w:rsidTr="001277D5">
        <w:tc>
          <w:tcPr>
            <w:tcW w:w="5000" w:type="pct"/>
            <w:gridSpan w:val="3"/>
          </w:tcPr>
          <w:p w:rsidR="0080649D" w:rsidRPr="0084490B" w:rsidRDefault="0080649D" w:rsidP="001277D5">
            <w:pPr>
              <w:jc w:val="both"/>
              <w:rPr>
                <w:rFonts w:eastAsia="Calibri"/>
                <w:sz w:val="20"/>
              </w:rPr>
            </w:pPr>
            <w:r w:rsidRPr="0084490B">
              <w:rPr>
                <w:rFonts w:eastAsia="Calibri"/>
                <w:sz w:val="20"/>
              </w:rPr>
              <w:t>Civil procedure – Appeal – Leave – Whether Court of Appeal judge erred in refusing leave to appeal.</w:t>
            </w:r>
          </w:p>
        </w:tc>
      </w:tr>
      <w:tr w:rsidR="0080649D" w:rsidRPr="0084490B" w:rsidTr="001277D5">
        <w:tc>
          <w:tcPr>
            <w:tcW w:w="5000" w:type="pct"/>
            <w:gridSpan w:val="3"/>
          </w:tcPr>
          <w:p w:rsidR="0080649D" w:rsidRPr="0084490B" w:rsidRDefault="0080649D" w:rsidP="001277D5">
            <w:pPr>
              <w:jc w:val="both"/>
              <w:rPr>
                <w:rFonts w:eastAsia="Calibri"/>
                <w:sz w:val="20"/>
              </w:rPr>
            </w:pPr>
          </w:p>
        </w:tc>
      </w:tr>
      <w:tr w:rsidR="0080649D" w:rsidRPr="0084490B" w:rsidTr="001277D5">
        <w:tc>
          <w:tcPr>
            <w:tcW w:w="5000" w:type="pct"/>
            <w:gridSpan w:val="3"/>
          </w:tcPr>
          <w:p w:rsidR="0080649D" w:rsidRPr="0084490B" w:rsidRDefault="0080649D" w:rsidP="001277D5">
            <w:pPr>
              <w:jc w:val="both"/>
              <w:rPr>
                <w:rFonts w:eastAsia="Calibri"/>
                <w:sz w:val="20"/>
              </w:rPr>
            </w:pPr>
            <w:r w:rsidRPr="0084490B">
              <w:rPr>
                <w:rFonts w:eastAsia="Calibri"/>
                <w:sz w:val="20"/>
              </w:rPr>
              <w:t xml:space="preserve">Since August 2011, an order by Nadeau J. of the Quebec Superior Court had required the applicant, Mr. Beauchamp, to obtain prior leave from the Chief Justice of the Superior Court or any judge designated by the Chief Justice for any future proceeding within the Superior Court’s jurisdiction that he wanted to institute and that related directly or indirectly to his mother’s succession (2011 QCCS 4345). </w:t>
            </w:r>
          </w:p>
          <w:p w:rsidR="0080649D" w:rsidRPr="0084490B" w:rsidRDefault="0080649D" w:rsidP="001277D5">
            <w:pPr>
              <w:jc w:val="both"/>
              <w:rPr>
                <w:rFonts w:eastAsia="Calibri"/>
                <w:sz w:val="20"/>
              </w:rPr>
            </w:pPr>
          </w:p>
          <w:p w:rsidR="0080649D" w:rsidRPr="0084490B" w:rsidRDefault="0080649D" w:rsidP="001277D5">
            <w:pPr>
              <w:jc w:val="both"/>
              <w:rPr>
                <w:rFonts w:eastAsia="Calibri"/>
                <w:sz w:val="20"/>
              </w:rPr>
            </w:pPr>
            <w:r w:rsidRPr="0084490B">
              <w:rPr>
                <w:rFonts w:eastAsia="Calibri"/>
                <w:sz w:val="20"/>
              </w:rPr>
              <w:t>In November 2012, Mr. Beauchamp applied for leave to file a motion to institute proceedings that he called [</w:t>
            </w:r>
            <w:r w:rsidRPr="0084490B">
              <w:rPr>
                <w:rFonts w:eastAsia="Calibri"/>
                <w:smallCaps/>
                <w:sz w:val="20"/>
              </w:rPr>
              <w:t>translation</w:t>
            </w:r>
            <w:r w:rsidRPr="0084490B">
              <w:rPr>
                <w:rFonts w:eastAsia="Calibri"/>
                <w:sz w:val="20"/>
              </w:rPr>
              <w:t>] “motion for restitution of property, damages and exemplary damages”.  Nadeau J., who was designated to hear the application, found that Mr. Beauchamp was in substance trying to re</w:t>
            </w:r>
            <w:r w:rsidRPr="0084490B">
              <w:rPr>
                <w:rFonts w:eastAsia="Calibri"/>
                <w:sz w:val="20"/>
              </w:rPr>
              <w:noBreakHyphen/>
            </w:r>
            <w:proofErr w:type="spellStart"/>
            <w:r w:rsidRPr="0084490B">
              <w:rPr>
                <w:rFonts w:eastAsia="Calibri"/>
                <w:sz w:val="20"/>
              </w:rPr>
              <w:t>institute</w:t>
            </w:r>
            <w:proofErr w:type="spellEnd"/>
            <w:r w:rsidRPr="0084490B">
              <w:rPr>
                <w:rFonts w:eastAsia="Calibri"/>
                <w:sz w:val="20"/>
              </w:rPr>
              <w:t xml:space="preserve"> the proceeding that had led to the making of the August 2011 order – that is, the events surrounding his mother’s succession.  He refused the leave sought.  </w:t>
            </w:r>
            <w:proofErr w:type="spellStart"/>
            <w:r w:rsidRPr="0084490B">
              <w:rPr>
                <w:rFonts w:eastAsia="Calibri"/>
                <w:sz w:val="20"/>
              </w:rPr>
              <w:t>Kasirer</w:t>
            </w:r>
            <w:proofErr w:type="spellEnd"/>
            <w:r w:rsidRPr="0084490B">
              <w:rPr>
                <w:rFonts w:eastAsia="Calibri"/>
                <w:sz w:val="20"/>
              </w:rPr>
              <w:t xml:space="preserve"> J.A. of the Court of Appeal refused leave to appeal. </w:t>
            </w:r>
          </w:p>
          <w:p w:rsidR="0080649D" w:rsidRPr="0084490B" w:rsidRDefault="0080649D" w:rsidP="001277D5">
            <w:pPr>
              <w:jc w:val="both"/>
              <w:rPr>
                <w:rFonts w:eastAsia="Calibri"/>
                <w:sz w:val="20"/>
              </w:rPr>
            </w:pPr>
          </w:p>
        </w:tc>
      </w:tr>
      <w:tr w:rsidR="0080649D" w:rsidRPr="0084490B" w:rsidTr="001277D5">
        <w:tc>
          <w:tcPr>
            <w:tcW w:w="2427" w:type="pct"/>
          </w:tcPr>
          <w:p w:rsidR="0080649D" w:rsidRPr="0084490B" w:rsidRDefault="0080649D" w:rsidP="001277D5">
            <w:pPr>
              <w:jc w:val="both"/>
              <w:rPr>
                <w:rFonts w:eastAsia="Calibri"/>
                <w:sz w:val="20"/>
              </w:rPr>
            </w:pPr>
            <w:r w:rsidRPr="0084490B">
              <w:rPr>
                <w:rFonts w:eastAsia="Calibri"/>
                <w:sz w:val="20"/>
              </w:rPr>
              <w:t>December 5, 2012</w:t>
            </w:r>
          </w:p>
          <w:p w:rsidR="0080649D" w:rsidRPr="0084490B" w:rsidRDefault="0080649D" w:rsidP="001277D5">
            <w:pPr>
              <w:jc w:val="both"/>
              <w:rPr>
                <w:rFonts w:eastAsia="Calibri"/>
                <w:sz w:val="20"/>
              </w:rPr>
            </w:pPr>
            <w:r w:rsidRPr="0084490B">
              <w:rPr>
                <w:rFonts w:eastAsia="Calibri"/>
                <w:sz w:val="20"/>
              </w:rPr>
              <w:t>Quebec Superior Court</w:t>
            </w:r>
          </w:p>
          <w:p w:rsidR="0080649D" w:rsidRPr="0084490B" w:rsidRDefault="0080649D" w:rsidP="001277D5">
            <w:pPr>
              <w:jc w:val="both"/>
              <w:rPr>
                <w:rFonts w:eastAsia="Calibri"/>
                <w:sz w:val="20"/>
              </w:rPr>
            </w:pPr>
            <w:r w:rsidRPr="0084490B">
              <w:rPr>
                <w:rFonts w:eastAsia="Calibri"/>
                <w:sz w:val="20"/>
              </w:rPr>
              <w:t>(Nadeau J.)</w:t>
            </w:r>
          </w:p>
          <w:p w:rsidR="0080649D" w:rsidRPr="0084490B" w:rsidRDefault="0080649D" w:rsidP="001277D5">
            <w:pPr>
              <w:jc w:val="both"/>
              <w:rPr>
                <w:rFonts w:eastAsia="Calibri"/>
                <w:sz w:val="20"/>
              </w:rPr>
            </w:pPr>
          </w:p>
        </w:tc>
        <w:tc>
          <w:tcPr>
            <w:tcW w:w="243" w:type="pct"/>
          </w:tcPr>
          <w:p w:rsidR="0080649D" w:rsidRPr="0084490B" w:rsidRDefault="0080649D" w:rsidP="001277D5">
            <w:pPr>
              <w:jc w:val="both"/>
              <w:rPr>
                <w:rFonts w:eastAsia="Calibri"/>
                <w:sz w:val="20"/>
              </w:rPr>
            </w:pPr>
          </w:p>
        </w:tc>
        <w:tc>
          <w:tcPr>
            <w:tcW w:w="2330" w:type="pct"/>
          </w:tcPr>
          <w:p w:rsidR="0080649D" w:rsidRPr="0084490B" w:rsidRDefault="0080649D" w:rsidP="001277D5">
            <w:pPr>
              <w:jc w:val="both"/>
              <w:rPr>
                <w:rFonts w:eastAsia="Calibri"/>
                <w:sz w:val="20"/>
              </w:rPr>
            </w:pPr>
            <w:r w:rsidRPr="0084490B">
              <w:rPr>
                <w:rFonts w:eastAsia="Calibri"/>
                <w:sz w:val="20"/>
              </w:rPr>
              <w:t>Application for leave to issue and serve application to institute proceedings dismissed</w:t>
            </w:r>
          </w:p>
          <w:p w:rsidR="0080649D" w:rsidRPr="0084490B" w:rsidRDefault="0080649D" w:rsidP="001277D5">
            <w:pPr>
              <w:jc w:val="both"/>
              <w:rPr>
                <w:rFonts w:eastAsia="Calibri"/>
                <w:sz w:val="20"/>
              </w:rPr>
            </w:pPr>
          </w:p>
        </w:tc>
      </w:tr>
      <w:tr w:rsidR="0080649D" w:rsidRPr="0084490B" w:rsidTr="00D64224">
        <w:trPr>
          <w:cantSplit/>
        </w:trPr>
        <w:tc>
          <w:tcPr>
            <w:tcW w:w="2427" w:type="pct"/>
          </w:tcPr>
          <w:p w:rsidR="0080649D" w:rsidRPr="0084490B" w:rsidRDefault="0080649D" w:rsidP="001277D5">
            <w:pPr>
              <w:jc w:val="both"/>
              <w:rPr>
                <w:rFonts w:eastAsia="Calibri"/>
                <w:sz w:val="20"/>
              </w:rPr>
            </w:pPr>
            <w:r w:rsidRPr="0084490B">
              <w:rPr>
                <w:rFonts w:eastAsia="Calibri"/>
                <w:sz w:val="20"/>
              </w:rPr>
              <w:t>January 11, 2013</w:t>
            </w:r>
          </w:p>
          <w:p w:rsidR="0080649D" w:rsidRPr="0084490B" w:rsidRDefault="0080649D" w:rsidP="001277D5">
            <w:pPr>
              <w:jc w:val="both"/>
              <w:rPr>
                <w:rFonts w:eastAsia="Calibri"/>
                <w:sz w:val="20"/>
              </w:rPr>
            </w:pPr>
            <w:r w:rsidRPr="0084490B">
              <w:rPr>
                <w:rFonts w:eastAsia="Calibri"/>
                <w:sz w:val="20"/>
              </w:rPr>
              <w:t>Quebec Court of Appeal (Québec)</w:t>
            </w:r>
          </w:p>
          <w:p w:rsidR="0080649D" w:rsidRPr="0084490B" w:rsidRDefault="0080649D" w:rsidP="001277D5">
            <w:pPr>
              <w:jc w:val="both"/>
              <w:rPr>
                <w:rFonts w:eastAsia="Calibri"/>
                <w:sz w:val="20"/>
              </w:rPr>
            </w:pPr>
            <w:r w:rsidRPr="0084490B">
              <w:rPr>
                <w:rFonts w:eastAsia="Calibri"/>
                <w:sz w:val="20"/>
              </w:rPr>
              <w:t>(</w:t>
            </w:r>
            <w:proofErr w:type="spellStart"/>
            <w:r w:rsidRPr="0084490B">
              <w:rPr>
                <w:rFonts w:eastAsia="Calibri"/>
                <w:sz w:val="20"/>
              </w:rPr>
              <w:t>Kasirer</w:t>
            </w:r>
            <w:proofErr w:type="spellEnd"/>
            <w:r w:rsidRPr="0084490B">
              <w:rPr>
                <w:rFonts w:eastAsia="Calibri"/>
                <w:sz w:val="20"/>
              </w:rPr>
              <w:t xml:space="preserve"> J.A.)</w:t>
            </w:r>
          </w:p>
          <w:p w:rsidR="0080649D" w:rsidRPr="0084490B" w:rsidRDefault="0080649D" w:rsidP="001277D5">
            <w:pPr>
              <w:jc w:val="both"/>
              <w:rPr>
                <w:rFonts w:eastAsia="Calibri"/>
                <w:sz w:val="20"/>
              </w:rPr>
            </w:pPr>
            <w:r w:rsidRPr="0084490B">
              <w:rPr>
                <w:rFonts w:eastAsia="Calibri"/>
                <w:sz w:val="20"/>
              </w:rPr>
              <w:t>2013 QCCA 201; 500-09-023169-121</w:t>
            </w:r>
          </w:p>
          <w:p w:rsidR="0080649D" w:rsidRPr="0084490B" w:rsidRDefault="0080649D" w:rsidP="001277D5">
            <w:pPr>
              <w:jc w:val="both"/>
              <w:rPr>
                <w:rFonts w:eastAsia="Calibri"/>
                <w:sz w:val="20"/>
              </w:rPr>
            </w:pPr>
          </w:p>
        </w:tc>
        <w:tc>
          <w:tcPr>
            <w:tcW w:w="243" w:type="pct"/>
          </w:tcPr>
          <w:p w:rsidR="0080649D" w:rsidRPr="0084490B" w:rsidRDefault="0080649D" w:rsidP="001277D5">
            <w:pPr>
              <w:jc w:val="both"/>
              <w:rPr>
                <w:rFonts w:eastAsia="Calibri"/>
                <w:sz w:val="20"/>
              </w:rPr>
            </w:pPr>
          </w:p>
        </w:tc>
        <w:tc>
          <w:tcPr>
            <w:tcW w:w="2330" w:type="pct"/>
          </w:tcPr>
          <w:p w:rsidR="0080649D" w:rsidRPr="0084490B" w:rsidRDefault="0080649D" w:rsidP="001277D5">
            <w:pPr>
              <w:jc w:val="both"/>
              <w:rPr>
                <w:rFonts w:eastAsia="Calibri"/>
                <w:sz w:val="20"/>
              </w:rPr>
            </w:pPr>
            <w:r w:rsidRPr="0084490B">
              <w:rPr>
                <w:rFonts w:eastAsia="Calibri"/>
                <w:sz w:val="20"/>
              </w:rPr>
              <w:t>Motion for leave to appeal dismissed</w:t>
            </w:r>
          </w:p>
          <w:p w:rsidR="0080649D" w:rsidRPr="0084490B" w:rsidRDefault="0080649D" w:rsidP="001277D5">
            <w:pPr>
              <w:jc w:val="both"/>
              <w:rPr>
                <w:rFonts w:eastAsia="Calibri"/>
                <w:sz w:val="20"/>
              </w:rPr>
            </w:pPr>
          </w:p>
        </w:tc>
      </w:tr>
      <w:tr w:rsidR="0080649D" w:rsidRPr="0084490B" w:rsidTr="00D64224">
        <w:trPr>
          <w:cantSplit/>
        </w:trPr>
        <w:tc>
          <w:tcPr>
            <w:tcW w:w="2427" w:type="pct"/>
          </w:tcPr>
          <w:p w:rsidR="0080649D" w:rsidRPr="0084490B" w:rsidRDefault="0080649D" w:rsidP="001277D5">
            <w:pPr>
              <w:jc w:val="both"/>
              <w:rPr>
                <w:rFonts w:eastAsia="Calibri"/>
                <w:sz w:val="20"/>
              </w:rPr>
            </w:pPr>
            <w:r w:rsidRPr="0084490B">
              <w:rPr>
                <w:rFonts w:eastAsia="Calibri"/>
                <w:sz w:val="20"/>
              </w:rPr>
              <w:t>February 7, 2013</w:t>
            </w:r>
          </w:p>
          <w:p w:rsidR="0080649D" w:rsidRPr="0084490B" w:rsidRDefault="0080649D" w:rsidP="001277D5">
            <w:pPr>
              <w:jc w:val="both"/>
              <w:rPr>
                <w:rFonts w:eastAsia="Calibri"/>
                <w:sz w:val="20"/>
              </w:rPr>
            </w:pPr>
            <w:r w:rsidRPr="0084490B">
              <w:rPr>
                <w:rFonts w:eastAsia="Calibri"/>
                <w:sz w:val="20"/>
              </w:rPr>
              <w:t>Supreme Court of Canada</w:t>
            </w:r>
          </w:p>
        </w:tc>
        <w:tc>
          <w:tcPr>
            <w:tcW w:w="243" w:type="pct"/>
          </w:tcPr>
          <w:p w:rsidR="0080649D" w:rsidRPr="0084490B" w:rsidRDefault="0080649D" w:rsidP="001277D5">
            <w:pPr>
              <w:jc w:val="both"/>
              <w:rPr>
                <w:rFonts w:eastAsia="Calibri"/>
                <w:sz w:val="20"/>
              </w:rPr>
            </w:pPr>
          </w:p>
        </w:tc>
        <w:tc>
          <w:tcPr>
            <w:tcW w:w="2330" w:type="pct"/>
          </w:tcPr>
          <w:p w:rsidR="0080649D" w:rsidRPr="0084490B" w:rsidRDefault="0080649D" w:rsidP="001277D5">
            <w:pPr>
              <w:jc w:val="both"/>
              <w:rPr>
                <w:rFonts w:eastAsia="Calibri"/>
                <w:sz w:val="20"/>
              </w:rPr>
            </w:pPr>
            <w:r w:rsidRPr="0084490B">
              <w:rPr>
                <w:rFonts w:eastAsia="Calibri"/>
                <w:sz w:val="20"/>
              </w:rPr>
              <w:t>Application for leave to appeal filed</w:t>
            </w:r>
          </w:p>
        </w:tc>
      </w:tr>
    </w:tbl>
    <w:p w:rsidR="00EA65C4" w:rsidRDefault="00EA65C4" w:rsidP="00EA65C4">
      <w:pPr>
        <w:rPr>
          <w:sz w:val="20"/>
          <w:szCs w:val="20"/>
        </w:rPr>
      </w:pPr>
    </w:p>
    <w:p w:rsidR="00EA65C4" w:rsidRPr="00C50A5C" w:rsidRDefault="0028676C" w:rsidP="00EA65C4">
      <w:pPr>
        <w:rPr>
          <w:sz w:val="20"/>
          <w:szCs w:val="20"/>
        </w:rPr>
      </w:pPr>
      <w:r w:rsidRPr="0028676C">
        <w:rPr>
          <w:sz w:val="20"/>
          <w:szCs w:val="20"/>
          <w:lang w:val="fr-CA"/>
        </w:rPr>
        <w:pict>
          <v:rect id="_x0000_i1081" style="width:2in;height:1pt" o:hrpct="0" o:hralign="center" o:hrstd="t" o:hrnoshade="t" o:hr="t" fillcolor="black [3213]" stroked="f"/>
        </w:pict>
      </w:r>
    </w:p>
    <w:p w:rsidR="00EA65C4" w:rsidRDefault="00EA65C4" w:rsidP="00EA65C4">
      <w:pPr>
        <w:rPr>
          <w:sz w:val="20"/>
          <w:szCs w:val="20"/>
        </w:rPr>
      </w:pPr>
    </w:p>
    <w:p w:rsidR="00EA65C4" w:rsidRPr="001B157C" w:rsidRDefault="00EA65C4" w:rsidP="00EA65C4">
      <w:pPr>
        <w:rPr>
          <w:sz w:val="20"/>
          <w:szCs w:val="20"/>
          <w:u w:val="single"/>
          <w:lang w:val="fr-CA"/>
        </w:rPr>
      </w:pPr>
      <w:r w:rsidRPr="001B157C">
        <w:rPr>
          <w:sz w:val="20"/>
          <w:szCs w:val="20"/>
          <w:u w:val="single"/>
          <w:lang w:val="fr-CA"/>
        </w:rPr>
        <w:t>RÉSUMÉ DE L’AFFAIRE</w:t>
      </w:r>
    </w:p>
    <w:p w:rsidR="00EA65C4" w:rsidRDefault="00EA65C4" w:rsidP="00EA65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0649D" w:rsidRPr="00B6040C" w:rsidTr="001277D5">
        <w:tc>
          <w:tcPr>
            <w:tcW w:w="5000" w:type="pct"/>
            <w:gridSpan w:val="3"/>
          </w:tcPr>
          <w:p w:rsidR="0080649D" w:rsidRPr="0084490B" w:rsidRDefault="0080649D" w:rsidP="001277D5">
            <w:pPr>
              <w:jc w:val="both"/>
              <w:rPr>
                <w:rFonts w:eastAsia="Calibri"/>
                <w:sz w:val="20"/>
                <w:lang w:val="fr-CA"/>
              </w:rPr>
            </w:pPr>
            <w:r w:rsidRPr="0084490B">
              <w:rPr>
                <w:rFonts w:eastAsia="Calibri"/>
                <w:sz w:val="20"/>
                <w:lang w:val="fr-CA"/>
              </w:rPr>
              <w:t>Procédure civile – Appel – Permission – Est-ce à tort que le juge de la Cour d’appel a refusé la permission d’appeler?</w:t>
            </w:r>
          </w:p>
        </w:tc>
      </w:tr>
      <w:tr w:rsidR="0080649D" w:rsidRPr="00B6040C" w:rsidTr="001277D5">
        <w:tc>
          <w:tcPr>
            <w:tcW w:w="5000" w:type="pct"/>
            <w:gridSpan w:val="3"/>
          </w:tcPr>
          <w:p w:rsidR="0080649D" w:rsidRPr="0084490B" w:rsidRDefault="0080649D" w:rsidP="001277D5">
            <w:pPr>
              <w:jc w:val="both"/>
              <w:rPr>
                <w:rFonts w:eastAsia="Calibri"/>
                <w:sz w:val="20"/>
                <w:lang w:val="fr-CA"/>
              </w:rPr>
            </w:pPr>
          </w:p>
        </w:tc>
      </w:tr>
      <w:tr w:rsidR="0080649D" w:rsidRPr="00B6040C" w:rsidTr="001277D5">
        <w:tc>
          <w:tcPr>
            <w:tcW w:w="5000" w:type="pct"/>
            <w:gridSpan w:val="3"/>
          </w:tcPr>
          <w:p w:rsidR="0080649D" w:rsidRPr="0084490B" w:rsidRDefault="0080649D" w:rsidP="001277D5">
            <w:pPr>
              <w:jc w:val="both"/>
              <w:rPr>
                <w:rFonts w:eastAsia="Calibri"/>
                <w:sz w:val="20"/>
                <w:lang w:val="fr-CA"/>
              </w:rPr>
            </w:pPr>
            <w:r w:rsidRPr="0084490B">
              <w:rPr>
                <w:rFonts w:eastAsia="Calibri"/>
                <w:sz w:val="20"/>
                <w:lang w:val="fr-CA"/>
              </w:rPr>
              <w:t xml:space="preserve">Depuis août 2011, une ordonnance du juge Nadeau de la Cour supérieure du Québec oblige le demandeur, M. Beauchamp, à obtenir l’autorisation préalable du juge en chef de la Cour supérieure, ou de tout juge désigné par lui, pour toute procédure future du ressort de la Cour supérieure et qu’il voudrait instituer concernant directement ou indirectement la succession de sa mère (2011 QCCS 4345). </w:t>
            </w:r>
          </w:p>
          <w:p w:rsidR="0080649D" w:rsidRPr="0084490B" w:rsidRDefault="0080649D" w:rsidP="001277D5">
            <w:pPr>
              <w:jc w:val="both"/>
              <w:rPr>
                <w:rFonts w:eastAsia="Calibri"/>
                <w:sz w:val="20"/>
                <w:lang w:val="fr-CA"/>
              </w:rPr>
            </w:pPr>
          </w:p>
          <w:p w:rsidR="0080649D" w:rsidRPr="0084490B" w:rsidRDefault="0080649D" w:rsidP="001277D5">
            <w:pPr>
              <w:jc w:val="both"/>
              <w:rPr>
                <w:rFonts w:eastAsia="Calibri"/>
                <w:sz w:val="20"/>
                <w:lang w:val="fr-CA"/>
              </w:rPr>
            </w:pPr>
            <w:r w:rsidRPr="0084490B">
              <w:rPr>
                <w:rFonts w:eastAsia="Calibri"/>
                <w:sz w:val="20"/>
                <w:lang w:val="fr-CA"/>
              </w:rPr>
              <w:t xml:space="preserve">En novembre 2012, M. Beauchamp demande l’autorisation de déposer une requête introductive d’instance qu’il intitule « requête en restitution de biens, dommages-intérêts et dommages exemplaires ».  Le juge Nadeau, désigné pour entendre la demande, conclut que M. Beauchamp cherche en substance à refaire la procédure ayant mené à l’émission de l’ordonnance d’août 2011 – c’est-à-dire les événements ayant entouré la succession de sa mère.  Il refuse l’autorisation demandée.  Le juge </w:t>
            </w:r>
            <w:proofErr w:type="spellStart"/>
            <w:r w:rsidRPr="0084490B">
              <w:rPr>
                <w:rFonts w:eastAsia="Calibri"/>
                <w:sz w:val="20"/>
                <w:lang w:val="fr-CA"/>
              </w:rPr>
              <w:t>Kasirer</w:t>
            </w:r>
            <w:proofErr w:type="spellEnd"/>
            <w:r w:rsidRPr="0084490B">
              <w:rPr>
                <w:rFonts w:eastAsia="Calibri"/>
                <w:sz w:val="20"/>
                <w:lang w:val="fr-CA"/>
              </w:rPr>
              <w:t xml:space="preserve"> de la Cour d’appel refuse la permission d’appeler. </w:t>
            </w:r>
          </w:p>
          <w:p w:rsidR="0080649D" w:rsidRPr="0084490B" w:rsidRDefault="0080649D" w:rsidP="001277D5">
            <w:pPr>
              <w:jc w:val="both"/>
              <w:rPr>
                <w:rFonts w:eastAsia="Calibri"/>
                <w:sz w:val="20"/>
                <w:lang w:val="fr-CA"/>
              </w:rPr>
            </w:pPr>
          </w:p>
        </w:tc>
      </w:tr>
      <w:tr w:rsidR="0080649D" w:rsidRPr="00B6040C" w:rsidTr="001277D5">
        <w:tc>
          <w:tcPr>
            <w:tcW w:w="2427" w:type="pct"/>
          </w:tcPr>
          <w:p w:rsidR="0080649D" w:rsidRPr="0084490B" w:rsidRDefault="0080649D" w:rsidP="001277D5">
            <w:pPr>
              <w:jc w:val="both"/>
              <w:rPr>
                <w:rFonts w:eastAsia="Calibri"/>
                <w:sz w:val="20"/>
                <w:lang w:val="fr-CA"/>
              </w:rPr>
            </w:pPr>
            <w:r w:rsidRPr="0084490B">
              <w:rPr>
                <w:rFonts w:eastAsia="Calibri"/>
                <w:sz w:val="20"/>
                <w:lang w:val="fr-CA"/>
              </w:rPr>
              <w:t>Le 5 décembre 2012</w:t>
            </w:r>
          </w:p>
          <w:p w:rsidR="0080649D" w:rsidRPr="0084490B" w:rsidRDefault="0080649D" w:rsidP="001277D5">
            <w:pPr>
              <w:jc w:val="both"/>
              <w:rPr>
                <w:rFonts w:eastAsia="Calibri"/>
                <w:sz w:val="20"/>
                <w:lang w:val="fr-CA"/>
              </w:rPr>
            </w:pPr>
            <w:r w:rsidRPr="0084490B">
              <w:rPr>
                <w:rFonts w:eastAsia="Calibri"/>
                <w:sz w:val="20"/>
                <w:lang w:val="fr-CA"/>
              </w:rPr>
              <w:t>Cour supérieure du Québec</w:t>
            </w:r>
          </w:p>
          <w:p w:rsidR="0080649D" w:rsidRPr="0084490B" w:rsidRDefault="0080649D" w:rsidP="001277D5">
            <w:pPr>
              <w:jc w:val="both"/>
              <w:rPr>
                <w:rFonts w:eastAsia="Calibri"/>
                <w:sz w:val="20"/>
                <w:lang w:val="fr-CA"/>
              </w:rPr>
            </w:pPr>
            <w:r w:rsidRPr="0084490B">
              <w:rPr>
                <w:rFonts w:eastAsia="Calibri"/>
                <w:sz w:val="20"/>
                <w:lang w:val="fr-CA"/>
              </w:rPr>
              <w:t>(Le juge Nadeau)</w:t>
            </w:r>
          </w:p>
          <w:p w:rsidR="0080649D" w:rsidRPr="0084490B" w:rsidRDefault="0080649D" w:rsidP="001277D5">
            <w:pPr>
              <w:jc w:val="both"/>
              <w:rPr>
                <w:rFonts w:eastAsia="Calibri"/>
                <w:sz w:val="20"/>
              </w:rPr>
            </w:pPr>
          </w:p>
        </w:tc>
        <w:tc>
          <w:tcPr>
            <w:tcW w:w="243" w:type="pct"/>
          </w:tcPr>
          <w:p w:rsidR="0080649D" w:rsidRPr="0084490B" w:rsidRDefault="0080649D" w:rsidP="001277D5">
            <w:pPr>
              <w:jc w:val="both"/>
              <w:rPr>
                <w:rFonts w:eastAsia="Calibri"/>
                <w:sz w:val="20"/>
              </w:rPr>
            </w:pPr>
          </w:p>
        </w:tc>
        <w:tc>
          <w:tcPr>
            <w:tcW w:w="2330" w:type="pct"/>
          </w:tcPr>
          <w:p w:rsidR="0080649D" w:rsidRPr="0084490B" w:rsidRDefault="0080649D" w:rsidP="001277D5">
            <w:pPr>
              <w:jc w:val="both"/>
              <w:rPr>
                <w:rFonts w:eastAsia="Calibri"/>
                <w:sz w:val="20"/>
                <w:lang w:val="fr-CA"/>
              </w:rPr>
            </w:pPr>
            <w:r w:rsidRPr="0084490B">
              <w:rPr>
                <w:rFonts w:eastAsia="Calibri"/>
                <w:sz w:val="20"/>
                <w:lang w:val="fr-CA"/>
              </w:rPr>
              <w:t>Demande pour être autorisé à faire émettre et à signifier une demande introductive d’instance rejetée</w:t>
            </w:r>
          </w:p>
          <w:p w:rsidR="0080649D" w:rsidRPr="0084490B" w:rsidRDefault="0080649D" w:rsidP="001277D5">
            <w:pPr>
              <w:jc w:val="both"/>
              <w:rPr>
                <w:rFonts w:eastAsia="Calibri"/>
                <w:sz w:val="20"/>
                <w:lang w:val="fr-CA"/>
              </w:rPr>
            </w:pPr>
          </w:p>
        </w:tc>
      </w:tr>
      <w:tr w:rsidR="0080649D" w:rsidRPr="0084490B" w:rsidTr="001277D5">
        <w:tc>
          <w:tcPr>
            <w:tcW w:w="2427" w:type="pct"/>
          </w:tcPr>
          <w:p w:rsidR="0080649D" w:rsidRPr="0084490B" w:rsidRDefault="0080649D" w:rsidP="001277D5">
            <w:pPr>
              <w:jc w:val="both"/>
              <w:rPr>
                <w:rFonts w:eastAsia="Calibri"/>
                <w:sz w:val="20"/>
                <w:lang w:val="fr-CA"/>
              </w:rPr>
            </w:pPr>
            <w:r w:rsidRPr="0084490B">
              <w:rPr>
                <w:rFonts w:eastAsia="Calibri"/>
                <w:sz w:val="20"/>
                <w:lang w:val="fr-CA"/>
              </w:rPr>
              <w:t>Le 11 janvier 2013</w:t>
            </w:r>
          </w:p>
          <w:p w:rsidR="0080649D" w:rsidRPr="0084490B" w:rsidRDefault="0080649D" w:rsidP="001277D5">
            <w:pPr>
              <w:jc w:val="both"/>
              <w:rPr>
                <w:rFonts w:eastAsia="Calibri"/>
                <w:sz w:val="20"/>
                <w:lang w:val="fr-CA"/>
              </w:rPr>
            </w:pPr>
            <w:r w:rsidRPr="0084490B">
              <w:rPr>
                <w:rFonts w:eastAsia="Calibri"/>
                <w:sz w:val="20"/>
                <w:lang w:val="fr-CA"/>
              </w:rPr>
              <w:t>Cour d’appel du Québec (Québec)</w:t>
            </w:r>
          </w:p>
          <w:p w:rsidR="0080649D" w:rsidRPr="0084490B" w:rsidRDefault="0080649D" w:rsidP="001277D5">
            <w:pPr>
              <w:jc w:val="both"/>
              <w:rPr>
                <w:rFonts w:eastAsia="Calibri"/>
                <w:sz w:val="20"/>
                <w:lang w:val="fr-CA"/>
              </w:rPr>
            </w:pPr>
            <w:r w:rsidRPr="0084490B">
              <w:rPr>
                <w:rFonts w:eastAsia="Calibri"/>
                <w:sz w:val="20"/>
                <w:lang w:val="fr-CA"/>
              </w:rPr>
              <w:t xml:space="preserve">(Le juge </w:t>
            </w:r>
            <w:proofErr w:type="spellStart"/>
            <w:r w:rsidRPr="0084490B">
              <w:rPr>
                <w:rFonts w:eastAsia="Calibri"/>
                <w:sz w:val="20"/>
                <w:lang w:val="fr-CA"/>
              </w:rPr>
              <w:t>Kasirer</w:t>
            </w:r>
            <w:proofErr w:type="spellEnd"/>
            <w:r w:rsidRPr="0084490B">
              <w:rPr>
                <w:rFonts w:eastAsia="Calibri"/>
                <w:sz w:val="20"/>
                <w:lang w:val="fr-CA"/>
              </w:rPr>
              <w:t>)</w:t>
            </w:r>
          </w:p>
          <w:p w:rsidR="0080649D" w:rsidRPr="0084490B" w:rsidRDefault="0080649D" w:rsidP="001277D5">
            <w:pPr>
              <w:jc w:val="both"/>
              <w:rPr>
                <w:rFonts w:eastAsia="Calibri"/>
                <w:sz w:val="20"/>
                <w:lang w:val="fr-CA"/>
              </w:rPr>
            </w:pPr>
            <w:r w:rsidRPr="0084490B">
              <w:rPr>
                <w:rFonts w:eastAsia="Calibri"/>
                <w:sz w:val="20"/>
                <w:lang w:val="fr-CA"/>
              </w:rPr>
              <w:t>2013 QCCA 201; 500-09-023169-121</w:t>
            </w:r>
          </w:p>
          <w:p w:rsidR="0080649D" w:rsidRPr="0084490B" w:rsidRDefault="0080649D" w:rsidP="001277D5">
            <w:pPr>
              <w:jc w:val="both"/>
              <w:rPr>
                <w:rFonts w:eastAsia="Calibri"/>
                <w:sz w:val="20"/>
              </w:rPr>
            </w:pPr>
          </w:p>
        </w:tc>
        <w:tc>
          <w:tcPr>
            <w:tcW w:w="243" w:type="pct"/>
          </w:tcPr>
          <w:p w:rsidR="0080649D" w:rsidRPr="0084490B" w:rsidRDefault="0080649D" w:rsidP="001277D5">
            <w:pPr>
              <w:jc w:val="both"/>
              <w:rPr>
                <w:rFonts w:eastAsia="Calibri"/>
                <w:sz w:val="20"/>
              </w:rPr>
            </w:pPr>
          </w:p>
        </w:tc>
        <w:tc>
          <w:tcPr>
            <w:tcW w:w="2330" w:type="pct"/>
          </w:tcPr>
          <w:p w:rsidR="0080649D" w:rsidRPr="0084490B" w:rsidRDefault="0080649D" w:rsidP="001277D5">
            <w:pPr>
              <w:jc w:val="both"/>
              <w:rPr>
                <w:rFonts w:eastAsia="Calibri"/>
                <w:sz w:val="20"/>
                <w:lang w:val="fr-CA"/>
              </w:rPr>
            </w:pPr>
            <w:r w:rsidRPr="0084490B">
              <w:rPr>
                <w:rFonts w:eastAsia="Calibri"/>
                <w:sz w:val="20"/>
                <w:lang w:val="fr-CA"/>
              </w:rPr>
              <w:t>Requête pour permission d’appeler rejetée</w:t>
            </w:r>
          </w:p>
          <w:p w:rsidR="0080649D" w:rsidRPr="0084490B" w:rsidRDefault="0080649D" w:rsidP="001277D5">
            <w:pPr>
              <w:jc w:val="both"/>
              <w:rPr>
                <w:rFonts w:eastAsia="Calibri"/>
                <w:sz w:val="20"/>
                <w:lang w:val="fr-CA"/>
              </w:rPr>
            </w:pPr>
          </w:p>
        </w:tc>
      </w:tr>
      <w:tr w:rsidR="0080649D" w:rsidRPr="0084490B" w:rsidTr="001277D5">
        <w:tc>
          <w:tcPr>
            <w:tcW w:w="2427" w:type="pct"/>
          </w:tcPr>
          <w:p w:rsidR="0080649D" w:rsidRPr="0084490B" w:rsidRDefault="0080649D" w:rsidP="001277D5">
            <w:pPr>
              <w:jc w:val="both"/>
              <w:rPr>
                <w:rFonts w:eastAsia="Calibri"/>
                <w:sz w:val="20"/>
                <w:lang w:val="fr-CA"/>
              </w:rPr>
            </w:pPr>
            <w:r w:rsidRPr="0084490B">
              <w:rPr>
                <w:rFonts w:eastAsia="Calibri"/>
                <w:sz w:val="20"/>
                <w:lang w:val="fr-CA"/>
              </w:rPr>
              <w:t>Le 7 février 2013</w:t>
            </w:r>
          </w:p>
          <w:p w:rsidR="0080649D" w:rsidRPr="0084490B" w:rsidRDefault="0080649D" w:rsidP="001277D5">
            <w:pPr>
              <w:jc w:val="both"/>
              <w:rPr>
                <w:rFonts w:eastAsia="Calibri"/>
                <w:sz w:val="20"/>
                <w:lang w:val="fr-CA"/>
              </w:rPr>
            </w:pPr>
            <w:r w:rsidRPr="0084490B">
              <w:rPr>
                <w:rFonts w:eastAsia="Calibri"/>
                <w:sz w:val="20"/>
                <w:lang w:val="fr-CA"/>
              </w:rPr>
              <w:t>Cour suprême du Canada</w:t>
            </w:r>
          </w:p>
        </w:tc>
        <w:tc>
          <w:tcPr>
            <w:tcW w:w="243" w:type="pct"/>
          </w:tcPr>
          <w:p w:rsidR="0080649D" w:rsidRPr="0084490B" w:rsidRDefault="0080649D" w:rsidP="001277D5">
            <w:pPr>
              <w:jc w:val="both"/>
              <w:rPr>
                <w:rFonts w:eastAsia="Calibri"/>
                <w:sz w:val="20"/>
                <w:lang w:val="fr-CA"/>
              </w:rPr>
            </w:pPr>
          </w:p>
        </w:tc>
        <w:tc>
          <w:tcPr>
            <w:tcW w:w="2330" w:type="pct"/>
          </w:tcPr>
          <w:p w:rsidR="0080649D" w:rsidRPr="0084490B" w:rsidRDefault="0080649D" w:rsidP="001277D5">
            <w:pPr>
              <w:jc w:val="both"/>
              <w:rPr>
                <w:rFonts w:eastAsia="Calibri"/>
                <w:sz w:val="20"/>
                <w:lang w:val="fr-CA"/>
              </w:rPr>
            </w:pPr>
            <w:r w:rsidRPr="0084490B">
              <w:rPr>
                <w:rFonts w:eastAsia="Calibri"/>
                <w:sz w:val="20"/>
                <w:lang w:val="fr-CA"/>
              </w:rPr>
              <w:t>Demande d'autorisation d'appel déposée</w:t>
            </w:r>
          </w:p>
        </w:tc>
      </w:tr>
    </w:tbl>
    <w:p w:rsidR="00EA65C4" w:rsidRDefault="00EA65C4" w:rsidP="00EA65C4">
      <w:pPr>
        <w:rPr>
          <w:sz w:val="20"/>
          <w:szCs w:val="20"/>
        </w:rPr>
      </w:pPr>
    </w:p>
    <w:p w:rsidR="00EA65C4" w:rsidRDefault="0028676C" w:rsidP="00EA65C4">
      <w:pPr>
        <w:rPr>
          <w:sz w:val="20"/>
          <w:szCs w:val="20"/>
        </w:rPr>
      </w:pPr>
      <w:r w:rsidRPr="0028676C">
        <w:rPr>
          <w:sz w:val="20"/>
          <w:szCs w:val="20"/>
          <w:lang w:val="fr-CA"/>
        </w:rPr>
        <w:pict>
          <v:rect id="_x0000_i1082" style="width:2in;height:1pt" o:hrpct="0" o:hralign="center" o:hrstd="t" o:hrnoshade="t" o:hr="t" fillcolor="black [3213]" stroked="f"/>
        </w:pict>
      </w:r>
    </w:p>
    <w:p w:rsidR="00EA65C4" w:rsidRDefault="00EA65C4" w:rsidP="00EA65C4">
      <w:pPr>
        <w:rPr>
          <w:sz w:val="20"/>
          <w:szCs w:val="20"/>
        </w:rPr>
      </w:pPr>
    </w:p>
    <w:p w:rsidR="008D292F" w:rsidRPr="00C50A5C" w:rsidRDefault="008D292F" w:rsidP="008D292F">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6E5D7C" w:rsidRPr="006E5D7C" w:rsidRDefault="006E5D7C" w:rsidP="006E5D7C">
      <w:pPr>
        <w:tabs>
          <w:tab w:val="left" w:pos="-1440"/>
          <w:tab w:val="left" w:pos="-720"/>
        </w:tabs>
        <w:jc w:val="both"/>
        <w:rPr>
          <w:rFonts w:eastAsia="Times New Roman" w:cs="Times New Roman"/>
          <w:sz w:val="20"/>
          <w:szCs w:val="20"/>
          <w:lang w:val="fr-CA" w:eastAsia="en-CA"/>
        </w:rPr>
      </w:pPr>
      <w:r w:rsidRPr="006E5D7C">
        <w:rPr>
          <w:rFonts w:eastAsia="Times New Roman" w:cs="Times New Roman"/>
          <w:sz w:val="20"/>
          <w:szCs w:val="20"/>
          <w:lang w:val="fr-CA" w:eastAsia="en-CA"/>
        </w:rPr>
        <w:t>07.05.2013</w:t>
      </w:r>
    </w:p>
    <w:p w:rsidR="006E5D7C" w:rsidRPr="006E5D7C" w:rsidRDefault="006E5D7C" w:rsidP="006E5D7C">
      <w:pPr>
        <w:tabs>
          <w:tab w:val="left" w:pos="-1440"/>
          <w:tab w:val="left" w:pos="-720"/>
        </w:tabs>
        <w:jc w:val="both"/>
        <w:rPr>
          <w:rFonts w:eastAsia="Times New Roman" w:cs="Times New Roman"/>
          <w:sz w:val="20"/>
          <w:szCs w:val="20"/>
          <w:lang w:val="fr-CA" w:eastAsia="en-CA"/>
        </w:rPr>
      </w:pPr>
    </w:p>
    <w:p w:rsidR="006E5D7C" w:rsidRPr="006E5D7C" w:rsidRDefault="006E5D7C" w:rsidP="006E5D7C">
      <w:pPr>
        <w:tabs>
          <w:tab w:val="left" w:pos="-1440"/>
          <w:tab w:val="left" w:pos="-720"/>
        </w:tabs>
        <w:jc w:val="both"/>
        <w:rPr>
          <w:rFonts w:eastAsia="Times New Roman" w:cs="Times New Roman"/>
          <w:sz w:val="20"/>
          <w:szCs w:val="20"/>
          <w:lang w:val="fr-CA" w:eastAsia="en-CA"/>
        </w:rPr>
      </w:pPr>
      <w:r w:rsidRPr="006E5D7C">
        <w:rPr>
          <w:rFonts w:eastAsia="Times New Roman" w:cs="Times New Roman"/>
          <w:sz w:val="20"/>
          <w:szCs w:val="20"/>
          <w:lang w:val="fr-CA" w:eastAsia="en-CA"/>
        </w:rPr>
        <w:t>Before / Devant :   WAGNER J. / LE JUGE WAGNER</w:t>
      </w:r>
    </w:p>
    <w:p w:rsidR="006E5D7C" w:rsidRPr="006E5D7C" w:rsidRDefault="006E5D7C" w:rsidP="006E5D7C">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E5D7C" w:rsidRPr="00B6040C" w:rsidTr="004B2CEB">
        <w:tc>
          <w:tcPr>
            <w:tcW w:w="4338" w:type="dxa"/>
          </w:tcPr>
          <w:p w:rsidR="006E5D7C" w:rsidRPr="006E5D7C" w:rsidRDefault="006E5D7C" w:rsidP="006E5D7C">
            <w:pPr>
              <w:tabs>
                <w:tab w:val="left" w:pos="-1440"/>
                <w:tab w:val="left" w:pos="-720"/>
              </w:tabs>
              <w:jc w:val="both"/>
              <w:rPr>
                <w:b/>
              </w:rPr>
            </w:pPr>
            <w:r w:rsidRPr="006E5D7C">
              <w:rPr>
                <w:b/>
                <w:bCs/>
              </w:rPr>
              <w:t>Motion to extend time and related motions</w:t>
            </w:r>
          </w:p>
        </w:tc>
        <w:tc>
          <w:tcPr>
            <w:tcW w:w="1170" w:type="dxa"/>
          </w:tcPr>
          <w:p w:rsidR="006E5D7C" w:rsidRPr="006E5D7C" w:rsidRDefault="006E5D7C" w:rsidP="006E5D7C">
            <w:pPr>
              <w:tabs>
                <w:tab w:val="left" w:pos="-1440"/>
                <w:tab w:val="left" w:pos="-720"/>
              </w:tabs>
              <w:jc w:val="both"/>
            </w:pPr>
          </w:p>
          <w:p w:rsidR="006E5D7C" w:rsidRPr="006E5D7C" w:rsidRDefault="006E5D7C" w:rsidP="006E5D7C">
            <w:pPr>
              <w:tabs>
                <w:tab w:val="left" w:pos="-1440"/>
                <w:tab w:val="left" w:pos="-720"/>
              </w:tabs>
              <w:jc w:val="both"/>
            </w:pPr>
          </w:p>
          <w:p w:rsidR="006E5D7C" w:rsidRPr="006E5D7C" w:rsidRDefault="006E5D7C" w:rsidP="006E5D7C">
            <w:pPr>
              <w:tabs>
                <w:tab w:val="left" w:pos="-1440"/>
                <w:tab w:val="left" w:pos="-720"/>
              </w:tabs>
              <w:jc w:val="both"/>
            </w:pPr>
          </w:p>
        </w:tc>
        <w:tc>
          <w:tcPr>
            <w:tcW w:w="4327" w:type="dxa"/>
          </w:tcPr>
          <w:p w:rsidR="006E5D7C" w:rsidRPr="006E5D7C" w:rsidRDefault="006E5D7C" w:rsidP="006E5D7C">
            <w:pPr>
              <w:tabs>
                <w:tab w:val="left" w:pos="-1440"/>
                <w:tab w:val="left" w:pos="-720"/>
              </w:tabs>
              <w:jc w:val="both"/>
              <w:rPr>
                <w:lang w:val="fr-CA"/>
              </w:rPr>
            </w:pPr>
            <w:r w:rsidRPr="006E5D7C">
              <w:rPr>
                <w:b/>
                <w:bCs/>
                <w:lang w:val="fr-CA"/>
              </w:rPr>
              <w:t>Requête en prorogation de délai et requêtes connexes</w:t>
            </w:r>
            <w:r w:rsidRPr="006E5D7C">
              <w:rPr>
                <w:lang w:val="fr-CA"/>
              </w:rPr>
              <w:t xml:space="preserve"> </w:t>
            </w:r>
            <w:r w:rsidR="0028676C" w:rsidRPr="006E5D7C">
              <w:rPr>
                <w:lang w:val="en-US"/>
              </w:rPr>
              <w:fldChar w:fldCharType="begin"/>
            </w:r>
            <w:r w:rsidRPr="006E5D7C">
              <w:rPr>
                <w:lang w:val="fr-CA"/>
              </w:rPr>
              <w:instrText xml:space="preserve"> SEQ CHAPTER \h \r 1</w:instrText>
            </w:r>
            <w:r w:rsidR="0028676C" w:rsidRPr="006E5D7C">
              <w:rPr>
                <w:lang w:val="en-US"/>
              </w:rPr>
              <w:fldChar w:fldCharType="end"/>
            </w:r>
            <w:r w:rsidR="0028676C" w:rsidRPr="006E5D7C">
              <w:rPr>
                <w:lang w:val="en-US"/>
              </w:rPr>
              <w:fldChar w:fldCharType="begin"/>
            </w:r>
            <w:r w:rsidRPr="006E5D7C">
              <w:rPr>
                <w:lang w:val="fr-CA"/>
              </w:rPr>
              <w:instrText xml:space="preserve"> SEQ CHAPTER \h \r 1</w:instrText>
            </w:r>
            <w:r w:rsidR="0028676C" w:rsidRPr="006E5D7C">
              <w:rPr>
                <w:lang w:val="en-US"/>
              </w:rPr>
              <w:fldChar w:fldCharType="end"/>
            </w:r>
          </w:p>
        </w:tc>
      </w:tr>
      <w:tr w:rsidR="006E5D7C" w:rsidRPr="006E5D7C" w:rsidTr="004B2CEB">
        <w:tc>
          <w:tcPr>
            <w:tcW w:w="4338" w:type="dxa"/>
          </w:tcPr>
          <w:p w:rsidR="006E5D7C" w:rsidRPr="006E5D7C" w:rsidRDefault="006E5D7C" w:rsidP="006E5D7C">
            <w:pPr>
              <w:tabs>
                <w:tab w:val="left" w:pos="-1440"/>
                <w:tab w:val="left" w:pos="-720"/>
              </w:tabs>
              <w:jc w:val="both"/>
              <w:rPr>
                <w:lang w:val="fr-CA"/>
              </w:rPr>
            </w:pPr>
            <w:r w:rsidRPr="006E5D7C">
              <w:rPr>
                <w:lang w:val="fr-CA"/>
              </w:rPr>
              <w:t>Sa Majesté la Reine</w:t>
            </w:r>
          </w:p>
          <w:p w:rsidR="006E5D7C" w:rsidRPr="006E5D7C" w:rsidRDefault="006E5D7C" w:rsidP="006E5D7C">
            <w:pPr>
              <w:tabs>
                <w:tab w:val="left" w:pos="-1440"/>
                <w:tab w:val="left" w:pos="-720"/>
              </w:tabs>
              <w:jc w:val="both"/>
              <w:rPr>
                <w:lang w:val="fr-CA"/>
              </w:rPr>
            </w:pPr>
          </w:p>
          <w:p w:rsidR="006E5D7C" w:rsidRPr="006E5D7C" w:rsidRDefault="006E5D7C" w:rsidP="006E5D7C">
            <w:pPr>
              <w:tabs>
                <w:tab w:val="left" w:pos="-1440"/>
                <w:tab w:val="left" w:pos="-720"/>
              </w:tabs>
              <w:jc w:val="both"/>
              <w:rPr>
                <w:lang w:val="fr-CA"/>
              </w:rPr>
            </w:pPr>
            <w:r w:rsidRPr="006E5D7C">
              <w:rPr>
                <w:lang w:val="fr-CA"/>
              </w:rPr>
              <w:tab/>
              <w:t>c. (34743)</w:t>
            </w:r>
          </w:p>
          <w:p w:rsidR="006E5D7C" w:rsidRPr="006E5D7C" w:rsidRDefault="006E5D7C" w:rsidP="006E5D7C">
            <w:pPr>
              <w:tabs>
                <w:tab w:val="left" w:pos="-1440"/>
                <w:tab w:val="left" w:pos="-720"/>
              </w:tabs>
              <w:jc w:val="both"/>
              <w:rPr>
                <w:lang w:val="fr-CA"/>
              </w:rPr>
            </w:pPr>
          </w:p>
          <w:p w:rsidR="006E5D7C" w:rsidRPr="006E5D7C" w:rsidRDefault="006E5D7C" w:rsidP="006E5D7C">
            <w:pPr>
              <w:tabs>
                <w:tab w:val="left" w:pos="-1440"/>
                <w:tab w:val="left" w:pos="-720"/>
              </w:tabs>
              <w:jc w:val="both"/>
            </w:pPr>
            <w:r w:rsidRPr="006E5D7C">
              <w:t>Stéphane McRae (Crim.) (Qc)</w:t>
            </w:r>
          </w:p>
        </w:tc>
        <w:tc>
          <w:tcPr>
            <w:tcW w:w="1170" w:type="dxa"/>
          </w:tcPr>
          <w:p w:rsidR="006E5D7C" w:rsidRPr="006E5D7C" w:rsidRDefault="006E5D7C" w:rsidP="006E5D7C">
            <w:pPr>
              <w:tabs>
                <w:tab w:val="left" w:pos="-1440"/>
                <w:tab w:val="left" w:pos="-720"/>
              </w:tabs>
              <w:jc w:val="both"/>
            </w:pPr>
          </w:p>
        </w:tc>
        <w:tc>
          <w:tcPr>
            <w:tcW w:w="4327" w:type="dxa"/>
          </w:tcPr>
          <w:p w:rsidR="006E5D7C" w:rsidRPr="006E5D7C" w:rsidRDefault="006E5D7C" w:rsidP="006E5D7C">
            <w:pPr>
              <w:tabs>
                <w:tab w:val="left" w:pos="-1440"/>
                <w:tab w:val="left" w:pos="-720"/>
              </w:tabs>
              <w:jc w:val="both"/>
            </w:pPr>
          </w:p>
        </w:tc>
      </w:tr>
    </w:tbl>
    <w:p w:rsidR="006E5D7C" w:rsidRPr="006E5D7C" w:rsidRDefault="006E5D7C" w:rsidP="006E5D7C">
      <w:pPr>
        <w:tabs>
          <w:tab w:val="left" w:pos="-1440"/>
          <w:tab w:val="left" w:pos="-720"/>
        </w:tabs>
        <w:jc w:val="both"/>
        <w:rPr>
          <w:rFonts w:eastAsia="Times New Roman" w:cs="Times New Roman"/>
          <w:sz w:val="20"/>
          <w:szCs w:val="20"/>
          <w:lang w:eastAsia="en-CA"/>
        </w:rPr>
      </w:pPr>
    </w:p>
    <w:p w:rsidR="006E5D7C" w:rsidRPr="006E5D7C" w:rsidRDefault="006E5D7C" w:rsidP="006E5D7C">
      <w:pPr>
        <w:tabs>
          <w:tab w:val="left" w:pos="-1440"/>
          <w:tab w:val="left" w:pos="-720"/>
        </w:tabs>
        <w:jc w:val="both"/>
        <w:rPr>
          <w:rFonts w:eastAsia="Times New Roman" w:cs="Times New Roman"/>
          <w:b/>
          <w:sz w:val="20"/>
          <w:szCs w:val="20"/>
          <w:lang w:eastAsia="en-CA"/>
        </w:rPr>
      </w:pPr>
      <w:r w:rsidRPr="006E5D7C">
        <w:rPr>
          <w:rFonts w:eastAsia="Times New Roman" w:cs="Times New Roman"/>
          <w:b/>
          <w:sz w:val="20"/>
          <w:szCs w:val="20"/>
          <w:lang w:eastAsia="en-CA"/>
        </w:rPr>
        <w:t>GRANTED / ACCORDÉE</w:t>
      </w:r>
    </w:p>
    <w:p w:rsidR="006E5D7C" w:rsidRPr="006E5D7C" w:rsidRDefault="006E5D7C" w:rsidP="006E5D7C">
      <w:pPr>
        <w:tabs>
          <w:tab w:val="left" w:pos="-1440"/>
          <w:tab w:val="left" w:pos="-720"/>
        </w:tabs>
        <w:jc w:val="both"/>
        <w:rPr>
          <w:rFonts w:eastAsia="Times New Roman" w:cs="Times New Roman"/>
          <w:sz w:val="20"/>
          <w:szCs w:val="20"/>
          <w:lang w:eastAsia="en-CA"/>
        </w:rPr>
      </w:pPr>
    </w:p>
    <w:p w:rsidR="006E5D7C" w:rsidRPr="006E5D7C" w:rsidRDefault="006E5D7C" w:rsidP="006E5D7C">
      <w:pPr>
        <w:spacing w:line="233" w:lineRule="auto"/>
        <w:jc w:val="both"/>
        <w:rPr>
          <w:rFonts w:eastAsia="Times New Roman" w:cs="Times New Roman"/>
          <w:sz w:val="20"/>
          <w:szCs w:val="20"/>
          <w:lang w:val="fr-CA" w:eastAsia="en-CA"/>
        </w:rPr>
      </w:pPr>
      <w:r w:rsidRPr="006E5D7C">
        <w:rPr>
          <w:rFonts w:eastAsia="Times New Roman" w:cs="Times New Roman"/>
          <w:b/>
          <w:bCs/>
          <w:sz w:val="20"/>
          <w:szCs w:val="20"/>
          <w:lang w:val="fr-CA" w:eastAsia="en-CA"/>
        </w:rPr>
        <w:t xml:space="preserve">À LA SUITE DE LA DEMANDE </w:t>
      </w:r>
      <w:r w:rsidRPr="006E5D7C">
        <w:rPr>
          <w:rFonts w:eastAsia="Times New Roman" w:cs="Times New Roman"/>
          <w:sz w:val="20"/>
          <w:szCs w:val="20"/>
          <w:lang w:val="fr-CA" w:eastAsia="en-CA"/>
        </w:rPr>
        <w:t xml:space="preserve">présentée par l’intimé pour obtenir la prorogation du délai pour la signification et le dépôt de son mémoire au 30 avril 2013 </w:t>
      </w:r>
      <w:r w:rsidRPr="006E5D7C">
        <w:rPr>
          <w:rFonts w:eastAsia="PMingLiU" w:cs="Times New Roman"/>
          <w:sz w:val="20"/>
          <w:szCs w:val="20"/>
          <w:lang w:val="fr-CA" w:eastAsia="en-CA"/>
        </w:rPr>
        <w:t>et pour obtenir la permission de plaider oralement à l’audition de l’appel en vertu de la règle 71(3);</w:t>
      </w:r>
    </w:p>
    <w:p w:rsidR="006E5D7C" w:rsidRPr="006E5D7C" w:rsidRDefault="006E5D7C" w:rsidP="006E5D7C">
      <w:pPr>
        <w:spacing w:line="233" w:lineRule="auto"/>
        <w:jc w:val="both"/>
        <w:rPr>
          <w:rFonts w:eastAsia="Times New Roman" w:cs="Times New Roman"/>
          <w:sz w:val="20"/>
          <w:szCs w:val="20"/>
          <w:lang w:val="fr-CA" w:eastAsia="en-CA"/>
        </w:rPr>
      </w:pPr>
    </w:p>
    <w:p w:rsidR="006E5D7C" w:rsidRPr="006E5D7C" w:rsidRDefault="006E5D7C" w:rsidP="006E5D7C">
      <w:pPr>
        <w:spacing w:line="233" w:lineRule="auto"/>
        <w:jc w:val="both"/>
        <w:rPr>
          <w:rFonts w:eastAsia="Times New Roman" w:cs="Times New Roman"/>
          <w:sz w:val="20"/>
          <w:szCs w:val="20"/>
          <w:lang w:val="fr-CA" w:eastAsia="en-CA"/>
        </w:rPr>
      </w:pPr>
      <w:r w:rsidRPr="006E5D7C">
        <w:rPr>
          <w:rFonts w:eastAsia="Times New Roman" w:cs="Times New Roman"/>
          <w:b/>
          <w:bCs/>
          <w:sz w:val="20"/>
          <w:szCs w:val="20"/>
          <w:lang w:val="fr-CA" w:eastAsia="en-CA"/>
        </w:rPr>
        <w:t xml:space="preserve">ET APRÈS EXAMEN </w:t>
      </w:r>
      <w:r w:rsidRPr="006E5D7C">
        <w:rPr>
          <w:rFonts w:eastAsia="Times New Roman" w:cs="Times New Roman"/>
          <w:sz w:val="20"/>
          <w:szCs w:val="20"/>
          <w:lang w:val="fr-CA" w:eastAsia="en-CA"/>
        </w:rPr>
        <w:t xml:space="preserve">des documents déposés; </w:t>
      </w:r>
    </w:p>
    <w:p w:rsidR="006E5D7C" w:rsidRPr="006E5D7C" w:rsidRDefault="006E5D7C" w:rsidP="006E5D7C">
      <w:pPr>
        <w:spacing w:line="233" w:lineRule="auto"/>
        <w:jc w:val="both"/>
        <w:rPr>
          <w:rFonts w:eastAsia="Times New Roman" w:cs="Times New Roman"/>
          <w:sz w:val="20"/>
          <w:szCs w:val="20"/>
          <w:lang w:val="fr-CA" w:eastAsia="en-CA"/>
        </w:rPr>
      </w:pPr>
    </w:p>
    <w:p w:rsidR="006E5D7C" w:rsidRPr="006E5D7C" w:rsidRDefault="006E5D7C" w:rsidP="006E5D7C">
      <w:pPr>
        <w:spacing w:line="233" w:lineRule="auto"/>
        <w:jc w:val="both"/>
        <w:rPr>
          <w:rFonts w:eastAsia="Times New Roman" w:cs="Times New Roman"/>
          <w:sz w:val="20"/>
          <w:szCs w:val="20"/>
          <w:lang w:val="fr-CA" w:eastAsia="en-CA"/>
        </w:rPr>
      </w:pPr>
      <w:r w:rsidRPr="006E5D7C">
        <w:rPr>
          <w:rFonts w:eastAsia="Times New Roman" w:cs="Times New Roman"/>
          <w:b/>
          <w:bCs/>
          <w:sz w:val="20"/>
          <w:szCs w:val="20"/>
          <w:lang w:val="fr-CA" w:eastAsia="en-CA"/>
        </w:rPr>
        <w:t xml:space="preserve">IL EST ORDONNÉ CE QUI SUIT : </w:t>
      </w:r>
    </w:p>
    <w:p w:rsidR="006E5D7C" w:rsidRPr="006E5D7C" w:rsidRDefault="006E5D7C" w:rsidP="006E5D7C">
      <w:pPr>
        <w:spacing w:line="233" w:lineRule="auto"/>
        <w:jc w:val="both"/>
        <w:rPr>
          <w:rFonts w:eastAsia="Times New Roman" w:cs="Times New Roman"/>
          <w:sz w:val="20"/>
          <w:szCs w:val="20"/>
          <w:lang w:val="fr-CA" w:eastAsia="en-CA"/>
        </w:rPr>
      </w:pPr>
    </w:p>
    <w:p w:rsidR="006E5D7C" w:rsidRPr="006E5D7C" w:rsidRDefault="006E5D7C" w:rsidP="006E5D7C">
      <w:pPr>
        <w:spacing w:line="233" w:lineRule="auto"/>
        <w:jc w:val="both"/>
        <w:rPr>
          <w:rFonts w:eastAsia="Times New Roman" w:cs="Times New Roman"/>
          <w:sz w:val="20"/>
          <w:szCs w:val="20"/>
          <w:lang w:eastAsia="en-CA"/>
        </w:rPr>
      </w:pPr>
      <w:r w:rsidRPr="006E5D7C">
        <w:rPr>
          <w:rFonts w:eastAsia="Times New Roman" w:cs="Times New Roman"/>
          <w:sz w:val="20"/>
          <w:szCs w:val="20"/>
          <w:lang w:val="fr-CA" w:eastAsia="en-CA"/>
        </w:rPr>
        <w:tab/>
      </w:r>
      <w:r w:rsidRPr="006E5D7C">
        <w:rPr>
          <w:rFonts w:eastAsia="Times New Roman" w:cs="Times New Roman"/>
          <w:sz w:val="20"/>
          <w:szCs w:val="20"/>
          <w:lang w:eastAsia="en-CA"/>
        </w:rPr>
        <w:t xml:space="preserve">La </w:t>
      </w:r>
      <w:proofErr w:type="spellStart"/>
      <w:r w:rsidRPr="006E5D7C">
        <w:rPr>
          <w:rFonts w:eastAsia="Times New Roman" w:cs="Times New Roman"/>
          <w:sz w:val="20"/>
          <w:szCs w:val="20"/>
          <w:lang w:eastAsia="en-CA"/>
        </w:rPr>
        <w:t>requête</w:t>
      </w:r>
      <w:proofErr w:type="spellEnd"/>
      <w:r w:rsidRPr="006E5D7C">
        <w:rPr>
          <w:rFonts w:eastAsia="Times New Roman" w:cs="Times New Roman"/>
          <w:sz w:val="20"/>
          <w:szCs w:val="20"/>
          <w:lang w:eastAsia="en-CA"/>
        </w:rPr>
        <w:t xml:space="preserve"> </w:t>
      </w:r>
      <w:proofErr w:type="gramStart"/>
      <w:r w:rsidRPr="006E5D7C">
        <w:rPr>
          <w:rFonts w:eastAsia="Times New Roman" w:cs="Times New Roman"/>
          <w:sz w:val="20"/>
          <w:szCs w:val="20"/>
          <w:lang w:eastAsia="en-CA"/>
        </w:rPr>
        <w:t>est</w:t>
      </w:r>
      <w:proofErr w:type="gramEnd"/>
      <w:r w:rsidRPr="006E5D7C">
        <w:rPr>
          <w:rFonts w:eastAsia="Times New Roman" w:cs="Times New Roman"/>
          <w:sz w:val="20"/>
          <w:szCs w:val="20"/>
          <w:lang w:eastAsia="en-CA"/>
        </w:rPr>
        <w:t xml:space="preserve"> </w:t>
      </w:r>
      <w:proofErr w:type="spellStart"/>
      <w:r w:rsidRPr="006E5D7C">
        <w:rPr>
          <w:rFonts w:eastAsia="Times New Roman" w:cs="Times New Roman"/>
          <w:sz w:val="20"/>
          <w:szCs w:val="20"/>
          <w:lang w:eastAsia="en-CA"/>
        </w:rPr>
        <w:t>accueillie</w:t>
      </w:r>
      <w:proofErr w:type="spellEnd"/>
      <w:r w:rsidRPr="006E5D7C">
        <w:rPr>
          <w:rFonts w:eastAsia="Times New Roman" w:cs="Times New Roman"/>
          <w:sz w:val="20"/>
          <w:szCs w:val="20"/>
          <w:lang w:eastAsia="en-CA"/>
        </w:rPr>
        <w:t>.</w:t>
      </w:r>
    </w:p>
    <w:p w:rsidR="006E5D7C" w:rsidRPr="006E5D7C" w:rsidRDefault="006E5D7C" w:rsidP="006E5D7C">
      <w:pPr>
        <w:tabs>
          <w:tab w:val="left" w:pos="-1440"/>
          <w:tab w:val="left" w:pos="-720"/>
        </w:tabs>
        <w:jc w:val="both"/>
        <w:rPr>
          <w:rFonts w:eastAsia="Times New Roman" w:cs="Times New Roman"/>
          <w:sz w:val="20"/>
          <w:szCs w:val="20"/>
          <w:lang w:eastAsia="en-CA"/>
        </w:rPr>
      </w:pPr>
    </w:p>
    <w:p w:rsidR="006E5D7C" w:rsidRPr="006E5D7C" w:rsidRDefault="006E5D7C" w:rsidP="006E5D7C">
      <w:pPr>
        <w:tabs>
          <w:tab w:val="left" w:pos="-1440"/>
          <w:tab w:val="left" w:pos="-720"/>
        </w:tabs>
        <w:jc w:val="both"/>
        <w:rPr>
          <w:rFonts w:eastAsia="Times New Roman" w:cs="Times New Roman"/>
          <w:sz w:val="20"/>
          <w:szCs w:val="20"/>
          <w:lang w:eastAsia="en-CA"/>
        </w:rPr>
      </w:pPr>
    </w:p>
    <w:p w:rsidR="006E5D7C" w:rsidRPr="006E5D7C" w:rsidRDefault="006E5D7C" w:rsidP="006E5D7C">
      <w:pPr>
        <w:tabs>
          <w:tab w:val="left" w:pos="-1440"/>
          <w:tab w:val="left" w:pos="-720"/>
        </w:tabs>
        <w:jc w:val="both"/>
        <w:rPr>
          <w:rFonts w:eastAsia="Times New Roman" w:cs="Times New Roman"/>
          <w:sz w:val="20"/>
          <w:szCs w:val="20"/>
          <w:lang w:eastAsia="en-CA"/>
        </w:rPr>
      </w:pPr>
    </w:p>
    <w:p w:rsidR="006E5D7C" w:rsidRPr="006E5D7C" w:rsidRDefault="006E5D7C" w:rsidP="006E5D7C">
      <w:pPr>
        <w:spacing w:line="233" w:lineRule="auto"/>
        <w:jc w:val="both"/>
        <w:rPr>
          <w:rFonts w:eastAsia="Times New Roman" w:cs="Times New Roman"/>
          <w:sz w:val="20"/>
          <w:szCs w:val="20"/>
          <w:lang w:eastAsia="en-CA"/>
        </w:rPr>
      </w:pPr>
      <w:r w:rsidRPr="006E5D7C">
        <w:rPr>
          <w:rFonts w:eastAsia="Times New Roman" w:cs="Times New Roman"/>
          <w:b/>
          <w:bCs/>
          <w:sz w:val="20"/>
          <w:szCs w:val="20"/>
          <w:lang w:eastAsia="en-CA"/>
        </w:rPr>
        <w:t xml:space="preserve">UPON APPLICATION </w:t>
      </w:r>
      <w:r w:rsidRPr="006E5D7C">
        <w:rPr>
          <w:rFonts w:eastAsia="Times New Roman" w:cs="Times New Roman"/>
          <w:sz w:val="20"/>
          <w:szCs w:val="20"/>
          <w:lang w:eastAsia="en-CA"/>
        </w:rPr>
        <w:t xml:space="preserve">by the respondent for an order extending the time within which to serve and file his factum to April 30, 2013 and for </w:t>
      </w:r>
      <w:r w:rsidRPr="006E5D7C">
        <w:rPr>
          <w:rFonts w:eastAsia="PMingLiU" w:cs="Times New Roman"/>
          <w:sz w:val="20"/>
          <w:szCs w:val="20"/>
          <w:lang w:eastAsia="en-CA"/>
        </w:rPr>
        <w:t>permission to present oral argument at the hearing of the appeal pursuant to Rule 71(3);</w:t>
      </w:r>
    </w:p>
    <w:p w:rsidR="006E5D7C" w:rsidRPr="006E5D7C" w:rsidRDefault="006E5D7C" w:rsidP="006E5D7C">
      <w:pPr>
        <w:spacing w:line="233" w:lineRule="auto"/>
        <w:jc w:val="both"/>
        <w:rPr>
          <w:rFonts w:eastAsia="Times New Roman" w:cs="Times New Roman"/>
          <w:sz w:val="20"/>
          <w:szCs w:val="20"/>
          <w:lang w:eastAsia="en-CA"/>
        </w:rPr>
      </w:pPr>
    </w:p>
    <w:p w:rsidR="006E5D7C" w:rsidRPr="006E5D7C" w:rsidRDefault="006E5D7C" w:rsidP="006E5D7C">
      <w:pPr>
        <w:spacing w:line="233" w:lineRule="auto"/>
        <w:jc w:val="both"/>
        <w:rPr>
          <w:rFonts w:eastAsia="Times New Roman" w:cs="Times New Roman"/>
          <w:sz w:val="20"/>
          <w:szCs w:val="20"/>
          <w:lang w:eastAsia="en-CA"/>
        </w:rPr>
      </w:pPr>
      <w:r w:rsidRPr="006E5D7C">
        <w:rPr>
          <w:rFonts w:eastAsia="Times New Roman" w:cs="Times New Roman"/>
          <w:b/>
          <w:bCs/>
          <w:sz w:val="20"/>
          <w:szCs w:val="20"/>
          <w:lang w:eastAsia="en-CA"/>
        </w:rPr>
        <w:t xml:space="preserve">AND THE MATERIAL FILED </w:t>
      </w:r>
      <w:r w:rsidRPr="006E5D7C">
        <w:rPr>
          <w:rFonts w:eastAsia="Times New Roman" w:cs="Times New Roman"/>
          <w:sz w:val="20"/>
          <w:szCs w:val="20"/>
          <w:lang w:eastAsia="en-CA"/>
        </w:rPr>
        <w:t xml:space="preserve">having been read; </w:t>
      </w:r>
    </w:p>
    <w:p w:rsidR="006E5D7C" w:rsidRPr="006E5D7C" w:rsidRDefault="006E5D7C" w:rsidP="006E5D7C">
      <w:pPr>
        <w:spacing w:line="233" w:lineRule="auto"/>
        <w:jc w:val="both"/>
        <w:rPr>
          <w:rFonts w:eastAsia="Times New Roman" w:cs="Times New Roman"/>
          <w:sz w:val="20"/>
          <w:szCs w:val="20"/>
          <w:lang w:eastAsia="en-CA"/>
        </w:rPr>
      </w:pPr>
    </w:p>
    <w:p w:rsidR="006E5D7C" w:rsidRPr="006E5D7C" w:rsidRDefault="006E5D7C" w:rsidP="006E5D7C">
      <w:pPr>
        <w:spacing w:line="233" w:lineRule="auto"/>
        <w:jc w:val="both"/>
        <w:rPr>
          <w:rFonts w:eastAsia="Times New Roman" w:cs="Times New Roman"/>
          <w:sz w:val="20"/>
          <w:szCs w:val="20"/>
          <w:lang w:eastAsia="en-CA"/>
        </w:rPr>
      </w:pPr>
      <w:r w:rsidRPr="006E5D7C">
        <w:rPr>
          <w:rFonts w:eastAsia="Times New Roman" w:cs="Times New Roman"/>
          <w:b/>
          <w:bCs/>
          <w:sz w:val="20"/>
          <w:szCs w:val="20"/>
          <w:lang w:eastAsia="en-CA"/>
        </w:rPr>
        <w:t xml:space="preserve">IT IS HEREBY ORDERED THAT: </w:t>
      </w:r>
    </w:p>
    <w:p w:rsidR="006E5D7C" w:rsidRPr="006E5D7C" w:rsidRDefault="006E5D7C" w:rsidP="006E5D7C">
      <w:pPr>
        <w:spacing w:line="233" w:lineRule="auto"/>
        <w:jc w:val="both"/>
        <w:rPr>
          <w:rFonts w:eastAsia="Times New Roman" w:cs="Times New Roman"/>
          <w:sz w:val="20"/>
          <w:szCs w:val="20"/>
          <w:lang w:eastAsia="en-CA"/>
        </w:rPr>
      </w:pPr>
    </w:p>
    <w:p w:rsidR="006E5D7C" w:rsidRPr="006E5D7C" w:rsidRDefault="006E5D7C" w:rsidP="006E5D7C">
      <w:pPr>
        <w:spacing w:line="233" w:lineRule="auto"/>
        <w:jc w:val="both"/>
        <w:rPr>
          <w:rFonts w:eastAsia="Times New Roman" w:cs="Times New Roman"/>
          <w:sz w:val="20"/>
          <w:szCs w:val="20"/>
          <w:lang w:eastAsia="en-CA"/>
        </w:rPr>
      </w:pPr>
      <w:r w:rsidRPr="006E5D7C">
        <w:rPr>
          <w:rFonts w:eastAsia="Times New Roman" w:cs="Times New Roman"/>
          <w:sz w:val="20"/>
          <w:szCs w:val="20"/>
          <w:lang w:eastAsia="en-CA"/>
        </w:rPr>
        <w:tab/>
        <w:t>The motion is granted.</w:t>
      </w:r>
    </w:p>
    <w:p w:rsidR="006E5D7C" w:rsidRPr="006E5D7C" w:rsidRDefault="006E5D7C" w:rsidP="006E5D7C">
      <w:pPr>
        <w:tabs>
          <w:tab w:val="left" w:pos="-1440"/>
          <w:tab w:val="left" w:pos="-720"/>
        </w:tabs>
        <w:jc w:val="both"/>
        <w:rPr>
          <w:rFonts w:eastAsia="Times New Roman" w:cs="Times New Roman"/>
          <w:sz w:val="20"/>
          <w:szCs w:val="20"/>
          <w:lang w:eastAsia="en-CA"/>
        </w:rPr>
      </w:pPr>
    </w:p>
    <w:p w:rsidR="006E5D7C" w:rsidRPr="006E5D7C" w:rsidRDefault="0028676C" w:rsidP="006E5D7C">
      <w:pPr>
        <w:tabs>
          <w:tab w:val="left" w:pos="-1440"/>
          <w:tab w:val="left" w:pos="-720"/>
        </w:tabs>
        <w:jc w:val="both"/>
        <w:rPr>
          <w:rFonts w:eastAsia="Times New Roman" w:cs="Times New Roman"/>
          <w:sz w:val="20"/>
          <w:szCs w:val="20"/>
          <w:lang w:eastAsia="en-CA"/>
        </w:rPr>
      </w:pPr>
      <w:r w:rsidRPr="0028676C">
        <w:rPr>
          <w:rFonts w:eastAsia="Times New Roman" w:cs="Times New Roman"/>
          <w:sz w:val="20"/>
          <w:szCs w:val="20"/>
          <w:lang w:val="fr-CA" w:eastAsia="en-CA"/>
        </w:rPr>
        <w:pict>
          <v:rect id="_x0000_i1085" style="width:2in;height:1pt" o:hrpct="0" o:hralign="center" o:hrstd="t" o:hrnoshade="t" o:hr="t" fillcolor="black [3213]" stroked="f"/>
        </w:pict>
      </w:r>
    </w:p>
    <w:p w:rsidR="006E5D7C" w:rsidRPr="006E5D7C" w:rsidRDefault="006E5D7C" w:rsidP="006E5D7C">
      <w:pPr>
        <w:tabs>
          <w:tab w:val="left" w:pos="-1440"/>
          <w:tab w:val="left" w:pos="-720"/>
        </w:tabs>
        <w:jc w:val="both"/>
        <w:rPr>
          <w:rFonts w:eastAsia="Times New Roman" w:cs="Times New Roman"/>
          <w:sz w:val="20"/>
          <w:szCs w:val="20"/>
          <w:lang w:eastAsia="en-CA"/>
        </w:rPr>
      </w:pPr>
    </w:p>
    <w:p w:rsidR="006E5D7C" w:rsidRPr="006E5D7C" w:rsidRDefault="006E5D7C" w:rsidP="006E5D7C">
      <w:pPr>
        <w:tabs>
          <w:tab w:val="left" w:pos="-1440"/>
          <w:tab w:val="left" w:pos="-720"/>
        </w:tabs>
        <w:jc w:val="both"/>
        <w:rPr>
          <w:rFonts w:eastAsia="Times New Roman" w:cs="Times New Roman"/>
          <w:sz w:val="20"/>
          <w:szCs w:val="20"/>
          <w:lang w:eastAsia="en-CA"/>
        </w:rPr>
      </w:pPr>
      <w:r w:rsidRPr="006E5D7C">
        <w:rPr>
          <w:rFonts w:eastAsia="Times New Roman" w:cs="Times New Roman"/>
          <w:sz w:val="20"/>
          <w:szCs w:val="20"/>
          <w:lang w:eastAsia="en-CA"/>
        </w:rPr>
        <w:t>08.05.2013</w:t>
      </w:r>
    </w:p>
    <w:p w:rsidR="006E5D7C" w:rsidRPr="006E5D7C" w:rsidRDefault="006E5D7C" w:rsidP="006E5D7C">
      <w:pPr>
        <w:tabs>
          <w:tab w:val="left" w:pos="-1440"/>
          <w:tab w:val="left" w:pos="-720"/>
        </w:tabs>
        <w:jc w:val="both"/>
        <w:rPr>
          <w:rFonts w:eastAsia="Times New Roman" w:cs="Times New Roman"/>
          <w:sz w:val="20"/>
          <w:szCs w:val="20"/>
          <w:lang w:eastAsia="en-CA"/>
        </w:rPr>
      </w:pPr>
    </w:p>
    <w:p w:rsidR="006E5D7C" w:rsidRPr="006E5D7C" w:rsidRDefault="006E5D7C" w:rsidP="006E5D7C">
      <w:pPr>
        <w:tabs>
          <w:tab w:val="left" w:pos="-1440"/>
          <w:tab w:val="left" w:pos="-720"/>
        </w:tabs>
        <w:jc w:val="both"/>
        <w:rPr>
          <w:rFonts w:eastAsia="Times New Roman" w:cs="Times New Roman"/>
          <w:sz w:val="20"/>
          <w:szCs w:val="20"/>
          <w:lang w:eastAsia="en-CA"/>
        </w:rPr>
      </w:pPr>
      <w:r w:rsidRPr="006E5D7C">
        <w:rPr>
          <w:rFonts w:eastAsia="Times New Roman" w:cs="Times New Roman"/>
          <w:sz w:val="20"/>
          <w:szCs w:val="20"/>
          <w:lang w:eastAsia="en-CA"/>
        </w:rPr>
        <w:t xml:space="preserve">Before / </w:t>
      </w:r>
      <w:proofErr w:type="spellStart"/>
      <w:proofErr w:type="gramStart"/>
      <w:r w:rsidRPr="006E5D7C">
        <w:rPr>
          <w:rFonts w:eastAsia="Times New Roman" w:cs="Times New Roman"/>
          <w:sz w:val="20"/>
          <w:szCs w:val="20"/>
          <w:lang w:eastAsia="en-CA"/>
        </w:rPr>
        <w:t>Devant</w:t>
      </w:r>
      <w:proofErr w:type="spellEnd"/>
      <w:r w:rsidRPr="006E5D7C">
        <w:rPr>
          <w:rFonts w:eastAsia="Times New Roman" w:cs="Times New Roman"/>
          <w:sz w:val="20"/>
          <w:szCs w:val="20"/>
          <w:lang w:eastAsia="en-CA"/>
        </w:rPr>
        <w:t xml:space="preserve"> :</w:t>
      </w:r>
      <w:proofErr w:type="gramEnd"/>
      <w:r w:rsidRPr="006E5D7C">
        <w:rPr>
          <w:rFonts w:eastAsia="Times New Roman" w:cs="Times New Roman"/>
          <w:sz w:val="20"/>
          <w:szCs w:val="20"/>
          <w:lang w:eastAsia="en-CA"/>
        </w:rPr>
        <w:t xml:space="preserve">   </w:t>
      </w:r>
      <w:r w:rsidRPr="006E5D7C">
        <w:rPr>
          <w:rFonts w:eastAsia="Times New Roman" w:cs="Times New Roman"/>
          <w:sz w:val="20"/>
          <w:szCs w:val="20"/>
          <w:lang w:val="fr-CA" w:eastAsia="en-CA"/>
        </w:rPr>
        <w:t>WAGNER J. / LE JUGE WAGNER</w:t>
      </w:r>
    </w:p>
    <w:p w:rsidR="006E5D7C" w:rsidRPr="006E5D7C" w:rsidRDefault="006E5D7C" w:rsidP="006E5D7C">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6E5D7C" w:rsidRPr="006E5D7C" w:rsidTr="004B2CEB">
        <w:tc>
          <w:tcPr>
            <w:tcW w:w="4338" w:type="dxa"/>
            <w:gridSpan w:val="2"/>
          </w:tcPr>
          <w:p w:rsidR="006E5D7C" w:rsidRPr="006E5D7C" w:rsidRDefault="006E5D7C" w:rsidP="006E5D7C">
            <w:pPr>
              <w:rPr>
                <w:b/>
              </w:rPr>
            </w:pPr>
            <w:r w:rsidRPr="006E5D7C">
              <w:rPr>
                <w:b/>
              </w:rPr>
              <w:t>Motions for leave to intervene</w:t>
            </w:r>
            <w:r w:rsidRPr="006E5D7C">
              <w:rPr>
                <w:lang w:val="en-US"/>
              </w:rPr>
              <w:t xml:space="preserve"> </w:t>
            </w:r>
            <w:r w:rsidR="0028676C" w:rsidRPr="006E5D7C">
              <w:rPr>
                <w:lang w:val="en-US"/>
              </w:rPr>
              <w:fldChar w:fldCharType="begin"/>
            </w:r>
            <w:r w:rsidRPr="006E5D7C">
              <w:instrText xml:space="preserve"> SEQ CHAPTER \h \r 1</w:instrText>
            </w:r>
            <w:r w:rsidR="0028676C" w:rsidRPr="006E5D7C">
              <w:rPr>
                <w:lang w:val="en-US"/>
              </w:rPr>
              <w:fldChar w:fldCharType="end"/>
            </w:r>
          </w:p>
        </w:tc>
        <w:tc>
          <w:tcPr>
            <w:tcW w:w="1170" w:type="dxa"/>
          </w:tcPr>
          <w:p w:rsidR="006E5D7C" w:rsidRPr="006E5D7C" w:rsidRDefault="006E5D7C" w:rsidP="006E5D7C"/>
          <w:p w:rsidR="006E5D7C" w:rsidRPr="006E5D7C" w:rsidRDefault="006E5D7C" w:rsidP="006E5D7C"/>
        </w:tc>
        <w:tc>
          <w:tcPr>
            <w:tcW w:w="4327" w:type="dxa"/>
          </w:tcPr>
          <w:p w:rsidR="006E5D7C" w:rsidRPr="006E5D7C" w:rsidRDefault="006E5D7C" w:rsidP="006E5D7C">
            <w:pPr>
              <w:rPr>
                <w:b/>
              </w:rPr>
            </w:pPr>
            <w:r w:rsidRPr="006E5D7C">
              <w:rPr>
                <w:b/>
                <w:bCs/>
                <w:lang w:val="fr-CA"/>
              </w:rPr>
              <w:t>Requêtes en autorisation d’intervenir</w:t>
            </w:r>
            <w:r w:rsidRPr="006E5D7C">
              <w:rPr>
                <w:lang w:val="en-US"/>
              </w:rPr>
              <w:t xml:space="preserve"> </w:t>
            </w:r>
            <w:r w:rsidR="0028676C" w:rsidRPr="006E5D7C">
              <w:rPr>
                <w:lang w:val="en-US"/>
              </w:rPr>
              <w:fldChar w:fldCharType="begin"/>
            </w:r>
            <w:r w:rsidRPr="006E5D7C">
              <w:instrText xml:space="preserve"> SEQ CHAPTER \h \r 1</w:instrText>
            </w:r>
            <w:r w:rsidR="0028676C" w:rsidRPr="006E5D7C">
              <w:rPr>
                <w:lang w:val="en-US"/>
              </w:rPr>
              <w:fldChar w:fldCharType="end"/>
            </w:r>
          </w:p>
        </w:tc>
      </w:tr>
      <w:tr w:rsidR="006E5D7C" w:rsidRPr="00B6040C" w:rsidTr="004B2CEB">
        <w:tc>
          <w:tcPr>
            <w:tcW w:w="1368" w:type="dxa"/>
          </w:tcPr>
          <w:p w:rsidR="006E5D7C" w:rsidRPr="006E5D7C" w:rsidRDefault="006E5D7C" w:rsidP="006E5D7C">
            <w:r w:rsidRPr="006E5D7C">
              <w:t>BY / PAR</w:t>
            </w:r>
          </w:p>
        </w:tc>
        <w:tc>
          <w:tcPr>
            <w:tcW w:w="2970" w:type="dxa"/>
          </w:tcPr>
          <w:p w:rsidR="006E5D7C" w:rsidRPr="006E5D7C" w:rsidRDefault="006E5D7C" w:rsidP="006E5D7C">
            <w:pPr>
              <w:rPr>
                <w:lang w:val="fr-CA"/>
              </w:rPr>
            </w:pPr>
            <w:r w:rsidRPr="006E5D7C">
              <w:rPr>
                <w:rFonts w:eastAsiaTheme="minorEastAsia"/>
                <w:bCs/>
                <w:lang w:val="fr-CA"/>
              </w:rPr>
              <w:t xml:space="preserve">Conseil du patronat du Québec </w:t>
            </w:r>
            <w:proofErr w:type="spellStart"/>
            <w:r w:rsidRPr="006E5D7C">
              <w:rPr>
                <w:rFonts w:eastAsiaTheme="minorEastAsia"/>
                <w:bCs/>
                <w:lang w:val="fr-CA"/>
              </w:rPr>
              <w:t>inc</w:t>
            </w:r>
            <w:proofErr w:type="spellEnd"/>
            <w:proofErr w:type="gramStart"/>
            <w:r w:rsidRPr="006E5D7C">
              <w:rPr>
                <w:rFonts w:eastAsiaTheme="minorEastAsia"/>
                <w:bCs/>
                <w:lang w:val="fr-CA"/>
              </w:rPr>
              <w:t>.</w:t>
            </w:r>
            <w:r w:rsidRPr="006E5D7C">
              <w:rPr>
                <w:lang w:val="fr-CA"/>
              </w:rPr>
              <w:t>;</w:t>
            </w:r>
            <w:proofErr w:type="gramEnd"/>
          </w:p>
        </w:tc>
        <w:tc>
          <w:tcPr>
            <w:tcW w:w="1170" w:type="dxa"/>
          </w:tcPr>
          <w:p w:rsidR="006E5D7C" w:rsidRPr="006E5D7C" w:rsidRDefault="006E5D7C" w:rsidP="006E5D7C">
            <w:pPr>
              <w:rPr>
                <w:lang w:val="fr-CA"/>
              </w:rPr>
            </w:pPr>
          </w:p>
        </w:tc>
        <w:tc>
          <w:tcPr>
            <w:tcW w:w="4327" w:type="dxa"/>
          </w:tcPr>
          <w:p w:rsidR="006E5D7C" w:rsidRPr="006E5D7C" w:rsidRDefault="006E5D7C" w:rsidP="006E5D7C">
            <w:pPr>
              <w:rPr>
                <w:lang w:val="fr-CA"/>
              </w:rPr>
            </w:pPr>
          </w:p>
        </w:tc>
      </w:tr>
      <w:tr w:rsidR="006E5D7C" w:rsidRPr="00B6040C" w:rsidTr="004B2CEB">
        <w:tc>
          <w:tcPr>
            <w:tcW w:w="1368" w:type="dxa"/>
          </w:tcPr>
          <w:p w:rsidR="006E5D7C" w:rsidRPr="006E5D7C" w:rsidRDefault="006E5D7C" w:rsidP="006E5D7C">
            <w:pPr>
              <w:rPr>
                <w:lang w:val="fr-CA"/>
              </w:rPr>
            </w:pPr>
          </w:p>
        </w:tc>
        <w:tc>
          <w:tcPr>
            <w:tcW w:w="2970" w:type="dxa"/>
          </w:tcPr>
          <w:p w:rsidR="006E5D7C" w:rsidRPr="006E5D7C" w:rsidRDefault="006E5D7C" w:rsidP="006E5D7C">
            <w:pPr>
              <w:rPr>
                <w:lang w:val="fr-CA"/>
              </w:rPr>
            </w:pPr>
            <w:r w:rsidRPr="006E5D7C">
              <w:rPr>
                <w:rFonts w:eastAsiaTheme="minorEastAsia"/>
                <w:bCs/>
                <w:lang w:val="fr-CA"/>
              </w:rPr>
              <w:t>Alliance des manufacturiers et des exportateurs du Canada, aussi connu sous le nom de Manufacturiers et Exportateurs du Canada</w:t>
            </w:r>
            <w:r w:rsidRPr="006E5D7C">
              <w:rPr>
                <w:lang w:val="fr-CA"/>
              </w:rPr>
              <w:t>;</w:t>
            </w:r>
          </w:p>
        </w:tc>
        <w:tc>
          <w:tcPr>
            <w:tcW w:w="1170" w:type="dxa"/>
          </w:tcPr>
          <w:p w:rsidR="006E5D7C" w:rsidRPr="006E5D7C" w:rsidRDefault="006E5D7C" w:rsidP="006E5D7C">
            <w:pPr>
              <w:rPr>
                <w:lang w:val="fr-CA"/>
              </w:rPr>
            </w:pPr>
          </w:p>
        </w:tc>
        <w:tc>
          <w:tcPr>
            <w:tcW w:w="4327" w:type="dxa"/>
          </w:tcPr>
          <w:p w:rsidR="006E5D7C" w:rsidRPr="006E5D7C" w:rsidRDefault="006E5D7C" w:rsidP="006E5D7C">
            <w:pPr>
              <w:rPr>
                <w:lang w:val="fr-CA"/>
              </w:rPr>
            </w:pPr>
          </w:p>
        </w:tc>
      </w:tr>
      <w:tr w:rsidR="006E5D7C" w:rsidRPr="00B6040C" w:rsidTr="004B2CEB">
        <w:tc>
          <w:tcPr>
            <w:tcW w:w="1368" w:type="dxa"/>
          </w:tcPr>
          <w:p w:rsidR="006E5D7C" w:rsidRPr="006E5D7C" w:rsidRDefault="006E5D7C" w:rsidP="006E5D7C">
            <w:pPr>
              <w:rPr>
                <w:lang w:val="fr-CA"/>
              </w:rPr>
            </w:pPr>
          </w:p>
        </w:tc>
        <w:tc>
          <w:tcPr>
            <w:tcW w:w="2970" w:type="dxa"/>
          </w:tcPr>
          <w:p w:rsidR="006E5D7C" w:rsidRPr="006E5D7C" w:rsidRDefault="006E5D7C" w:rsidP="006E5D7C">
            <w:pPr>
              <w:rPr>
                <w:lang w:val="fr-CA"/>
              </w:rPr>
            </w:pPr>
            <w:r w:rsidRPr="006E5D7C">
              <w:rPr>
                <w:rFonts w:eastAsiaTheme="minorEastAsia"/>
                <w:bCs/>
                <w:lang w:val="fr-CA"/>
              </w:rPr>
              <w:t>l’association canadienne des avocats d’employeurs</w:t>
            </w:r>
          </w:p>
        </w:tc>
        <w:tc>
          <w:tcPr>
            <w:tcW w:w="1170" w:type="dxa"/>
          </w:tcPr>
          <w:p w:rsidR="006E5D7C" w:rsidRPr="006E5D7C" w:rsidRDefault="006E5D7C" w:rsidP="006E5D7C">
            <w:pPr>
              <w:rPr>
                <w:lang w:val="fr-CA"/>
              </w:rPr>
            </w:pPr>
          </w:p>
        </w:tc>
        <w:tc>
          <w:tcPr>
            <w:tcW w:w="4327" w:type="dxa"/>
          </w:tcPr>
          <w:p w:rsidR="006E5D7C" w:rsidRPr="006E5D7C" w:rsidRDefault="006E5D7C" w:rsidP="006E5D7C">
            <w:pPr>
              <w:rPr>
                <w:lang w:val="fr-CA"/>
              </w:rPr>
            </w:pPr>
          </w:p>
        </w:tc>
      </w:tr>
      <w:tr w:rsidR="006E5D7C" w:rsidRPr="00B6040C" w:rsidTr="004B2CEB">
        <w:tc>
          <w:tcPr>
            <w:tcW w:w="1368" w:type="dxa"/>
          </w:tcPr>
          <w:p w:rsidR="006E5D7C" w:rsidRPr="006E5D7C" w:rsidRDefault="006E5D7C" w:rsidP="006E5D7C">
            <w:pPr>
              <w:rPr>
                <w:lang w:val="fr-CA"/>
              </w:rPr>
            </w:pPr>
          </w:p>
        </w:tc>
        <w:tc>
          <w:tcPr>
            <w:tcW w:w="2970" w:type="dxa"/>
          </w:tcPr>
          <w:p w:rsidR="006E5D7C" w:rsidRPr="006E5D7C" w:rsidRDefault="006E5D7C" w:rsidP="006E5D7C">
            <w:pPr>
              <w:rPr>
                <w:lang w:val="fr-CA"/>
              </w:rPr>
            </w:pPr>
          </w:p>
        </w:tc>
        <w:tc>
          <w:tcPr>
            <w:tcW w:w="1170" w:type="dxa"/>
          </w:tcPr>
          <w:p w:rsidR="006E5D7C" w:rsidRPr="006E5D7C" w:rsidRDefault="006E5D7C" w:rsidP="006E5D7C">
            <w:pPr>
              <w:rPr>
                <w:lang w:val="fr-CA"/>
              </w:rPr>
            </w:pPr>
          </w:p>
        </w:tc>
        <w:tc>
          <w:tcPr>
            <w:tcW w:w="4327" w:type="dxa"/>
          </w:tcPr>
          <w:p w:rsidR="006E5D7C" w:rsidRPr="006E5D7C" w:rsidRDefault="006E5D7C" w:rsidP="006E5D7C">
            <w:pPr>
              <w:rPr>
                <w:lang w:val="fr-CA"/>
              </w:rPr>
            </w:pPr>
          </w:p>
        </w:tc>
      </w:tr>
      <w:tr w:rsidR="006E5D7C" w:rsidRPr="00B6040C" w:rsidTr="004B2CEB">
        <w:tc>
          <w:tcPr>
            <w:tcW w:w="1368" w:type="dxa"/>
          </w:tcPr>
          <w:p w:rsidR="006E5D7C" w:rsidRPr="006E5D7C" w:rsidRDefault="006E5D7C" w:rsidP="006E5D7C">
            <w:r w:rsidRPr="006E5D7C">
              <w:t>IN / DANS :</w:t>
            </w:r>
          </w:p>
        </w:tc>
        <w:tc>
          <w:tcPr>
            <w:tcW w:w="2970" w:type="dxa"/>
          </w:tcPr>
          <w:p w:rsidR="006E5D7C" w:rsidRPr="006E5D7C" w:rsidRDefault="006E5D7C" w:rsidP="006E5D7C">
            <w:pPr>
              <w:rPr>
                <w:lang w:val="fr-CA"/>
              </w:rPr>
            </w:pPr>
            <w:r w:rsidRPr="006E5D7C">
              <w:rPr>
                <w:lang w:val="fr-CA"/>
              </w:rPr>
              <w:t>Travailleurs et travailleuses de l’alimentation et du commerce, section locale 503</w:t>
            </w:r>
          </w:p>
          <w:p w:rsidR="006E5D7C" w:rsidRPr="006E5D7C" w:rsidRDefault="006E5D7C" w:rsidP="006E5D7C">
            <w:pPr>
              <w:rPr>
                <w:lang w:val="fr-CA"/>
              </w:rPr>
            </w:pPr>
          </w:p>
          <w:p w:rsidR="006E5D7C" w:rsidRPr="006E5D7C" w:rsidRDefault="006E5D7C" w:rsidP="006E5D7C">
            <w:pPr>
              <w:rPr>
                <w:lang w:val="fr-CA"/>
              </w:rPr>
            </w:pPr>
            <w:r w:rsidRPr="006E5D7C">
              <w:rPr>
                <w:lang w:val="fr-CA"/>
              </w:rPr>
              <w:tab/>
              <w:t>c. (34920)</w:t>
            </w:r>
          </w:p>
          <w:p w:rsidR="006E5D7C" w:rsidRPr="006E5D7C" w:rsidRDefault="006E5D7C" w:rsidP="006E5D7C">
            <w:pPr>
              <w:rPr>
                <w:lang w:val="fr-CA"/>
              </w:rPr>
            </w:pPr>
          </w:p>
          <w:p w:rsidR="006E5D7C" w:rsidRPr="006E5D7C" w:rsidRDefault="006E5D7C" w:rsidP="006E5D7C">
            <w:pPr>
              <w:rPr>
                <w:lang w:val="fr-CA"/>
              </w:rPr>
            </w:pPr>
            <w:r w:rsidRPr="006E5D7C">
              <w:rPr>
                <w:lang w:val="fr-CA"/>
              </w:rPr>
              <w:t>Compagnie Wal-Mart du Canada (</w:t>
            </w:r>
            <w:proofErr w:type="spellStart"/>
            <w:r w:rsidRPr="006E5D7C">
              <w:rPr>
                <w:lang w:val="fr-CA"/>
              </w:rPr>
              <w:t>Qc</w:t>
            </w:r>
            <w:proofErr w:type="spellEnd"/>
            <w:r w:rsidRPr="006E5D7C">
              <w:rPr>
                <w:lang w:val="fr-CA"/>
              </w:rPr>
              <w:t>)</w:t>
            </w:r>
          </w:p>
        </w:tc>
        <w:tc>
          <w:tcPr>
            <w:tcW w:w="1170" w:type="dxa"/>
          </w:tcPr>
          <w:p w:rsidR="006E5D7C" w:rsidRPr="006E5D7C" w:rsidRDefault="006E5D7C" w:rsidP="006E5D7C">
            <w:pPr>
              <w:rPr>
                <w:lang w:val="fr-CA"/>
              </w:rPr>
            </w:pPr>
          </w:p>
        </w:tc>
        <w:tc>
          <w:tcPr>
            <w:tcW w:w="4327" w:type="dxa"/>
          </w:tcPr>
          <w:p w:rsidR="006E5D7C" w:rsidRPr="006E5D7C" w:rsidRDefault="006E5D7C" w:rsidP="006E5D7C">
            <w:pPr>
              <w:rPr>
                <w:lang w:val="fr-CA"/>
              </w:rPr>
            </w:pPr>
          </w:p>
        </w:tc>
      </w:tr>
    </w:tbl>
    <w:p w:rsidR="006E5D7C" w:rsidRPr="006E5D7C" w:rsidRDefault="006E5D7C" w:rsidP="006E5D7C">
      <w:pPr>
        <w:tabs>
          <w:tab w:val="left" w:pos="-1440"/>
          <w:tab w:val="left" w:pos="-720"/>
        </w:tabs>
        <w:jc w:val="both"/>
        <w:rPr>
          <w:rFonts w:eastAsia="Times New Roman" w:cs="Times New Roman"/>
          <w:sz w:val="20"/>
          <w:szCs w:val="20"/>
          <w:lang w:val="fr-CA" w:eastAsia="en-CA"/>
        </w:rPr>
      </w:pPr>
    </w:p>
    <w:p w:rsidR="006E5D7C" w:rsidRPr="006E5D7C" w:rsidRDefault="006E5D7C" w:rsidP="006E5D7C">
      <w:pPr>
        <w:tabs>
          <w:tab w:val="left" w:pos="-1440"/>
          <w:tab w:val="left" w:pos="-720"/>
        </w:tabs>
        <w:jc w:val="both"/>
        <w:rPr>
          <w:rFonts w:eastAsia="Times New Roman" w:cs="Times New Roman"/>
          <w:sz w:val="20"/>
          <w:szCs w:val="20"/>
          <w:lang w:val="fr-CA" w:eastAsia="en-CA"/>
        </w:rPr>
      </w:pPr>
      <w:r w:rsidRPr="006E5D7C">
        <w:rPr>
          <w:rFonts w:eastAsia="Times New Roman" w:cs="Times New Roman"/>
          <w:b/>
          <w:sz w:val="20"/>
          <w:szCs w:val="20"/>
          <w:lang w:val="fr-CA" w:eastAsia="en-CA"/>
        </w:rPr>
        <w:t>GRANTED / ACCORDÉES</w:t>
      </w:r>
    </w:p>
    <w:p w:rsidR="006E5D7C" w:rsidRPr="006E5D7C" w:rsidRDefault="006E5D7C" w:rsidP="006E5D7C">
      <w:pPr>
        <w:tabs>
          <w:tab w:val="left" w:pos="-1440"/>
          <w:tab w:val="left" w:pos="-720"/>
        </w:tabs>
        <w:jc w:val="both"/>
        <w:rPr>
          <w:rFonts w:eastAsia="Times New Roman" w:cs="Times New Roman"/>
          <w:sz w:val="20"/>
          <w:szCs w:val="20"/>
          <w:lang w:val="fr-CA" w:eastAsia="en-CA"/>
        </w:rPr>
      </w:pPr>
    </w:p>
    <w:p w:rsidR="006E5D7C" w:rsidRPr="006E5D7C" w:rsidRDefault="006E5D7C" w:rsidP="006E5D7C">
      <w:pPr>
        <w:widowControl w:val="0"/>
        <w:autoSpaceDE w:val="0"/>
        <w:autoSpaceDN w:val="0"/>
        <w:adjustRightInd w:val="0"/>
        <w:spacing w:line="233" w:lineRule="auto"/>
        <w:jc w:val="both"/>
        <w:rPr>
          <w:rFonts w:eastAsiaTheme="minorEastAsia" w:cs="Times New Roman"/>
          <w:sz w:val="20"/>
          <w:szCs w:val="20"/>
          <w:lang w:val="fr-CA"/>
        </w:rPr>
      </w:pPr>
      <w:r w:rsidRPr="006E5D7C">
        <w:rPr>
          <w:rFonts w:eastAsiaTheme="minorEastAsia" w:cs="Times New Roman"/>
          <w:b/>
          <w:bCs/>
          <w:sz w:val="20"/>
          <w:szCs w:val="20"/>
          <w:lang w:val="fr-CA"/>
        </w:rPr>
        <w:t xml:space="preserve">À LA SUITE DES DEMANDES </w:t>
      </w:r>
      <w:r w:rsidRPr="006E5D7C">
        <w:rPr>
          <w:rFonts w:eastAsiaTheme="minorEastAsia" w:cs="Times New Roman"/>
          <w:sz w:val="20"/>
          <w:szCs w:val="20"/>
          <w:lang w:val="fr-CA"/>
        </w:rPr>
        <w:t xml:space="preserve">présentées par le </w:t>
      </w:r>
      <w:r w:rsidRPr="006E5D7C">
        <w:rPr>
          <w:rFonts w:eastAsiaTheme="minorEastAsia" w:cs="Times New Roman"/>
          <w:bCs/>
          <w:sz w:val="20"/>
          <w:szCs w:val="20"/>
          <w:lang w:val="fr-CA"/>
        </w:rPr>
        <w:t xml:space="preserve">Conseil du patronat du Québec </w:t>
      </w:r>
      <w:proofErr w:type="spellStart"/>
      <w:r w:rsidRPr="006E5D7C">
        <w:rPr>
          <w:rFonts w:eastAsiaTheme="minorEastAsia" w:cs="Times New Roman"/>
          <w:bCs/>
          <w:sz w:val="20"/>
          <w:szCs w:val="20"/>
          <w:lang w:val="fr-CA"/>
        </w:rPr>
        <w:t>inc</w:t>
      </w:r>
      <w:proofErr w:type="spellEnd"/>
      <w:r w:rsidRPr="006E5D7C">
        <w:rPr>
          <w:rFonts w:eastAsiaTheme="minorEastAsia" w:cs="Times New Roman"/>
          <w:bCs/>
          <w:sz w:val="20"/>
          <w:szCs w:val="20"/>
          <w:lang w:val="fr-CA"/>
        </w:rPr>
        <w:t>., l’Alliance des manufacturiers et des exportateurs du Canada, aussi connu sous le nom de Manufacturiers et Exportateurs du Canada et l’association canadienne des avocats d’employeurs</w:t>
      </w:r>
      <w:r w:rsidRPr="006E5D7C">
        <w:rPr>
          <w:rFonts w:eastAsiaTheme="minorEastAsia" w:cs="Times New Roman"/>
          <w:sz w:val="20"/>
          <w:szCs w:val="20"/>
          <w:lang w:val="fr-CA"/>
        </w:rPr>
        <w:t xml:space="preserve"> en vue d’intervenir dans l’appel;</w:t>
      </w:r>
    </w:p>
    <w:p w:rsidR="006E5D7C" w:rsidRPr="006E5D7C" w:rsidRDefault="006E5D7C" w:rsidP="006E5D7C">
      <w:pPr>
        <w:widowControl w:val="0"/>
        <w:autoSpaceDE w:val="0"/>
        <w:autoSpaceDN w:val="0"/>
        <w:adjustRightInd w:val="0"/>
        <w:spacing w:line="233" w:lineRule="auto"/>
        <w:jc w:val="both"/>
        <w:rPr>
          <w:rFonts w:eastAsiaTheme="minorEastAsia" w:cs="Times New Roman"/>
          <w:sz w:val="20"/>
          <w:szCs w:val="20"/>
          <w:lang w:val="fr-CA"/>
        </w:rPr>
      </w:pPr>
    </w:p>
    <w:p w:rsidR="006E5D7C" w:rsidRPr="006E5D7C" w:rsidRDefault="006E5D7C" w:rsidP="006E5D7C">
      <w:pPr>
        <w:widowControl w:val="0"/>
        <w:autoSpaceDE w:val="0"/>
        <w:autoSpaceDN w:val="0"/>
        <w:adjustRightInd w:val="0"/>
        <w:spacing w:line="233" w:lineRule="auto"/>
        <w:jc w:val="both"/>
        <w:rPr>
          <w:rFonts w:eastAsiaTheme="minorEastAsia" w:cs="Times New Roman"/>
          <w:sz w:val="20"/>
          <w:szCs w:val="20"/>
          <w:lang w:val="fr-CA"/>
        </w:rPr>
      </w:pPr>
      <w:r w:rsidRPr="006E5D7C">
        <w:rPr>
          <w:rFonts w:eastAsiaTheme="minorEastAsia" w:cs="Times New Roman"/>
          <w:b/>
          <w:bCs/>
          <w:sz w:val="20"/>
          <w:szCs w:val="20"/>
          <w:lang w:val="fr-CA"/>
        </w:rPr>
        <w:t xml:space="preserve">ET APRÈS EXAMEN </w:t>
      </w:r>
      <w:r w:rsidRPr="006E5D7C">
        <w:rPr>
          <w:rFonts w:eastAsiaTheme="minorEastAsia" w:cs="Times New Roman"/>
          <w:sz w:val="20"/>
          <w:szCs w:val="20"/>
          <w:lang w:val="fr-CA"/>
        </w:rPr>
        <w:t xml:space="preserve">des documents déposés; </w:t>
      </w:r>
    </w:p>
    <w:p w:rsidR="006E5D7C" w:rsidRPr="006E5D7C" w:rsidRDefault="006E5D7C" w:rsidP="006E5D7C">
      <w:pPr>
        <w:widowControl w:val="0"/>
        <w:autoSpaceDE w:val="0"/>
        <w:autoSpaceDN w:val="0"/>
        <w:adjustRightInd w:val="0"/>
        <w:spacing w:line="233" w:lineRule="auto"/>
        <w:jc w:val="both"/>
        <w:rPr>
          <w:rFonts w:eastAsiaTheme="minorEastAsia" w:cs="Times New Roman"/>
          <w:sz w:val="20"/>
          <w:szCs w:val="20"/>
          <w:lang w:val="fr-CA"/>
        </w:rPr>
      </w:pPr>
    </w:p>
    <w:p w:rsidR="006E5D7C" w:rsidRPr="006E5D7C" w:rsidRDefault="006E5D7C" w:rsidP="006E5D7C">
      <w:pPr>
        <w:widowControl w:val="0"/>
        <w:autoSpaceDE w:val="0"/>
        <w:autoSpaceDN w:val="0"/>
        <w:adjustRightInd w:val="0"/>
        <w:spacing w:line="233" w:lineRule="auto"/>
        <w:jc w:val="both"/>
        <w:rPr>
          <w:rFonts w:eastAsiaTheme="minorEastAsia" w:cs="Times New Roman"/>
          <w:sz w:val="20"/>
          <w:szCs w:val="20"/>
          <w:lang w:val="fr-CA"/>
        </w:rPr>
      </w:pPr>
      <w:r w:rsidRPr="006E5D7C">
        <w:rPr>
          <w:rFonts w:eastAsiaTheme="minorEastAsia" w:cs="Times New Roman"/>
          <w:b/>
          <w:bCs/>
          <w:sz w:val="20"/>
          <w:szCs w:val="20"/>
          <w:lang w:val="fr-CA"/>
        </w:rPr>
        <w:t xml:space="preserve">IL EST ORDONNÉ CE QUI SUIT : </w:t>
      </w:r>
    </w:p>
    <w:p w:rsidR="006E5D7C" w:rsidRPr="006E5D7C" w:rsidRDefault="006E5D7C" w:rsidP="006E5D7C">
      <w:pPr>
        <w:widowControl w:val="0"/>
        <w:autoSpaceDE w:val="0"/>
        <w:autoSpaceDN w:val="0"/>
        <w:adjustRightInd w:val="0"/>
        <w:spacing w:line="233" w:lineRule="auto"/>
        <w:jc w:val="both"/>
        <w:rPr>
          <w:rFonts w:eastAsiaTheme="minorEastAsia" w:cs="Times New Roman"/>
          <w:sz w:val="20"/>
          <w:szCs w:val="20"/>
          <w:lang w:val="fr-CA"/>
        </w:rPr>
      </w:pPr>
    </w:p>
    <w:p w:rsidR="006E5D7C" w:rsidRPr="006E5D7C" w:rsidRDefault="006E5D7C" w:rsidP="006E5D7C">
      <w:pPr>
        <w:widowControl w:val="0"/>
        <w:autoSpaceDE w:val="0"/>
        <w:autoSpaceDN w:val="0"/>
        <w:adjustRightInd w:val="0"/>
        <w:spacing w:line="233" w:lineRule="auto"/>
        <w:jc w:val="both"/>
        <w:rPr>
          <w:rFonts w:eastAsiaTheme="minorEastAsia" w:cs="Times New Roman"/>
          <w:sz w:val="20"/>
          <w:szCs w:val="20"/>
          <w:lang w:val="fr-CA"/>
        </w:rPr>
      </w:pPr>
      <w:r w:rsidRPr="006E5D7C">
        <w:rPr>
          <w:rFonts w:eastAsiaTheme="minorEastAsia" w:cs="Times New Roman"/>
          <w:sz w:val="20"/>
          <w:szCs w:val="20"/>
          <w:lang w:val="fr-CA"/>
        </w:rPr>
        <w:t xml:space="preserve">Les requêtes </w:t>
      </w:r>
      <w:r w:rsidR="0028676C" w:rsidRPr="006E5D7C">
        <w:rPr>
          <w:rFonts w:eastAsiaTheme="minorEastAsia" w:cs="Times New Roman"/>
          <w:sz w:val="20"/>
          <w:szCs w:val="20"/>
        </w:rPr>
        <w:fldChar w:fldCharType="begin"/>
      </w:r>
      <w:r w:rsidRPr="006E5D7C">
        <w:rPr>
          <w:rFonts w:eastAsiaTheme="minorEastAsia" w:cs="Times New Roman"/>
          <w:sz w:val="20"/>
          <w:szCs w:val="20"/>
          <w:lang w:val="fr-FR"/>
        </w:rPr>
        <w:instrText xml:space="preserve"> SEQ CHAPTER \h \r 1</w:instrText>
      </w:r>
      <w:r w:rsidR="0028676C" w:rsidRPr="006E5D7C">
        <w:rPr>
          <w:rFonts w:eastAsiaTheme="minorEastAsia" w:cs="Times New Roman"/>
          <w:sz w:val="20"/>
          <w:szCs w:val="20"/>
        </w:rPr>
        <w:fldChar w:fldCharType="end"/>
      </w:r>
      <w:r w:rsidRPr="006E5D7C">
        <w:rPr>
          <w:rFonts w:eastAsiaTheme="minorEastAsia" w:cs="Times New Roman"/>
          <w:sz w:val="20"/>
          <w:szCs w:val="20"/>
          <w:lang w:val="fr-CA"/>
        </w:rPr>
        <w:t xml:space="preserve">en autorisation d’intervenir du </w:t>
      </w:r>
      <w:r w:rsidRPr="006E5D7C">
        <w:rPr>
          <w:rFonts w:eastAsiaTheme="minorEastAsia" w:cs="Times New Roman"/>
          <w:bCs/>
          <w:sz w:val="20"/>
          <w:szCs w:val="20"/>
          <w:lang w:val="fr-CA"/>
        </w:rPr>
        <w:t xml:space="preserve">Conseil du patronat du Québec </w:t>
      </w:r>
      <w:proofErr w:type="spellStart"/>
      <w:r w:rsidRPr="006E5D7C">
        <w:rPr>
          <w:rFonts w:eastAsiaTheme="minorEastAsia" w:cs="Times New Roman"/>
          <w:bCs/>
          <w:sz w:val="20"/>
          <w:szCs w:val="20"/>
          <w:lang w:val="fr-CA"/>
        </w:rPr>
        <w:t>inc</w:t>
      </w:r>
      <w:proofErr w:type="spellEnd"/>
      <w:r w:rsidRPr="006E5D7C">
        <w:rPr>
          <w:rFonts w:eastAsiaTheme="minorEastAsia" w:cs="Times New Roman"/>
          <w:bCs/>
          <w:sz w:val="20"/>
          <w:szCs w:val="20"/>
          <w:lang w:val="fr-CA"/>
        </w:rPr>
        <w:t>., de l’Alliance des manufacturiers et des exportateurs du Canada, aussi connu sous le nom de Manufacturiers et Exportateurs du Canada et de l’association canadienne des avocats d’employeurs</w:t>
      </w:r>
      <w:r w:rsidRPr="006E5D7C">
        <w:rPr>
          <w:rFonts w:eastAsiaTheme="minorEastAsia" w:cs="Times New Roman"/>
          <w:sz w:val="20"/>
          <w:szCs w:val="20"/>
          <w:lang w:val="fr-CA"/>
        </w:rPr>
        <w:t xml:space="preserve"> sont accueillies et ces intervenants pourront signifier et déposer un mémoire d’au plus 10 pages au plus tard le 3 juillet 2013.</w:t>
      </w:r>
    </w:p>
    <w:p w:rsidR="006E5D7C" w:rsidRPr="006E5D7C" w:rsidRDefault="006E5D7C" w:rsidP="006E5D7C">
      <w:pPr>
        <w:widowControl w:val="0"/>
        <w:autoSpaceDE w:val="0"/>
        <w:autoSpaceDN w:val="0"/>
        <w:adjustRightInd w:val="0"/>
        <w:spacing w:line="233" w:lineRule="auto"/>
        <w:jc w:val="both"/>
        <w:rPr>
          <w:rFonts w:eastAsiaTheme="minorEastAsia" w:cs="Times New Roman"/>
          <w:sz w:val="20"/>
          <w:szCs w:val="20"/>
          <w:lang w:val="fr-CA"/>
        </w:rPr>
      </w:pPr>
    </w:p>
    <w:p w:rsidR="006E5D7C" w:rsidRPr="006E5D7C" w:rsidRDefault="006E5D7C" w:rsidP="006E5D7C">
      <w:pPr>
        <w:widowControl w:val="0"/>
        <w:autoSpaceDE w:val="0"/>
        <w:autoSpaceDN w:val="0"/>
        <w:adjustRightInd w:val="0"/>
        <w:spacing w:line="225" w:lineRule="auto"/>
        <w:jc w:val="both"/>
        <w:rPr>
          <w:rFonts w:eastAsiaTheme="minorEastAsia" w:cs="Times New Roman"/>
          <w:sz w:val="20"/>
          <w:szCs w:val="20"/>
          <w:lang w:val="fr-CA"/>
        </w:rPr>
      </w:pPr>
      <w:r w:rsidRPr="006E5D7C">
        <w:rPr>
          <w:rFonts w:eastAsiaTheme="minorEastAsia" w:cs="Times New Roman"/>
          <w:sz w:val="20"/>
          <w:szCs w:val="20"/>
          <w:lang w:val="fr-CA"/>
        </w:rPr>
        <w:t>Dans la mesure où leurs intérêts sont similaires, les intervenants se consulteront pour éviter toute répétition.</w:t>
      </w:r>
    </w:p>
    <w:p w:rsidR="006E5D7C" w:rsidRPr="006E5D7C" w:rsidRDefault="006E5D7C" w:rsidP="006E5D7C">
      <w:pPr>
        <w:widowControl w:val="0"/>
        <w:autoSpaceDE w:val="0"/>
        <w:autoSpaceDN w:val="0"/>
        <w:adjustRightInd w:val="0"/>
        <w:spacing w:line="225" w:lineRule="auto"/>
        <w:jc w:val="both"/>
        <w:rPr>
          <w:rFonts w:eastAsiaTheme="minorEastAsia" w:cs="Times New Roman"/>
          <w:sz w:val="20"/>
          <w:szCs w:val="20"/>
          <w:lang w:val="fr-CA"/>
        </w:rPr>
      </w:pPr>
    </w:p>
    <w:p w:rsidR="006E5D7C" w:rsidRPr="006E5D7C" w:rsidRDefault="006E5D7C" w:rsidP="006E5D7C">
      <w:pPr>
        <w:widowControl w:val="0"/>
        <w:autoSpaceDE w:val="0"/>
        <w:autoSpaceDN w:val="0"/>
        <w:adjustRightInd w:val="0"/>
        <w:spacing w:line="225" w:lineRule="auto"/>
        <w:jc w:val="both"/>
        <w:rPr>
          <w:rFonts w:eastAsiaTheme="minorEastAsia" w:cs="Times New Roman"/>
          <w:sz w:val="20"/>
          <w:szCs w:val="20"/>
          <w:lang w:val="fr-CA"/>
        </w:rPr>
      </w:pPr>
      <w:r w:rsidRPr="006E5D7C">
        <w:rPr>
          <w:rFonts w:eastAsiaTheme="minorEastAsia" w:cs="Times New Roman"/>
          <w:sz w:val="20"/>
          <w:szCs w:val="20"/>
          <w:lang w:val="fr-CA"/>
        </w:rPr>
        <w:t xml:space="preserve">La décision sur la demande en vue de présenter une plaidoirie orale sera rendue après réception et examen des arguments écrits des parties et des intervenants. </w:t>
      </w:r>
    </w:p>
    <w:p w:rsidR="006E5D7C" w:rsidRPr="006E5D7C" w:rsidRDefault="006E5D7C" w:rsidP="006E5D7C">
      <w:pPr>
        <w:widowControl w:val="0"/>
        <w:autoSpaceDE w:val="0"/>
        <w:autoSpaceDN w:val="0"/>
        <w:adjustRightInd w:val="0"/>
        <w:spacing w:line="233" w:lineRule="auto"/>
        <w:jc w:val="both"/>
        <w:rPr>
          <w:rFonts w:eastAsia="Times New Roman" w:cs="Times New Roman"/>
          <w:color w:val="000000" w:themeColor="text1"/>
          <w:sz w:val="20"/>
          <w:szCs w:val="20"/>
          <w:lang w:val="fr-CA" w:eastAsia="fr-FR"/>
        </w:rPr>
      </w:pPr>
    </w:p>
    <w:p w:rsidR="006E5D7C" w:rsidRPr="006E5D7C" w:rsidRDefault="0028676C" w:rsidP="006E5D7C">
      <w:pPr>
        <w:widowControl w:val="0"/>
        <w:autoSpaceDE w:val="0"/>
        <w:autoSpaceDN w:val="0"/>
        <w:adjustRightInd w:val="0"/>
        <w:jc w:val="both"/>
        <w:rPr>
          <w:rFonts w:eastAsiaTheme="minorEastAsia" w:cs="Times New Roman"/>
          <w:sz w:val="20"/>
          <w:szCs w:val="20"/>
          <w:lang w:val="fr-FR"/>
        </w:rPr>
      </w:pPr>
      <w:r w:rsidRPr="006E5D7C">
        <w:rPr>
          <w:rFonts w:eastAsiaTheme="minorEastAsia" w:cs="Times New Roman"/>
          <w:sz w:val="20"/>
          <w:szCs w:val="20"/>
        </w:rPr>
        <w:fldChar w:fldCharType="begin"/>
      </w:r>
      <w:r w:rsidR="006E5D7C" w:rsidRPr="006E5D7C">
        <w:rPr>
          <w:rFonts w:eastAsiaTheme="minorEastAsia" w:cs="Times New Roman"/>
          <w:sz w:val="20"/>
          <w:szCs w:val="20"/>
          <w:lang w:val="fr-FR"/>
        </w:rPr>
        <w:instrText xml:space="preserve"> SEQ CHAPTER \h \r 1</w:instrText>
      </w:r>
      <w:r w:rsidRPr="006E5D7C">
        <w:rPr>
          <w:rFonts w:eastAsiaTheme="minorEastAsia" w:cs="Times New Roman"/>
          <w:sz w:val="20"/>
          <w:szCs w:val="20"/>
        </w:rPr>
        <w:fldChar w:fldCharType="end"/>
      </w:r>
      <w:r w:rsidR="006E5D7C" w:rsidRPr="006E5D7C">
        <w:rPr>
          <w:rFonts w:eastAsiaTheme="minorEastAsia" w:cs="Times New Roman"/>
          <w:sz w:val="20"/>
          <w:szCs w:val="20"/>
          <w:lang w:val="fr-CA"/>
        </w:rPr>
        <w:t xml:space="preserve">Les intervenants </w:t>
      </w:r>
      <w:r w:rsidRPr="006E5D7C">
        <w:rPr>
          <w:rFonts w:eastAsiaTheme="minorEastAsia" w:cs="Times New Roman"/>
          <w:sz w:val="20"/>
          <w:szCs w:val="20"/>
        </w:rPr>
        <w:fldChar w:fldCharType="begin"/>
      </w:r>
      <w:r w:rsidR="006E5D7C" w:rsidRPr="006E5D7C">
        <w:rPr>
          <w:rFonts w:eastAsiaTheme="minorEastAsia" w:cs="Times New Roman"/>
          <w:sz w:val="20"/>
          <w:szCs w:val="20"/>
          <w:lang w:val="fr-FR"/>
        </w:rPr>
        <w:instrText xml:space="preserve"> SEQ CHAPTER \h \r 1</w:instrText>
      </w:r>
      <w:r w:rsidRPr="006E5D7C">
        <w:rPr>
          <w:rFonts w:eastAsiaTheme="minorEastAsia" w:cs="Times New Roman"/>
          <w:sz w:val="20"/>
          <w:szCs w:val="20"/>
        </w:rPr>
        <w:fldChar w:fldCharType="end"/>
      </w:r>
      <w:r w:rsidR="006E5D7C" w:rsidRPr="006E5D7C">
        <w:rPr>
          <w:rFonts w:eastAsiaTheme="minorEastAsia" w:cs="Times New Roman"/>
          <w:bCs/>
          <w:sz w:val="20"/>
          <w:szCs w:val="20"/>
          <w:lang w:val="fr-FR"/>
        </w:rPr>
        <w:t>n'ont pas le droit de soulever de nouvelles questions, de produire d'autres éléments de preuve ni de compléter de quelque autre façon le dossier des parties.</w:t>
      </w:r>
    </w:p>
    <w:p w:rsidR="006E5D7C" w:rsidRPr="006E5D7C" w:rsidRDefault="006E5D7C" w:rsidP="006E5D7C">
      <w:pPr>
        <w:widowControl w:val="0"/>
        <w:autoSpaceDE w:val="0"/>
        <w:autoSpaceDN w:val="0"/>
        <w:adjustRightInd w:val="0"/>
        <w:spacing w:line="233" w:lineRule="auto"/>
        <w:jc w:val="both"/>
        <w:rPr>
          <w:rFonts w:eastAsiaTheme="minorEastAsia" w:cs="Times New Roman"/>
          <w:sz w:val="20"/>
          <w:szCs w:val="20"/>
          <w:lang w:val="fr-FR"/>
        </w:rPr>
      </w:pPr>
    </w:p>
    <w:p w:rsidR="006E5D7C" w:rsidRPr="006E5D7C" w:rsidRDefault="0028676C" w:rsidP="006E5D7C">
      <w:pPr>
        <w:widowControl w:val="0"/>
        <w:autoSpaceDE w:val="0"/>
        <w:autoSpaceDN w:val="0"/>
        <w:adjustRightInd w:val="0"/>
        <w:spacing w:line="233" w:lineRule="auto"/>
        <w:jc w:val="both"/>
        <w:rPr>
          <w:rFonts w:eastAsiaTheme="minorEastAsia" w:cs="Times New Roman"/>
          <w:sz w:val="20"/>
          <w:szCs w:val="20"/>
          <w:lang w:val="fr-CA"/>
        </w:rPr>
      </w:pPr>
      <w:r w:rsidRPr="006E5D7C">
        <w:rPr>
          <w:rFonts w:eastAsiaTheme="minorEastAsia" w:cs="Times New Roman"/>
          <w:sz w:val="20"/>
          <w:szCs w:val="20"/>
        </w:rPr>
        <w:fldChar w:fldCharType="begin"/>
      </w:r>
      <w:r w:rsidR="006E5D7C" w:rsidRPr="006E5D7C">
        <w:rPr>
          <w:rFonts w:eastAsiaTheme="minorEastAsia" w:cs="Times New Roman"/>
          <w:sz w:val="20"/>
          <w:szCs w:val="20"/>
          <w:lang w:val="fr-FR"/>
        </w:rPr>
        <w:instrText xml:space="preserve"> SEQ CHAPTER \h \r 1</w:instrText>
      </w:r>
      <w:r w:rsidRPr="006E5D7C">
        <w:rPr>
          <w:rFonts w:eastAsiaTheme="minorEastAsia" w:cs="Times New Roman"/>
          <w:sz w:val="20"/>
          <w:szCs w:val="20"/>
        </w:rPr>
        <w:fldChar w:fldCharType="end"/>
      </w:r>
      <w:r w:rsidR="006E5D7C" w:rsidRPr="006E5D7C">
        <w:rPr>
          <w:rFonts w:eastAsiaTheme="minorEastAsia" w:cs="Times New Roman"/>
          <w:sz w:val="20"/>
          <w:szCs w:val="20"/>
          <w:lang w:val="fr-CA"/>
        </w:rPr>
        <w:t>Conformément à l'alinéa 59(1</w:t>
      </w:r>
      <w:proofErr w:type="gramStart"/>
      <w:r w:rsidR="006E5D7C" w:rsidRPr="006E5D7C">
        <w:rPr>
          <w:rFonts w:eastAsiaTheme="minorEastAsia" w:cs="Times New Roman"/>
          <w:sz w:val="20"/>
          <w:szCs w:val="20"/>
          <w:lang w:val="fr-CA"/>
        </w:rPr>
        <w:t>)(</w:t>
      </w:r>
      <w:proofErr w:type="gramEnd"/>
      <w:r w:rsidR="006E5D7C" w:rsidRPr="006E5D7C">
        <w:rPr>
          <w:rFonts w:eastAsiaTheme="minorEastAsia" w:cs="Times New Roman"/>
          <w:i/>
          <w:iCs/>
          <w:sz w:val="20"/>
          <w:szCs w:val="20"/>
          <w:lang w:val="fr-CA"/>
        </w:rPr>
        <w:t>a</w:t>
      </w:r>
      <w:r w:rsidR="006E5D7C" w:rsidRPr="006E5D7C">
        <w:rPr>
          <w:rFonts w:eastAsiaTheme="minorEastAsia" w:cs="Times New Roman"/>
          <w:sz w:val="20"/>
          <w:szCs w:val="20"/>
          <w:lang w:val="fr-CA"/>
        </w:rPr>
        <w:t xml:space="preserve">) des </w:t>
      </w:r>
      <w:r w:rsidR="006E5D7C" w:rsidRPr="006E5D7C">
        <w:rPr>
          <w:rFonts w:eastAsiaTheme="minorEastAsia" w:cs="Times New Roman"/>
          <w:i/>
          <w:iCs/>
          <w:sz w:val="20"/>
          <w:szCs w:val="20"/>
          <w:lang w:val="fr-CA"/>
        </w:rPr>
        <w:t>Règles de la Cour suprême du Canada</w:t>
      </w:r>
      <w:r w:rsidR="006E5D7C" w:rsidRPr="006E5D7C">
        <w:rPr>
          <w:rFonts w:eastAsiaTheme="minorEastAsia" w:cs="Times New Roman"/>
          <w:sz w:val="20"/>
          <w:szCs w:val="20"/>
          <w:lang w:val="fr-CA"/>
        </w:rPr>
        <w:t>, les intervenants paieront à l’appelante et à l’intimée tous débours supplémentaires résultant de leur intervention.</w:t>
      </w:r>
    </w:p>
    <w:p w:rsidR="006E5D7C" w:rsidRPr="006E5D7C" w:rsidRDefault="006E5D7C" w:rsidP="006E5D7C">
      <w:pPr>
        <w:widowControl w:val="0"/>
        <w:autoSpaceDE w:val="0"/>
        <w:autoSpaceDN w:val="0"/>
        <w:adjustRightInd w:val="0"/>
        <w:spacing w:line="233" w:lineRule="auto"/>
        <w:jc w:val="both"/>
        <w:rPr>
          <w:rFonts w:eastAsiaTheme="minorEastAsia" w:cs="Times New Roman"/>
          <w:sz w:val="20"/>
          <w:szCs w:val="20"/>
          <w:lang w:val="fr-CA"/>
        </w:rPr>
      </w:pPr>
    </w:p>
    <w:p w:rsidR="006E5D7C" w:rsidRPr="006E5D7C" w:rsidRDefault="006E5D7C" w:rsidP="006E5D7C">
      <w:pPr>
        <w:widowControl w:val="0"/>
        <w:autoSpaceDE w:val="0"/>
        <w:autoSpaceDN w:val="0"/>
        <w:adjustRightInd w:val="0"/>
        <w:spacing w:line="233" w:lineRule="auto"/>
        <w:jc w:val="both"/>
        <w:rPr>
          <w:rFonts w:eastAsiaTheme="minorEastAsia" w:cs="Times New Roman"/>
          <w:sz w:val="20"/>
          <w:szCs w:val="20"/>
          <w:lang w:val="fr-CA"/>
        </w:rPr>
      </w:pPr>
    </w:p>
    <w:p w:rsidR="006E5D7C" w:rsidRPr="006E5D7C" w:rsidRDefault="006E5D7C" w:rsidP="006E5D7C">
      <w:pPr>
        <w:widowControl w:val="0"/>
        <w:autoSpaceDE w:val="0"/>
        <w:autoSpaceDN w:val="0"/>
        <w:adjustRightInd w:val="0"/>
        <w:spacing w:line="233" w:lineRule="auto"/>
        <w:jc w:val="both"/>
        <w:rPr>
          <w:rFonts w:eastAsiaTheme="minorEastAsia" w:cs="Times New Roman"/>
          <w:sz w:val="20"/>
          <w:szCs w:val="20"/>
          <w:lang w:val="fr-CA"/>
        </w:rPr>
      </w:pPr>
    </w:p>
    <w:p w:rsidR="006E5D7C" w:rsidRPr="006E5D7C" w:rsidRDefault="006E5D7C" w:rsidP="006E5D7C">
      <w:pPr>
        <w:widowControl w:val="0"/>
        <w:autoSpaceDE w:val="0"/>
        <w:autoSpaceDN w:val="0"/>
        <w:adjustRightInd w:val="0"/>
        <w:spacing w:line="233" w:lineRule="auto"/>
        <w:jc w:val="both"/>
        <w:rPr>
          <w:rFonts w:eastAsiaTheme="minorEastAsia" w:cs="Times New Roman"/>
          <w:sz w:val="20"/>
          <w:szCs w:val="20"/>
          <w:lang w:val="en-US"/>
        </w:rPr>
      </w:pPr>
      <w:r w:rsidRPr="006E5D7C">
        <w:rPr>
          <w:rFonts w:eastAsiaTheme="minorEastAsia" w:cs="Times New Roman"/>
          <w:b/>
          <w:bCs/>
          <w:sz w:val="20"/>
          <w:szCs w:val="20"/>
          <w:lang w:val="en-US"/>
        </w:rPr>
        <w:t xml:space="preserve">UPON APPLICATIONS </w:t>
      </w:r>
      <w:r w:rsidRPr="006E5D7C">
        <w:rPr>
          <w:rFonts w:eastAsiaTheme="minorEastAsia" w:cs="Times New Roman"/>
          <w:sz w:val="20"/>
          <w:szCs w:val="20"/>
          <w:lang w:val="en-US"/>
        </w:rPr>
        <w:t xml:space="preserve">by </w:t>
      </w:r>
      <w:r w:rsidRPr="006E5D7C">
        <w:rPr>
          <w:rFonts w:eastAsiaTheme="minorEastAsia" w:cs="Times New Roman"/>
          <w:sz w:val="20"/>
          <w:szCs w:val="20"/>
        </w:rPr>
        <w:t>the</w:t>
      </w:r>
      <w:r w:rsidRPr="006E5D7C">
        <w:rPr>
          <w:rFonts w:eastAsiaTheme="minorEastAsia" w:cs="Times New Roman"/>
          <w:sz w:val="20"/>
          <w:szCs w:val="20"/>
          <w:lang w:val="en-US"/>
        </w:rPr>
        <w:t xml:space="preserve"> Quebec Employers' Council Inc., the Alliance of Manufacturers &amp; Exporters Canada, also known as Canadian Manufacturers &amp; Exporters and the Canadian Association of Counsel to Employers for leave to intervene in the above appeal;</w:t>
      </w:r>
    </w:p>
    <w:p w:rsidR="006E5D7C" w:rsidRPr="006E5D7C" w:rsidRDefault="006E5D7C" w:rsidP="006E5D7C">
      <w:pPr>
        <w:widowControl w:val="0"/>
        <w:autoSpaceDE w:val="0"/>
        <w:autoSpaceDN w:val="0"/>
        <w:adjustRightInd w:val="0"/>
        <w:spacing w:line="233" w:lineRule="auto"/>
        <w:jc w:val="both"/>
        <w:rPr>
          <w:rFonts w:eastAsiaTheme="minorEastAsia" w:cs="Times New Roman"/>
          <w:b/>
          <w:bCs/>
          <w:sz w:val="20"/>
          <w:szCs w:val="20"/>
          <w:lang w:val="en-US"/>
        </w:rPr>
      </w:pPr>
    </w:p>
    <w:p w:rsidR="006E5D7C" w:rsidRPr="006E5D7C" w:rsidRDefault="006E5D7C" w:rsidP="006E5D7C">
      <w:pPr>
        <w:widowControl w:val="0"/>
        <w:autoSpaceDE w:val="0"/>
        <w:autoSpaceDN w:val="0"/>
        <w:adjustRightInd w:val="0"/>
        <w:spacing w:line="233" w:lineRule="auto"/>
        <w:jc w:val="both"/>
        <w:rPr>
          <w:rFonts w:eastAsiaTheme="minorEastAsia" w:cs="Times New Roman"/>
          <w:sz w:val="20"/>
          <w:szCs w:val="20"/>
          <w:lang w:val="en-US"/>
        </w:rPr>
      </w:pPr>
      <w:r w:rsidRPr="006E5D7C">
        <w:rPr>
          <w:rFonts w:eastAsiaTheme="minorEastAsia" w:cs="Times New Roman"/>
          <w:b/>
          <w:bCs/>
          <w:sz w:val="20"/>
          <w:szCs w:val="20"/>
          <w:lang w:val="en-US"/>
        </w:rPr>
        <w:t>AND THE MATERIAL FILED</w:t>
      </w:r>
      <w:r w:rsidRPr="006E5D7C">
        <w:rPr>
          <w:rFonts w:eastAsiaTheme="minorEastAsia" w:cs="Times New Roman"/>
          <w:sz w:val="20"/>
          <w:szCs w:val="20"/>
          <w:lang w:val="en-US"/>
        </w:rPr>
        <w:t xml:space="preserve"> having been read;</w:t>
      </w:r>
    </w:p>
    <w:p w:rsidR="006E5D7C" w:rsidRPr="006E5D7C" w:rsidRDefault="006E5D7C" w:rsidP="006E5D7C">
      <w:pPr>
        <w:widowControl w:val="0"/>
        <w:autoSpaceDE w:val="0"/>
        <w:autoSpaceDN w:val="0"/>
        <w:adjustRightInd w:val="0"/>
        <w:spacing w:line="233" w:lineRule="auto"/>
        <w:jc w:val="both"/>
        <w:rPr>
          <w:rFonts w:eastAsiaTheme="minorEastAsia" w:cs="Times New Roman"/>
          <w:sz w:val="20"/>
          <w:szCs w:val="20"/>
          <w:lang w:val="en-US"/>
        </w:rPr>
      </w:pPr>
    </w:p>
    <w:p w:rsidR="006E5D7C" w:rsidRPr="006E5D7C" w:rsidRDefault="006E5D7C" w:rsidP="006E5D7C">
      <w:pPr>
        <w:widowControl w:val="0"/>
        <w:autoSpaceDE w:val="0"/>
        <w:autoSpaceDN w:val="0"/>
        <w:adjustRightInd w:val="0"/>
        <w:spacing w:line="233" w:lineRule="auto"/>
        <w:jc w:val="both"/>
        <w:rPr>
          <w:rFonts w:eastAsiaTheme="minorEastAsia" w:cs="Times New Roman"/>
          <w:sz w:val="20"/>
          <w:szCs w:val="20"/>
          <w:lang w:val="en-US"/>
        </w:rPr>
      </w:pPr>
      <w:r w:rsidRPr="006E5D7C">
        <w:rPr>
          <w:rFonts w:eastAsiaTheme="minorEastAsia" w:cs="Times New Roman"/>
          <w:b/>
          <w:bCs/>
          <w:sz w:val="20"/>
          <w:szCs w:val="20"/>
          <w:lang w:val="en-US"/>
        </w:rPr>
        <w:t>IT IS HEREBY ORDERED THAT:</w:t>
      </w:r>
    </w:p>
    <w:p w:rsidR="006E5D7C" w:rsidRPr="006E5D7C" w:rsidRDefault="006E5D7C" w:rsidP="006E5D7C">
      <w:pPr>
        <w:widowControl w:val="0"/>
        <w:autoSpaceDE w:val="0"/>
        <w:autoSpaceDN w:val="0"/>
        <w:adjustRightInd w:val="0"/>
        <w:spacing w:line="233" w:lineRule="auto"/>
        <w:jc w:val="both"/>
        <w:rPr>
          <w:rFonts w:eastAsiaTheme="minorEastAsia" w:cs="Times New Roman"/>
          <w:sz w:val="20"/>
          <w:szCs w:val="20"/>
          <w:lang w:val="en-US"/>
        </w:rPr>
      </w:pPr>
    </w:p>
    <w:p w:rsidR="006E5D7C" w:rsidRPr="006E5D7C" w:rsidRDefault="006E5D7C" w:rsidP="006E5D7C">
      <w:pPr>
        <w:widowControl w:val="0"/>
        <w:autoSpaceDE w:val="0"/>
        <w:autoSpaceDN w:val="0"/>
        <w:adjustRightInd w:val="0"/>
        <w:spacing w:line="233" w:lineRule="auto"/>
        <w:jc w:val="both"/>
        <w:rPr>
          <w:rFonts w:eastAsiaTheme="minorEastAsia" w:cs="Times New Roman"/>
          <w:sz w:val="20"/>
          <w:szCs w:val="20"/>
          <w:lang w:val="en-US"/>
        </w:rPr>
      </w:pPr>
      <w:r w:rsidRPr="006E5D7C">
        <w:rPr>
          <w:rFonts w:eastAsiaTheme="minorEastAsia" w:cs="Times New Roman"/>
          <w:sz w:val="20"/>
          <w:szCs w:val="20"/>
          <w:lang w:val="en-US"/>
        </w:rPr>
        <w:t>The motions for leave to intervene of the Quebec Employers' Council Inc., the Alliance of Manufacturers &amp; Exporters Canada, also known as Canadian Manufacturers &amp; Exporters and the Canadian Association of Counsel to Employers are granted and the said interveners shall be entitled to serve and file a factum not to exceed 10 pages in length on or before July 3, 2013.</w:t>
      </w:r>
    </w:p>
    <w:p w:rsidR="006E5D7C" w:rsidRPr="006E5D7C" w:rsidRDefault="006E5D7C" w:rsidP="006E5D7C">
      <w:pPr>
        <w:widowControl w:val="0"/>
        <w:autoSpaceDE w:val="0"/>
        <w:autoSpaceDN w:val="0"/>
        <w:adjustRightInd w:val="0"/>
        <w:spacing w:line="233" w:lineRule="auto"/>
        <w:jc w:val="both"/>
        <w:rPr>
          <w:rFonts w:eastAsiaTheme="minorEastAsia" w:cs="Times New Roman"/>
          <w:sz w:val="20"/>
          <w:szCs w:val="20"/>
          <w:lang w:val="en-US"/>
        </w:rPr>
      </w:pPr>
    </w:p>
    <w:p w:rsidR="006E5D7C" w:rsidRPr="006E5D7C" w:rsidRDefault="0028676C" w:rsidP="006E5D7C">
      <w:pPr>
        <w:widowControl w:val="0"/>
        <w:autoSpaceDE w:val="0"/>
        <w:autoSpaceDN w:val="0"/>
        <w:adjustRightInd w:val="0"/>
        <w:spacing w:line="233" w:lineRule="auto"/>
        <w:jc w:val="both"/>
        <w:rPr>
          <w:rFonts w:eastAsiaTheme="minorEastAsia" w:cs="Times New Roman"/>
          <w:sz w:val="20"/>
          <w:szCs w:val="20"/>
          <w:lang w:val="en-US"/>
        </w:rPr>
      </w:pPr>
      <w:r w:rsidRPr="006E5D7C">
        <w:rPr>
          <w:rFonts w:eastAsiaTheme="minorEastAsia" w:cs="Times New Roman"/>
          <w:sz w:val="20"/>
          <w:szCs w:val="20"/>
        </w:rPr>
        <w:fldChar w:fldCharType="begin"/>
      </w:r>
      <w:r w:rsidR="006E5D7C" w:rsidRPr="006E5D7C">
        <w:rPr>
          <w:rFonts w:eastAsiaTheme="minorEastAsia" w:cs="Times New Roman"/>
          <w:sz w:val="20"/>
          <w:szCs w:val="20"/>
        </w:rPr>
        <w:instrText xml:space="preserve"> SEQ CHAPTER \h \r 1</w:instrText>
      </w:r>
      <w:r w:rsidRPr="006E5D7C">
        <w:rPr>
          <w:rFonts w:eastAsiaTheme="minorEastAsia" w:cs="Times New Roman"/>
          <w:sz w:val="20"/>
          <w:szCs w:val="20"/>
        </w:rPr>
        <w:fldChar w:fldCharType="end"/>
      </w:r>
      <w:r w:rsidR="006E5D7C" w:rsidRPr="006E5D7C">
        <w:rPr>
          <w:rFonts w:eastAsiaTheme="minorEastAsia" w:cs="Times New Roman"/>
          <w:sz w:val="20"/>
          <w:szCs w:val="20"/>
          <w:lang w:val="en-US"/>
        </w:rPr>
        <w:t>To the extent that the interests are similar, interveners shall consult to avoid repetition.</w:t>
      </w:r>
    </w:p>
    <w:p w:rsidR="006E5D7C" w:rsidRPr="006E5D7C" w:rsidRDefault="006E5D7C" w:rsidP="006E5D7C">
      <w:pPr>
        <w:widowControl w:val="0"/>
        <w:autoSpaceDE w:val="0"/>
        <w:autoSpaceDN w:val="0"/>
        <w:adjustRightInd w:val="0"/>
        <w:spacing w:line="233" w:lineRule="auto"/>
        <w:jc w:val="both"/>
        <w:rPr>
          <w:rFonts w:eastAsiaTheme="minorEastAsia" w:cs="Times New Roman"/>
          <w:sz w:val="20"/>
          <w:szCs w:val="20"/>
          <w:lang w:val="en-US"/>
        </w:rPr>
      </w:pPr>
    </w:p>
    <w:p w:rsidR="006E5D7C" w:rsidRPr="006E5D7C" w:rsidRDefault="006E5D7C" w:rsidP="006E5D7C">
      <w:pPr>
        <w:widowControl w:val="0"/>
        <w:autoSpaceDE w:val="0"/>
        <w:autoSpaceDN w:val="0"/>
        <w:adjustRightInd w:val="0"/>
        <w:spacing w:line="233" w:lineRule="auto"/>
        <w:jc w:val="both"/>
        <w:rPr>
          <w:rFonts w:eastAsiaTheme="minorEastAsia" w:cs="Times New Roman"/>
          <w:sz w:val="20"/>
          <w:szCs w:val="20"/>
          <w:lang w:val="en-US"/>
        </w:rPr>
      </w:pPr>
      <w:r w:rsidRPr="006E5D7C">
        <w:rPr>
          <w:rFonts w:eastAsiaTheme="minorEastAsia" w:cs="Times New Roman"/>
          <w:sz w:val="20"/>
          <w:szCs w:val="20"/>
          <w:lang w:val="en-US"/>
        </w:rPr>
        <w:t>The request to present oral argument is deferred to a date following receipt and consideration of the written arguments of the parties and the interveners.</w:t>
      </w:r>
    </w:p>
    <w:p w:rsidR="006E5D7C" w:rsidRDefault="006E5D7C">
      <w:pPr>
        <w:rPr>
          <w:rFonts w:eastAsiaTheme="minorEastAsia" w:cs="Times New Roman"/>
          <w:sz w:val="20"/>
          <w:szCs w:val="20"/>
          <w:lang w:val="en-US"/>
        </w:rPr>
      </w:pPr>
    </w:p>
    <w:p w:rsidR="006E5D7C" w:rsidRPr="006E5D7C" w:rsidRDefault="0028676C" w:rsidP="006E5D7C">
      <w:pPr>
        <w:widowControl w:val="0"/>
        <w:autoSpaceDE w:val="0"/>
        <w:autoSpaceDN w:val="0"/>
        <w:adjustRightInd w:val="0"/>
        <w:jc w:val="both"/>
        <w:rPr>
          <w:rFonts w:eastAsiaTheme="minorEastAsia" w:cs="Times New Roman"/>
          <w:bCs/>
          <w:sz w:val="20"/>
          <w:szCs w:val="20"/>
          <w:lang w:val="en-US"/>
        </w:rPr>
      </w:pPr>
      <w:r w:rsidRPr="006E5D7C">
        <w:rPr>
          <w:rFonts w:eastAsiaTheme="minorEastAsia" w:cs="Times New Roman"/>
          <w:sz w:val="20"/>
          <w:szCs w:val="20"/>
        </w:rPr>
        <w:fldChar w:fldCharType="begin"/>
      </w:r>
      <w:r w:rsidR="006E5D7C" w:rsidRPr="006E5D7C">
        <w:rPr>
          <w:rFonts w:eastAsiaTheme="minorEastAsia" w:cs="Times New Roman"/>
          <w:sz w:val="20"/>
          <w:szCs w:val="20"/>
        </w:rPr>
        <w:instrText xml:space="preserve"> SEQ CHAPTER \h \r 1</w:instrText>
      </w:r>
      <w:r w:rsidRPr="006E5D7C">
        <w:rPr>
          <w:rFonts w:eastAsiaTheme="minorEastAsia" w:cs="Times New Roman"/>
          <w:sz w:val="20"/>
          <w:szCs w:val="20"/>
        </w:rPr>
        <w:fldChar w:fldCharType="end"/>
      </w:r>
      <w:r w:rsidR="006E5D7C" w:rsidRPr="006E5D7C">
        <w:rPr>
          <w:rFonts w:eastAsiaTheme="minorEastAsia" w:cs="Times New Roman"/>
          <w:bCs/>
          <w:sz w:val="20"/>
          <w:szCs w:val="20"/>
          <w:lang w:val="en-US"/>
        </w:rPr>
        <w:t>The interveners are not entitled to raise new issues or to adduce further evidence or otherwise to supplement the record of the parties.</w:t>
      </w:r>
    </w:p>
    <w:p w:rsidR="006E5D7C" w:rsidRPr="006E5D7C" w:rsidRDefault="006E5D7C" w:rsidP="006E5D7C">
      <w:pPr>
        <w:widowControl w:val="0"/>
        <w:autoSpaceDE w:val="0"/>
        <w:autoSpaceDN w:val="0"/>
        <w:adjustRightInd w:val="0"/>
        <w:spacing w:line="233" w:lineRule="auto"/>
        <w:jc w:val="both"/>
        <w:rPr>
          <w:rFonts w:eastAsiaTheme="minorEastAsia" w:cs="Times New Roman"/>
          <w:sz w:val="20"/>
          <w:szCs w:val="20"/>
          <w:lang w:val="en-US"/>
        </w:rPr>
      </w:pPr>
    </w:p>
    <w:p w:rsidR="006E5D7C" w:rsidRPr="006E5D7C" w:rsidRDefault="006E5D7C" w:rsidP="006E5D7C">
      <w:pPr>
        <w:widowControl w:val="0"/>
        <w:autoSpaceDE w:val="0"/>
        <w:autoSpaceDN w:val="0"/>
        <w:adjustRightInd w:val="0"/>
        <w:spacing w:line="233" w:lineRule="auto"/>
        <w:jc w:val="both"/>
        <w:rPr>
          <w:rFonts w:eastAsiaTheme="minorEastAsia" w:cs="Times New Roman"/>
          <w:sz w:val="20"/>
          <w:szCs w:val="20"/>
          <w:lang w:val="en-US"/>
        </w:rPr>
      </w:pPr>
      <w:r w:rsidRPr="006E5D7C">
        <w:rPr>
          <w:rFonts w:eastAsiaTheme="minorEastAsia" w:cs="Times New Roman"/>
          <w:sz w:val="20"/>
          <w:szCs w:val="20"/>
          <w:lang w:val="en-US"/>
        </w:rPr>
        <w:t>Pursuant to Rule 59(1</w:t>
      </w:r>
      <w:proofErr w:type="gramStart"/>
      <w:r w:rsidRPr="006E5D7C">
        <w:rPr>
          <w:rFonts w:eastAsiaTheme="minorEastAsia" w:cs="Times New Roman"/>
          <w:sz w:val="20"/>
          <w:szCs w:val="20"/>
          <w:lang w:val="en-US"/>
        </w:rPr>
        <w:t>)(</w:t>
      </w:r>
      <w:proofErr w:type="gramEnd"/>
      <w:r w:rsidRPr="006E5D7C">
        <w:rPr>
          <w:rFonts w:eastAsiaTheme="minorEastAsia" w:cs="Times New Roman"/>
          <w:i/>
          <w:iCs/>
          <w:sz w:val="20"/>
          <w:szCs w:val="20"/>
          <w:lang w:val="en-US"/>
        </w:rPr>
        <w:t>a</w:t>
      </w:r>
      <w:r w:rsidRPr="006E5D7C">
        <w:rPr>
          <w:rFonts w:eastAsiaTheme="minorEastAsia" w:cs="Times New Roman"/>
          <w:sz w:val="20"/>
          <w:szCs w:val="20"/>
          <w:lang w:val="en-US"/>
        </w:rPr>
        <w:t xml:space="preserve">) of the </w:t>
      </w:r>
      <w:r w:rsidRPr="006E5D7C">
        <w:rPr>
          <w:rFonts w:eastAsiaTheme="minorEastAsia" w:cs="Times New Roman"/>
          <w:i/>
          <w:iCs/>
          <w:sz w:val="20"/>
          <w:szCs w:val="20"/>
          <w:lang w:val="en-US"/>
        </w:rPr>
        <w:t>Rules of the Supreme Court of Canada</w:t>
      </w:r>
      <w:r w:rsidRPr="006E5D7C">
        <w:rPr>
          <w:rFonts w:eastAsiaTheme="minorEastAsia" w:cs="Times New Roman"/>
          <w:sz w:val="20"/>
          <w:szCs w:val="20"/>
          <w:lang w:val="en-US"/>
        </w:rPr>
        <w:t>, the interveners shall pay to the appellant and respondent any additional disbursements occasioned to the appellant and respondent by their interventions.</w:t>
      </w:r>
    </w:p>
    <w:p w:rsidR="006E5D7C" w:rsidRPr="006E5D7C" w:rsidRDefault="006E5D7C" w:rsidP="006E5D7C">
      <w:pPr>
        <w:tabs>
          <w:tab w:val="left" w:pos="-1440"/>
          <w:tab w:val="left" w:pos="-720"/>
        </w:tabs>
        <w:jc w:val="both"/>
        <w:rPr>
          <w:rFonts w:eastAsia="Times New Roman" w:cs="Times New Roman"/>
          <w:sz w:val="20"/>
          <w:szCs w:val="20"/>
          <w:lang w:val="en-US" w:eastAsia="en-CA"/>
        </w:rPr>
      </w:pPr>
    </w:p>
    <w:p w:rsidR="006E5D7C" w:rsidRPr="006E5D7C" w:rsidRDefault="0028676C" w:rsidP="006E5D7C">
      <w:pPr>
        <w:tabs>
          <w:tab w:val="left" w:pos="-1440"/>
          <w:tab w:val="left" w:pos="-720"/>
        </w:tabs>
        <w:jc w:val="both"/>
        <w:rPr>
          <w:rFonts w:eastAsia="Times New Roman" w:cs="Times New Roman"/>
          <w:sz w:val="20"/>
          <w:szCs w:val="20"/>
          <w:lang w:val="fr-CA" w:eastAsia="en-CA"/>
        </w:rPr>
      </w:pPr>
      <w:r w:rsidRPr="0028676C">
        <w:rPr>
          <w:rFonts w:eastAsia="Times New Roman" w:cs="Times New Roman"/>
          <w:sz w:val="20"/>
          <w:szCs w:val="20"/>
          <w:lang w:val="fr-CA" w:eastAsia="en-CA"/>
        </w:rPr>
        <w:pict>
          <v:rect id="_x0000_i1086" style="width:2in;height:1pt" o:hrpct="0" o:hralign="center" o:hrstd="t" o:hrnoshade="t" o:hr="t" fillcolor="black [3213]" stroked="f"/>
        </w:pict>
      </w:r>
    </w:p>
    <w:p w:rsidR="006E5D7C" w:rsidRPr="006E5D7C" w:rsidRDefault="006E5D7C" w:rsidP="006E5D7C">
      <w:pPr>
        <w:tabs>
          <w:tab w:val="left" w:pos="-1440"/>
          <w:tab w:val="left" w:pos="-720"/>
        </w:tabs>
        <w:jc w:val="both"/>
        <w:rPr>
          <w:rFonts w:eastAsia="Times New Roman" w:cs="Times New Roman"/>
          <w:sz w:val="20"/>
          <w:szCs w:val="20"/>
          <w:lang w:val="fr-CA" w:eastAsia="en-CA"/>
        </w:rPr>
      </w:pPr>
    </w:p>
    <w:p w:rsidR="006E5D7C" w:rsidRPr="006E5D7C" w:rsidRDefault="006E5D7C" w:rsidP="006E5D7C">
      <w:pPr>
        <w:tabs>
          <w:tab w:val="left" w:pos="-1440"/>
          <w:tab w:val="left" w:pos="-720"/>
        </w:tabs>
        <w:jc w:val="both"/>
        <w:rPr>
          <w:rFonts w:eastAsia="Times New Roman" w:cs="Times New Roman"/>
          <w:sz w:val="20"/>
          <w:szCs w:val="20"/>
          <w:lang w:val="fr-CA" w:eastAsia="en-CA"/>
        </w:rPr>
      </w:pPr>
      <w:r w:rsidRPr="006E5D7C">
        <w:rPr>
          <w:rFonts w:eastAsia="Times New Roman" w:cs="Times New Roman"/>
          <w:sz w:val="20"/>
          <w:szCs w:val="20"/>
          <w:lang w:val="fr-CA" w:eastAsia="en-CA"/>
        </w:rPr>
        <w:t>09.05.2013</w:t>
      </w:r>
    </w:p>
    <w:p w:rsidR="006E5D7C" w:rsidRPr="006E5D7C" w:rsidRDefault="006E5D7C" w:rsidP="006E5D7C">
      <w:pPr>
        <w:tabs>
          <w:tab w:val="left" w:pos="-1440"/>
          <w:tab w:val="left" w:pos="-720"/>
        </w:tabs>
        <w:jc w:val="both"/>
        <w:rPr>
          <w:rFonts w:eastAsia="Times New Roman" w:cs="Times New Roman"/>
          <w:sz w:val="20"/>
          <w:szCs w:val="20"/>
          <w:lang w:val="fr-CA" w:eastAsia="en-CA"/>
        </w:rPr>
      </w:pPr>
    </w:p>
    <w:p w:rsidR="006E5D7C" w:rsidRPr="006E5D7C" w:rsidRDefault="006E5D7C" w:rsidP="006E5D7C">
      <w:pPr>
        <w:tabs>
          <w:tab w:val="left" w:pos="-1440"/>
          <w:tab w:val="left" w:pos="-720"/>
        </w:tabs>
        <w:jc w:val="both"/>
        <w:rPr>
          <w:rFonts w:eastAsia="Times New Roman" w:cs="Times New Roman"/>
          <w:sz w:val="20"/>
          <w:szCs w:val="20"/>
          <w:lang w:val="fr-CA" w:eastAsia="en-CA"/>
        </w:rPr>
      </w:pPr>
      <w:r w:rsidRPr="006E5D7C">
        <w:rPr>
          <w:rFonts w:eastAsia="Times New Roman" w:cs="Times New Roman"/>
          <w:sz w:val="20"/>
          <w:szCs w:val="20"/>
          <w:lang w:val="fr-CA" w:eastAsia="en-CA"/>
        </w:rPr>
        <w:t>Before / Devant :   WAGNER J. / LE JUGE WAGNER</w:t>
      </w:r>
    </w:p>
    <w:p w:rsidR="006E5D7C" w:rsidRPr="006E5D7C" w:rsidRDefault="006E5D7C" w:rsidP="006E5D7C">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6E5D7C" w:rsidRPr="00B6040C" w:rsidTr="004B2CEB">
        <w:tc>
          <w:tcPr>
            <w:tcW w:w="4338" w:type="dxa"/>
            <w:gridSpan w:val="2"/>
          </w:tcPr>
          <w:p w:rsidR="006E5D7C" w:rsidRPr="006E5D7C" w:rsidRDefault="006E5D7C" w:rsidP="006E5D7C">
            <w:pPr>
              <w:jc w:val="both"/>
              <w:rPr>
                <w:b/>
              </w:rPr>
            </w:pPr>
            <w:r w:rsidRPr="006E5D7C">
              <w:rPr>
                <w:b/>
                <w:lang w:val="en-US"/>
              </w:rPr>
              <w:t xml:space="preserve">Order on intervention with respect to oral argument </w:t>
            </w:r>
            <w:r w:rsidR="0028676C" w:rsidRPr="006E5D7C">
              <w:rPr>
                <w:b/>
                <w:lang w:val="en-US"/>
              </w:rPr>
              <w:fldChar w:fldCharType="begin"/>
            </w:r>
            <w:r w:rsidRPr="006E5D7C">
              <w:rPr>
                <w:b/>
              </w:rPr>
              <w:instrText xml:space="preserve"> SEQ CHAPTER \h \r 1</w:instrText>
            </w:r>
            <w:r w:rsidR="0028676C" w:rsidRPr="006E5D7C">
              <w:rPr>
                <w:b/>
                <w:lang w:val="en-US"/>
              </w:rPr>
              <w:fldChar w:fldCharType="end"/>
            </w:r>
          </w:p>
        </w:tc>
        <w:tc>
          <w:tcPr>
            <w:tcW w:w="1170" w:type="dxa"/>
          </w:tcPr>
          <w:p w:rsidR="006E5D7C" w:rsidRPr="006E5D7C" w:rsidRDefault="006E5D7C" w:rsidP="006E5D7C"/>
          <w:p w:rsidR="006E5D7C" w:rsidRPr="006E5D7C" w:rsidRDefault="006E5D7C" w:rsidP="006E5D7C"/>
          <w:p w:rsidR="006E5D7C" w:rsidRPr="006E5D7C" w:rsidRDefault="006E5D7C" w:rsidP="006E5D7C"/>
        </w:tc>
        <w:tc>
          <w:tcPr>
            <w:tcW w:w="4327" w:type="dxa"/>
          </w:tcPr>
          <w:p w:rsidR="006E5D7C" w:rsidRPr="006E5D7C" w:rsidRDefault="006E5D7C" w:rsidP="006E5D7C">
            <w:pPr>
              <w:jc w:val="both"/>
              <w:rPr>
                <w:b/>
                <w:lang w:val="fr-CA"/>
              </w:rPr>
            </w:pPr>
            <w:r w:rsidRPr="006E5D7C">
              <w:rPr>
                <w:b/>
                <w:lang w:val="fr-CA"/>
              </w:rPr>
              <w:t>Ordonnance relative à la présentation d’une plaidoirie orale par l’intervenant</w:t>
            </w:r>
            <w:r w:rsidR="0028676C" w:rsidRPr="006E5D7C">
              <w:rPr>
                <w:b/>
                <w:lang w:val="en-US"/>
              </w:rPr>
              <w:fldChar w:fldCharType="begin"/>
            </w:r>
            <w:r w:rsidRPr="006E5D7C">
              <w:rPr>
                <w:b/>
                <w:lang w:val="fr-CA"/>
              </w:rPr>
              <w:instrText xml:space="preserve"> SEQ CHAPTER \h \r 1</w:instrText>
            </w:r>
            <w:r w:rsidR="0028676C" w:rsidRPr="006E5D7C">
              <w:rPr>
                <w:b/>
                <w:lang w:val="en-US"/>
              </w:rPr>
              <w:fldChar w:fldCharType="end"/>
            </w:r>
          </w:p>
        </w:tc>
      </w:tr>
      <w:tr w:rsidR="006E5D7C" w:rsidRPr="006E5D7C" w:rsidTr="004B2CEB">
        <w:tc>
          <w:tcPr>
            <w:tcW w:w="1368" w:type="dxa"/>
          </w:tcPr>
          <w:p w:rsidR="006E5D7C" w:rsidRPr="006E5D7C" w:rsidRDefault="006E5D7C" w:rsidP="006E5D7C">
            <w:r w:rsidRPr="006E5D7C">
              <w:t>RE:</w:t>
            </w:r>
          </w:p>
        </w:tc>
        <w:tc>
          <w:tcPr>
            <w:tcW w:w="2970" w:type="dxa"/>
          </w:tcPr>
          <w:p w:rsidR="006E5D7C" w:rsidRPr="006E5D7C" w:rsidRDefault="006E5D7C" w:rsidP="006E5D7C">
            <w:r w:rsidRPr="006E5D7C">
              <w:rPr>
                <w:lang w:val="en-US"/>
              </w:rPr>
              <w:t>Attorney General of British Columbia</w:t>
            </w:r>
          </w:p>
        </w:tc>
        <w:tc>
          <w:tcPr>
            <w:tcW w:w="1170" w:type="dxa"/>
          </w:tcPr>
          <w:p w:rsidR="006E5D7C" w:rsidRPr="006E5D7C" w:rsidRDefault="006E5D7C" w:rsidP="006E5D7C"/>
        </w:tc>
        <w:tc>
          <w:tcPr>
            <w:tcW w:w="4327" w:type="dxa"/>
          </w:tcPr>
          <w:p w:rsidR="006E5D7C" w:rsidRPr="006E5D7C" w:rsidRDefault="006E5D7C" w:rsidP="006E5D7C"/>
        </w:tc>
      </w:tr>
      <w:tr w:rsidR="006E5D7C" w:rsidRPr="006E5D7C" w:rsidTr="004B2CEB">
        <w:tc>
          <w:tcPr>
            <w:tcW w:w="1368" w:type="dxa"/>
          </w:tcPr>
          <w:p w:rsidR="006E5D7C" w:rsidRPr="006E5D7C" w:rsidRDefault="006E5D7C" w:rsidP="006E5D7C"/>
        </w:tc>
        <w:tc>
          <w:tcPr>
            <w:tcW w:w="2970" w:type="dxa"/>
          </w:tcPr>
          <w:p w:rsidR="006E5D7C" w:rsidRPr="006E5D7C" w:rsidRDefault="006E5D7C" w:rsidP="006E5D7C"/>
        </w:tc>
        <w:tc>
          <w:tcPr>
            <w:tcW w:w="1170" w:type="dxa"/>
          </w:tcPr>
          <w:p w:rsidR="006E5D7C" w:rsidRPr="006E5D7C" w:rsidRDefault="006E5D7C" w:rsidP="006E5D7C"/>
        </w:tc>
        <w:tc>
          <w:tcPr>
            <w:tcW w:w="4327" w:type="dxa"/>
          </w:tcPr>
          <w:p w:rsidR="006E5D7C" w:rsidRPr="006E5D7C" w:rsidRDefault="006E5D7C" w:rsidP="006E5D7C"/>
        </w:tc>
      </w:tr>
      <w:tr w:rsidR="006E5D7C" w:rsidRPr="006E5D7C" w:rsidTr="004B2CEB">
        <w:tc>
          <w:tcPr>
            <w:tcW w:w="1368" w:type="dxa"/>
          </w:tcPr>
          <w:p w:rsidR="006E5D7C" w:rsidRPr="006E5D7C" w:rsidRDefault="006E5D7C" w:rsidP="006E5D7C">
            <w:r w:rsidRPr="006E5D7C">
              <w:t>IN / DANS :</w:t>
            </w:r>
          </w:p>
        </w:tc>
        <w:tc>
          <w:tcPr>
            <w:tcW w:w="2970" w:type="dxa"/>
          </w:tcPr>
          <w:p w:rsidR="006E5D7C" w:rsidRPr="006E5D7C" w:rsidRDefault="006E5D7C" w:rsidP="006E5D7C">
            <w:pPr>
              <w:rPr>
                <w:lang w:val="fr-CA"/>
              </w:rPr>
            </w:pPr>
            <w:r w:rsidRPr="006E5D7C">
              <w:rPr>
                <w:lang w:val="fr-CA"/>
              </w:rPr>
              <w:t xml:space="preserve">A.I. </w:t>
            </w:r>
            <w:proofErr w:type="spellStart"/>
            <w:r w:rsidRPr="006E5D7C">
              <w:rPr>
                <w:lang w:val="fr-CA"/>
              </w:rPr>
              <w:t>Enterprises</w:t>
            </w:r>
            <w:proofErr w:type="spellEnd"/>
            <w:r w:rsidRPr="006E5D7C">
              <w:rPr>
                <w:lang w:val="fr-CA"/>
              </w:rPr>
              <w:t xml:space="preserve"> Ltd. et al.</w:t>
            </w:r>
          </w:p>
          <w:p w:rsidR="006E5D7C" w:rsidRPr="006E5D7C" w:rsidRDefault="006E5D7C" w:rsidP="006E5D7C">
            <w:pPr>
              <w:rPr>
                <w:lang w:val="fr-CA"/>
              </w:rPr>
            </w:pPr>
          </w:p>
          <w:p w:rsidR="006E5D7C" w:rsidRPr="006E5D7C" w:rsidRDefault="006E5D7C" w:rsidP="006E5D7C">
            <w:pPr>
              <w:rPr>
                <w:lang w:val="fr-CA"/>
              </w:rPr>
            </w:pPr>
            <w:r w:rsidRPr="006E5D7C">
              <w:rPr>
                <w:lang w:val="fr-CA"/>
              </w:rPr>
              <w:tab/>
              <w:t>v. (34863)</w:t>
            </w:r>
          </w:p>
          <w:p w:rsidR="006E5D7C" w:rsidRPr="006E5D7C" w:rsidRDefault="006E5D7C" w:rsidP="006E5D7C">
            <w:pPr>
              <w:rPr>
                <w:lang w:val="fr-CA"/>
              </w:rPr>
            </w:pPr>
          </w:p>
          <w:p w:rsidR="006E5D7C" w:rsidRPr="006E5D7C" w:rsidRDefault="006E5D7C" w:rsidP="006E5D7C">
            <w:r w:rsidRPr="006E5D7C">
              <w:rPr>
                <w:lang w:val="fr-CA"/>
              </w:rPr>
              <w:t xml:space="preserve">Bram </w:t>
            </w:r>
            <w:proofErr w:type="spellStart"/>
            <w:r w:rsidRPr="006E5D7C">
              <w:rPr>
                <w:lang w:val="fr-CA"/>
              </w:rPr>
              <w:t>Enterprises</w:t>
            </w:r>
            <w:proofErr w:type="spellEnd"/>
            <w:r w:rsidRPr="006E5D7C">
              <w:rPr>
                <w:lang w:val="fr-CA"/>
              </w:rPr>
              <w:t xml:space="preserve"> Ltd. et al. </w:t>
            </w:r>
            <w:r w:rsidRPr="006E5D7C">
              <w:t>(N.B.)</w:t>
            </w:r>
          </w:p>
        </w:tc>
        <w:tc>
          <w:tcPr>
            <w:tcW w:w="1170" w:type="dxa"/>
          </w:tcPr>
          <w:p w:rsidR="006E5D7C" w:rsidRPr="006E5D7C" w:rsidRDefault="006E5D7C" w:rsidP="006E5D7C"/>
        </w:tc>
        <w:tc>
          <w:tcPr>
            <w:tcW w:w="4327" w:type="dxa"/>
          </w:tcPr>
          <w:p w:rsidR="006E5D7C" w:rsidRPr="006E5D7C" w:rsidRDefault="006E5D7C" w:rsidP="006E5D7C"/>
        </w:tc>
      </w:tr>
    </w:tbl>
    <w:p w:rsidR="006E5D7C" w:rsidRPr="006E5D7C" w:rsidRDefault="006E5D7C" w:rsidP="006E5D7C">
      <w:pPr>
        <w:tabs>
          <w:tab w:val="left" w:pos="-1440"/>
          <w:tab w:val="left" w:pos="-720"/>
        </w:tabs>
        <w:jc w:val="both"/>
        <w:rPr>
          <w:rFonts w:eastAsia="Times New Roman" w:cs="Times New Roman"/>
          <w:sz w:val="20"/>
          <w:szCs w:val="20"/>
          <w:lang w:eastAsia="en-CA"/>
        </w:rPr>
      </w:pPr>
    </w:p>
    <w:p w:rsidR="006E5D7C" w:rsidRPr="006E5D7C" w:rsidRDefault="006E5D7C" w:rsidP="006E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tLeast"/>
        <w:jc w:val="both"/>
        <w:rPr>
          <w:rFonts w:eastAsiaTheme="minorEastAsia" w:cs="Times New Roman"/>
          <w:color w:val="000000"/>
          <w:sz w:val="20"/>
          <w:szCs w:val="20"/>
          <w:lang w:val="en-US" w:eastAsia="fr-FR"/>
        </w:rPr>
      </w:pPr>
      <w:r w:rsidRPr="006E5D7C">
        <w:rPr>
          <w:rFonts w:eastAsiaTheme="minorEastAsia" w:cs="Times New Roman"/>
          <w:b/>
          <w:bCs/>
          <w:color w:val="000000"/>
          <w:sz w:val="20"/>
          <w:szCs w:val="20"/>
          <w:lang w:val="en-US" w:eastAsia="fr-FR"/>
        </w:rPr>
        <w:t>FURTHER TO THE ORDER</w:t>
      </w:r>
      <w:r w:rsidRPr="006E5D7C">
        <w:rPr>
          <w:rFonts w:eastAsiaTheme="minorEastAsia" w:cs="Times New Roman"/>
          <w:color w:val="000000"/>
          <w:sz w:val="20"/>
          <w:szCs w:val="20"/>
          <w:lang w:val="en-US" w:eastAsia="fr-FR"/>
        </w:rPr>
        <w:t xml:space="preserve"> dated April 15, 2013, granting leave to intervene to</w:t>
      </w:r>
      <w:r w:rsidRPr="006E5D7C">
        <w:rPr>
          <w:rFonts w:eastAsiaTheme="minorEastAsia" w:cs="Times New Roman"/>
          <w:bCs/>
          <w:color w:val="000000"/>
          <w:sz w:val="20"/>
          <w:szCs w:val="20"/>
          <w:lang w:val="en-US" w:eastAsia="fr-FR"/>
        </w:rPr>
        <w:t xml:space="preserve"> the</w:t>
      </w:r>
      <w:r w:rsidRPr="006E5D7C">
        <w:rPr>
          <w:rFonts w:eastAsiaTheme="minorEastAsia" w:cs="Times New Roman"/>
          <w:b/>
          <w:bCs/>
          <w:color w:val="000000"/>
          <w:sz w:val="20"/>
          <w:szCs w:val="20"/>
          <w:lang w:val="en-US" w:eastAsia="fr-FR"/>
        </w:rPr>
        <w:t xml:space="preserve"> </w:t>
      </w:r>
      <w:r w:rsidRPr="006E5D7C">
        <w:rPr>
          <w:rFonts w:eastAsiaTheme="minorEastAsia" w:cs="Times New Roman"/>
          <w:sz w:val="20"/>
          <w:szCs w:val="20"/>
          <w:lang w:val="en-US" w:eastAsia="fr-FR"/>
        </w:rPr>
        <w:t>Attorney General of British Columbia</w:t>
      </w:r>
      <w:r w:rsidRPr="006E5D7C">
        <w:rPr>
          <w:rFonts w:eastAsiaTheme="minorEastAsia" w:cs="Times New Roman"/>
          <w:color w:val="000000"/>
          <w:sz w:val="20"/>
          <w:szCs w:val="20"/>
          <w:lang w:val="en-US" w:eastAsia="fr-FR"/>
        </w:rPr>
        <w:t>;</w:t>
      </w:r>
    </w:p>
    <w:p w:rsidR="006E5D7C" w:rsidRPr="006E5D7C" w:rsidRDefault="006E5D7C" w:rsidP="006E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tLeast"/>
        <w:jc w:val="both"/>
        <w:rPr>
          <w:rFonts w:eastAsiaTheme="minorEastAsia" w:cs="Times New Roman"/>
          <w:color w:val="000000"/>
          <w:sz w:val="20"/>
          <w:szCs w:val="20"/>
          <w:lang w:val="en-US" w:eastAsia="fr-FR"/>
        </w:rPr>
      </w:pPr>
    </w:p>
    <w:p w:rsidR="006E5D7C" w:rsidRPr="006E5D7C" w:rsidRDefault="006E5D7C" w:rsidP="006E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tLeast"/>
        <w:jc w:val="both"/>
        <w:rPr>
          <w:rFonts w:eastAsiaTheme="minorEastAsia" w:cs="Times New Roman"/>
          <w:color w:val="000000"/>
          <w:sz w:val="20"/>
          <w:szCs w:val="20"/>
          <w:lang w:val="en-US" w:eastAsia="fr-FR"/>
        </w:rPr>
      </w:pPr>
      <w:r w:rsidRPr="006E5D7C">
        <w:rPr>
          <w:rFonts w:eastAsiaTheme="minorEastAsia" w:cs="Times New Roman"/>
          <w:b/>
          <w:bCs/>
          <w:color w:val="000000"/>
          <w:sz w:val="20"/>
          <w:szCs w:val="20"/>
          <w:lang w:val="en-US" w:eastAsia="fr-FR"/>
        </w:rPr>
        <w:t xml:space="preserve">IT IS HEREBY FURTHER ORDERED THAT </w:t>
      </w:r>
      <w:r w:rsidRPr="006E5D7C">
        <w:rPr>
          <w:rFonts w:eastAsiaTheme="minorEastAsia" w:cs="Times New Roman"/>
          <w:color w:val="000000"/>
          <w:sz w:val="20"/>
          <w:szCs w:val="20"/>
          <w:lang w:val="en-US" w:eastAsia="fr-FR"/>
        </w:rPr>
        <w:t>the said intervener is granted permission to present oral argument not exceeding ten (10) minutes at the hearing of the appeal.</w:t>
      </w:r>
    </w:p>
    <w:p w:rsidR="006E5D7C" w:rsidRPr="006E5D7C" w:rsidRDefault="006E5D7C" w:rsidP="006E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tLeast"/>
        <w:jc w:val="both"/>
        <w:rPr>
          <w:rFonts w:eastAsiaTheme="minorEastAsia" w:cs="Times New Roman"/>
          <w:color w:val="000000"/>
          <w:sz w:val="20"/>
          <w:szCs w:val="20"/>
          <w:lang w:val="en-US" w:eastAsia="fr-FR"/>
        </w:rPr>
      </w:pPr>
    </w:p>
    <w:p w:rsidR="006E5D7C" w:rsidRPr="006E5D7C" w:rsidRDefault="006E5D7C" w:rsidP="006E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tLeast"/>
        <w:jc w:val="both"/>
        <w:rPr>
          <w:rFonts w:eastAsiaTheme="minorEastAsia" w:cs="Times New Roman"/>
          <w:color w:val="000000"/>
          <w:sz w:val="20"/>
          <w:szCs w:val="20"/>
          <w:lang w:val="en-US" w:eastAsia="fr-FR"/>
        </w:rPr>
      </w:pPr>
    </w:p>
    <w:p w:rsidR="006E5D7C" w:rsidRPr="006E5D7C" w:rsidRDefault="006E5D7C" w:rsidP="006E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tLeast"/>
        <w:jc w:val="both"/>
        <w:rPr>
          <w:rFonts w:eastAsiaTheme="minorEastAsia" w:cs="Times New Roman"/>
          <w:color w:val="000000"/>
          <w:sz w:val="20"/>
          <w:szCs w:val="20"/>
          <w:lang w:val="en-US" w:eastAsia="fr-FR"/>
        </w:rPr>
      </w:pPr>
    </w:p>
    <w:p w:rsidR="006E5D7C" w:rsidRPr="006E5D7C" w:rsidRDefault="006E5D7C" w:rsidP="006E5D7C">
      <w:pPr>
        <w:widowControl w:val="0"/>
        <w:autoSpaceDE w:val="0"/>
        <w:autoSpaceDN w:val="0"/>
        <w:adjustRightInd w:val="0"/>
        <w:spacing w:line="233" w:lineRule="auto"/>
        <w:jc w:val="both"/>
        <w:rPr>
          <w:rFonts w:eastAsiaTheme="minorEastAsia" w:cs="Times New Roman"/>
          <w:sz w:val="20"/>
          <w:szCs w:val="20"/>
          <w:lang w:val="fr-CA"/>
        </w:rPr>
      </w:pPr>
      <w:r w:rsidRPr="006E5D7C">
        <w:rPr>
          <w:rFonts w:eastAsiaTheme="minorEastAsia" w:cs="Times New Roman"/>
          <w:b/>
          <w:sz w:val="20"/>
          <w:szCs w:val="20"/>
          <w:lang w:val="fr-CA"/>
        </w:rPr>
        <w:t>À LA SUITE DE L’ORDONNANCE</w:t>
      </w:r>
      <w:r w:rsidRPr="006E5D7C">
        <w:rPr>
          <w:rFonts w:eastAsiaTheme="minorEastAsia" w:cs="Times New Roman"/>
          <w:sz w:val="20"/>
          <w:szCs w:val="20"/>
          <w:lang w:val="fr-CA"/>
        </w:rPr>
        <w:t xml:space="preserve"> datée du 15 avril 2013 autorisant le Procureur général de la Colombie-Britannique à intervenir;</w:t>
      </w:r>
    </w:p>
    <w:p w:rsidR="006E5D7C" w:rsidRPr="006E5D7C" w:rsidRDefault="006E5D7C" w:rsidP="006E5D7C">
      <w:pPr>
        <w:widowControl w:val="0"/>
        <w:autoSpaceDE w:val="0"/>
        <w:autoSpaceDN w:val="0"/>
        <w:adjustRightInd w:val="0"/>
        <w:spacing w:line="233" w:lineRule="auto"/>
        <w:jc w:val="both"/>
        <w:rPr>
          <w:rFonts w:eastAsiaTheme="minorEastAsia" w:cs="Times New Roman"/>
          <w:sz w:val="20"/>
          <w:szCs w:val="20"/>
          <w:lang w:val="fr-CA"/>
        </w:rPr>
      </w:pPr>
    </w:p>
    <w:p w:rsidR="006E5D7C" w:rsidRPr="006E5D7C" w:rsidRDefault="006E5D7C" w:rsidP="006E5D7C">
      <w:pPr>
        <w:widowControl w:val="0"/>
        <w:autoSpaceDE w:val="0"/>
        <w:autoSpaceDN w:val="0"/>
        <w:adjustRightInd w:val="0"/>
        <w:spacing w:line="233" w:lineRule="auto"/>
        <w:jc w:val="both"/>
        <w:rPr>
          <w:rFonts w:eastAsiaTheme="minorEastAsia" w:cs="Times New Roman"/>
          <w:sz w:val="20"/>
          <w:szCs w:val="20"/>
          <w:lang w:val="fr-CA"/>
        </w:rPr>
      </w:pPr>
      <w:r w:rsidRPr="006E5D7C">
        <w:rPr>
          <w:rFonts w:eastAsiaTheme="minorEastAsia" w:cs="Times New Roman"/>
          <w:b/>
          <w:sz w:val="20"/>
          <w:szCs w:val="20"/>
          <w:lang w:val="fr-CA"/>
        </w:rPr>
        <w:t xml:space="preserve">IL EST EN OUTRE ORDONNÉ CE QUI SUIT : </w:t>
      </w:r>
      <w:r w:rsidRPr="006E5D7C">
        <w:rPr>
          <w:rFonts w:eastAsiaTheme="minorEastAsia" w:cs="Times New Roman"/>
          <w:sz w:val="20"/>
          <w:szCs w:val="20"/>
          <w:lang w:val="fr-CA"/>
        </w:rPr>
        <w:t>ledit intervenant est autorisé à présenter une plaidoirie orale d’au plus dix (10) minutes lors de l’audition de l’appel.</w:t>
      </w:r>
    </w:p>
    <w:p w:rsidR="006E5D7C" w:rsidRPr="006E5D7C" w:rsidRDefault="006E5D7C" w:rsidP="006E5D7C">
      <w:pPr>
        <w:spacing w:line="233" w:lineRule="auto"/>
        <w:jc w:val="both"/>
        <w:rPr>
          <w:rFonts w:eastAsia="Times New Roman" w:cs="Times New Roman"/>
          <w:sz w:val="20"/>
          <w:szCs w:val="20"/>
          <w:lang w:val="fr-CA" w:eastAsia="en-CA"/>
        </w:rPr>
      </w:pPr>
    </w:p>
    <w:p w:rsidR="006E5D7C" w:rsidRPr="006E5D7C" w:rsidRDefault="0028676C" w:rsidP="006E5D7C">
      <w:pPr>
        <w:tabs>
          <w:tab w:val="left" w:pos="-1440"/>
          <w:tab w:val="left" w:pos="-720"/>
        </w:tabs>
        <w:jc w:val="both"/>
        <w:rPr>
          <w:rFonts w:eastAsia="Times New Roman" w:cs="Times New Roman"/>
          <w:sz w:val="20"/>
          <w:szCs w:val="20"/>
          <w:lang w:val="fr-CA" w:eastAsia="en-CA"/>
        </w:rPr>
      </w:pPr>
      <w:r w:rsidRPr="0028676C">
        <w:rPr>
          <w:rFonts w:eastAsia="Times New Roman" w:cs="Times New Roman"/>
          <w:sz w:val="20"/>
          <w:szCs w:val="20"/>
          <w:lang w:val="fr-CA" w:eastAsia="en-CA"/>
        </w:rPr>
        <w:pict>
          <v:rect id="_x0000_i1087" style="width:2in;height:1pt" o:hrpct="0" o:hralign="center" o:hrstd="t" o:hrnoshade="t" o:hr="t" fillcolor="black [3213]" stroked="f"/>
        </w:pict>
      </w:r>
    </w:p>
    <w:p w:rsidR="006E5D7C" w:rsidRPr="006E5D7C" w:rsidRDefault="006E5D7C" w:rsidP="006E5D7C">
      <w:pPr>
        <w:tabs>
          <w:tab w:val="left" w:pos="-1440"/>
          <w:tab w:val="left" w:pos="-720"/>
        </w:tabs>
        <w:jc w:val="both"/>
        <w:rPr>
          <w:rFonts w:eastAsia="Times New Roman" w:cs="Times New Roman"/>
          <w:sz w:val="20"/>
          <w:szCs w:val="20"/>
          <w:lang w:val="fr-CA" w:eastAsia="en-CA"/>
        </w:rPr>
      </w:pPr>
    </w:p>
    <w:p w:rsidR="006E5D7C" w:rsidRPr="006E5D7C" w:rsidRDefault="006E5D7C" w:rsidP="006E5D7C">
      <w:pPr>
        <w:tabs>
          <w:tab w:val="left" w:pos="-1440"/>
          <w:tab w:val="left" w:pos="-720"/>
        </w:tabs>
        <w:jc w:val="both"/>
        <w:rPr>
          <w:rFonts w:eastAsia="Times New Roman" w:cs="Times New Roman"/>
          <w:sz w:val="20"/>
          <w:szCs w:val="20"/>
          <w:lang w:eastAsia="en-CA"/>
        </w:rPr>
      </w:pPr>
      <w:r w:rsidRPr="006E5D7C">
        <w:rPr>
          <w:rFonts w:eastAsia="Times New Roman" w:cs="Times New Roman"/>
          <w:sz w:val="20"/>
          <w:szCs w:val="20"/>
          <w:lang w:eastAsia="en-CA"/>
        </w:rPr>
        <w:t>09.05.2013</w:t>
      </w:r>
    </w:p>
    <w:p w:rsidR="006E5D7C" w:rsidRPr="006E5D7C" w:rsidRDefault="006E5D7C" w:rsidP="006E5D7C">
      <w:pPr>
        <w:tabs>
          <w:tab w:val="left" w:pos="-1440"/>
          <w:tab w:val="left" w:pos="-720"/>
        </w:tabs>
        <w:jc w:val="both"/>
        <w:rPr>
          <w:rFonts w:eastAsia="Times New Roman" w:cs="Times New Roman"/>
          <w:sz w:val="20"/>
          <w:szCs w:val="20"/>
          <w:lang w:eastAsia="en-CA"/>
        </w:rPr>
      </w:pPr>
    </w:p>
    <w:p w:rsidR="006E5D7C" w:rsidRPr="006E5D7C" w:rsidRDefault="006E5D7C" w:rsidP="006E5D7C">
      <w:pPr>
        <w:tabs>
          <w:tab w:val="left" w:pos="-1440"/>
          <w:tab w:val="left" w:pos="-720"/>
        </w:tabs>
        <w:jc w:val="both"/>
        <w:rPr>
          <w:rFonts w:eastAsia="Times New Roman" w:cs="Times New Roman"/>
          <w:sz w:val="20"/>
          <w:szCs w:val="20"/>
          <w:lang w:eastAsia="en-CA"/>
        </w:rPr>
      </w:pPr>
      <w:r w:rsidRPr="006E5D7C">
        <w:rPr>
          <w:rFonts w:eastAsia="Times New Roman" w:cs="Times New Roman"/>
          <w:sz w:val="20"/>
          <w:szCs w:val="20"/>
          <w:lang w:eastAsia="en-CA"/>
        </w:rPr>
        <w:t xml:space="preserve">Before / </w:t>
      </w:r>
      <w:proofErr w:type="spellStart"/>
      <w:proofErr w:type="gramStart"/>
      <w:r w:rsidRPr="006E5D7C">
        <w:rPr>
          <w:rFonts w:eastAsia="Times New Roman" w:cs="Times New Roman"/>
          <w:sz w:val="20"/>
          <w:szCs w:val="20"/>
          <w:lang w:eastAsia="en-CA"/>
        </w:rPr>
        <w:t>Devant</w:t>
      </w:r>
      <w:proofErr w:type="spellEnd"/>
      <w:r w:rsidRPr="006E5D7C">
        <w:rPr>
          <w:rFonts w:eastAsia="Times New Roman" w:cs="Times New Roman"/>
          <w:sz w:val="20"/>
          <w:szCs w:val="20"/>
          <w:lang w:eastAsia="en-CA"/>
        </w:rPr>
        <w:t xml:space="preserve"> :</w:t>
      </w:r>
      <w:proofErr w:type="gramEnd"/>
      <w:r w:rsidRPr="006E5D7C">
        <w:rPr>
          <w:rFonts w:eastAsia="Times New Roman" w:cs="Times New Roman"/>
          <w:sz w:val="20"/>
          <w:szCs w:val="20"/>
          <w:lang w:eastAsia="en-CA"/>
        </w:rPr>
        <w:t xml:space="preserve">   </w:t>
      </w:r>
      <w:r w:rsidRPr="006E5D7C">
        <w:rPr>
          <w:rFonts w:eastAsia="Times New Roman" w:cs="Times New Roman"/>
          <w:sz w:val="20"/>
          <w:szCs w:val="20"/>
          <w:lang w:val="fr-CA" w:eastAsia="en-CA"/>
        </w:rPr>
        <w:t>THE DEPUTY REGISTRAR / LA REGISTRAIRE ADJOINTE</w:t>
      </w:r>
    </w:p>
    <w:p w:rsidR="006E5D7C" w:rsidRPr="006E5D7C" w:rsidRDefault="006E5D7C" w:rsidP="006E5D7C">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E5D7C" w:rsidRPr="00B6040C" w:rsidTr="004B2CEB">
        <w:tc>
          <w:tcPr>
            <w:tcW w:w="4338" w:type="dxa"/>
          </w:tcPr>
          <w:p w:rsidR="006E5D7C" w:rsidRPr="006E5D7C" w:rsidRDefault="0028676C" w:rsidP="006E5D7C">
            <w:pPr>
              <w:tabs>
                <w:tab w:val="left" w:pos="-1440"/>
                <w:tab w:val="left" w:pos="-720"/>
              </w:tabs>
              <w:jc w:val="both"/>
              <w:rPr>
                <w:b/>
              </w:rPr>
            </w:pPr>
            <w:r w:rsidRPr="006E5D7C">
              <w:rPr>
                <w:lang w:val="en-US"/>
              </w:rPr>
              <w:fldChar w:fldCharType="begin"/>
            </w:r>
            <w:r w:rsidR="006E5D7C" w:rsidRPr="006E5D7C">
              <w:rPr>
                <w:lang w:val="en-US"/>
              </w:rPr>
              <w:instrText xml:space="preserve"> SEQ CHAPTER \h \r 1</w:instrText>
            </w:r>
            <w:r w:rsidRPr="006E5D7C">
              <w:rPr>
                <w:lang w:val="en-US"/>
              </w:rPr>
              <w:fldChar w:fldCharType="end"/>
            </w:r>
            <w:r w:rsidR="006E5D7C" w:rsidRPr="006E5D7C">
              <w:rPr>
                <w:b/>
                <w:bCs/>
                <w:color w:val="000000"/>
                <w:lang w:val="en-GB"/>
              </w:rPr>
              <w:t>Motion to extend the time to serve and file the appellant's  factum, record and book of authorities to May 20, 2013</w:t>
            </w:r>
            <w:r w:rsidR="006E5D7C" w:rsidRPr="006E5D7C">
              <w:rPr>
                <w:b/>
                <w:bCs/>
                <w:lang w:val="en-US"/>
              </w:rPr>
              <w:t xml:space="preserve"> </w:t>
            </w:r>
          </w:p>
        </w:tc>
        <w:tc>
          <w:tcPr>
            <w:tcW w:w="1170" w:type="dxa"/>
          </w:tcPr>
          <w:p w:rsidR="006E5D7C" w:rsidRPr="006E5D7C" w:rsidRDefault="006E5D7C" w:rsidP="006E5D7C">
            <w:pPr>
              <w:tabs>
                <w:tab w:val="left" w:pos="-1440"/>
                <w:tab w:val="left" w:pos="-720"/>
              </w:tabs>
              <w:jc w:val="both"/>
            </w:pPr>
          </w:p>
          <w:p w:rsidR="006E5D7C" w:rsidRPr="006E5D7C" w:rsidRDefault="006E5D7C" w:rsidP="006E5D7C">
            <w:pPr>
              <w:tabs>
                <w:tab w:val="left" w:pos="-1440"/>
                <w:tab w:val="left" w:pos="-720"/>
              </w:tabs>
              <w:jc w:val="both"/>
            </w:pPr>
          </w:p>
          <w:p w:rsidR="006E5D7C" w:rsidRPr="006E5D7C" w:rsidRDefault="006E5D7C" w:rsidP="006E5D7C">
            <w:pPr>
              <w:tabs>
                <w:tab w:val="left" w:pos="-1440"/>
                <w:tab w:val="left" w:pos="-720"/>
              </w:tabs>
              <w:jc w:val="both"/>
            </w:pPr>
          </w:p>
          <w:p w:rsidR="006E5D7C" w:rsidRPr="006E5D7C" w:rsidRDefault="006E5D7C" w:rsidP="006E5D7C">
            <w:pPr>
              <w:tabs>
                <w:tab w:val="left" w:pos="-1440"/>
                <w:tab w:val="left" w:pos="-720"/>
              </w:tabs>
              <w:jc w:val="both"/>
            </w:pPr>
          </w:p>
        </w:tc>
        <w:tc>
          <w:tcPr>
            <w:tcW w:w="4327" w:type="dxa"/>
          </w:tcPr>
          <w:p w:rsidR="006E5D7C" w:rsidRPr="006E5D7C" w:rsidRDefault="006E5D7C" w:rsidP="006E5D7C">
            <w:pPr>
              <w:tabs>
                <w:tab w:val="left" w:pos="-1440"/>
                <w:tab w:val="left" w:pos="-720"/>
              </w:tabs>
              <w:jc w:val="both"/>
              <w:rPr>
                <w:lang w:val="fr-CA"/>
              </w:rPr>
            </w:pPr>
            <w:r w:rsidRPr="006E5D7C">
              <w:rPr>
                <w:b/>
                <w:bCs/>
                <w:color w:val="000000"/>
                <w:lang w:val="fr-CA"/>
              </w:rPr>
              <w:t xml:space="preserve">Requête en prorogation du délai de signification et de dépôt </w:t>
            </w:r>
            <w:proofErr w:type="gramStart"/>
            <w:r w:rsidRPr="006E5D7C">
              <w:rPr>
                <w:b/>
                <w:bCs/>
                <w:color w:val="000000"/>
                <w:lang w:val="fr-CA"/>
              </w:rPr>
              <w:t>des mémoire</w:t>
            </w:r>
            <w:proofErr w:type="gramEnd"/>
            <w:r w:rsidRPr="006E5D7C">
              <w:rPr>
                <w:b/>
                <w:bCs/>
                <w:color w:val="000000"/>
                <w:lang w:val="fr-CA"/>
              </w:rPr>
              <w:t xml:space="preserve">, dossier et recueil de sources de l’appelant jusqu'au 20 mai 2013 </w:t>
            </w:r>
          </w:p>
        </w:tc>
      </w:tr>
      <w:tr w:rsidR="006E5D7C" w:rsidRPr="006E5D7C" w:rsidTr="004B2CEB">
        <w:tc>
          <w:tcPr>
            <w:tcW w:w="4338" w:type="dxa"/>
          </w:tcPr>
          <w:p w:rsidR="006E5D7C" w:rsidRPr="006E5D7C" w:rsidRDefault="006E5D7C" w:rsidP="006E5D7C">
            <w:pPr>
              <w:tabs>
                <w:tab w:val="left" w:pos="-1440"/>
                <w:tab w:val="left" w:pos="-720"/>
              </w:tabs>
              <w:jc w:val="both"/>
            </w:pPr>
            <w:r w:rsidRPr="006E5D7C">
              <w:t>Brian Conception</w:t>
            </w:r>
          </w:p>
          <w:p w:rsidR="006E5D7C" w:rsidRPr="006E5D7C" w:rsidRDefault="006E5D7C" w:rsidP="006E5D7C">
            <w:pPr>
              <w:tabs>
                <w:tab w:val="left" w:pos="-1440"/>
                <w:tab w:val="left" w:pos="-720"/>
              </w:tabs>
              <w:jc w:val="both"/>
            </w:pPr>
          </w:p>
          <w:p w:rsidR="006E5D7C" w:rsidRPr="006E5D7C" w:rsidRDefault="006E5D7C" w:rsidP="006E5D7C">
            <w:pPr>
              <w:tabs>
                <w:tab w:val="left" w:pos="-1440"/>
                <w:tab w:val="left" w:pos="-720"/>
              </w:tabs>
              <w:jc w:val="both"/>
            </w:pPr>
            <w:r w:rsidRPr="006E5D7C">
              <w:tab/>
              <w:t>v. (34930)</w:t>
            </w:r>
          </w:p>
          <w:p w:rsidR="006E5D7C" w:rsidRPr="006E5D7C" w:rsidRDefault="006E5D7C" w:rsidP="006E5D7C">
            <w:pPr>
              <w:tabs>
                <w:tab w:val="left" w:pos="-1440"/>
                <w:tab w:val="left" w:pos="-720"/>
              </w:tabs>
              <w:jc w:val="both"/>
            </w:pPr>
          </w:p>
          <w:p w:rsidR="006E5D7C" w:rsidRPr="006E5D7C" w:rsidRDefault="006E5D7C" w:rsidP="006E5D7C">
            <w:pPr>
              <w:tabs>
                <w:tab w:val="left" w:pos="-1440"/>
                <w:tab w:val="left" w:pos="-720"/>
              </w:tabs>
              <w:jc w:val="both"/>
            </w:pPr>
            <w:r w:rsidRPr="006E5D7C">
              <w:t>Her Majesty the Queen et al. (Crim.) (Ont.)</w:t>
            </w:r>
          </w:p>
        </w:tc>
        <w:tc>
          <w:tcPr>
            <w:tcW w:w="1170" w:type="dxa"/>
          </w:tcPr>
          <w:p w:rsidR="006E5D7C" w:rsidRPr="006E5D7C" w:rsidRDefault="006E5D7C" w:rsidP="006E5D7C">
            <w:pPr>
              <w:tabs>
                <w:tab w:val="left" w:pos="-1440"/>
                <w:tab w:val="left" w:pos="-720"/>
              </w:tabs>
              <w:jc w:val="both"/>
            </w:pPr>
          </w:p>
        </w:tc>
        <w:tc>
          <w:tcPr>
            <w:tcW w:w="4327" w:type="dxa"/>
          </w:tcPr>
          <w:p w:rsidR="006E5D7C" w:rsidRPr="006E5D7C" w:rsidRDefault="006E5D7C" w:rsidP="006E5D7C">
            <w:pPr>
              <w:tabs>
                <w:tab w:val="left" w:pos="-1440"/>
                <w:tab w:val="left" w:pos="-720"/>
              </w:tabs>
              <w:jc w:val="both"/>
            </w:pPr>
          </w:p>
        </w:tc>
      </w:tr>
    </w:tbl>
    <w:p w:rsidR="006E5D7C" w:rsidRPr="006E5D7C" w:rsidRDefault="006E5D7C" w:rsidP="006E5D7C">
      <w:pPr>
        <w:tabs>
          <w:tab w:val="left" w:pos="-1440"/>
          <w:tab w:val="left" w:pos="-720"/>
        </w:tabs>
        <w:jc w:val="both"/>
        <w:rPr>
          <w:rFonts w:eastAsia="Times New Roman" w:cs="Times New Roman"/>
          <w:sz w:val="20"/>
          <w:szCs w:val="20"/>
          <w:lang w:eastAsia="en-CA"/>
        </w:rPr>
      </w:pPr>
    </w:p>
    <w:p w:rsidR="006E5D7C" w:rsidRPr="006E5D7C" w:rsidRDefault="006E5D7C" w:rsidP="006E5D7C">
      <w:pPr>
        <w:tabs>
          <w:tab w:val="left" w:pos="-1440"/>
          <w:tab w:val="left" w:pos="-720"/>
        </w:tabs>
        <w:jc w:val="both"/>
        <w:rPr>
          <w:rFonts w:eastAsia="Times New Roman" w:cs="Times New Roman"/>
          <w:sz w:val="20"/>
          <w:szCs w:val="20"/>
          <w:lang w:eastAsia="en-CA"/>
        </w:rPr>
      </w:pPr>
      <w:r w:rsidRPr="006E5D7C">
        <w:rPr>
          <w:rFonts w:eastAsia="Times New Roman" w:cs="Times New Roman"/>
          <w:b/>
          <w:sz w:val="20"/>
          <w:szCs w:val="20"/>
          <w:lang w:eastAsia="en-CA"/>
        </w:rPr>
        <w:t>GRANTED / ACCORDÉE</w:t>
      </w:r>
    </w:p>
    <w:p w:rsidR="006E5D7C" w:rsidRPr="006E5D7C" w:rsidRDefault="006E5D7C" w:rsidP="006E5D7C">
      <w:pPr>
        <w:tabs>
          <w:tab w:val="left" w:pos="-1440"/>
          <w:tab w:val="left" w:pos="-720"/>
        </w:tabs>
        <w:jc w:val="both"/>
        <w:rPr>
          <w:rFonts w:eastAsia="Times New Roman" w:cs="Times New Roman"/>
          <w:sz w:val="20"/>
          <w:szCs w:val="20"/>
          <w:lang w:eastAsia="en-CA"/>
        </w:rPr>
      </w:pPr>
    </w:p>
    <w:p w:rsidR="006E5D7C" w:rsidRPr="006E5D7C" w:rsidRDefault="0028676C" w:rsidP="006E5D7C">
      <w:pPr>
        <w:tabs>
          <w:tab w:val="left" w:pos="-1440"/>
          <w:tab w:val="left" w:pos="-720"/>
        </w:tabs>
        <w:jc w:val="both"/>
        <w:rPr>
          <w:rFonts w:eastAsia="Times New Roman" w:cs="Times New Roman"/>
          <w:sz w:val="20"/>
          <w:szCs w:val="20"/>
          <w:lang w:eastAsia="en-CA"/>
        </w:rPr>
      </w:pPr>
      <w:r w:rsidRPr="0028676C">
        <w:rPr>
          <w:rFonts w:eastAsia="Times New Roman" w:cs="Times New Roman"/>
          <w:sz w:val="20"/>
          <w:szCs w:val="20"/>
          <w:lang w:val="fr-CA" w:eastAsia="en-CA"/>
        </w:rPr>
        <w:pict>
          <v:rect id="_x0000_i1088" style="width:2in;height:1pt" o:hrpct="0" o:hralign="center" o:hrstd="t" o:hrnoshade="t" o:hr="t" fillcolor="black [3213]" stroked="f"/>
        </w:pict>
      </w:r>
    </w:p>
    <w:p w:rsidR="006E5D7C" w:rsidRPr="006E5D7C" w:rsidRDefault="006E5D7C" w:rsidP="006E5D7C">
      <w:pPr>
        <w:tabs>
          <w:tab w:val="left" w:pos="-1440"/>
          <w:tab w:val="left" w:pos="-720"/>
        </w:tabs>
        <w:jc w:val="both"/>
        <w:rPr>
          <w:rFonts w:eastAsia="Times New Roman" w:cs="Times New Roman"/>
          <w:sz w:val="20"/>
          <w:szCs w:val="20"/>
          <w:lang w:eastAsia="en-CA"/>
        </w:rPr>
      </w:pPr>
    </w:p>
    <w:p w:rsidR="006E5D7C" w:rsidRPr="006E5D7C" w:rsidRDefault="006E5D7C" w:rsidP="006E5D7C">
      <w:pPr>
        <w:tabs>
          <w:tab w:val="left" w:pos="-1440"/>
          <w:tab w:val="left" w:pos="-720"/>
        </w:tabs>
        <w:jc w:val="both"/>
        <w:rPr>
          <w:rFonts w:eastAsia="Times New Roman" w:cs="Times New Roman"/>
          <w:sz w:val="20"/>
          <w:szCs w:val="20"/>
          <w:lang w:eastAsia="en-CA"/>
        </w:rPr>
      </w:pPr>
      <w:r w:rsidRPr="006E5D7C">
        <w:rPr>
          <w:rFonts w:eastAsia="Times New Roman" w:cs="Times New Roman"/>
          <w:sz w:val="20"/>
          <w:szCs w:val="20"/>
          <w:lang w:eastAsia="en-CA"/>
        </w:rPr>
        <w:t>09.05.2013</w:t>
      </w:r>
    </w:p>
    <w:p w:rsidR="006E5D7C" w:rsidRPr="006E5D7C" w:rsidRDefault="006E5D7C" w:rsidP="006E5D7C">
      <w:pPr>
        <w:tabs>
          <w:tab w:val="left" w:pos="-1440"/>
          <w:tab w:val="left" w:pos="-720"/>
        </w:tabs>
        <w:jc w:val="both"/>
        <w:rPr>
          <w:rFonts w:eastAsia="Times New Roman" w:cs="Times New Roman"/>
          <w:sz w:val="20"/>
          <w:szCs w:val="20"/>
          <w:lang w:eastAsia="en-CA"/>
        </w:rPr>
      </w:pPr>
    </w:p>
    <w:p w:rsidR="006E5D7C" w:rsidRPr="006E5D7C" w:rsidRDefault="006E5D7C" w:rsidP="006E5D7C">
      <w:pPr>
        <w:tabs>
          <w:tab w:val="left" w:pos="-1440"/>
          <w:tab w:val="left" w:pos="-720"/>
        </w:tabs>
        <w:jc w:val="both"/>
        <w:rPr>
          <w:rFonts w:eastAsia="Times New Roman" w:cs="Times New Roman"/>
          <w:sz w:val="20"/>
          <w:szCs w:val="20"/>
          <w:lang w:eastAsia="en-CA"/>
        </w:rPr>
      </w:pPr>
      <w:r w:rsidRPr="006E5D7C">
        <w:rPr>
          <w:rFonts w:eastAsia="Times New Roman" w:cs="Times New Roman"/>
          <w:sz w:val="20"/>
          <w:szCs w:val="20"/>
          <w:lang w:eastAsia="en-CA"/>
        </w:rPr>
        <w:t xml:space="preserve">Before / </w:t>
      </w:r>
      <w:proofErr w:type="spellStart"/>
      <w:proofErr w:type="gramStart"/>
      <w:r w:rsidRPr="006E5D7C">
        <w:rPr>
          <w:rFonts w:eastAsia="Times New Roman" w:cs="Times New Roman"/>
          <w:sz w:val="20"/>
          <w:szCs w:val="20"/>
          <w:lang w:eastAsia="en-CA"/>
        </w:rPr>
        <w:t>Devant</w:t>
      </w:r>
      <w:proofErr w:type="spellEnd"/>
      <w:r w:rsidRPr="006E5D7C">
        <w:rPr>
          <w:rFonts w:eastAsia="Times New Roman" w:cs="Times New Roman"/>
          <w:sz w:val="20"/>
          <w:szCs w:val="20"/>
          <w:lang w:eastAsia="en-CA"/>
        </w:rPr>
        <w:t xml:space="preserve"> :</w:t>
      </w:r>
      <w:proofErr w:type="gramEnd"/>
      <w:r w:rsidRPr="006E5D7C">
        <w:rPr>
          <w:rFonts w:eastAsia="Times New Roman" w:cs="Times New Roman"/>
          <w:sz w:val="20"/>
          <w:szCs w:val="20"/>
          <w:lang w:eastAsia="en-CA"/>
        </w:rPr>
        <w:t xml:space="preserve">   THE </w:t>
      </w:r>
      <w:r w:rsidRPr="006E5D7C">
        <w:rPr>
          <w:rFonts w:eastAsia="Times New Roman" w:cs="Times New Roman"/>
          <w:sz w:val="20"/>
          <w:szCs w:val="20"/>
          <w:lang w:val="fr-CA" w:eastAsia="en-CA"/>
        </w:rPr>
        <w:t>DEPUTY REGISTRAR / LA REGISTRAIRE ADJOINTE</w:t>
      </w:r>
    </w:p>
    <w:p w:rsidR="006E5D7C" w:rsidRPr="006E5D7C" w:rsidRDefault="006E5D7C" w:rsidP="006E5D7C">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E5D7C" w:rsidRPr="00B6040C" w:rsidTr="004B2CEB">
        <w:tc>
          <w:tcPr>
            <w:tcW w:w="4338" w:type="dxa"/>
          </w:tcPr>
          <w:p w:rsidR="006E5D7C" w:rsidRPr="006E5D7C" w:rsidRDefault="0028676C" w:rsidP="006E5D7C">
            <w:pPr>
              <w:tabs>
                <w:tab w:val="left" w:pos="-1440"/>
                <w:tab w:val="left" w:pos="-720"/>
              </w:tabs>
              <w:jc w:val="both"/>
              <w:rPr>
                <w:b/>
              </w:rPr>
            </w:pPr>
            <w:r w:rsidRPr="006E5D7C">
              <w:rPr>
                <w:lang w:val="en-US"/>
              </w:rPr>
              <w:fldChar w:fldCharType="begin"/>
            </w:r>
            <w:r w:rsidR="006E5D7C" w:rsidRPr="006E5D7C">
              <w:rPr>
                <w:lang w:val="en-US"/>
              </w:rPr>
              <w:instrText xml:space="preserve"> SEQ CHAPTER \h \r 1</w:instrText>
            </w:r>
            <w:r w:rsidRPr="006E5D7C">
              <w:rPr>
                <w:lang w:val="en-US"/>
              </w:rPr>
              <w:fldChar w:fldCharType="end"/>
            </w:r>
            <w:r w:rsidR="006E5D7C" w:rsidRPr="006E5D7C">
              <w:rPr>
                <w:b/>
                <w:bCs/>
                <w:lang w:val="en-US"/>
              </w:rPr>
              <w:t xml:space="preserve">Motion to extend time to serve and file the notice of intervention respecting constitutional questions of the Attorney General of British Columbia to April 4, 2013 </w:t>
            </w:r>
            <w:r w:rsidRPr="006E5D7C">
              <w:rPr>
                <w:lang w:val="en-US"/>
              </w:rPr>
              <w:fldChar w:fldCharType="begin"/>
            </w:r>
            <w:r w:rsidR="006E5D7C" w:rsidRPr="006E5D7C">
              <w:rPr>
                <w:lang w:val="en-US"/>
              </w:rPr>
              <w:instrText xml:space="preserve"> SEQ CHAPTER \h \r 1</w:instrText>
            </w:r>
            <w:r w:rsidRPr="006E5D7C">
              <w:rPr>
                <w:lang w:val="en-US"/>
              </w:rPr>
              <w:fldChar w:fldCharType="end"/>
            </w:r>
            <w:r w:rsidRPr="006E5D7C">
              <w:rPr>
                <w:lang w:val="en-US"/>
              </w:rPr>
              <w:fldChar w:fldCharType="begin"/>
            </w:r>
            <w:r w:rsidR="006E5D7C" w:rsidRPr="006E5D7C">
              <w:rPr>
                <w:lang w:val="en-US"/>
              </w:rPr>
              <w:instrText xml:space="preserve"> SEQ CHAPTER \h \r 1</w:instrText>
            </w:r>
            <w:r w:rsidRPr="006E5D7C">
              <w:rPr>
                <w:lang w:val="en-US"/>
              </w:rPr>
              <w:fldChar w:fldCharType="end"/>
            </w:r>
          </w:p>
        </w:tc>
        <w:tc>
          <w:tcPr>
            <w:tcW w:w="1170" w:type="dxa"/>
          </w:tcPr>
          <w:p w:rsidR="006E5D7C" w:rsidRPr="006E5D7C" w:rsidRDefault="006E5D7C" w:rsidP="006E5D7C">
            <w:pPr>
              <w:tabs>
                <w:tab w:val="left" w:pos="-1440"/>
                <w:tab w:val="left" w:pos="-720"/>
              </w:tabs>
              <w:jc w:val="both"/>
            </w:pPr>
          </w:p>
          <w:p w:rsidR="006E5D7C" w:rsidRPr="006E5D7C" w:rsidRDefault="006E5D7C" w:rsidP="006E5D7C">
            <w:pPr>
              <w:tabs>
                <w:tab w:val="left" w:pos="-1440"/>
                <w:tab w:val="left" w:pos="-720"/>
              </w:tabs>
              <w:jc w:val="both"/>
            </w:pPr>
          </w:p>
          <w:p w:rsidR="006E5D7C" w:rsidRPr="006E5D7C" w:rsidRDefault="006E5D7C" w:rsidP="006E5D7C">
            <w:pPr>
              <w:tabs>
                <w:tab w:val="left" w:pos="-1440"/>
                <w:tab w:val="left" w:pos="-720"/>
              </w:tabs>
              <w:jc w:val="both"/>
            </w:pPr>
          </w:p>
          <w:p w:rsidR="006E5D7C" w:rsidRPr="006E5D7C" w:rsidRDefault="006E5D7C" w:rsidP="006E5D7C">
            <w:pPr>
              <w:tabs>
                <w:tab w:val="left" w:pos="-1440"/>
                <w:tab w:val="left" w:pos="-720"/>
              </w:tabs>
              <w:jc w:val="both"/>
            </w:pPr>
          </w:p>
          <w:p w:rsidR="006E5D7C" w:rsidRPr="006E5D7C" w:rsidRDefault="006E5D7C" w:rsidP="006E5D7C">
            <w:pPr>
              <w:tabs>
                <w:tab w:val="left" w:pos="-1440"/>
                <w:tab w:val="left" w:pos="-720"/>
              </w:tabs>
              <w:jc w:val="both"/>
            </w:pPr>
          </w:p>
          <w:p w:rsidR="006E5D7C" w:rsidRPr="006E5D7C" w:rsidRDefault="006E5D7C" w:rsidP="006E5D7C">
            <w:pPr>
              <w:tabs>
                <w:tab w:val="left" w:pos="-1440"/>
                <w:tab w:val="left" w:pos="-720"/>
              </w:tabs>
              <w:jc w:val="both"/>
            </w:pPr>
          </w:p>
        </w:tc>
        <w:tc>
          <w:tcPr>
            <w:tcW w:w="4327" w:type="dxa"/>
          </w:tcPr>
          <w:p w:rsidR="006E5D7C" w:rsidRPr="006E5D7C" w:rsidRDefault="0028676C" w:rsidP="006E5D7C">
            <w:pPr>
              <w:tabs>
                <w:tab w:val="left" w:pos="-1440"/>
                <w:tab w:val="left" w:pos="-720"/>
              </w:tabs>
              <w:jc w:val="both"/>
              <w:rPr>
                <w:lang w:val="fr-CA"/>
              </w:rPr>
            </w:pPr>
            <w:r w:rsidRPr="006E5D7C">
              <w:rPr>
                <w:lang w:val="en-US"/>
              </w:rPr>
              <w:fldChar w:fldCharType="begin"/>
            </w:r>
            <w:r w:rsidR="006E5D7C" w:rsidRPr="006E5D7C">
              <w:rPr>
                <w:lang w:val="fr-CA"/>
              </w:rPr>
              <w:instrText xml:space="preserve"> SEQ CHAPTER \h \r 1</w:instrText>
            </w:r>
            <w:r w:rsidRPr="006E5D7C">
              <w:rPr>
                <w:lang w:val="en-US"/>
              </w:rPr>
              <w:fldChar w:fldCharType="end"/>
            </w:r>
            <w:r w:rsidR="006E5D7C" w:rsidRPr="006E5D7C">
              <w:rPr>
                <w:b/>
                <w:bCs/>
                <w:lang w:val="fr-CA"/>
              </w:rPr>
              <w:t>Requête en prorogation du délai de signification et de dépôt de l’avis d’intervention quant aux questions constitutionnelles du procureur général de la Colombie-Britannique jusqu’au 4 avril 2013</w:t>
            </w:r>
            <w:r w:rsidRPr="006E5D7C">
              <w:rPr>
                <w:lang w:val="en-US"/>
              </w:rPr>
              <w:fldChar w:fldCharType="begin"/>
            </w:r>
            <w:r w:rsidR="006E5D7C" w:rsidRPr="006E5D7C">
              <w:rPr>
                <w:lang w:val="fr-CA"/>
              </w:rPr>
              <w:instrText xml:space="preserve"> SEQ CHAPTER \h \r 1</w:instrText>
            </w:r>
            <w:r w:rsidRPr="006E5D7C">
              <w:rPr>
                <w:lang w:val="en-US"/>
              </w:rPr>
              <w:fldChar w:fldCharType="end"/>
            </w:r>
            <w:r w:rsidR="006E5D7C" w:rsidRPr="006E5D7C">
              <w:rPr>
                <w:lang w:val="fr-CA"/>
              </w:rPr>
              <w:t xml:space="preserve"> </w:t>
            </w:r>
            <w:r w:rsidRPr="006E5D7C">
              <w:rPr>
                <w:lang w:val="en-US"/>
              </w:rPr>
              <w:fldChar w:fldCharType="begin"/>
            </w:r>
            <w:r w:rsidR="006E5D7C" w:rsidRPr="006E5D7C">
              <w:rPr>
                <w:lang w:val="fr-CA"/>
              </w:rPr>
              <w:instrText xml:space="preserve"> SEQ CHAPTER \h \r 1</w:instrText>
            </w:r>
            <w:r w:rsidRPr="006E5D7C">
              <w:rPr>
                <w:lang w:val="en-US"/>
              </w:rPr>
              <w:fldChar w:fldCharType="end"/>
            </w:r>
            <w:r w:rsidRPr="006E5D7C">
              <w:rPr>
                <w:lang w:val="en-US"/>
              </w:rPr>
              <w:fldChar w:fldCharType="begin"/>
            </w:r>
            <w:r w:rsidR="006E5D7C" w:rsidRPr="006E5D7C">
              <w:rPr>
                <w:lang w:val="fr-CA"/>
              </w:rPr>
              <w:instrText xml:space="preserve"> SEQ CHAPTER \h \r 1</w:instrText>
            </w:r>
            <w:r w:rsidRPr="006E5D7C">
              <w:rPr>
                <w:lang w:val="en-US"/>
              </w:rPr>
              <w:fldChar w:fldCharType="end"/>
            </w:r>
          </w:p>
        </w:tc>
      </w:tr>
      <w:tr w:rsidR="006E5D7C" w:rsidRPr="006E5D7C" w:rsidTr="004B2CEB">
        <w:tc>
          <w:tcPr>
            <w:tcW w:w="4338" w:type="dxa"/>
          </w:tcPr>
          <w:p w:rsidR="006E5D7C" w:rsidRPr="006E5D7C" w:rsidRDefault="006E5D7C" w:rsidP="006E5D7C">
            <w:pPr>
              <w:tabs>
                <w:tab w:val="left" w:pos="-1440"/>
                <w:tab w:val="left" w:pos="-720"/>
              </w:tabs>
              <w:jc w:val="both"/>
              <w:rPr>
                <w:lang w:val="fr-CA"/>
              </w:rPr>
            </w:pPr>
            <w:proofErr w:type="spellStart"/>
            <w:r w:rsidRPr="006E5D7C">
              <w:rPr>
                <w:lang w:val="fr-CA"/>
              </w:rPr>
              <w:t>Mounted</w:t>
            </w:r>
            <w:proofErr w:type="spellEnd"/>
            <w:r w:rsidRPr="006E5D7C">
              <w:rPr>
                <w:lang w:val="fr-CA"/>
              </w:rPr>
              <w:t xml:space="preserve"> Police Association of Ontario / Association de la Police Montée de l’Ontario et al.</w:t>
            </w:r>
          </w:p>
          <w:p w:rsidR="006E5D7C" w:rsidRPr="006E5D7C" w:rsidRDefault="006E5D7C" w:rsidP="006E5D7C">
            <w:pPr>
              <w:tabs>
                <w:tab w:val="left" w:pos="-1440"/>
                <w:tab w:val="left" w:pos="-720"/>
              </w:tabs>
              <w:jc w:val="both"/>
              <w:rPr>
                <w:lang w:val="fr-CA"/>
              </w:rPr>
            </w:pPr>
          </w:p>
          <w:p w:rsidR="006E5D7C" w:rsidRPr="006E5D7C" w:rsidRDefault="006E5D7C" w:rsidP="006E5D7C">
            <w:pPr>
              <w:tabs>
                <w:tab w:val="left" w:pos="-1440"/>
                <w:tab w:val="left" w:pos="-720"/>
              </w:tabs>
              <w:jc w:val="both"/>
            </w:pPr>
            <w:r w:rsidRPr="006E5D7C">
              <w:rPr>
                <w:lang w:val="fr-CA"/>
              </w:rPr>
              <w:tab/>
            </w:r>
            <w:r w:rsidRPr="006E5D7C">
              <w:t>v. (34948)</w:t>
            </w:r>
          </w:p>
          <w:p w:rsidR="006E5D7C" w:rsidRPr="006E5D7C" w:rsidRDefault="006E5D7C" w:rsidP="006E5D7C">
            <w:pPr>
              <w:tabs>
                <w:tab w:val="left" w:pos="-1440"/>
                <w:tab w:val="left" w:pos="-720"/>
              </w:tabs>
              <w:jc w:val="both"/>
            </w:pPr>
          </w:p>
          <w:p w:rsidR="006E5D7C" w:rsidRPr="006E5D7C" w:rsidRDefault="006E5D7C" w:rsidP="006E5D7C">
            <w:pPr>
              <w:tabs>
                <w:tab w:val="left" w:pos="-1440"/>
                <w:tab w:val="left" w:pos="-720"/>
              </w:tabs>
              <w:jc w:val="both"/>
            </w:pPr>
            <w:r w:rsidRPr="006E5D7C">
              <w:t>Attorney General of Canada (Ont.)</w:t>
            </w:r>
          </w:p>
        </w:tc>
        <w:tc>
          <w:tcPr>
            <w:tcW w:w="1170" w:type="dxa"/>
          </w:tcPr>
          <w:p w:rsidR="006E5D7C" w:rsidRPr="006E5D7C" w:rsidRDefault="006E5D7C" w:rsidP="006E5D7C">
            <w:pPr>
              <w:tabs>
                <w:tab w:val="left" w:pos="-1440"/>
                <w:tab w:val="left" w:pos="-720"/>
              </w:tabs>
              <w:jc w:val="both"/>
            </w:pPr>
          </w:p>
        </w:tc>
        <w:tc>
          <w:tcPr>
            <w:tcW w:w="4327" w:type="dxa"/>
          </w:tcPr>
          <w:p w:rsidR="006E5D7C" w:rsidRPr="006E5D7C" w:rsidRDefault="006E5D7C" w:rsidP="006E5D7C">
            <w:pPr>
              <w:tabs>
                <w:tab w:val="left" w:pos="-1440"/>
                <w:tab w:val="left" w:pos="-720"/>
              </w:tabs>
              <w:jc w:val="both"/>
            </w:pPr>
          </w:p>
        </w:tc>
      </w:tr>
    </w:tbl>
    <w:p w:rsidR="006E5D7C" w:rsidRPr="006E5D7C" w:rsidRDefault="006E5D7C" w:rsidP="006E5D7C">
      <w:pPr>
        <w:tabs>
          <w:tab w:val="left" w:pos="-1440"/>
          <w:tab w:val="left" w:pos="-720"/>
        </w:tabs>
        <w:jc w:val="both"/>
        <w:rPr>
          <w:rFonts w:eastAsia="Times New Roman" w:cs="Times New Roman"/>
          <w:sz w:val="20"/>
          <w:szCs w:val="20"/>
          <w:lang w:eastAsia="en-CA"/>
        </w:rPr>
      </w:pPr>
    </w:p>
    <w:p w:rsidR="006E5D7C" w:rsidRPr="006E5D7C" w:rsidRDefault="006E5D7C" w:rsidP="006E5D7C">
      <w:pPr>
        <w:tabs>
          <w:tab w:val="left" w:pos="-1440"/>
          <w:tab w:val="left" w:pos="-720"/>
        </w:tabs>
        <w:jc w:val="both"/>
        <w:rPr>
          <w:rFonts w:eastAsia="Times New Roman" w:cs="Times New Roman"/>
          <w:b/>
          <w:sz w:val="20"/>
          <w:szCs w:val="20"/>
          <w:lang w:eastAsia="en-CA"/>
        </w:rPr>
      </w:pPr>
      <w:r w:rsidRPr="006E5D7C">
        <w:rPr>
          <w:rFonts w:eastAsia="Times New Roman" w:cs="Times New Roman"/>
          <w:b/>
          <w:sz w:val="20"/>
          <w:szCs w:val="20"/>
          <w:lang w:eastAsia="en-CA"/>
        </w:rPr>
        <w:t>GRANTED / ACCORDÉE</w:t>
      </w:r>
    </w:p>
    <w:p w:rsidR="006E5D7C" w:rsidRPr="006E5D7C" w:rsidRDefault="006E5D7C" w:rsidP="006E5D7C">
      <w:pPr>
        <w:tabs>
          <w:tab w:val="left" w:pos="-1440"/>
          <w:tab w:val="left" w:pos="-720"/>
        </w:tabs>
        <w:jc w:val="both"/>
        <w:rPr>
          <w:rFonts w:eastAsia="Times New Roman" w:cs="Times New Roman"/>
          <w:sz w:val="20"/>
          <w:szCs w:val="20"/>
          <w:lang w:val="fr-FR" w:eastAsia="en-CA"/>
        </w:rPr>
      </w:pPr>
    </w:p>
    <w:p w:rsidR="006E5D7C" w:rsidRPr="006E5D7C" w:rsidRDefault="0028676C" w:rsidP="006E5D7C">
      <w:pPr>
        <w:tabs>
          <w:tab w:val="left" w:pos="-1440"/>
          <w:tab w:val="left" w:pos="-720"/>
        </w:tabs>
        <w:jc w:val="both"/>
        <w:rPr>
          <w:rFonts w:eastAsia="Times New Roman" w:cs="Times New Roman"/>
          <w:sz w:val="20"/>
          <w:szCs w:val="20"/>
          <w:lang w:val="fr-CA" w:eastAsia="en-CA"/>
        </w:rPr>
      </w:pPr>
      <w:r w:rsidRPr="0028676C">
        <w:rPr>
          <w:rFonts w:eastAsia="Times New Roman" w:cs="Times New Roman"/>
          <w:sz w:val="20"/>
          <w:szCs w:val="20"/>
          <w:lang w:val="fr-CA" w:eastAsia="en-CA"/>
        </w:rPr>
        <w:pict>
          <v:rect id="_x0000_i1089" style="width:2in;height:1pt" o:hrpct="0" o:hralign="center" o:hrstd="t" o:hrnoshade="t" o:hr="t" fillcolor="black [3213]" stroked="f"/>
        </w:pict>
      </w:r>
    </w:p>
    <w:p w:rsidR="006E5D7C" w:rsidRPr="006E5D7C" w:rsidRDefault="006E5D7C" w:rsidP="006E5D7C">
      <w:pPr>
        <w:rPr>
          <w:rFonts w:eastAsia="Times New Roman" w:cs="Times New Roman"/>
          <w:sz w:val="20"/>
          <w:szCs w:val="20"/>
          <w:lang w:val="fr-CA" w:eastAsia="en-CA"/>
        </w:rPr>
      </w:pPr>
    </w:p>
    <w:p w:rsidR="006E5D7C" w:rsidRPr="006E5D7C" w:rsidRDefault="006E5D7C" w:rsidP="006E5D7C">
      <w:pPr>
        <w:tabs>
          <w:tab w:val="left" w:pos="-1440"/>
          <w:tab w:val="left" w:pos="-720"/>
        </w:tabs>
        <w:jc w:val="both"/>
        <w:rPr>
          <w:rFonts w:eastAsia="Times New Roman" w:cs="Times New Roman"/>
          <w:sz w:val="20"/>
          <w:szCs w:val="20"/>
          <w:lang w:eastAsia="en-CA"/>
        </w:rPr>
      </w:pPr>
      <w:r w:rsidRPr="006E5D7C">
        <w:rPr>
          <w:rFonts w:eastAsia="Times New Roman" w:cs="Times New Roman"/>
          <w:sz w:val="20"/>
          <w:szCs w:val="20"/>
          <w:lang w:eastAsia="en-CA"/>
        </w:rPr>
        <w:t>09.05.2013</w:t>
      </w:r>
    </w:p>
    <w:p w:rsidR="006E5D7C" w:rsidRPr="006E5D7C" w:rsidRDefault="006E5D7C" w:rsidP="006E5D7C">
      <w:pPr>
        <w:tabs>
          <w:tab w:val="left" w:pos="-1440"/>
          <w:tab w:val="left" w:pos="-720"/>
        </w:tabs>
        <w:jc w:val="both"/>
        <w:rPr>
          <w:rFonts w:eastAsia="Times New Roman" w:cs="Times New Roman"/>
          <w:sz w:val="20"/>
          <w:szCs w:val="20"/>
          <w:lang w:eastAsia="en-CA"/>
        </w:rPr>
      </w:pPr>
    </w:p>
    <w:p w:rsidR="006E5D7C" w:rsidRPr="006E5D7C" w:rsidRDefault="006E5D7C" w:rsidP="006E5D7C">
      <w:pPr>
        <w:tabs>
          <w:tab w:val="left" w:pos="-1440"/>
          <w:tab w:val="left" w:pos="-720"/>
        </w:tabs>
        <w:jc w:val="both"/>
        <w:rPr>
          <w:rFonts w:eastAsia="Times New Roman" w:cs="Times New Roman"/>
          <w:sz w:val="20"/>
          <w:szCs w:val="20"/>
          <w:lang w:eastAsia="en-CA"/>
        </w:rPr>
      </w:pPr>
      <w:r w:rsidRPr="006E5D7C">
        <w:rPr>
          <w:rFonts w:eastAsia="Times New Roman" w:cs="Times New Roman"/>
          <w:sz w:val="20"/>
          <w:szCs w:val="20"/>
          <w:lang w:eastAsia="en-CA"/>
        </w:rPr>
        <w:t xml:space="preserve">Before / </w:t>
      </w:r>
      <w:proofErr w:type="spellStart"/>
      <w:proofErr w:type="gramStart"/>
      <w:r w:rsidRPr="006E5D7C">
        <w:rPr>
          <w:rFonts w:eastAsia="Times New Roman" w:cs="Times New Roman"/>
          <w:sz w:val="20"/>
          <w:szCs w:val="20"/>
          <w:lang w:eastAsia="en-CA"/>
        </w:rPr>
        <w:t>Devant</w:t>
      </w:r>
      <w:proofErr w:type="spellEnd"/>
      <w:r w:rsidRPr="006E5D7C">
        <w:rPr>
          <w:rFonts w:eastAsia="Times New Roman" w:cs="Times New Roman"/>
          <w:sz w:val="20"/>
          <w:szCs w:val="20"/>
          <w:lang w:eastAsia="en-CA"/>
        </w:rPr>
        <w:t xml:space="preserve"> :</w:t>
      </w:r>
      <w:proofErr w:type="gramEnd"/>
      <w:r w:rsidRPr="006E5D7C">
        <w:rPr>
          <w:rFonts w:eastAsia="Times New Roman" w:cs="Times New Roman"/>
          <w:sz w:val="20"/>
          <w:szCs w:val="20"/>
          <w:lang w:eastAsia="en-CA"/>
        </w:rPr>
        <w:t xml:space="preserve">   THE </w:t>
      </w:r>
      <w:r w:rsidRPr="006E5D7C">
        <w:rPr>
          <w:rFonts w:eastAsia="Times New Roman" w:cs="Times New Roman"/>
          <w:sz w:val="20"/>
          <w:szCs w:val="20"/>
          <w:lang w:val="fr-CA" w:eastAsia="en-CA"/>
        </w:rPr>
        <w:t>DEPUTY REGISTRAR / LA REGISTRAIRE ADJOINTE</w:t>
      </w:r>
    </w:p>
    <w:p w:rsidR="006E5D7C" w:rsidRPr="006E5D7C" w:rsidRDefault="006E5D7C" w:rsidP="006E5D7C">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E5D7C" w:rsidRPr="00B6040C" w:rsidTr="004B2CEB">
        <w:tc>
          <w:tcPr>
            <w:tcW w:w="4338" w:type="dxa"/>
          </w:tcPr>
          <w:p w:rsidR="006E5D7C" w:rsidRPr="006E5D7C" w:rsidRDefault="006E5D7C" w:rsidP="006E5D7C">
            <w:pPr>
              <w:tabs>
                <w:tab w:val="left" w:pos="-1440"/>
                <w:tab w:val="left" w:pos="-720"/>
              </w:tabs>
              <w:jc w:val="both"/>
              <w:rPr>
                <w:b/>
              </w:rPr>
            </w:pPr>
            <w:r w:rsidRPr="006E5D7C">
              <w:rPr>
                <w:b/>
                <w:bCs/>
                <w:lang w:val="en-GB"/>
              </w:rPr>
              <w:t>Motion to extend the time to serve and file the applicant’s reply to April 10, 2013</w:t>
            </w:r>
            <w:r w:rsidRPr="006E5D7C">
              <w:rPr>
                <w:lang w:val="en-US"/>
              </w:rPr>
              <w:t xml:space="preserve"> </w:t>
            </w:r>
            <w:r w:rsidR="0028676C" w:rsidRPr="006E5D7C">
              <w:rPr>
                <w:lang w:val="en-US"/>
              </w:rPr>
              <w:fldChar w:fldCharType="begin"/>
            </w:r>
            <w:r w:rsidRPr="006E5D7C">
              <w:rPr>
                <w:lang w:val="en-US"/>
              </w:rPr>
              <w:instrText xml:space="preserve"> SEQ CHAPTER \h \r 1</w:instrText>
            </w:r>
            <w:r w:rsidR="0028676C" w:rsidRPr="006E5D7C">
              <w:rPr>
                <w:lang w:val="en-US"/>
              </w:rPr>
              <w:fldChar w:fldCharType="end"/>
            </w:r>
          </w:p>
        </w:tc>
        <w:tc>
          <w:tcPr>
            <w:tcW w:w="1170" w:type="dxa"/>
          </w:tcPr>
          <w:p w:rsidR="006E5D7C" w:rsidRPr="006E5D7C" w:rsidRDefault="006E5D7C" w:rsidP="006E5D7C">
            <w:pPr>
              <w:tabs>
                <w:tab w:val="left" w:pos="-1440"/>
                <w:tab w:val="left" w:pos="-720"/>
              </w:tabs>
              <w:jc w:val="both"/>
            </w:pPr>
          </w:p>
          <w:p w:rsidR="006E5D7C" w:rsidRPr="006E5D7C" w:rsidRDefault="006E5D7C" w:rsidP="006E5D7C">
            <w:pPr>
              <w:tabs>
                <w:tab w:val="left" w:pos="-1440"/>
                <w:tab w:val="left" w:pos="-720"/>
              </w:tabs>
              <w:jc w:val="both"/>
            </w:pPr>
          </w:p>
          <w:p w:rsidR="006E5D7C" w:rsidRPr="006E5D7C" w:rsidRDefault="006E5D7C" w:rsidP="006E5D7C">
            <w:pPr>
              <w:tabs>
                <w:tab w:val="left" w:pos="-1440"/>
                <w:tab w:val="left" w:pos="-720"/>
              </w:tabs>
              <w:jc w:val="both"/>
            </w:pPr>
          </w:p>
          <w:p w:rsidR="006E5D7C" w:rsidRPr="006E5D7C" w:rsidRDefault="006E5D7C" w:rsidP="006E5D7C">
            <w:pPr>
              <w:tabs>
                <w:tab w:val="left" w:pos="-1440"/>
                <w:tab w:val="left" w:pos="-720"/>
              </w:tabs>
              <w:jc w:val="both"/>
            </w:pPr>
          </w:p>
        </w:tc>
        <w:tc>
          <w:tcPr>
            <w:tcW w:w="4327" w:type="dxa"/>
          </w:tcPr>
          <w:p w:rsidR="006E5D7C" w:rsidRPr="006E5D7C" w:rsidRDefault="006E5D7C" w:rsidP="006E5D7C">
            <w:pPr>
              <w:tabs>
                <w:tab w:val="left" w:pos="-1440"/>
                <w:tab w:val="left" w:pos="-720"/>
              </w:tabs>
              <w:jc w:val="both"/>
              <w:rPr>
                <w:lang w:val="fr-CA"/>
              </w:rPr>
            </w:pPr>
            <w:r w:rsidRPr="006E5D7C">
              <w:rPr>
                <w:b/>
                <w:bCs/>
                <w:lang w:val="fr-CA"/>
              </w:rPr>
              <w:t>Requête en prorogation du délai de signification et de dépôt de la réplique du demandeur jusqu’au 10 avril 2013</w:t>
            </w:r>
            <w:r w:rsidRPr="006E5D7C">
              <w:rPr>
                <w:lang w:val="fr-CA"/>
              </w:rPr>
              <w:t xml:space="preserve"> </w:t>
            </w:r>
            <w:r w:rsidR="0028676C" w:rsidRPr="006E5D7C">
              <w:rPr>
                <w:lang w:val="en-US"/>
              </w:rPr>
              <w:fldChar w:fldCharType="begin"/>
            </w:r>
            <w:r w:rsidRPr="006E5D7C">
              <w:rPr>
                <w:lang w:val="fr-CA"/>
              </w:rPr>
              <w:instrText xml:space="preserve"> SEQ CHAPTER \h \r 1</w:instrText>
            </w:r>
            <w:r w:rsidR="0028676C" w:rsidRPr="006E5D7C">
              <w:rPr>
                <w:lang w:val="en-US"/>
              </w:rPr>
              <w:fldChar w:fldCharType="end"/>
            </w:r>
            <w:r w:rsidR="0028676C" w:rsidRPr="006E5D7C">
              <w:rPr>
                <w:lang w:val="en-US"/>
              </w:rPr>
              <w:fldChar w:fldCharType="begin"/>
            </w:r>
            <w:r w:rsidRPr="006E5D7C">
              <w:rPr>
                <w:lang w:val="fr-CA"/>
              </w:rPr>
              <w:instrText xml:space="preserve"> SEQ CHAPTER \h \r 1</w:instrText>
            </w:r>
            <w:r w:rsidR="0028676C" w:rsidRPr="006E5D7C">
              <w:rPr>
                <w:lang w:val="en-US"/>
              </w:rPr>
              <w:fldChar w:fldCharType="end"/>
            </w:r>
            <w:r w:rsidR="0028676C" w:rsidRPr="006E5D7C">
              <w:rPr>
                <w:lang w:val="en-US"/>
              </w:rPr>
              <w:fldChar w:fldCharType="begin"/>
            </w:r>
            <w:r w:rsidRPr="006E5D7C">
              <w:rPr>
                <w:lang w:val="fr-CA"/>
              </w:rPr>
              <w:instrText xml:space="preserve"> SEQ CHAPTER \h \r 1</w:instrText>
            </w:r>
            <w:r w:rsidR="0028676C" w:rsidRPr="006E5D7C">
              <w:rPr>
                <w:lang w:val="en-US"/>
              </w:rPr>
              <w:fldChar w:fldCharType="end"/>
            </w:r>
            <w:r w:rsidR="0028676C" w:rsidRPr="006E5D7C">
              <w:rPr>
                <w:lang w:val="en-US"/>
              </w:rPr>
              <w:fldChar w:fldCharType="begin"/>
            </w:r>
            <w:r w:rsidRPr="006E5D7C">
              <w:rPr>
                <w:lang w:val="fr-CA"/>
              </w:rPr>
              <w:instrText xml:space="preserve"> SEQ CHAPTER \h \r 1</w:instrText>
            </w:r>
            <w:r w:rsidR="0028676C" w:rsidRPr="006E5D7C">
              <w:rPr>
                <w:lang w:val="en-US"/>
              </w:rPr>
              <w:fldChar w:fldCharType="end"/>
            </w:r>
          </w:p>
        </w:tc>
      </w:tr>
      <w:tr w:rsidR="006E5D7C" w:rsidRPr="006E5D7C" w:rsidTr="004B2CEB">
        <w:tc>
          <w:tcPr>
            <w:tcW w:w="4338" w:type="dxa"/>
          </w:tcPr>
          <w:p w:rsidR="006E5D7C" w:rsidRPr="006E5D7C" w:rsidRDefault="006E5D7C" w:rsidP="006E5D7C">
            <w:pPr>
              <w:tabs>
                <w:tab w:val="left" w:pos="-1440"/>
                <w:tab w:val="left" w:pos="-720"/>
              </w:tabs>
              <w:jc w:val="both"/>
            </w:pPr>
            <w:r w:rsidRPr="006E5D7C">
              <w:t>Barry Boyne</w:t>
            </w:r>
          </w:p>
          <w:p w:rsidR="006E5D7C" w:rsidRPr="006E5D7C" w:rsidRDefault="006E5D7C" w:rsidP="006E5D7C">
            <w:pPr>
              <w:tabs>
                <w:tab w:val="left" w:pos="-1440"/>
                <w:tab w:val="left" w:pos="-720"/>
              </w:tabs>
              <w:jc w:val="both"/>
            </w:pPr>
          </w:p>
          <w:p w:rsidR="006E5D7C" w:rsidRPr="006E5D7C" w:rsidRDefault="006E5D7C" w:rsidP="006E5D7C">
            <w:pPr>
              <w:tabs>
                <w:tab w:val="left" w:pos="-1440"/>
                <w:tab w:val="left" w:pos="-720"/>
              </w:tabs>
              <w:jc w:val="both"/>
            </w:pPr>
            <w:r w:rsidRPr="006E5D7C">
              <w:tab/>
              <w:t>v. (35228)</w:t>
            </w:r>
          </w:p>
          <w:p w:rsidR="006E5D7C" w:rsidRPr="006E5D7C" w:rsidRDefault="006E5D7C" w:rsidP="006E5D7C">
            <w:pPr>
              <w:tabs>
                <w:tab w:val="left" w:pos="-1440"/>
                <w:tab w:val="left" w:pos="-720"/>
              </w:tabs>
              <w:jc w:val="both"/>
            </w:pPr>
          </w:p>
          <w:p w:rsidR="006E5D7C" w:rsidRPr="006E5D7C" w:rsidRDefault="006E5D7C" w:rsidP="006E5D7C">
            <w:pPr>
              <w:tabs>
                <w:tab w:val="left" w:pos="-1440"/>
                <w:tab w:val="left" w:pos="-720"/>
              </w:tabs>
              <w:jc w:val="both"/>
            </w:pPr>
            <w:r w:rsidRPr="006E5D7C">
              <w:t>Her Majesty the Queen (Crim.) (Sask.)</w:t>
            </w:r>
          </w:p>
        </w:tc>
        <w:tc>
          <w:tcPr>
            <w:tcW w:w="1170" w:type="dxa"/>
          </w:tcPr>
          <w:p w:rsidR="006E5D7C" w:rsidRPr="006E5D7C" w:rsidRDefault="006E5D7C" w:rsidP="006E5D7C">
            <w:pPr>
              <w:tabs>
                <w:tab w:val="left" w:pos="-1440"/>
                <w:tab w:val="left" w:pos="-720"/>
              </w:tabs>
              <w:jc w:val="both"/>
            </w:pPr>
          </w:p>
        </w:tc>
        <w:tc>
          <w:tcPr>
            <w:tcW w:w="4327" w:type="dxa"/>
          </w:tcPr>
          <w:p w:rsidR="006E5D7C" w:rsidRPr="006E5D7C" w:rsidRDefault="006E5D7C" w:rsidP="006E5D7C">
            <w:pPr>
              <w:tabs>
                <w:tab w:val="left" w:pos="-1440"/>
                <w:tab w:val="left" w:pos="-720"/>
              </w:tabs>
              <w:jc w:val="both"/>
            </w:pPr>
          </w:p>
        </w:tc>
      </w:tr>
    </w:tbl>
    <w:p w:rsidR="006E5D7C" w:rsidRPr="006E5D7C" w:rsidRDefault="006E5D7C" w:rsidP="006E5D7C">
      <w:pPr>
        <w:tabs>
          <w:tab w:val="left" w:pos="-1440"/>
          <w:tab w:val="left" w:pos="-720"/>
        </w:tabs>
        <w:jc w:val="both"/>
        <w:rPr>
          <w:rFonts w:eastAsia="Times New Roman" w:cs="Times New Roman"/>
          <w:sz w:val="20"/>
          <w:szCs w:val="20"/>
          <w:lang w:eastAsia="en-CA"/>
        </w:rPr>
      </w:pPr>
    </w:p>
    <w:p w:rsidR="006E5D7C" w:rsidRPr="006E5D7C" w:rsidRDefault="006E5D7C" w:rsidP="006E5D7C">
      <w:pPr>
        <w:tabs>
          <w:tab w:val="left" w:pos="-1440"/>
          <w:tab w:val="left" w:pos="-720"/>
        </w:tabs>
        <w:jc w:val="both"/>
        <w:rPr>
          <w:rFonts w:eastAsia="Times New Roman" w:cs="Times New Roman"/>
          <w:b/>
          <w:sz w:val="20"/>
          <w:szCs w:val="20"/>
          <w:lang w:eastAsia="en-CA"/>
        </w:rPr>
      </w:pPr>
      <w:r w:rsidRPr="006E5D7C">
        <w:rPr>
          <w:rFonts w:eastAsia="Times New Roman" w:cs="Times New Roman"/>
          <w:b/>
          <w:sz w:val="20"/>
          <w:szCs w:val="20"/>
          <w:lang w:eastAsia="en-CA"/>
        </w:rPr>
        <w:t>GRANTED / ACCORDÉE</w:t>
      </w:r>
    </w:p>
    <w:p w:rsidR="006E5D7C" w:rsidRPr="006E5D7C" w:rsidRDefault="006E5D7C" w:rsidP="006E5D7C">
      <w:pPr>
        <w:tabs>
          <w:tab w:val="left" w:pos="-1440"/>
          <w:tab w:val="left" w:pos="-720"/>
        </w:tabs>
        <w:jc w:val="both"/>
        <w:rPr>
          <w:rFonts w:eastAsia="Times New Roman" w:cs="Times New Roman"/>
          <w:sz w:val="20"/>
          <w:szCs w:val="20"/>
          <w:lang w:eastAsia="en-CA"/>
        </w:rPr>
      </w:pPr>
    </w:p>
    <w:p w:rsidR="006E5D7C" w:rsidRPr="006E5D7C" w:rsidRDefault="0028676C" w:rsidP="006E5D7C">
      <w:pPr>
        <w:tabs>
          <w:tab w:val="left" w:pos="-1440"/>
          <w:tab w:val="left" w:pos="-720"/>
        </w:tabs>
        <w:jc w:val="both"/>
        <w:rPr>
          <w:rFonts w:eastAsia="Times New Roman" w:cs="Times New Roman"/>
          <w:sz w:val="20"/>
          <w:szCs w:val="20"/>
          <w:lang w:eastAsia="en-CA"/>
        </w:rPr>
      </w:pPr>
      <w:r w:rsidRPr="0028676C">
        <w:rPr>
          <w:rFonts w:eastAsia="Times New Roman" w:cs="Times New Roman"/>
          <w:sz w:val="20"/>
          <w:szCs w:val="20"/>
          <w:lang w:val="fr-CA" w:eastAsia="en-CA"/>
        </w:rPr>
        <w:pict>
          <v:rect id="_x0000_i1090" style="width:2in;height:1pt" o:hrpct="0" o:hralign="center" o:hrstd="t" o:hrnoshade="t" o:hr="t" fillcolor="black [3213]" stroked="f"/>
        </w:pict>
      </w:r>
    </w:p>
    <w:p w:rsidR="006E5D7C" w:rsidRPr="006E5D7C" w:rsidRDefault="006E5D7C" w:rsidP="006E5D7C">
      <w:pPr>
        <w:tabs>
          <w:tab w:val="left" w:pos="-1440"/>
          <w:tab w:val="left" w:pos="-720"/>
        </w:tabs>
        <w:jc w:val="both"/>
        <w:rPr>
          <w:rFonts w:eastAsia="Times New Roman" w:cs="Times New Roman"/>
          <w:sz w:val="20"/>
          <w:szCs w:val="20"/>
          <w:lang w:eastAsia="en-CA"/>
        </w:rPr>
      </w:pPr>
    </w:p>
    <w:p w:rsidR="006E5D7C" w:rsidRPr="006E5D7C" w:rsidRDefault="006E5D7C" w:rsidP="006E5D7C">
      <w:pPr>
        <w:widowControl w:val="0"/>
        <w:rPr>
          <w:rFonts w:eastAsia="Times New Roman" w:cs="Times New Roman"/>
          <w:sz w:val="20"/>
          <w:szCs w:val="20"/>
          <w:lang w:val="en-US" w:eastAsia="en-CA"/>
        </w:rPr>
      </w:pPr>
      <w:r w:rsidRPr="006E5D7C">
        <w:rPr>
          <w:rFonts w:eastAsia="Times New Roman" w:cs="Times New Roman"/>
          <w:sz w:val="20"/>
          <w:szCs w:val="20"/>
          <w:lang w:val="en-US" w:eastAsia="en-CA"/>
        </w:rPr>
        <w:t>13.05.2013</w:t>
      </w:r>
    </w:p>
    <w:p w:rsidR="006E5D7C" w:rsidRPr="006E5D7C" w:rsidRDefault="006E5D7C" w:rsidP="006E5D7C">
      <w:pPr>
        <w:widowControl w:val="0"/>
        <w:rPr>
          <w:rFonts w:eastAsia="Times New Roman" w:cs="Times New Roman"/>
          <w:sz w:val="20"/>
          <w:szCs w:val="20"/>
          <w:lang w:val="en-US" w:eastAsia="en-CA"/>
        </w:rPr>
      </w:pPr>
    </w:p>
    <w:p w:rsidR="006E5D7C" w:rsidRPr="006E5D7C" w:rsidRDefault="006E5D7C" w:rsidP="006E5D7C">
      <w:pPr>
        <w:widowControl w:val="0"/>
        <w:ind w:left="720" w:hanging="720"/>
        <w:rPr>
          <w:rFonts w:eastAsia="Times New Roman" w:cs="Times New Roman"/>
          <w:b/>
          <w:sz w:val="20"/>
          <w:szCs w:val="20"/>
          <w:lang w:val="en-US" w:eastAsia="en-CA"/>
        </w:rPr>
      </w:pPr>
      <w:r w:rsidRPr="006E5D7C">
        <w:rPr>
          <w:rFonts w:eastAsia="Times New Roman" w:cs="Times New Roman"/>
          <w:sz w:val="20"/>
          <w:szCs w:val="20"/>
          <w:lang w:val="en-US" w:eastAsia="en-CA"/>
        </w:rPr>
        <w:t xml:space="preserve">Coram: </w:t>
      </w:r>
      <w:r w:rsidRPr="006E5D7C">
        <w:rPr>
          <w:rFonts w:eastAsia="Times New Roman" w:cs="Times New Roman"/>
          <w:sz w:val="20"/>
          <w:szCs w:val="20"/>
          <w:lang w:val="en-US" w:eastAsia="en-CA"/>
        </w:rPr>
        <w:tab/>
      </w:r>
      <w:r w:rsidRPr="006E5D7C">
        <w:rPr>
          <w:rFonts w:eastAsia="Times New Roman" w:cs="Times New Roman"/>
          <w:sz w:val="20"/>
          <w:szCs w:val="20"/>
          <w:u w:val="single"/>
          <w:lang w:val="en-US" w:eastAsia="en-CA"/>
        </w:rPr>
        <w:t xml:space="preserve">McLachlin C.J. and Fish, </w:t>
      </w:r>
      <w:proofErr w:type="spellStart"/>
      <w:r w:rsidRPr="006E5D7C">
        <w:rPr>
          <w:rFonts w:eastAsia="Times New Roman" w:cs="Times New Roman"/>
          <w:sz w:val="20"/>
          <w:szCs w:val="20"/>
          <w:u w:val="single"/>
          <w:lang w:val="en-US" w:eastAsia="en-CA"/>
        </w:rPr>
        <w:t>Abella</w:t>
      </w:r>
      <w:proofErr w:type="spellEnd"/>
      <w:r w:rsidRPr="006E5D7C">
        <w:rPr>
          <w:rFonts w:eastAsia="Times New Roman" w:cs="Times New Roman"/>
          <w:sz w:val="20"/>
          <w:szCs w:val="20"/>
          <w:u w:val="single"/>
          <w:lang w:val="en-US" w:eastAsia="en-CA"/>
        </w:rPr>
        <w:t>, Rothstein and Moldaver JJ.</w:t>
      </w:r>
      <w:r w:rsidRPr="006E5D7C">
        <w:rPr>
          <w:rFonts w:eastAsia="Times New Roman" w:cs="Times New Roman"/>
          <w:sz w:val="20"/>
          <w:szCs w:val="20"/>
          <w:lang w:val="en-US" w:eastAsia="en-CA"/>
        </w:rPr>
        <w:t xml:space="preserve"> </w:t>
      </w:r>
    </w:p>
    <w:p w:rsidR="006E5D7C" w:rsidRPr="006E5D7C" w:rsidRDefault="006E5D7C" w:rsidP="006E5D7C">
      <w:pPr>
        <w:widowControl w:val="0"/>
        <w:rPr>
          <w:rFonts w:eastAsia="Times New Roman" w:cs="Times New Roman"/>
          <w:b/>
          <w:sz w:val="20"/>
          <w:szCs w:val="20"/>
          <w:lang w:val="en-US" w:eastAsia="en-CA"/>
        </w:rPr>
      </w:pPr>
    </w:p>
    <w:tbl>
      <w:tblPr>
        <w:tblW w:w="0" w:type="auto"/>
        <w:tblLayout w:type="fixed"/>
        <w:tblCellMar>
          <w:left w:w="0" w:type="dxa"/>
          <w:right w:w="0" w:type="dxa"/>
        </w:tblCellMar>
        <w:tblLook w:val="0000"/>
      </w:tblPr>
      <w:tblGrid>
        <w:gridCol w:w="4410"/>
        <w:gridCol w:w="810"/>
        <w:gridCol w:w="4260"/>
      </w:tblGrid>
      <w:tr w:rsidR="006E5D7C" w:rsidRPr="00B6040C" w:rsidTr="006E5D7C">
        <w:tc>
          <w:tcPr>
            <w:tcW w:w="4410" w:type="dxa"/>
            <w:tcMar>
              <w:left w:w="0" w:type="dxa"/>
              <w:right w:w="0" w:type="dxa"/>
            </w:tcMar>
          </w:tcPr>
          <w:p w:rsidR="006E5D7C" w:rsidRPr="006E5D7C" w:rsidRDefault="006E5D7C" w:rsidP="006E5D7C">
            <w:pPr>
              <w:widowControl w:val="0"/>
              <w:jc w:val="both"/>
              <w:rPr>
                <w:rFonts w:eastAsia="Times New Roman" w:cs="Times New Roman"/>
                <w:b/>
                <w:sz w:val="20"/>
                <w:szCs w:val="20"/>
                <w:lang w:val="en-US" w:eastAsia="en-CA"/>
              </w:rPr>
            </w:pPr>
            <w:r w:rsidRPr="006E5D7C">
              <w:rPr>
                <w:rFonts w:eastAsia="Times New Roman" w:cs="Times New Roman"/>
                <w:b/>
                <w:sz w:val="20"/>
                <w:szCs w:val="20"/>
                <w:lang w:val="en-US" w:eastAsia="en-CA"/>
              </w:rPr>
              <w:t xml:space="preserve">Hearing on motion to hear a moot appeal </w:t>
            </w:r>
          </w:p>
        </w:tc>
        <w:tc>
          <w:tcPr>
            <w:tcW w:w="810" w:type="dxa"/>
            <w:tcMar>
              <w:left w:w="0" w:type="dxa"/>
              <w:right w:w="0" w:type="dxa"/>
            </w:tcMar>
          </w:tcPr>
          <w:p w:rsidR="006E5D7C" w:rsidRPr="006E5D7C" w:rsidRDefault="006E5D7C" w:rsidP="006E5D7C">
            <w:pPr>
              <w:widowControl w:val="0"/>
              <w:jc w:val="center"/>
              <w:rPr>
                <w:rFonts w:eastAsia="Times New Roman" w:cs="Times New Roman"/>
                <w:sz w:val="20"/>
                <w:szCs w:val="20"/>
                <w:lang w:val="en-US" w:eastAsia="en-CA"/>
              </w:rPr>
            </w:pPr>
          </w:p>
          <w:p w:rsidR="006E5D7C" w:rsidRPr="006E5D7C" w:rsidRDefault="006E5D7C" w:rsidP="006E5D7C">
            <w:pPr>
              <w:widowControl w:val="0"/>
              <w:jc w:val="center"/>
              <w:rPr>
                <w:rFonts w:eastAsia="Times New Roman" w:cs="Times New Roman"/>
                <w:sz w:val="20"/>
                <w:szCs w:val="20"/>
                <w:lang w:val="en-US" w:eastAsia="en-CA"/>
              </w:rPr>
            </w:pPr>
          </w:p>
          <w:p w:rsidR="006E5D7C" w:rsidRPr="006E5D7C" w:rsidRDefault="006E5D7C" w:rsidP="006E5D7C">
            <w:pPr>
              <w:widowControl w:val="0"/>
              <w:jc w:val="center"/>
              <w:rPr>
                <w:rFonts w:eastAsia="Times New Roman" w:cs="Times New Roman"/>
                <w:sz w:val="20"/>
                <w:szCs w:val="20"/>
                <w:lang w:val="en-US" w:eastAsia="en-CA"/>
              </w:rPr>
            </w:pPr>
          </w:p>
        </w:tc>
        <w:tc>
          <w:tcPr>
            <w:tcW w:w="4260" w:type="dxa"/>
            <w:tcMar>
              <w:left w:w="0" w:type="dxa"/>
              <w:right w:w="0" w:type="dxa"/>
            </w:tcMar>
          </w:tcPr>
          <w:p w:rsidR="006E5D7C" w:rsidRPr="006E5D7C" w:rsidRDefault="006E5D7C" w:rsidP="006E5D7C">
            <w:pPr>
              <w:widowControl w:val="0"/>
              <w:jc w:val="both"/>
              <w:rPr>
                <w:rFonts w:eastAsia="Times New Roman" w:cs="Times New Roman"/>
                <w:b/>
                <w:sz w:val="20"/>
                <w:szCs w:val="20"/>
                <w:lang w:val="fr-CA" w:eastAsia="en-CA"/>
              </w:rPr>
            </w:pPr>
            <w:r w:rsidRPr="006E5D7C">
              <w:rPr>
                <w:rFonts w:eastAsia="Times New Roman" w:cs="Times New Roman"/>
                <w:b/>
                <w:sz w:val="20"/>
                <w:szCs w:val="20"/>
                <w:lang w:val="fr-CA" w:eastAsia="en-CA"/>
              </w:rPr>
              <w:t>Audition de la requête visant l’audition d’un appel devenu théorique</w:t>
            </w:r>
          </w:p>
        </w:tc>
      </w:tr>
      <w:tr w:rsidR="006E5D7C" w:rsidRPr="006E5D7C" w:rsidTr="006E5D7C">
        <w:tc>
          <w:tcPr>
            <w:tcW w:w="4410" w:type="dxa"/>
            <w:tcMar>
              <w:left w:w="0" w:type="dxa"/>
              <w:right w:w="0" w:type="dxa"/>
            </w:tcMar>
          </w:tcPr>
          <w:p w:rsidR="006E5D7C" w:rsidRPr="006E5D7C" w:rsidRDefault="006E5D7C" w:rsidP="006E5D7C">
            <w:pPr>
              <w:widowControl w:val="0"/>
              <w:jc w:val="both"/>
              <w:rPr>
                <w:rFonts w:eastAsia="Times New Roman" w:cs="Times New Roman"/>
                <w:sz w:val="20"/>
                <w:szCs w:val="20"/>
                <w:lang w:eastAsia="en-CA"/>
              </w:rPr>
            </w:pPr>
            <w:r w:rsidRPr="006E5D7C">
              <w:rPr>
                <w:rFonts w:eastAsia="Times New Roman" w:cs="Times New Roman"/>
                <w:sz w:val="20"/>
                <w:szCs w:val="20"/>
                <w:lang w:val="en-US" w:eastAsia="en-CA"/>
              </w:rPr>
              <w:t>Attorney General of Canada on behalf of the Czech Republic and Minister of Justice of Canada</w:t>
            </w:r>
          </w:p>
          <w:p w:rsidR="006E5D7C" w:rsidRPr="006E5D7C" w:rsidRDefault="006E5D7C" w:rsidP="006E5D7C">
            <w:pPr>
              <w:widowControl w:val="0"/>
              <w:jc w:val="both"/>
              <w:rPr>
                <w:rFonts w:eastAsia="Times New Roman" w:cs="Times New Roman"/>
                <w:sz w:val="20"/>
                <w:szCs w:val="20"/>
                <w:lang w:eastAsia="en-CA"/>
              </w:rPr>
            </w:pPr>
          </w:p>
          <w:p w:rsidR="006E5D7C" w:rsidRPr="006E5D7C" w:rsidRDefault="006E5D7C" w:rsidP="006E5D7C">
            <w:pPr>
              <w:widowControl w:val="0"/>
              <w:tabs>
                <w:tab w:val="left" w:pos="736"/>
              </w:tabs>
              <w:jc w:val="both"/>
              <w:rPr>
                <w:rFonts w:eastAsia="Times New Roman" w:cs="Times New Roman"/>
                <w:sz w:val="20"/>
                <w:szCs w:val="20"/>
                <w:lang w:val="en-US" w:eastAsia="en-CA"/>
              </w:rPr>
            </w:pPr>
            <w:r w:rsidRPr="006E5D7C">
              <w:rPr>
                <w:rFonts w:eastAsia="Times New Roman" w:cs="Times New Roman"/>
                <w:sz w:val="20"/>
                <w:szCs w:val="20"/>
                <w:lang w:eastAsia="en-CA"/>
              </w:rPr>
              <w:tab/>
            </w:r>
            <w:r w:rsidRPr="006E5D7C">
              <w:rPr>
                <w:rFonts w:eastAsia="Times New Roman" w:cs="Times New Roman"/>
                <w:sz w:val="20"/>
                <w:szCs w:val="20"/>
                <w:lang w:val="en-US" w:eastAsia="en-CA"/>
              </w:rPr>
              <w:t>v. (34767)</w:t>
            </w:r>
          </w:p>
          <w:p w:rsidR="006E5D7C" w:rsidRPr="006E5D7C" w:rsidRDefault="006E5D7C" w:rsidP="006E5D7C">
            <w:pPr>
              <w:widowControl w:val="0"/>
              <w:jc w:val="both"/>
              <w:rPr>
                <w:rFonts w:eastAsia="Times New Roman" w:cs="Times New Roman"/>
                <w:sz w:val="20"/>
                <w:szCs w:val="20"/>
                <w:lang w:val="en-US" w:eastAsia="en-CA"/>
              </w:rPr>
            </w:pPr>
          </w:p>
          <w:p w:rsidR="006E5D7C" w:rsidRPr="006E5D7C" w:rsidRDefault="006E5D7C" w:rsidP="006E5D7C">
            <w:pPr>
              <w:widowControl w:val="0"/>
              <w:jc w:val="both"/>
              <w:rPr>
                <w:rFonts w:eastAsia="Times New Roman" w:cs="Times New Roman"/>
                <w:b/>
                <w:sz w:val="20"/>
                <w:szCs w:val="20"/>
                <w:lang w:eastAsia="en-CA"/>
              </w:rPr>
            </w:pPr>
            <w:proofErr w:type="spellStart"/>
            <w:r w:rsidRPr="006E5D7C">
              <w:rPr>
                <w:rFonts w:eastAsia="Times New Roman" w:cs="Times New Roman"/>
                <w:sz w:val="20"/>
                <w:szCs w:val="20"/>
                <w:lang w:val="en-US" w:eastAsia="en-CA"/>
              </w:rPr>
              <w:t>Bretislav</w:t>
            </w:r>
            <w:proofErr w:type="spellEnd"/>
            <w:r w:rsidRPr="006E5D7C">
              <w:rPr>
                <w:rFonts w:eastAsia="Times New Roman" w:cs="Times New Roman"/>
                <w:sz w:val="20"/>
                <w:szCs w:val="20"/>
                <w:lang w:val="en-US" w:eastAsia="en-CA"/>
              </w:rPr>
              <w:t xml:space="preserve"> </w:t>
            </w:r>
            <w:proofErr w:type="spellStart"/>
            <w:r w:rsidRPr="006E5D7C">
              <w:rPr>
                <w:rFonts w:eastAsia="Times New Roman" w:cs="Times New Roman"/>
                <w:sz w:val="20"/>
                <w:szCs w:val="20"/>
                <w:lang w:val="en-US" w:eastAsia="en-CA"/>
              </w:rPr>
              <w:t>Zajicek</w:t>
            </w:r>
            <w:proofErr w:type="spellEnd"/>
            <w:r w:rsidRPr="006E5D7C">
              <w:rPr>
                <w:rFonts w:eastAsia="Times New Roman" w:cs="Times New Roman"/>
                <w:sz w:val="20"/>
                <w:szCs w:val="20"/>
                <w:lang w:val="en-US" w:eastAsia="en-CA"/>
              </w:rPr>
              <w:t xml:space="preserve"> (Ont.) (Criminal) (By Leave)</w:t>
            </w:r>
          </w:p>
        </w:tc>
        <w:tc>
          <w:tcPr>
            <w:tcW w:w="810" w:type="dxa"/>
            <w:tcMar>
              <w:left w:w="0" w:type="dxa"/>
              <w:right w:w="0" w:type="dxa"/>
            </w:tcMar>
          </w:tcPr>
          <w:p w:rsidR="006E5D7C" w:rsidRPr="006E5D7C" w:rsidRDefault="006E5D7C" w:rsidP="006E5D7C">
            <w:pPr>
              <w:widowControl w:val="0"/>
              <w:jc w:val="center"/>
              <w:rPr>
                <w:rFonts w:eastAsia="Times New Roman" w:cs="Times New Roman"/>
                <w:sz w:val="20"/>
                <w:szCs w:val="20"/>
                <w:lang w:val="en-US" w:eastAsia="en-CA"/>
              </w:rPr>
            </w:pPr>
          </w:p>
        </w:tc>
        <w:tc>
          <w:tcPr>
            <w:tcW w:w="4260" w:type="dxa"/>
            <w:tcMar>
              <w:left w:w="0" w:type="dxa"/>
              <w:right w:w="0" w:type="dxa"/>
            </w:tcMar>
          </w:tcPr>
          <w:p w:rsidR="006E5D7C" w:rsidRPr="006E5D7C" w:rsidRDefault="006E5D7C" w:rsidP="006E5D7C">
            <w:pPr>
              <w:jc w:val="both"/>
              <w:rPr>
                <w:sz w:val="20"/>
                <w:szCs w:val="20"/>
              </w:rPr>
            </w:pPr>
            <w:r w:rsidRPr="006E5D7C">
              <w:rPr>
                <w:sz w:val="20"/>
                <w:szCs w:val="20"/>
              </w:rPr>
              <w:t xml:space="preserve">Jeffrey G. Johnston and Janet </w:t>
            </w:r>
            <w:proofErr w:type="spellStart"/>
            <w:r w:rsidRPr="006E5D7C">
              <w:rPr>
                <w:sz w:val="20"/>
                <w:szCs w:val="20"/>
              </w:rPr>
              <w:t>Henchey</w:t>
            </w:r>
            <w:proofErr w:type="spellEnd"/>
            <w:r w:rsidRPr="006E5D7C">
              <w:rPr>
                <w:sz w:val="20"/>
                <w:szCs w:val="20"/>
              </w:rPr>
              <w:t xml:space="preserve"> for the appellant.</w:t>
            </w:r>
          </w:p>
          <w:p w:rsidR="006E5D7C" w:rsidRPr="006E5D7C" w:rsidRDefault="006E5D7C" w:rsidP="006E5D7C">
            <w:pPr>
              <w:jc w:val="both"/>
              <w:rPr>
                <w:sz w:val="20"/>
                <w:szCs w:val="20"/>
              </w:rPr>
            </w:pPr>
          </w:p>
          <w:p w:rsidR="006E5D7C" w:rsidRPr="006E5D7C" w:rsidRDefault="006E5D7C" w:rsidP="006E5D7C">
            <w:pPr>
              <w:jc w:val="both"/>
              <w:rPr>
                <w:sz w:val="20"/>
                <w:szCs w:val="20"/>
              </w:rPr>
            </w:pPr>
            <w:proofErr w:type="spellStart"/>
            <w:r w:rsidRPr="006E5D7C">
              <w:rPr>
                <w:sz w:val="20"/>
                <w:szCs w:val="20"/>
              </w:rPr>
              <w:t>Julianna</w:t>
            </w:r>
            <w:proofErr w:type="spellEnd"/>
            <w:r w:rsidRPr="006E5D7C">
              <w:rPr>
                <w:sz w:val="20"/>
                <w:szCs w:val="20"/>
              </w:rPr>
              <w:t xml:space="preserve"> A. Greenspan for the respondent.</w:t>
            </w:r>
          </w:p>
          <w:p w:rsidR="006E5D7C" w:rsidRPr="006E5D7C" w:rsidRDefault="006E5D7C" w:rsidP="006E5D7C">
            <w:pPr>
              <w:jc w:val="both"/>
              <w:rPr>
                <w:sz w:val="20"/>
                <w:szCs w:val="20"/>
              </w:rPr>
            </w:pPr>
          </w:p>
          <w:p w:rsidR="006E5D7C" w:rsidRPr="006E5D7C" w:rsidRDefault="006E5D7C" w:rsidP="006E5D7C">
            <w:pPr>
              <w:jc w:val="both"/>
              <w:rPr>
                <w:rFonts w:eastAsia="Times New Roman" w:cs="Times New Roman"/>
                <w:sz w:val="20"/>
                <w:szCs w:val="20"/>
                <w:lang w:eastAsia="en-CA"/>
              </w:rPr>
            </w:pPr>
            <w:r w:rsidRPr="006E5D7C">
              <w:rPr>
                <w:sz w:val="20"/>
                <w:szCs w:val="20"/>
              </w:rPr>
              <w:t xml:space="preserve">John Norris for the intervener David </w:t>
            </w:r>
            <w:proofErr w:type="spellStart"/>
            <w:r w:rsidRPr="006E5D7C">
              <w:rPr>
                <w:sz w:val="20"/>
                <w:szCs w:val="20"/>
              </w:rPr>
              <w:t>Asper</w:t>
            </w:r>
            <w:proofErr w:type="spellEnd"/>
            <w:r w:rsidRPr="006E5D7C">
              <w:rPr>
                <w:sz w:val="20"/>
                <w:szCs w:val="20"/>
              </w:rPr>
              <w:t xml:space="preserve"> Centre for Constitutional Rights.</w:t>
            </w:r>
          </w:p>
        </w:tc>
      </w:tr>
    </w:tbl>
    <w:p w:rsidR="006E5D7C" w:rsidRPr="006E5D7C" w:rsidRDefault="006E5D7C" w:rsidP="006E5D7C">
      <w:pPr>
        <w:widowControl w:val="0"/>
        <w:rPr>
          <w:rFonts w:eastAsia="Times New Roman" w:cs="Times New Roman"/>
          <w:sz w:val="20"/>
          <w:szCs w:val="20"/>
          <w:lang w:val="en-US" w:eastAsia="en-CA"/>
        </w:rPr>
      </w:pPr>
    </w:p>
    <w:p w:rsidR="006E5D7C" w:rsidRPr="006E5D7C" w:rsidRDefault="006E5D7C" w:rsidP="006E5D7C">
      <w:pPr>
        <w:widowControl w:val="0"/>
        <w:rPr>
          <w:rFonts w:eastAsia="Times New Roman" w:cs="Times New Roman"/>
          <w:sz w:val="20"/>
          <w:szCs w:val="20"/>
          <w:lang w:val="en-US" w:eastAsia="en-CA"/>
        </w:rPr>
      </w:pPr>
      <w:r w:rsidRPr="006E5D7C">
        <w:rPr>
          <w:rFonts w:eastAsia="Times New Roman" w:cs="Times New Roman"/>
          <w:b/>
          <w:sz w:val="20"/>
          <w:szCs w:val="20"/>
          <w:lang w:val="en-US" w:eastAsia="en-CA"/>
        </w:rPr>
        <w:t xml:space="preserve">Motion is DISMISSED and the appeal is QUASHED / La </w:t>
      </w:r>
      <w:proofErr w:type="spellStart"/>
      <w:r w:rsidRPr="006E5D7C">
        <w:rPr>
          <w:rFonts w:eastAsia="Times New Roman" w:cs="Times New Roman"/>
          <w:b/>
          <w:sz w:val="20"/>
          <w:szCs w:val="20"/>
          <w:lang w:val="en-US" w:eastAsia="en-CA"/>
        </w:rPr>
        <w:t>requête</w:t>
      </w:r>
      <w:proofErr w:type="spellEnd"/>
      <w:r w:rsidRPr="006E5D7C">
        <w:rPr>
          <w:rFonts w:eastAsia="Times New Roman" w:cs="Times New Roman"/>
          <w:b/>
          <w:sz w:val="20"/>
          <w:szCs w:val="20"/>
          <w:lang w:val="en-US" w:eastAsia="en-CA"/>
        </w:rPr>
        <w:t xml:space="preserve"> </w:t>
      </w:r>
      <w:proofErr w:type="gramStart"/>
      <w:r w:rsidRPr="006E5D7C">
        <w:rPr>
          <w:rFonts w:eastAsia="Times New Roman" w:cs="Times New Roman"/>
          <w:b/>
          <w:sz w:val="20"/>
          <w:szCs w:val="20"/>
          <w:lang w:val="en-US" w:eastAsia="en-CA"/>
        </w:rPr>
        <w:t>est R</w:t>
      </w:r>
      <w:r w:rsidRPr="006E5D7C">
        <w:rPr>
          <w:rFonts w:eastAsia="Times New Roman" w:cs="Times New Roman"/>
          <w:b/>
          <w:sz w:val="20"/>
          <w:szCs w:val="20"/>
          <w:lang w:eastAsia="en-CA"/>
        </w:rPr>
        <w:t xml:space="preserve">EJETÉE et </w:t>
      </w:r>
      <w:proofErr w:type="spellStart"/>
      <w:r w:rsidRPr="006E5D7C">
        <w:rPr>
          <w:rFonts w:eastAsia="Times New Roman" w:cs="Times New Roman"/>
          <w:b/>
          <w:sz w:val="20"/>
          <w:szCs w:val="20"/>
          <w:lang w:eastAsia="en-CA"/>
        </w:rPr>
        <w:t>l’appel</w:t>
      </w:r>
      <w:proofErr w:type="spellEnd"/>
      <w:r w:rsidRPr="006E5D7C">
        <w:rPr>
          <w:rFonts w:eastAsia="Times New Roman" w:cs="Times New Roman"/>
          <w:b/>
          <w:sz w:val="20"/>
          <w:szCs w:val="20"/>
          <w:lang w:eastAsia="en-CA"/>
        </w:rPr>
        <w:t xml:space="preserve"> est</w:t>
      </w:r>
      <w:proofErr w:type="gramEnd"/>
      <w:r w:rsidRPr="006E5D7C">
        <w:rPr>
          <w:rFonts w:eastAsia="Times New Roman" w:cs="Times New Roman"/>
          <w:b/>
          <w:sz w:val="20"/>
          <w:szCs w:val="20"/>
          <w:lang w:eastAsia="en-CA"/>
        </w:rPr>
        <w:t xml:space="preserve"> ANNULÉ</w:t>
      </w:r>
    </w:p>
    <w:p w:rsidR="006E5D7C" w:rsidRPr="006E5D7C" w:rsidRDefault="006E5D7C" w:rsidP="006E5D7C">
      <w:pPr>
        <w:rPr>
          <w:rFonts w:eastAsia="Times New Roman" w:cs="Times New Roman"/>
          <w:sz w:val="20"/>
          <w:szCs w:val="20"/>
          <w:lang w:val="en-US" w:eastAsia="en-CA"/>
        </w:rPr>
      </w:pPr>
    </w:p>
    <w:tbl>
      <w:tblPr>
        <w:tblW w:w="0" w:type="auto"/>
        <w:tblLayout w:type="fixed"/>
        <w:tblCellMar>
          <w:left w:w="0" w:type="dxa"/>
          <w:right w:w="0" w:type="dxa"/>
        </w:tblCellMar>
        <w:tblLook w:val="0000"/>
      </w:tblPr>
      <w:tblGrid>
        <w:gridCol w:w="4410"/>
        <w:gridCol w:w="810"/>
        <w:gridCol w:w="4260"/>
      </w:tblGrid>
      <w:tr w:rsidR="006E5D7C" w:rsidRPr="00B6040C" w:rsidTr="006E5D7C">
        <w:tc>
          <w:tcPr>
            <w:tcW w:w="4410" w:type="dxa"/>
            <w:tcMar>
              <w:left w:w="0" w:type="dxa"/>
              <w:right w:w="0" w:type="dxa"/>
            </w:tcMar>
          </w:tcPr>
          <w:p w:rsidR="006E5D7C" w:rsidRPr="006E5D7C" w:rsidRDefault="006E5D7C" w:rsidP="006E5D7C">
            <w:pPr>
              <w:widowControl w:val="0"/>
              <w:jc w:val="both"/>
              <w:rPr>
                <w:rFonts w:eastAsia="Times New Roman" w:cs="Times New Roman"/>
                <w:b/>
                <w:sz w:val="20"/>
                <w:szCs w:val="20"/>
                <w:u w:val="single"/>
                <w:lang w:val="en-US" w:eastAsia="en-CA"/>
              </w:rPr>
            </w:pPr>
            <w:r w:rsidRPr="006E5D7C">
              <w:rPr>
                <w:rFonts w:eastAsia="Times New Roman" w:cs="Times New Roman"/>
                <w:b/>
                <w:sz w:val="20"/>
                <w:szCs w:val="20"/>
                <w:u w:val="single"/>
                <w:lang w:val="en-US" w:eastAsia="en-CA"/>
              </w:rPr>
              <w:t>JUDGMENT:</w:t>
            </w:r>
          </w:p>
          <w:p w:rsidR="006E5D7C" w:rsidRPr="006E5D7C" w:rsidRDefault="006E5D7C" w:rsidP="006E5D7C">
            <w:pPr>
              <w:widowControl w:val="0"/>
              <w:jc w:val="both"/>
              <w:rPr>
                <w:rFonts w:eastAsia="Times New Roman" w:cs="Times New Roman"/>
                <w:b/>
                <w:sz w:val="20"/>
                <w:szCs w:val="20"/>
                <w:lang w:val="en-US" w:eastAsia="en-CA"/>
              </w:rPr>
            </w:pPr>
          </w:p>
          <w:p w:rsidR="006E5D7C" w:rsidRPr="006E5D7C" w:rsidRDefault="006E5D7C" w:rsidP="006E5D7C">
            <w:pPr>
              <w:widowControl w:val="0"/>
              <w:jc w:val="both"/>
              <w:rPr>
                <w:rFonts w:eastAsia="Times New Roman" w:cs="Times New Roman"/>
                <w:b/>
                <w:sz w:val="20"/>
                <w:szCs w:val="20"/>
                <w:lang w:val="en-US" w:eastAsia="en-CA"/>
              </w:rPr>
            </w:pPr>
            <w:r w:rsidRPr="006E5D7C">
              <w:rPr>
                <w:rFonts w:eastAsia="Times New Roman" w:cs="Times New Roman"/>
                <w:sz w:val="20"/>
                <w:szCs w:val="20"/>
                <w:lang w:val="en-US" w:eastAsia="en-CA"/>
              </w:rPr>
              <w:t>After hearing the parties on the motion to hear a moot appeal on May 13, 2013, the motion is dismissed and the appeal from the judgment of the Court of Appeal for Ontario, Numbers C51360 and C53764, 2012 ONCA 99, dated February 14, 2012, is quashed.</w:t>
            </w:r>
          </w:p>
        </w:tc>
        <w:tc>
          <w:tcPr>
            <w:tcW w:w="810" w:type="dxa"/>
            <w:tcMar>
              <w:left w:w="0" w:type="dxa"/>
              <w:right w:w="0" w:type="dxa"/>
            </w:tcMar>
          </w:tcPr>
          <w:p w:rsidR="006E5D7C" w:rsidRPr="006E5D7C" w:rsidRDefault="006E5D7C" w:rsidP="006E5D7C">
            <w:pPr>
              <w:widowControl w:val="0"/>
              <w:jc w:val="center"/>
              <w:rPr>
                <w:rFonts w:eastAsia="Times New Roman" w:cs="Times New Roman"/>
                <w:sz w:val="20"/>
                <w:szCs w:val="20"/>
                <w:lang w:val="en-US" w:eastAsia="en-CA"/>
              </w:rPr>
            </w:pPr>
          </w:p>
        </w:tc>
        <w:tc>
          <w:tcPr>
            <w:tcW w:w="4260" w:type="dxa"/>
            <w:tcMar>
              <w:left w:w="0" w:type="dxa"/>
              <w:right w:w="0" w:type="dxa"/>
            </w:tcMar>
          </w:tcPr>
          <w:p w:rsidR="006E5D7C" w:rsidRPr="006E5D7C" w:rsidRDefault="006E5D7C" w:rsidP="006E5D7C">
            <w:pPr>
              <w:widowControl w:val="0"/>
              <w:jc w:val="both"/>
              <w:rPr>
                <w:rFonts w:eastAsia="Times New Roman" w:cs="Times New Roman"/>
                <w:b/>
                <w:sz w:val="20"/>
                <w:szCs w:val="20"/>
                <w:u w:val="single"/>
                <w:lang w:val="fr-CA" w:eastAsia="en-CA"/>
              </w:rPr>
            </w:pPr>
            <w:r w:rsidRPr="006E5D7C">
              <w:rPr>
                <w:rFonts w:eastAsia="Times New Roman" w:cs="Times New Roman"/>
                <w:b/>
                <w:sz w:val="20"/>
                <w:szCs w:val="20"/>
                <w:u w:val="single"/>
                <w:lang w:val="fr-CA" w:eastAsia="en-CA"/>
              </w:rPr>
              <w:t>JUGEMENT :</w:t>
            </w:r>
          </w:p>
          <w:p w:rsidR="006E5D7C" w:rsidRPr="006E5D7C" w:rsidRDefault="006E5D7C" w:rsidP="006E5D7C">
            <w:pPr>
              <w:widowControl w:val="0"/>
              <w:jc w:val="both"/>
              <w:rPr>
                <w:rFonts w:eastAsia="Times New Roman" w:cs="Times New Roman"/>
                <w:sz w:val="20"/>
                <w:szCs w:val="20"/>
                <w:lang w:val="fr-CA" w:eastAsia="en-CA"/>
              </w:rPr>
            </w:pPr>
          </w:p>
          <w:p w:rsidR="006E5D7C" w:rsidRPr="006E5D7C" w:rsidRDefault="006E5D7C" w:rsidP="006E5D7C">
            <w:pPr>
              <w:widowControl w:val="0"/>
              <w:jc w:val="both"/>
              <w:rPr>
                <w:rFonts w:eastAsia="Times New Roman" w:cs="Times New Roman"/>
                <w:sz w:val="20"/>
                <w:szCs w:val="20"/>
                <w:lang w:val="fr-CA" w:eastAsia="en-CA"/>
              </w:rPr>
            </w:pPr>
            <w:r w:rsidRPr="006E5D7C">
              <w:rPr>
                <w:rFonts w:eastAsia="Times New Roman" w:cs="Times New Roman"/>
                <w:sz w:val="20"/>
                <w:szCs w:val="20"/>
                <w:lang w:val="fr-CA" w:eastAsia="en-CA"/>
              </w:rPr>
              <w:t>Après audition des parties, le 13 mai 2013, sur la requête visant l’audition d’un appel devenu théorique, la requête est rejetée et l’appel interjeté contre l’arrêt de la Cour d’appel de l’Ontario, numéros C51360 et C53764, 2012 ONCA 99, en date du 14 février 2012, est cassé.</w:t>
            </w:r>
          </w:p>
        </w:tc>
      </w:tr>
    </w:tbl>
    <w:p w:rsidR="006E5D7C" w:rsidRPr="006E5D7C" w:rsidRDefault="006E5D7C" w:rsidP="006E5D7C">
      <w:pPr>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410"/>
        <w:gridCol w:w="810"/>
        <w:gridCol w:w="4260"/>
      </w:tblGrid>
      <w:tr w:rsidR="006E5D7C" w:rsidRPr="00B6040C" w:rsidTr="006E5D7C">
        <w:tc>
          <w:tcPr>
            <w:tcW w:w="4410" w:type="dxa"/>
            <w:tcMar>
              <w:left w:w="0" w:type="dxa"/>
              <w:right w:w="0" w:type="dxa"/>
            </w:tcMar>
          </w:tcPr>
          <w:p w:rsidR="006E5D7C" w:rsidRPr="006E5D7C" w:rsidRDefault="006E5D7C" w:rsidP="006E5D7C">
            <w:pPr>
              <w:widowControl w:val="0"/>
              <w:jc w:val="both"/>
              <w:rPr>
                <w:rFonts w:eastAsia="Times New Roman" w:cs="Times New Roman"/>
                <w:b/>
                <w:sz w:val="20"/>
                <w:szCs w:val="20"/>
                <w:u w:val="single"/>
                <w:lang w:val="en-US" w:eastAsia="en-CA"/>
              </w:rPr>
            </w:pPr>
            <w:r w:rsidRPr="006E5D7C">
              <w:rPr>
                <w:rFonts w:eastAsia="Times New Roman" w:cs="Times New Roman"/>
                <w:b/>
                <w:sz w:val="20"/>
                <w:szCs w:val="20"/>
                <w:u w:val="single"/>
                <w:lang w:val="en-US" w:eastAsia="en-CA"/>
              </w:rPr>
              <w:t>Nature of the case:</w:t>
            </w:r>
          </w:p>
          <w:p w:rsidR="006E5D7C" w:rsidRPr="006E5D7C" w:rsidRDefault="006E5D7C" w:rsidP="006E5D7C">
            <w:pPr>
              <w:widowControl w:val="0"/>
              <w:jc w:val="both"/>
              <w:rPr>
                <w:rFonts w:eastAsia="Times New Roman" w:cs="Times New Roman"/>
                <w:b/>
                <w:sz w:val="20"/>
                <w:szCs w:val="20"/>
                <w:lang w:val="en-US" w:eastAsia="en-CA"/>
              </w:rPr>
            </w:pPr>
          </w:p>
          <w:p w:rsidR="006E5D7C" w:rsidRPr="006E5D7C" w:rsidRDefault="006E5D7C" w:rsidP="006E5D7C">
            <w:pPr>
              <w:widowControl w:val="0"/>
              <w:jc w:val="both"/>
              <w:rPr>
                <w:rFonts w:eastAsia="Times New Roman" w:cs="Times New Roman"/>
                <w:b/>
                <w:sz w:val="20"/>
                <w:szCs w:val="20"/>
                <w:lang w:val="en-US" w:eastAsia="en-CA"/>
              </w:rPr>
            </w:pPr>
            <w:r w:rsidRPr="006E5D7C">
              <w:rPr>
                <w:rFonts w:eastAsia="Times New Roman" w:cs="Times New Roman"/>
                <w:sz w:val="20"/>
                <w:szCs w:val="20"/>
                <w:lang w:val="en-US" w:eastAsia="en-CA"/>
              </w:rPr>
              <w:t>Criminal Law – Extradition – Jurisdiction – Whether an extradition judge’s jurisdiction extends to considering allegations of misconduct by authorities in the requesting state that do not impact on the fairness of the extradition hearing – Scope of a reviewing court’s remedial jurisdiction in applying curative proviso in section 53(b</w:t>
            </w:r>
            <w:proofErr w:type="gramStart"/>
            <w:r w:rsidRPr="006E5D7C">
              <w:rPr>
                <w:rFonts w:eastAsia="Times New Roman" w:cs="Times New Roman"/>
                <w:sz w:val="20"/>
                <w:szCs w:val="20"/>
                <w:lang w:val="en-US" w:eastAsia="en-CA"/>
              </w:rPr>
              <w:t>)(</w:t>
            </w:r>
            <w:proofErr w:type="gramEnd"/>
            <w:r w:rsidRPr="006E5D7C">
              <w:rPr>
                <w:rFonts w:eastAsia="Times New Roman" w:cs="Times New Roman"/>
                <w:sz w:val="20"/>
                <w:szCs w:val="20"/>
                <w:lang w:val="en-US" w:eastAsia="en-CA"/>
              </w:rPr>
              <w:t xml:space="preserve">ii) of the </w:t>
            </w:r>
            <w:r w:rsidRPr="006E5D7C">
              <w:rPr>
                <w:rFonts w:eastAsia="Times New Roman" w:cs="Times New Roman"/>
                <w:i/>
                <w:sz w:val="20"/>
                <w:szCs w:val="20"/>
                <w:lang w:val="en-US" w:eastAsia="en-CA"/>
              </w:rPr>
              <w:t>Extradition Act</w:t>
            </w:r>
            <w:r w:rsidRPr="006E5D7C">
              <w:rPr>
                <w:rFonts w:eastAsia="Times New Roman" w:cs="Times New Roman"/>
                <w:sz w:val="20"/>
                <w:szCs w:val="20"/>
                <w:lang w:val="en-US" w:eastAsia="en-CA"/>
              </w:rPr>
              <w:t xml:space="preserve">, S.C. 1999, c. 18 – </w:t>
            </w:r>
            <w:r w:rsidRPr="006E5D7C">
              <w:rPr>
                <w:rFonts w:eastAsia="Times New Roman" w:cs="Times New Roman"/>
                <w:i/>
                <w:sz w:val="20"/>
                <w:szCs w:val="20"/>
                <w:lang w:val="en-US" w:eastAsia="en-CA"/>
              </w:rPr>
              <w:t>Extradition Act</w:t>
            </w:r>
            <w:r w:rsidRPr="006E5D7C">
              <w:rPr>
                <w:rFonts w:eastAsia="Times New Roman" w:cs="Times New Roman"/>
                <w:sz w:val="20"/>
                <w:szCs w:val="20"/>
                <w:lang w:val="en-US" w:eastAsia="en-CA"/>
              </w:rPr>
              <w:t>, ss. 25, 29, 44(1)(a), 53(b)(ii), 54.</w:t>
            </w:r>
          </w:p>
        </w:tc>
        <w:tc>
          <w:tcPr>
            <w:tcW w:w="810" w:type="dxa"/>
            <w:tcMar>
              <w:left w:w="0" w:type="dxa"/>
              <w:right w:w="0" w:type="dxa"/>
            </w:tcMar>
          </w:tcPr>
          <w:p w:rsidR="006E5D7C" w:rsidRPr="006E5D7C" w:rsidRDefault="006E5D7C" w:rsidP="006E5D7C">
            <w:pPr>
              <w:widowControl w:val="0"/>
              <w:jc w:val="center"/>
              <w:rPr>
                <w:rFonts w:eastAsia="Times New Roman" w:cs="Times New Roman"/>
                <w:sz w:val="20"/>
                <w:szCs w:val="20"/>
                <w:lang w:val="en-US" w:eastAsia="en-CA"/>
              </w:rPr>
            </w:pPr>
          </w:p>
        </w:tc>
        <w:tc>
          <w:tcPr>
            <w:tcW w:w="4260" w:type="dxa"/>
            <w:tcMar>
              <w:left w:w="0" w:type="dxa"/>
              <w:right w:w="0" w:type="dxa"/>
            </w:tcMar>
          </w:tcPr>
          <w:p w:rsidR="006E5D7C" w:rsidRPr="006E5D7C" w:rsidRDefault="006E5D7C" w:rsidP="006E5D7C">
            <w:pPr>
              <w:widowControl w:val="0"/>
              <w:jc w:val="both"/>
              <w:rPr>
                <w:rFonts w:eastAsia="Times New Roman" w:cs="Times New Roman"/>
                <w:b/>
                <w:sz w:val="20"/>
                <w:szCs w:val="20"/>
                <w:u w:val="single"/>
                <w:lang w:val="fr-CA" w:eastAsia="en-CA"/>
              </w:rPr>
            </w:pPr>
            <w:r w:rsidRPr="006E5D7C">
              <w:rPr>
                <w:rFonts w:eastAsia="Times New Roman" w:cs="Times New Roman"/>
                <w:b/>
                <w:sz w:val="20"/>
                <w:szCs w:val="20"/>
                <w:u w:val="single"/>
                <w:lang w:val="fr-CA" w:eastAsia="en-CA"/>
              </w:rPr>
              <w:t>Nature de la cause :</w:t>
            </w:r>
          </w:p>
          <w:p w:rsidR="006E5D7C" w:rsidRPr="006E5D7C" w:rsidRDefault="006E5D7C" w:rsidP="006E5D7C">
            <w:pPr>
              <w:widowControl w:val="0"/>
              <w:jc w:val="both"/>
              <w:rPr>
                <w:rFonts w:eastAsia="Times New Roman" w:cs="Times New Roman"/>
                <w:sz w:val="20"/>
                <w:szCs w:val="20"/>
                <w:lang w:val="fr-CA" w:eastAsia="en-CA"/>
              </w:rPr>
            </w:pPr>
          </w:p>
          <w:p w:rsidR="006E5D7C" w:rsidRPr="006E5D7C" w:rsidRDefault="006E5D7C" w:rsidP="006E5D7C">
            <w:pPr>
              <w:widowControl w:val="0"/>
              <w:jc w:val="both"/>
              <w:rPr>
                <w:rFonts w:eastAsia="Times New Roman" w:cs="Times New Roman"/>
                <w:sz w:val="20"/>
                <w:szCs w:val="20"/>
                <w:lang w:val="fr-CA" w:eastAsia="en-CA"/>
              </w:rPr>
            </w:pPr>
            <w:r w:rsidRPr="006E5D7C">
              <w:rPr>
                <w:rFonts w:eastAsia="Times New Roman" w:cs="Times New Roman"/>
                <w:sz w:val="20"/>
                <w:szCs w:val="20"/>
                <w:lang w:val="fr-CA" w:eastAsia="en-CA"/>
              </w:rPr>
              <w:t>Droit criminel – Extradition – Compétence – La compétence du juge d’extradition va-t-elle jusqu’à lui permettre de considérer des allégations d’inconduite, de la part des autorités de l’État requérant, qui n’ont aucune incidence sur l’équité de l’audience en matière d’extradition?  – Portée de la compétence en matière de réparation dans l’application de la disposition réparatrice prévue au sous-alinéa 53</w:t>
            </w:r>
            <w:r w:rsidRPr="006E5D7C">
              <w:rPr>
                <w:rFonts w:eastAsia="Times New Roman" w:cs="Times New Roman"/>
                <w:i/>
                <w:sz w:val="20"/>
                <w:szCs w:val="20"/>
                <w:lang w:val="fr-CA" w:eastAsia="en-CA"/>
              </w:rPr>
              <w:t>b</w:t>
            </w:r>
            <w:proofErr w:type="gramStart"/>
            <w:r w:rsidRPr="006E5D7C">
              <w:rPr>
                <w:rFonts w:eastAsia="Times New Roman" w:cs="Times New Roman"/>
                <w:sz w:val="20"/>
                <w:szCs w:val="20"/>
                <w:lang w:val="fr-CA" w:eastAsia="en-CA"/>
              </w:rPr>
              <w:t>)(</w:t>
            </w:r>
            <w:proofErr w:type="gramEnd"/>
            <w:r w:rsidRPr="006E5D7C">
              <w:rPr>
                <w:rFonts w:eastAsia="Times New Roman" w:cs="Times New Roman"/>
                <w:sz w:val="20"/>
                <w:szCs w:val="20"/>
                <w:lang w:val="fr-CA" w:eastAsia="en-CA"/>
              </w:rPr>
              <w:t xml:space="preserve">ii) de la </w:t>
            </w:r>
            <w:r w:rsidRPr="006E5D7C">
              <w:rPr>
                <w:rFonts w:eastAsia="Times New Roman" w:cs="Times New Roman"/>
                <w:i/>
                <w:sz w:val="20"/>
                <w:szCs w:val="20"/>
                <w:lang w:val="fr-CA" w:eastAsia="en-CA"/>
              </w:rPr>
              <w:t>Loi sur l’extradition</w:t>
            </w:r>
            <w:r w:rsidRPr="006E5D7C">
              <w:rPr>
                <w:rFonts w:eastAsia="Times New Roman" w:cs="Times New Roman"/>
                <w:sz w:val="20"/>
                <w:szCs w:val="20"/>
                <w:lang w:val="fr-CA" w:eastAsia="en-CA"/>
              </w:rPr>
              <w:t xml:space="preserve">, L.C. 1999, ch. 18 – </w:t>
            </w:r>
            <w:r w:rsidRPr="006E5D7C">
              <w:rPr>
                <w:rFonts w:eastAsia="Times New Roman" w:cs="Times New Roman"/>
                <w:i/>
                <w:sz w:val="20"/>
                <w:szCs w:val="20"/>
                <w:lang w:val="fr-CA" w:eastAsia="en-CA"/>
              </w:rPr>
              <w:t>Loi sur l’extradition</w:t>
            </w:r>
            <w:r w:rsidRPr="006E5D7C">
              <w:rPr>
                <w:rFonts w:eastAsia="Times New Roman" w:cs="Times New Roman"/>
                <w:sz w:val="20"/>
                <w:szCs w:val="20"/>
                <w:lang w:val="fr-CA" w:eastAsia="en-CA"/>
              </w:rPr>
              <w:t>, art. 25, 29, 44(1)</w:t>
            </w:r>
            <w:r w:rsidRPr="006E5D7C">
              <w:rPr>
                <w:rFonts w:eastAsia="Times New Roman" w:cs="Times New Roman"/>
                <w:i/>
                <w:sz w:val="20"/>
                <w:szCs w:val="20"/>
                <w:lang w:val="fr-CA" w:eastAsia="en-CA"/>
              </w:rPr>
              <w:t>a</w:t>
            </w:r>
            <w:r w:rsidRPr="006E5D7C">
              <w:rPr>
                <w:rFonts w:eastAsia="Times New Roman" w:cs="Times New Roman"/>
                <w:sz w:val="20"/>
                <w:szCs w:val="20"/>
                <w:lang w:val="fr-CA" w:eastAsia="en-CA"/>
              </w:rPr>
              <w:t>), 53</w:t>
            </w:r>
            <w:r w:rsidRPr="006E5D7C">
              <w:rPr>
                <w:rFonts w:eastAsia="Times New Roman" w:cs="Times New Roman"/>
                <w:i/>
                <w:sz w:val="20"/>
                <w:szCs w:val="20"/>
                <w:lang w:val="fr-CA" w:eastAsia="en-CA"/>
              </w:rPr>
              <w:t>b</w:t>
            </w:r>
            <w:proofErr w:type="gramStart"/>
            <w:r w:rsidRPr="006E5D7C">
              <w:rPr>
                <w:rFonts w:eastAsia="Times New Roman" w:cs="Times New Roman"/>
                <w:sz w:val="20"/>
                <w:szCs w:val="20"/>
                <w:lang w:val="fr-CA" w:eastAsia="en-CA"/>
              </w:rPr>
              <w:t>)(</w:t>
            </w:r>
            <w:proofErr w:type="gramEnd"/>
            <w:r w:rsidRPr="006E5D7C">
              <w:rPr>
                <w:rFonts w:eastAsia="Times New Roman" w:cs="Times New Roman"/>
                <w:sz w:val="20"/>
                <w:szCs w:val="20"/>
                <w:lang w:val="fr-CA" w:eastAsia="en-CA"/>
              </w:rPr>
              <w:t>ii), 54.</w:t>
            </w:r>
          </w:p>
        </w:tc>
      </w:tr>
    </w:tbl>
    <w:p w:rsidR="006E5D7C" w:rsidRPr="006E5D7C" w:rsidRDefault="006E5D7C" w:rsidP="006E5D7C">
      <w:pPr>
        <w:widowControl w:val="0"/>
        <w:rPr>
          <w:rFonts w:eastAsia="Times New Roman" w:cs="Times New Roman"/>
          <w:sz w:val="20"/>
          <w:szCs w:val="20"/>
          <w:lang w:val="fr-CA" w:eastAsia="en-CA"/>
        </w:rPr>
      </w:pPr>
    </w:p>
    <w:p w:rsidR="006E5D7C" w:rsidRPr="006E5D7C" w:rsidRDefault="0028676C" w:rsidP="006E5D7C">
      <w:pPr>
        <w:widowControl w:val="0"/>
        <w:rPr>
          <w:rFonts w:eastAsia="Times New Roman" w:cs="Times New Roman"/>
          <w:sz w:val="20"/>
          <w:szCs w:val="20"/>
          <w:lang w:val="en-US" w:eastAsia="en-CA"/>
        </w:rPr>
      </w:pPr>
      <w:r w:rsidRPr="0028676C">
        <w:rPr>
          <w:rFonts w:eastAsia="Times New Roman" w:cs="Times New Roman"/>
          <w:sz w:val="20"/>
          <w:szCs w:val="20"/>
          <w:lang w:val="fr-CA" w:eastAsia="en-CA"/>
        </w:rPr>
        <w:pict>
          <v:rect id="_x0000_i1091" style="width:2in;height:1pt" o:hrpct="0" o:hralign="center" o:hrstd="t" o:hrnoshade="t" o:hr="t" fillcolor="black [3213]" stroked="f"/>
        </w:pict>
      </w:r>
    </w:p>
    <w:p w:rsidR="006E5D7C" w:rsidRPr="006E5D7C" w:rsidRDefault="006E5D7C" w:rsidP="006E5D7C">
      <w:pPr>
        <w:widowControl w:val="0"/>
        <w:rPr>
          <w:rFonts w:eastAsia="Times New Roman" w:cs="Times New Roman"/>
          <w:sz w:val="20"/>
          <w:szCs w:val="20"/>
          <w:lang w:val="en-US" w:eastAsia="en-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B6040C"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10587F" w:rsidP="003B3977">
            <w:pPr>
              <w:rPr>
                <w:sz w:val="20"/>
                <w:szCs w:val="20"/>
              </w:rPr>
            </w:pPr>
            <w:r w:rsidRPr="003B3977">
              <w:rPr>
                <w:sz w:val="20"/>
                <w:szCs w:val="20"/>
              </w:rPr>
              <w:t>0</w:t>
            </w:r>
            <w:r w:rsidR="00F74142">
              <w:rPr>
                <w:sz w:val="20"/>
                <w:szCs w:val="20"/>
              </w:rPr>
              <w:t>8</w:t>
            </w:r>
            <w:r w:rsidRPr="003B3977">
              <w:rPr>
                <w:sz w:val="20"/>
                <w:szCs w:val="20"/>
              </w:rPr>
              <w:t>.0</w:t>
            </w:r>
            <w:r w:rsidR="00F74142">
              <w:rPr>
                <w:sz w:val="20"/>
                <w:szCs w:val="20"/>
              </w:rPr>
              <w:t>5</w:t>
            </w:r>
            <w:r w:rsidRPr="003B3977">
              <w:rPr>
                <w:sz w:val="20"/>
                <w:szCs w:val="20"/>
              </w:rPr>
              <w:t>.201</w:t>
            </w:r>
            <w:r w:rsidR="00F74142">
              <w:rPr>
                <w:sz w:val="20"/>
                <w:szCs w:val="20"/>
              </w:rPr>
              <w:t>3</w:t>
            </w:r>
          </w:p>
          <w:p w:rsidR="0010587F" w:rsidRPr="003B3977" w:rsidRDefault="0010587F" w:rsidP="003B3977">
            <w:pPr>
              <w:rPr>
                <w:sz w:val="20"/>
                <w:szCs w:val="20"/>
              </w:rPr>
            </w:pPr>
          </w:p>
          <w:p w:rsidR="0010587F" w:rsidRPr="003B3977" w:rsidRDefault="00F74142" w:rsidP="003B3977">
            <w:pPr>
              <w:rPr>
                <w:b/>
                <w:sz w:val="20"/>
                <w:szCs w:val="20"/>
              </w:rPr>
            </w:pPr>
            <w:r>
              <w:rPr>
                <w:b/>
                <w:sz w:val="20"/>
                <w:szCs w:val="20"/>
              </w:rPr>
              <w:t>Ga</w:t>
            </w:r>
            <w:r w:rsidR="0010587F" w:rsidRPr="003B3977">
              <w:rPr>
                <w:b/>
                <w:sz w:val="20"/>
                <w:szCs w:val="20"/>
              </w:rPr>
              <w:t>r</w:t>
            </w:r>
            <w:r>
              <w:rPr>
                <w:b/>
                <w:sz w:val="20"/>
                <w:szCs w:val="20"/>
              </w:rPr>
              <w:t>y Edw</w:t>
            </w:r>
            <w:r w:rsidR="0010587F" w:rsidRPr="003B3977">
              <w:rPr>
                <w:b/>
                <w:sz w:val="20"/>
                <w:szCs w:val="20"/>
              </w:rPr>
              <w:t>a</w:t>
            </w:r>
            <w:r>
              <w:rPr>
                <w:b/>
                <w:sz w:val="20"/>
                <w:szCs w:val="20"/>
              </w:rPr>
              <w:t xml:space="preserve">rd </w:t>
            </w:r>
            <w:proofErr w:type="spellStart"/>
            <w:r>
              <w:rPr>
                <w:b/>
                <w:sz w:val="20"/>
                <w:szCs w:val="20"/>
              </w:rPr>
              <w:t>Y</w:t>
            </w:r>
            <w:r w:rsidR="0010587F" w:rsidRPr="003B3977">
              <w:rPr>
                <w:b/>
                <w:sz w:val="20"/>
                <w:szCs w:val="20"/>
              </w:rPr>
              <w:t>e</w:t>
            </w:r>
            <w:r>
              <w:rPr>
                <w:b/>
                <w:sz w:val="20"/>
                <w:szCs w:val="20"/>
              </w:rPr>
              <w:t>ll</w:t>
            </w:r>
            <w:r w:rsidR="0010587F" w:rsidRPr="003B3977">
              <w:rPr>
                <w:b/>
                <w:sz w:val="20"/>
                <w:szCs w:val="20"/>
              </w:rPr>
              <w:t>e</w:t>
            </w:r>
            <w:proofErr w:type="spellEnd"/>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F74142">
              <w:rPr>
                <w:b/>
                <w:sz w:val="20"/>
                <w:szCs w:val="20"/>
              </w:rPr>
              <w:t>5</w:t>
            </w:r>
            <w:r w:rsidRPr="003B3977">
              <w:rPr>
                <w:b/>
                <w:sz w:val="20"/>
                <w:szCs w:val="20"/>
              </w:rPr>
              <w:t>3</w:t>
            </w:r>
            <w:r w:rsidR="00F74142">
              <w:rPr>
                <w:b/>
                <w:sz w:val="20"/>
                <w:szCs w:val="20"/>
              </w:rPr>
              <w:t>6</w:t>
            </w:r>
            <w:r w:rsidRPr="003B3977">
              <w:rPr>
                <w:b/>
                <w:sz w:val="20"/>
                <w:szCs w:val="20"/>
              </w:rPr>
              <w:t>1)</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Her Majesty the Queen (</w:t>
            </w:r>
            <w:r w:rsidR="00F74142">
              <w:rPr>
                <w:b/>
                <w:sz w:val="20"/>
                <w:szCs w:val="20"/>
              </w:rPr>
              <w:t>N.W.T</w:t>
            </w:r>
            <w:r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3B3977" w:rsidRDefault="0028676C" w:rsidP="003B3977">
            <w:pPr>
              <w:rPr>
                <w:sz w:val="20"/>
                <w:szCs w:val="20"/>
                <w:lang w:val="fr-CA"/>
              </w:rPr>
            </w:pPr>
            <w:r w:rsidRPr="0028676C">
              <w:rPr>
                <w:sz w:val="20"/>
                <w:szCs w:val="20"/>
                <w:lang w:val="fr-CA"/>
              </w:rPr>
              <w:pict>
                <v:rect id="_x0000_i1094"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8D3430" w:rsidRDefault="006B3FA1" w:rsidP="003B3977">
            <w:pPr>
              <w:rPr>
                <w:sz w:val="20"/>
                <w:szCs w:val="20"/>
                <w:lang w:val="fr-CA"/>
              </w:rPr>
            </w:pPr>
            <w:r w:rsidRPr="008D3430">
              <w:rPr>
                <w:sz w:val="20"/>
                <w:szCs w:val="20"/>
                <w:lang w:val="fr-CA"/>
              </w:rPr>
              <w:t>10.05.2013</w:t>
            </w:r>
          </w:p>
          <w:p w:rsidR="006B3FA1" w:rsidRPr="008D3430" w:rsidRDefault="006B3FA1" w:rsidP="003B3977">
            <w:pPr>
              <w:rPr>
                <w:sz w:val="20"/>
                <w:szCs w:val="20"/>
                <w:lang w:val="fr-CA"/>
              </w:rPr>
            </w:pPr>
          </w:p>
          <w:p w:rsidR="006B3FA1" w:rsidRPr="006B3FA1" w:rsidRDefault="006B3FA1" w:rsidP="003B3977">
            <w:pPr>
              <w:rPr>
                <w:b/>
                <w:sz w:val="20"/>
                <w:szCs w:val="20"/>
                <w:lang w:val="fr-CA"/>
              </w:rPr>
            </w:pPr>
            <w:r w:rsidRPr="006B3FA1">
              <w:rPr>
                <w:b/>
                <w:sz w:val="20"/>
                <w:szCs w:val="20"/>
                <w:lang w:val="fr-CA"/>
              </w:rPr>
              <w:t xml:space="preserve">Union </w:t>
            </w:r>
            <w:proofErr w:type="spellStart"/>
            <w:r w:rsidRPr="006B3FA1">
              <w:rPr>
                <w:b/>
                <w:sz w:val="20"/>
                <w:szCs w:val="20"/>
                <w:lang w:val="fr-CA"/>
              </w:rPr>
              <w:t>Carbide</w:t>
            </w:r>
            <w:proofErr w:type="spellEnd"/>
            <w:r w:rsidRPr="006B3FA1">
              <w:rPr>
                <w:b/>
                <w:sz w:val="20"/>
                <w:szCs w:val="20"/>
                <w:lang w:val="fr-CA"/>
              </w:rPr>
              <w:t xml:space="preserve"> Canada Inc. et autre</w:t>
            </w:r>
          </w:p>
          <w:p w:rsidR="006B3FA1" w:rsidRPr="006B3FA1" w:rsidRDefault="006B3FA1" w:rsidP="003B3977">
            <w:pPr>
              <w:rPr>
                <w:b/>
                <w:sz w:val="20"/>
                <w:szCs w:val="20"/>
                <w:lang w:val="fr-CA"/>
              </w:rPr>
            </w:pPr>
          </w:p>
          <w:p w:rsidR="006B3FA1" w:rsidRPr="008D3430" w:rsidRDefault="006B3FA1" w:rsidP="003B3977">
            <w:pPr>
              <w:rPr>
                <w:b/>
                <w:sz w:val="20"/>
                <w:szCs w:val="20"/>
                <w:lang w:val="fr-CA"/>
              </w:rPr>
            </w:pPr>
            <w:r w:rsidRPr="006B3FA1">
              <w:rPr>
                <w:b/>
                <w:sz w:val="20"/>
                <w:szCs w:val="20"/>
                <w:lang w:val="fr-CA"/>
              </w:rPr>
              <w:tab/>
            </w:r>
            <w:r w:rsidRPr="008D3430">
              <w:rPr>
                <w:b/>
                <w:sz w:val="20"/>
                <w:szCs w:val="20"/>
                <w:lang w:val="fr-CA"/>
              </w:rPr>
              <w:t>c. (35008)</w:t>
            </w:r>
          </w:p>
          <w:p w:rsidR="006B3FA1" w:rsidRPr="008D3430" w:rsidRDefault="006B3FA1" w:rsidP="003B3977">
            <w:pPr>
              <w:rPr>
                <w:b/>
                <w:sz w:val="20"/>
                <w:szCs w:val="20"/>
                <w:lang w:val="fr-CA"/>
              </w:rPr>
            </w:pPr>
          </w:p>
          <w:p w:rsidR="006B3FA1" w:rsidRPr="006B3FA1" w:rsidRDefault="006B3FA1" w:rsidP="003B3977">
            <w:pPr>
              <w:rPr>
                <w:b/>
                <w:sz w:val="20"/>
                <w:szCs w:val="20"/>
                <w:lang w:val="fr-CA"/>
              </w:rPr>
            </w:pPr>
            <w:r w:rsidRPr="006B3FA1">
              <w:rPr>
                <w:b/>
                <w:sz w:val="20"/>
                <w:szCs w:val="20"/>
                <w:lang w:val="fr-CA"/>
              </w:rPr>
              <w:t xml:space="preserve">Bombardier </w:t>
            </w:r>
            <w:proofErr w:type="spellStart"/>
            <w:r w:rsidRPr="006B3FA1">
              <w:rPr>
                <w:b/>
                <w:sz w:val="20"/>
                <w:szCs w:val="20"/>
                <w:lang w:val="fr-CA"/>
              </w:rPr>
              <w:t>inc</w:t>
            </w:r>
            <w:proofErr w:type="spellEnd"/>
            <w:r w:rsidRPr="006B3FA1">
              <w:rPr>
                <w:b/>
                <w:sz w:val="20"/>
                <w:szCs w:val="20"/>
                <w:lang w:val="fr-CA"/>
              </w:rPr>
              <w:t>. et autres (</w:t>
            </w:r>
            <w:proofErr w:type="spellStart"/>
            <w:r w:rsidRPr="006B3FA1">
              <w:rPr>
                <w:b/>
                <w:sz w:val="20"/>
                <w:szCs w:val="20"/>
                <w:lang w:val="fr-CA"/>
              </w:rPr>
              <w:t>Qc</w:t>
            </w:r>
            <w:proofErr w:type="spellEnd"/>
            <w:r w:rsidRPr="006B3FA1">
              <w:rPr>
                <w:b/>
                <w:sz w:val="20"/>
                <w:szCs w:val="20"/>
                <w:lang w:val="fr-CA"/>
              </w:rPr>
              <w:t>)</w:t>
            </w:r>
          </w:p>
          <w:p w:rsidR="006B3FA1" w:rsidRPr="006B3FA1" w:rsidRDefault="006B3FA1" w:rsidP="003B3977">
            <w:pPr>
              <w:rPr>
                <w:sz w:val="20"/>
                <w:szCs w:val="20"/>
                <w:lang w:val="fr-CA"/>
              </w:rPr>
            </w:pPr>
          </w:p>
          <w:p w:rsidR="006B3FA1" w:rsidRDefault="006B3FA1" w:rsidP="003B3977">
            <w:pPr>
              <w:rPr>
                <w:sz w:val="20"/>
                <w:szCs w:val="20"/>
              </w:rPr>
            </w:pPr>
            <w:r>
              <w:rPr>
                <w:sz w:val="20"/>
                <w:szCs w:val="20"/>
              </w:rPr>
              <w:t>(</w:t>
            </w:r>
            <w:proofErr w:type="spellStart"/>
            <w:r>
              <w:rPr>
                <w:sz w:val="20"/>
                <w:szCs w:val="20"/>
              </w:rPr>
              <w:t>Autorisation</w:t>
            </w:r>
            <w:proofErr w:type="spellEnd"/>
            <w:r>
              <w:rPr>
                <w:sz w:val="20"/>
                <w:szCs w:val="20"/>
              </w:rPr>
              <w:t>)</w:t>
            </w:r>
          </w:p>
          <w:p w:rsidR="006B3FA1" w:rsidRDefault="006B3FA1" w:rsidP="003B3977">
            <w:pPr>
              <w:rPr>
                <w:sz w:val="20"/>
                <w:szCs w:val="20"/>
              </w:rPr>
            </w:pPr>
          </w:p>
          <w:p w:rsidR="006B3FA1" w:rsidRPr="006B3FA1" w:rsidRDefault="0028676C" w:rsidP="003B3977">
            <w:pPr>
              <w:rPr>
                <w:sz w:val="20"/>
                <w:szCs w:val="20"/>
              </w:rPr>
            </w:pPr>
            <w:r w:rsidRPr="0028676C">
              <w:rPr>
                <w:sz w:val="20"/>
                <w:szCs w:val="20"/>
                <w:lang w:val="fr-CA"/>
              </w:rPr>
              <w:pict>
                <v:rect id="_x0000_i1095" style="width:106.1pt;height:1pt" o:hrpct="500" o:hralign="center" o:hrstd="t" o:hrnoshade="t" o:hr="t" fillcolor="black [3213]" stroked="f"/>
              </w:pict>
            </w:r>
          </w:p>
        </w:tc>
      </w:tr>
      <w:tr w:rsidR="006B3FA1" w:rsidRPr="003B3977" w:rsidTr="0010587F">
        <w:trPr>
          <w:cantSplit/>
        </w:trPr>
        <w:tc>
          <w:tcPr>
            <w:tcW w:w="2206" w:type="pct"/>
            <w:tcMar>
              <w:left w:w="0" w:type="dxa"/>
              <w:right w:w="0" w:type="dxa"/>
            </w:tcMar>
          </w:tcPr>
          <w:p w:rsidR="006B3FA1" w:rsidRPr="003B3977" w:rsidRDefault="006B3FA1" w:rsidP="006B3FA1">
            <w:pPr>
              <w:rPr>
                <w:sz w:val="20"/>
                <w:szCs w:val="20"/>
              </w:rPr>
            </w:pPr>
            <w:r>
              <w:rPr>
                <w:sz w:val="20"/>
                <w:szCs w:val="20"/>
              </w:rPr>
              <w:t>13</w:t>
            </w:r>
            <w:r w:rsidRPr="003B3977">
              <w:rPr>
                <w:sz w:val="20"/>
                <w:szCs w:val="20"/>
              </w:rPr>
              <w:t>.0</w:t>
            </w:r>
            <w:r>
              <w:rPr>
                <w:sz w:val="20"/>
                <w:szCs w:val="20"/>
              </w:rPr>
              <w:t>5</w:t>
            </w:r>
            <w:r w:rsidRPr="003B3977">
              <w:rPr>
                <w:sz w:val="20"/>
                <w:szCs w:val="20"/>
              </w:rPr>
              <w:t>.201</w:t>
            </w:r>
            <w:r>
              <w:rPr>
                <w:sz w:val="20"/>
                <w:szCs w:val="20"/>
              </w:rPr>
              <w:t>3</w:t>
            </w:r>
          </w:p>
          <w:p w:rsidR="006B3FA1" w:rsidRPr="003B3977" w:rsidRDefault="006B3FA1" w:rsidP="006B3FA1">
            <w:pPr>
              <w:rPr>
                <w:sz w:val="20"/>
                <w:szCs w:val="20"/>
              </w:rPr>
            </w:pPr>
          </w:p>
          <w:p w:rsidR="006B3FA1" w:rsidRPr="003B3977" w:rsidRDefault="006B3FA1" w:rsidP="006B3FA1">
            <w:pPr>
              <w:rPr>
                <w:b/>
                <w:sz w:val="20"/>
                <w:szCs w:val="20"/>
              </w:rPr>
            </w:pPr>
            <w:r>
              <w:rPr>
                <w:b/>
                <w:sz w:val="20"/>
                <w:szCs w:val="20"/>
              </w:rPr>
              <w:t>Bank of Montreal</w:t>
            </w:r>
          </w:p>
          <w:p w:rsidR="006B3FA1" w:rsidRPr="003B3977" w:rsidRDefault="006B3FA1" w:rsidP="006B3FA1">
            <w:pPr>
              <w:rPr>
                <w:b/>
                <w:sz w:val="20"/>
                <w:szCs w:val="20"/>
              </w:rPr>
            </w:pPr>
          </w:p>
          <w:p w:rsidR="006B3FA1" w:rsidRPr="003B3977" w:rsidRDefault="006B3FA1" w:rsidP="006B3FA1">
            <w:pPr>
              <w:rPr>
                <w:b/>
                <w:sz w:val="20"/>
                <w:szCs w:val="20"/>
              </w:rPr>
            </w:pPr>
            <w:r w:rsidRPr="003B3977">
              <w:rPr>
                <w:b/>
                <w:sz w:val="20"/>
                <w:szCs w:val="20"/>
              </w:rPr>
              <w:tab/>
              <w:t>v. (3</w:t>
            </w:r>
            <w:r>
              <w:rPr>
                <w:b/>
                <w:sz w:val="20"/>
                <w:szCs w:val="20"/>
              </w:rPr>
              <w:t>5009</w:t>
            </w:r>
            <w:r w:rsidRPr="003B3977">
              <w:rPr>
                <w:b/>
                <w:sz w:val="20"/>
                <w:szCs w:val="20"/>
              </w:rPr>
              <w:t>)</w:t>
            </w:r>
          </w:p>
          <w:p w:rsidR="006B3FA1" w:rsidRPr="003B3977" w:rsidRDefault="006B3FA1" w:rsidP="006B3FA1">
            <w:pPr>
              <w:rPr>
                <w:b/>
                <w:sz w:val="20"/>
                <w:szCs w:val="20"/>
              </w:rPr>
            </w:pPr>
          </w:p>
          <w:p w:rsidR="006B3FA1" w:rsidRPr="003B3977" w:rsidRDefault="006B3FA1" w:rsidP="006B3FA1">
            <w:pPr>
              <w:rPr>
                <w:b/>
                <w:sz w:val="20"/>
                <w:szCs w:val="20"/>
              </w:rPr>
            </w:pPr>
            <w:proofErr w:type="spellStart"/>
            <w:r>
              <w:rPr>
                <w:b/>
                <w:sz w:val="20"/>
                <w:szCs w:val="20"/>
              </w:rPr>
              <w:t>Ré</w:t>
            </w:r>
            <w:r w:rsidRPr="003B3977">
              <w:rPr>
                <w:b/>
                <w:sz w:val="20"/>
                <w:szCs w:val="20"/>
              </w:rPr>
              <w:t>a</w:t>
            </w:r>
            <w:r>
              <w:rPr>
                <w:b/>
                <w:sz w:val="20"/>
                <w:szCs w:val="20"/>
              </w:rPr>
              <w:t>l</w:t>
            </w:r>
            <w:proofErr w:type="spellEnd"/>
            <w:r>
              <w:rPr>
                <w:b/>
                <w:sz w:val="20"/>
                <w:szCs w:val="20"/>
              </w:rPr>
              <w:t xml:space="preserve"> </w:t>
            </w:r>
            <w:proofErr w:type="spellStart"/>
            <w:r>
              <w:rPr>
                <w:b/>
                <w:sz w:val="20"/>
                <w:szCs w:val="20"/>
              </w:rPr>
              <w:t>Marcotte</w:t>
            </w:r>
            <w:proofErr w:type="spellEnd"/>
            <w:r w:rsidRPr="003B3977">
              <w:rPr>
                <w:b/>
                <w:sz w:val="20"/>
                <w:szCs w:val="20"/>
              </w:rPr>
              <w:t xml:space="preserve"> </w:t>
            </w:r>
            <w:r w:rsidR="00DE1DD2">
              <w:rPr>
                <w:b/>
                <w:sz w:val="20"/>
                <w:szCs w:val="20"/>
              </w:rPr>
              <w:t xml:space="preserve">et al. </w:t>
            </w:r>
            <w:r w:rsidRPr="003B3977">
              <w:rPr>
                <w:b/>
                <w:sz w:val="20"/>
                <w:szCs w:val="20"/>
              </w:rPr>
              <w:t>(</w:t>
            </w:r>
            <w:r>
              <w:rPr>
                <w:b/>
                <w:sz w:val="20"/>
                <w:szCs w:val="20"/>
              </w:rPr>
              <w:t>Que</w:t>
            </w:r>
            <w:r w:rsidRPr="003B3977">
              <w:rPr>
                <w:b/>
                <w:sz w:val="20"/>
                <w:szCs w:val="20"/>
              </w:rPr>
              <w:t>.)</w:t>
            </w:r>
          </w:p>
          <w:p w:rsidR="006B3FA1" w:rsidRPr="003B3977" w:rsidRDefault="006B3FA1" w:rsidP="006B3FA1">
            <w:pPr>
              <w:rPr>
                <w:sz w:val="20"/>
                <w:szCs w:val="20"/>
              </w:rPr>
            </w:pPr>
          </w:p>
          <w:p w:rsidR="006B3FA1" w:rsidRPr="003B3977" w:rsidRDefault="006B3FA1" w:rsidP="006B3FA1">
            <w:pPr>
              <w:rPr>
                <w:sz w:val="20"/>
                <w:szCs w:val="20"/>
              </w:rPr>
            </w:pPr>
            <w:r w:rsidRPr="003B3977">
              <w:rPr>
                <w:sz w:val="20"/>
                <w:szCs w:val="20"/>
              </w:rPr>
              <w:t>(</w:t>
            </w:r>
            <w:r>
              <w:rPr>
                <w:sz w:val="20"/>
                <w:szCs w:val="20"/>
              </w:rPr>
              <w:t>By Leave</w:t>
            </w:r>
            <w:r w:rsidRPr="003B3977">
              <w:rPr>
                <w:sz w:val="20"/>
                <w:szCs w:val="20"/>
              </w:rPr>
              <w:t>)</w:t>
            </w:r>
          </w:p>
          <w:p w:rsidR="006B3FA1" w:rsidRPr="003B3977" w:rsidRDefault="006B3FA1" w:rsidP="006B3FA1">
            <w:pPr>
              <w:rPr>
                <w:sz w:val="20"/>
                <w:szCs w:val="20"/>
              </w:rPr>
            </w:pPr>
          </w:p>
          <w:p w:rsidR="006B3FA1" w:rsidRPr="003B3977" w:rsidRDefault="0028676C" w:rsidP="006B3FA1">
            <w:pPr>
              <w:rPr>
                <w:sz w:val="20"/>
                <w:szCs w:val="20"/>
              </w:rPr>
            </w:pPr>
            <w:r w:rsidRPr="0028676C">
              <w:rPr>
                <w:sz w:val="20"/>
                <w:szCs w:val="20"/>
                <w:lang w:val="fr-CA"/>
              </w:rPr>
              <w:pict>
                <v:rect id="_x0000_i1096" style="width:106.1pt;height:1pt" o:hrpct="500" o:hralign="center" o:hrstd="t" o:hrnoshade="t" o:hr="t" fillcolor="black [3213]" stroked="f"/>
              </w:pict>
            </w:r>
          </w:p>
        </w:tc>
        <w:tc>
          <w:tcPr>
            <w:tcW w:w="588" w:type="pct"/>
          </w:tcPr>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Pr="003B3977" w:rsidRDefault="006B3FA1" w:rsidP="0010587F">
            <w:pPr>
              <w:jc w:val="center"/>
              <w:rPr>
                <w:sz w:val="20"/>
                <w:szCs w:val="20"/>
              </w:rPr>
            </w:pPr>
          </w:p>
        </w:tc>
        <w:tc>
          <w:tcPr>
            <w:tcW w:w="2206" w:type="pct"/>
          </w:tcPr>
          <w:p w:rsidR="006B3FA1" w:rsidRPr="008D3430" w:rsidRDefault="006B3FA1" w:rsidP="006B3FA1">
            <w:pPr>
              <w:rPr>
                <w:sz w:val="20"/>
                <w:szCs w:val="20"/>
                <w:lang w:val="fr-CA"/>
              </w:rPr>
            </w:pPr>
            <w:r w:rsidRPr="008D3430">
              <w:rPr>
                <w:sz w:val="20"/>
                <w:szCs w:val="20"/>
                <w:lang w:val="fr-CA"/>
              </w:rPr>
              <w:t>13.05.2013</w:t>
            </w:r>
          </w:p>
          <w:p w:rsidR="006B3FA1" w:rsidRPr="008D3430" w:rsidRDefault="006B3FA1" w:rsidP="006B3FA1">
            <w:pPr>
              <w:rPr>
                <w:sz w:val="20"/>
                <w:szCs w:val="20"/>
                <w:lang w:val="fr-CA"/>
              </w:rPr>
            </w:pPr>
          </w:p>
          <w:p w:rsidR="006B3FA1" w:rsidRPr="008D3430" w:rsidRDefault="006B3FA1" w:rsidP="006B3FA1">
            <w:pPr>
              <w:rPr>
                <w:b/>
                <w:sz w:val="20"/>
                <w:szCs w:val="20"/>
                <w:lang w:val="fr-CA"/>
              </w:rPr>
            </w:pPr>
            <w:r w:rsidRPr="008D3430">
              <w:rPr>
                <w:b/>
                <w:sz w:val="20"/>
                <w:szCs w:val="20"/>
                <w:lang w:val="fr-CA"/>
              </w:rPr>
              <w:t>Réal Marcotte et al.</w:t>
            </w:r>
          </w:p>
          <w:p w:rsidR="006B3FA1" w:rsidRPr="008D3430" w:rsidRDefault="006B3FA1" w:rsidP="006B3FA1">
            <w:pPr>
              <w:rPr>
                <w:b/>
                <w:sz w:val="20"/>
                <w:szCs w:val="20"/>
                <w:lang w:val="fr-CA"/>
              </w:rPr>
            </w:pPr>
          </w:p>
          <w:p w:rsidR="006B3FA1" w:rsidRPr="008D3430" w:rsidRDefault="006B3FA1" w:rsidP="006B3FA1">
            <w:pPr>
              <w:rPr>
                <w:b/>
                <w:sz w:val="20"/>
                <w:szCs w:val="20"/>
                <w:lang w:val="fr-CA"/>
              </w:rPr>
            </w:pPr>
            <w:r w:rsidRPr="008D3430">
              <w:rPr>
                <w:b/>
                <w:sz w:val="20"/>
                <w:szCs w:val="20"/>
                <w:lang w:val="fr-CA"/>
              </w:rPr>
              <w:tab/>
              <w:t>v. (35009)</w:t>
            </w:r>
          </w:p>
          <w:p w:rsidR="006B3FA1" w:rsidRPr="008D3430" w:rsidRDefault="006B3FA1" w:rsidP="006B3FA1">
            <w:pPr>
              <w:rPr>
                <w:b/>
                <w:sz w:val="20"/>
                <w:szCs w:val="20"/>
                <w:lang w:val="fr-CA"/>
              </w:rPr>
            </w:pPr>
          </w:p>
          <w:p w:rsidR="006B3FA1" w:rsidRDefault="006B3FA1" w:rsidP="006B3FA1">
            <w:pPr>
              <w:rPr>
                <w:b/>
                <w:sz w:val="20"/>
                <w:szCs w:val="20"/>
              </w:rPr>
            </w:pPr>
            <w:r>
              <w:rPr>
                <w:b/>
                <w:sz w:val="20"/>
                <w:szCs w:val="20"/>
              </w:rPr>
              <w:t>Bank of Montreal et al. (</w:t>
            </w:r>
            <w:r w:rsidR="00216231">
              <w:rPr>
                <w:b/>
                <w:sz w:val="20"/>
                <w:szCs w:val="20"/>
              </w:rPr>
              <w:t>Que</w:t>
            </w:r>
            <w:r>
              <w:rPr>
                <w:b/>
                <w:sz w:val="20"/>
                <w:szCs w:val="20"/>
              </w:rPr>
              <w:t>.)</w:t>
            </w:r>
          </w:p>
          <w:p w:rsidR="006B3FA1" w:rsidRDefault="006B3FA1" w:rsidP="006B3FA1">
            <w:pPr>
              <w:rPr>
                <w:sz w:val="20"/>
                <w:szCs w:val="20"/>
              </w:rPr>
            </w:pPr>
          </w:p>
          <w:p w:rsidR="006B3FA1" w:rsidRDefault="006B3FA1" w:rsidP="006B3FA1">
            <w:pPr>
              <w:rPr>
                <w:sz w:val="20"/>
                <w:szCs w:val="20"/>
              </w:rPr>
            </w:pPr>
            <w:r>
              <w:rPr>
                <w:sz w:val="20"/>
                <w:szCs w:val="20"/>
              </w:rPr>
              <w:t>(By Leave)</w:t>
            </w:r>
          </w:p>
          <w:p w:rsidR="006B3FA1" w:rsidRDefault="006B3FA1" w:rsidP="006B3FA1">
            <w:pPr>
              <w:rPr>
                <w:sz w:val="20"/>
                <w:szCs w:val="20"/>
              </w:rPr>
            </w:pPr>
          </w:p>
          <w:p w:rsidR="006B3FA1" w:rsidRDefault="0028676C" w:rsidP="006B3FA1">
            <w:pPr>
              <w:rPr>
                <w:sz w:val="20"/>
                <w:szCs w:val="20"/>
              </w:rPr>
            </w:pPr>
            <w:r w:rsidRPr="0028676C">
              <w:rPr>
                <w:sz w:val="20"/>
                <w:szCs w:val="20"/>
                <w:lang w:val="fr-CA"/>
              </w:rPr>
              <w:pict>
                <v:rect id="_x0000_i1097" style="width:106.1pt;height:1pt" o:hrpct="500" o:hralign="center" o:hrstd="t" o:hrnoshade="t" o:hr="t" fillcolor="black [3213]" stroked="f"/>
              </w:pict>
            </w:r>
          </w:p>
        </w:tc>
      </w:tr>
      <w:tr w:rsidR="006B3FA1" w:rsidRPr="003B3977" w:rsidTr="0010587F">
        <w:trPr>
          <w:cantSplit/>
        </w:trPr>
        <w:tc>
          <w:tcPr>
            <w:tcW w:w="2206" w:type="pct"/>
            <w:tcMar>
              <w:left w:w="0" w:type="dxa"/>
              <w:right w:w="0" w:type="dxa"/>
            </w:tcMar>
          </w:tcPr>
          <w:p w:rsidR="006B3FA1" w:rsidRPr="008D3430" w:rsidRDefault="00216231" w:rsidP="006B3FA1">
            <w:pPr>
              <w:rPr>
                <w:sz w:val="20"/>
                <w:szCs w:val="20"/>
                <w:lang w:val="fr-CA"/>
              </w:rPr>
            </w:pPr>
            <w:r w:rsidRPr="008D3430">
              <w:rPr>
                <w:sz w:val="20"/>
                <w:szCs w:val="20"/>
                <w:lang w:val="fr-CA"/>
              </w:rPr>
              <w:t>13</w:t>
            </w:r>
            <w:r w:rsidR="006B3FA1" w:rsidRPr="008D3430">
              <w:rPr>
                <w:sz w:val="20"/>
                <w:szCs w:val="20"/>
                <w:lang w:val="fr-CA"/>
              </w:rPr>
              <w:t>.05.2013</w:t>
            </w:r>
          </w:p>
          <w:p w:rsidR="006B3FA1" w:rsidRPr="008D3430" w:rsidRDefault="006B3FA1" w:rsidP="006B3FA1">
            <w:pPr>
              <w:rPr>
                <w:sz w:val="20"/>
                <w:szCs w:val="20"/>
                <w:lang w:val="fr-CA"/>
              </w:rPr>
            </w:pPr>
          </w:p>
          <w:p w:rsidR="006B3FA1" w:rsidRPr="00216231" w:rsidRDefault="00216231" w:rsidP="006B3FA1">
            <w:pPr>
              <w:rPr>
                <w:b/>
                <w:sz w:val="20"/>
                <w:szCs w:val="20"/>
                <w:lang w:val="fr-CA"/>
              </w:rPr>
            </w:pPr>
            <w:r w:rsidRPr="00216231">
              <w:rPr>
                <w:b/>
                <w:sz w:val="20"/>
                <w:szCs w:val="20"/>
                <w:lang w:val="fr-CA"/>
              </w:rPr>
              <w:t>Ré</w:t>
            </w:r>
            <w:r w:rsidR="006B3FA1" w:rsidRPr="00216231">
              <w:rPr>
                <w:b/>
                <w:sz w:val="20"/>
                <w:szCs w:val="20"/>
                <w:lang w:val="fr-CA"/>
              </w:rPr>
              <w:t>a</w:t>
            </w:r>
            <w:r w:rsidRPr="00216231">
              <w:rPr>
                <w:b/>
                <w:sz w:val="20"/>
                <w:szCs w:val="20"/>
                <w:lang w:val="fr-CA"/>
              </w:rPr>
              <w:t>l M</w:t>
            </w:r>
            <w:r w:rsidR="006B3FA1" w:rsidRPr="00216231">
              <w:rPr>
                <w:b/>
                <w:sz w:val="20"/>
                <w:szCs w:val="20"/>
                <w:lang w:val="fr-CA"/>
              </w:rPr>
              <w:t>ar</w:t>
            </w:r>
            <w:r w:rsidRPr="00216231">
              <w:rPr>
                <w:b/>
                <w:sz w:val="20"/>
                <w:szCs w:val="20"/>
                <w:lang w:val="fr-CA"/>
              </w:rPr>
              <w:t>cott</w:t>
            </w:r>
            <w:r w:rsidR="006B3FA1" w:rsidRPr="00216231">
              <w:rPr>
                <w:b/>
                <w:sz w:val="20"/>
                <w:szCs w:val="20"/>
                <w:lang w:val="fr-CA"/>
              </w:rPr>
              <w:t>e</w:t>
            </w:r>
          </w:p>
          <w:p w:rsidR="006B3FA1" w:rsidRPr="00216231" w:rsidRDefault="006B3FA1" w:rsidP="006B3FA1">
            <w:pPr>
              <w:rPr>
                <w:b/>
                <w:sz w:val="20"/>
                <w:szCs w:val="20"/>
                <w:lang w:val="fr-CA"/>
              </w:rPr>
            </w:pPr>
          </w:p>
          <w:p w:rsidR="006B3FA1" w:rsidRPr="00216231" w:rsidRDefault="006B3FA1" w:rsidP="006B3FA1">
            <w:pPr>
              <w:rPr>
                <w:b/>
                <w:sz w:val="20"/>
                <w:szCs w:val="20"/>
                <w:lang w:val="fr-CA"/>
              </w:rPr>
            </w:pPr>
            <w:r w:rsidRPr="00216231">
              <w:rPr>
                <w:b/>
                <w:sz w:val="20"/>
                <w:szCs w:val="20"/>
                <w:lang w:val="fr-CA"/>
              </w:rPr>
              <w:tab/>
              <w:t>v. (35</w:t>
            </w:r>
            <w:r w:rsidR="00216231" w:rsidRPr="00216231">
              <w:rPr>
                <w:b/>
                <w:sz w:val="20"/>
                <w:szCs w:val="20"/>
                <w:lang w:val="fr-CA"/>
              </w:rPr>
              <w:t>0</w:t>
            </w:r>
            <w:r w:rsidRPr="00216231">
              <w:rPr>
                <w:b/>
                <w:sz w:val="20"/>
                <w:szCs w:val="20"/>
                <w:lang w:val="fr-CA"/>
              </w:rPr>
              <w:t>1</w:t>
            </w:r>
            <w:r w:rsidR="00216231" w:rsidRPr="00216231">
              <w:rPr>
                <w:b/>
                <w:sz w:val="20"/>
                <w:szCs w:val="20"/>
                <w:lang w:val="fr-CA"/>
              </w:rPr>
              <w:t>8</w:t>
            </w:r>
            <w:r w:rsidRPr="00216231">
              <w:rPr>
                <w:b/>
                <w:sz w:val="20"/>
                <w:szCs w:val="20"/>
                <w:lang w:val="fr-CA"/>
              </w:rPr>
              <w:t>)</w:t>
            </w:r>
          </w:p>
          <w:p w:rsidR="006B3FA1" w:rsidRPr="00216231" w:rsidRDefault="006B3FA1" w:rsidP="006B3FA1">
            <w:pPr>
              <w:rPr>
                <w:b/>
                <w:sz w:val="20"/>
                <w:szCs w:val="20"/>
                <w:lang w:val="fr-CA"/>
              </w:rPr>
            </w:pPr>
          </w:p>
          <w:p w:rsidR="006B3FA1" w:rsidRPr="00216231" w:rsidRDefault="00216231" w:rsidP="006B3FA1">
            <w:pPr>
              <w:rPr>
                <w:b/>
                <w:sz w:val="20"/>
                <w:szCs w:val="20"/>
                <w:lang w:val="fr-CA"/>
              </w:rPr>
            </w:pPr>
            <w:r w:rsidRPr="00216231">
              <w:rPr>
                <w:b/>
                <w:sz w:val="20"/>
                <w:szCs w:val="20"/>
                <w:lang w:val="fr-CA"/>
              </w:rPr>
              <w:t>Fédération des caisses Desjardi</w:t>
            </w:r>
            <w:r w:rsidR="006B3FA1" w:rsidRPr="00216231">
              <w:rPr>
                <w:b/>
                <w:sz w:val="20"/>
                <w:szCs w:val="20"/>
                <w:lang w:val="fr-CA"/>
              </w:rPr>
              <w:t>n</w:t>
            </w:r>
            <w:r w:rsidRPr="00216231">
              <w:rPr>
                <w:b/>
                <w:sz w:val="20"/>
                <w:szCs w:val="20"/>
                <w:lang w:val="fr-CA"/>
              </w:rPr>
              <w:t>s</w:t>
            </w:r>
            <w:r w:rsidR="006B3FA1" w:rsidRPr="00216231">
              <w:rPr>
                <w:b/>
                <w:sz w:val="20"/>
                <w:szCs w:val="20"/>
                <w:lang w:val="fr-CA"/>
              </w:rPr>
              <w:t xml:space="preserve"> </w:t>
            </w:r>
            <w:r w:rsidRPr="00216231">
              <w:rPr>
                <w:b/>
                <w:sz w:val="20"/>
                <w:szCs w:val="20"/>
                <w:lang w:val="fr-CA"/>
              </w:rPr>
              <w:t xml:space="preserve">du Québec </w:t>
            </w:r>
            <w:r w:rsidR="006B3FA1" w:rsidRPr="00216231">
              <w:rPr>
                <w:b/>
                <w:sz w:val="20"/>
                <w:szCs w:val="20"/>
                <w:lang w:val="fr-CA"/>
              </w:rPr>
              <w:t>(</w:t>
            </w:r>
            <w:r w:rsidRPr="00216231">
              <w:rPr>
                <w:b/>
                <w:sz w:val="20"/>
                <w:szCs w:val="20"/>
                <w:lang w:val="fr-CA"/>
              </w:rPr>
              <w:t>Que</w:t>
            </w:r>
            <w:r w:rsidR="006B3FA1" w:rsidRPr="00216231">
              <w:rPr>
                <w:b/>
                <w:sz w:val="20"/>
                <w:szCs w:val="20"/>
                <w:lang w:val="fr-CA"/>
              </w:rPr>
              <w:t>.)</w:t>
            </w:r>
          </w:p>
          <w:p w:rsidR="006B3FA1" w:rsidRPr="00216231" w:rsidRDefault="006B3FA1" w:rsidP="006B3FA1">
            <w:pPr>
              <w:rPr>
                <w:sz w:val="20"/>
                <w:szCs w:val="20"/>
                <w:lang w:val="fr-CA"/>
              </w:rPr>
            </w:pPr>
          </w:p>
          <w:p w:rsidR="006B3FA1" w:rsidRPr="003B3977" w:rsidRDefault="006B3FA1" w:rsidP="006B3FA1">
            <w:pPr>
              <w:rPr>
                <w:sz w:val="20"/>
                <w:szCs w:val="20"/>
              </w:rPr>
            </w:pPr>
            <w:r w:rsidRPr="003B3977">
              <w:rPr>
                <w:sz w:val="20"/>
                <w:szCs w:val="20"/>
              </w:rPr>
              <w:t>(</w:t>
            </w:r>
            <w:r>
              <w:rPr>
                <w:sz w:val="20"/>
                <w:szCs w:val="20"/>
              </w:rPr>
              <w:t>By Leave</w:t>
            </w:r>
            <w:r w:rsidRPr="003B3977">
              <w:rPr>
                <w:sz w:val="20"/>
                <w:szCs w:val="20"/>
              </w:rPr>
              <w:t>)</w:t>
            </w:r>
          </w:p>
          <w:p w:rsidR="006B3FA1" w:rsidRPr="003B3977" w:rsidRDefault="006B3FA1" w:rsidP="006B3FA1">
            <w:pPr>
              <w:rPr>
                <w:sz w:val="20"/>
                <w:szCs w:val="20"/>
              </w:rPr>
            </w:pPr>
          </w:p>
          <w:p w:rsidR="006B3FA1" w:rsidRPr="003B3977" w:rsidRDefault="0028676C" w:rsidP="006B3FA1">
            <w:pPr>
              <w:rPr>
                <w:sz w:val="20"/>
                <w:szCs w:val="20"/>
              </w:rPr>
            </w:pPr>
            <w:r w:rsidRPr="0028676C">
              <w:rPr>
                <w:sz w:val="20"/>
                <w:szCs w:val="20"/>
                <w:lang w:val="fr-CA"/>
              </w:rPr>
              <w:pict>
                <v:rect id="_x0000_i1098" style="width:106.1pt;height:1pt" o:hrpct="500" o:hralign="center" o:hrstd="t" o:hrnoshade="t" o:hr="t" fillcolor="black [3213]" stroked="f"/>
              </w:pict>
            </w:r>
          </w:p>
        </w:tc>
        <w:tc>
          <w:tcPr>
            <w:tcW w:w="588" w:type="pct"/>
          </w:tcPr>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Pr="003B3977" w:rsidRDefault="006B3FA1" w:rsidP="0010587F">
            <w:pPr>
              <w:jc w:val="center"/>
              <w:rPr>
                <w:sz w:val="20"/>
                <w:szCs w:val="20"/>
              </w:rPr>
            </w:pPr>
          </w:p>
        </w:tc>
        <w:tc>
          <w:tcPr>
            <w:tcW w:w="2206" w:type="pct"/>
          </w:tcPr>
          <w:p w:rsidR="006B3FA1" w:rsidRDefault="006B3FA1" w:rsidP="006B3FA1">
            <w:pPr>
              <w:rPr>
                <w:sz w:val="20"/>
                <w:szCs w:val="20"/>
              </w:rPr>
            </w:pPr>
            <w:r>
              <w:rPr>
                <w:sz w:val="20"/>
                <w:szCs w:val="20"/>
              </w:rPr>
              <w:t>1</w:t>
            </w:r>
            <w:r w:rsidR="00216231">
              <w:rPr>
                <w:sz w:val="20"/>
                <w:szCs w:val="20"/>
              </w:rPr>
              <w:t>3</w:t>
            </w:r>
            <w:r>
              <w:rPr>
                <w:sz w:val="20"/>
                <w:szCs w:val="20"/>
              </w:rPr>
              <w:t>.05.2013</w:t>
            </w:r>
          </w:p>
          <w:p w:rsidR="006B3FA1" w:rsidRDefault="006B3FA1" w:rsidP="006B3FA1">
            <w:pPr>
              <w:rPr>
                <w:sz w:val="20"/>
                <w:szCs w:val="20"/>
              </w:rPr>
            </w:pPr>
          </w:p>
          <w:p w:rsidR="006B3FA1" w:rsidRDefault="00216231" w:rsidP="006B3FA1">
            <w:pPr>
              <w:rPr>
                <w:b/>
                <w:sz w:val="20"/>
                <w:szCs w:val="20"/>
              </w:rPr>
            </w:pPr>
            <w:r>
              <w:rPr>
                <w:b/>
                <w:sz w:val="20"/>
                <w:szCs w:val="20"/>
              </w:rPr>
              <w:t>Attorney General of Canada</w:t>
            </w:r>
          </w:p>
          <w:p w:rsidR="006B3FA1" w:rsidRDefault="006B3FA1" w:rsidP="006B3FA1">
            <w:pPr>
              <w:rPr>
                <w:b/>
                <w:sz w:val="20"/>
                <w:szCs w:val="20"/>
              </w:rPr>
            </w:pPr>
          </w:p>
          <w:p w:rsidR="006B3FA1" w:rsidRDefault="006B3FA1" w:rsidP="006B3FA1">
            <w:pPr>
              <w:rPr>
                <w:b/>
                <w:sz w:val="20"/>
                <w:szCs w:val="20"/>
              </w:rPr>
            </w:pPr>
            <w:r>
              <w:rPr>
                <w:b/>
                <w:sz w:val="20"/>
                <w:szCs w:val="20"/>
              </w:rPr>
              <w:tab/>
              <w:t>v. (35</w:t>
            </w:r>
            <w:r w:rsidR="00216231">
              <w:rPr>
                <w:b/>
                <w:sz w:val="20"/>
                <w:szCs w:val="20"/>
              </w:rPr>
              <w:t>024</w:t>
            </w:r>
            <w:r>
              <w:rPr>
                <w:b/>
                <w:sz w:val="20"/>
                <w:szCs w:val="20"/>
              </w:rPr>
              <w:t>)</w:t>
            </w:r>
          </w:p>
          <w:p w:rsidR="006B3FA1" w:rsidRDefault="006B3FA1" w:rsidP="006B3FA1">
            <w:pPr>
              <w:rPr>
                <w:b/>
                <w:sz w:val="20"/>
                <w:szCs w:val="20"/>
              </w:rPr>
            </w:pPr>
          </w:p>
          <w:p w:rsidR="006B3FA1" w:rsidRDefault="00216231" w:rsidP="006B3FA1">
            <w:pPr>
              <w:rPr>
                <w:b/>
                <w:sz w:val="20"/>
                <w:szCs w:val="20"/>
              </w:rPr>
            </w:pPr>
            <w:r>
              <w:rPr>
                <w:b/>
                <w:sz w:val="20"/>
                <w:szCs w:val="20"/>
              </w:rPr>
              <w:t xml:space="preserve">Christopher John Whaling et al. </w:t>
            </w:r>
            <w:r w:rsidR="006B3FA1">
              <w:rPr>
                <w:b/>
                <w:sz w:val="20"/>
                <w:szCs w:val="20"/>
              </w:rPr>
              <w:t>(</w:t>
            </w:r>
            <w:r>
              <w:rPr>
                <w:b/>
                <w:sz w:val="20"/>
                <w:szCs w:val="20"/>
              </w:rPr>
              <w:t>B.C</w:t>
            </w:r>
            <w:r w:rsidR="006B3FA1">
              <w:rPr>
                <w:b/>
                <w:sz w:val="20"/>
                <w:szCs w:val="20"/>
              </w:rPr>
              <w:t>.)</w:t>
            </w:r>
          </w:p>
          <w:p w:rsidR="006B3FA1" w:rsidRDefault="006B3FA1" w:rsidP="006B3FA1">
            <w:pPr>
              <w:rPr>
                <w:sz w:val="20"/>
                <w:szCs w:val="20"/>
              </w:rPr>
            </w:pPr>
          </w:p>
          <w:p w:rsidR="006B3FA1" w:rsidRDefault="006B3FA1" w:rsidP="006B3FA1">
            <w:pPr>
              <w:rPr>
                <w:sz w:val="20"/>
                <w:szCs w:val="20"/>
              </w:rPr>
            </w:pPr>
            <w:r>
              <w:rPr>
                <w:sz w:val="20"/>
                <w:szCs w:val="20"/>
              </w:rPr>
              <w:t>(By Leave)</w:t>
            </w:r>
          </w:p>
          <w:p w:rsidR="006B3FA1" w:rsidRDefault="006B3FA1" w:rsidP="006B3FA1">
            <w:pPr>
              <w:rPr>
                <w:sz w:val="20"/>
                <w:szCs w:val="20"/>
              </w:rPr>
            </w:pPr>
          </w:p>
          <w:p w:rsidR="006B3FA1" w:rsidRDefault="0028676C" w:rsidP="006B3FA1">
            <w:pPr>
              <w:rPr>
                <w:sz w:val="20"/>
                <w:szCs w:val="20"/>
              </w:rPr>
            </w:pPr>
            <w:r w:rsidRPr="0028676C">
              <w:rPr>
                <w:sz w:val="20"/>
                <w:szCs w:val="20"/>
                <w:lang w:val="fr-CA"/>
              </w:rPr>
              <w:pict>
                <v:rect id="_x0000_i1099" style="width:106.1pt;height:1pt" o:hrpct="500" o:hralign="center" o:hrstd="t" o:hrnoshade="t" o:hr="t" fillcolor="black [3213]" stroked="f"/>
              </w:pict>
            </w:r>
          </w:p>
        </w:tc>
      </w:tr>
      <w:tr w:rsidR="006B3FA1" w:rsidRPr="003B3977" w:rsidTr="0010587F">
        <w:trPr>
          <w:cantSplit/>
        </w:trPr>
        <w:tc>
          <w:tcPr>
            <w:tcW w:w="2206" w:type="pct"/>
            <w:tcMar>
              <w:left w:w="0" w:type="dxa"/>
              <w:right w:w="0" w:type="dxa"/>
            </w:tcMar>
          </w:tcPr>
          <w:p w:rsidR="00216231" w:rsidRDefault="00216231" w:rsidP="006B3FA1">
            <w:pPr>
              <w:rPr>
                <w:sz w:val="20"/>
                <w:szCs w:val="20"/>
              </w:rPr>
            </w:pPr>
          </w:p>
          <w:p w:rsidR="006B3FA1" w:rsidRPr="003B3977" w:rsidRDefault="00216231" w:rsidP="006B3FA1">
            <w:pPr>
              <w:rPr>
                <w:sz w:val="20"/>
                <w:szCs w:val="20"/>
              </w:rPr>
            </w:pPr>
            <w:r>
              <w:rPr>
                <w:sz w:val="20"/>
                <w:szCs w:val="20"/>
              </w:rPr>
              <w:t>13</w:t>
            </w:r>
            <w:r w:rsidR="006B3FA1" w:rsidRPr="003B3977">
              <w:rPr>
                <w:sz w:val="20"/>
                <w:szCs w:val="20"/>
              </w:rPr>
              <w:t>.0</w:t>
            </w:r>
            <w:r w:rsidR="006B3FA1">
              <w:rPr>
                <w:sz w:val="20"/>
                <w:szCs w:val="20"/>
              </w:rPr>
              <w:t>5</w:t>
            </w:r>
            <w:r w:rsidR="006B3FA1" w:rsidRPr="003B3977">
              <w:rPr>
                <w:sz w:val="20"/>
                <w:szCs w:val="20"/>
              </w:rPr>
              <w:t>.201</w:t>
            </w:r>
            <w:r w:rsidR="006B3FA1">
              <w:rPr>
                <w:sz w:val="20"/>
                <w:szCs w:val="20"/>
              </w:rPr>
              <w:t>3</w:t>
            </w:r>
          </w:p>
          <w:p w:rsidR="006B3FA1" w:rsidRPr="003B3977" w:rsidRDefault="006B3FA1" w:rsidP="006B3FA1">
            <w:pPr>
              <w:rPr>
                <w:sz w:val="20"/>
                <w:szCs w:val="20"/>
              </w:rPr>
            </w:pPr>
          </w:p>
          <w:p w:rsidR="006B3FA1" w:rsidRPr="003B3977" w:rsidRDefault="00216231" w:rsidP="006B3FA1">
            <w:pPr>
              <w:rPr>
                <w:b/>
                <w:sz w:val="20"/>
                <w:szCs w:val="20"/>
              </w:rPr>
            </w:pPr>
            <w:r>
              <w:rPr>
                <w:b/>
                <w:sz w:val="20"/>
                <w:szCs w:val="20"/>
              </w:rPr>
              <w:t>Amex Bank of Canada</w:t>
            </w:r>
          </w:p>
          <w:p w:rsidR="006B3FA1" w:rsidRPr="003B3977" w:rsidRDefault="006B3FA1" w:rsidP="006B3FA1">
            <w:pPr>
              <w:rPr>
                <w:b/>
                <w:sz w:val="20"/>
                <w:szCs w:val="20"/>
              </w:rPr>
            </w:pPr>
          </w:p>
          <w:p w:rsidR="006B3FA1" w:rsidRPr="003B3977" w:rsidRDefault="006B3FA1" w:rsidP="006B3FA1">
            <w:pPr>
              <w:rPr>
                <w:b/>
                <w:sz w:val="20"/>
                <w:szCs w:val="20"/>
              </w:rPr>
            </w:pPr>
            <w:r w:rsidRPr="003B3977">
              <w:rPr>
                <w:b/>
                <w:sz w:val="20"/>
                <w:szCs w:val="20"/>
              </w:rPr>
              <w:tab/>
              <w:t>v. (3</w:t>
            </w:r>
            <w:r>
              <w:rPr>
                <w:b/>
                <w:sz w:val="20"/>
                <w:szCs w:val="20"/>
              </w:rPr>
              <w:t>5</w:t>
            </w:r>
            <w:r w:rsidR="00216231">
              <w:rPr>
                <w:b/>
                <w:sz w:val="20"/>
                <w:szCs w:val="20"/>
              </w:rPr>
              <w:t>0</w:t>
            </w:r>
            <w:r w:rsidRPr="003B3977">
              <w:rPr>
                <w:b/>
                <w:sz w:val="20"/>
                <w:szCs w:val="20"/>
              </w:rPr>
              <w:t>3</w:t>
            </w:r>
            <w:r w:rsidR="00216231">
              <w:rPr>
                <w:b/>
                <w:sz w:val="20"/>
                <w:szCs w:val="20"/>
              </w:rPr>
              <w:t>3</w:t>
            </w:r>
            <w:r w:rsidRPr="003B3977">
              <w:rPr>
                <w:b/>
                <w:sz w:val="20"/>
                <w:szCs w:val="20"/>
              </w:rPr>
              <w:t>)</w:t>
            </w:r>
          </w:p>
          <w:p w:rsidR="006B3FA1" w:rsidRPr="003B3977" w:rsidRDefault="006B3FA1" w:rsidP="006B3FA1">
            <w:pPr>
              <w:rPr>
                <w:b/>
                <w:sz w:val="20"/>
                <w:szCs w:val="20"/>
              </w:rPr>
            </w:pPr>
          </w:p>
          <w:p w:rsidR="006B3FA1" w:rsidRPr="008D3430" w:rsidRDefault="00216231" w:rsidP="006B3FA1">
            <w:pPr>
              <w:rPr>
                <w:b/>
                <w:sz w:val="20"/>
                <w:szCs w:val="20"/>
                <w:lang w:val="fr-CA"/>
              </w:rPr>
            </w:pPr>
            <w:proofErr w:type="spellStart"/>
            <w:r w:rsidRPr="008D3430">
              <w:rPr>
                <w:b/>
                <w:sz w:val="20"/>
                <w:szCs w:val="20"/>
                <w:lang w:val="fr-CA"/>
              </w:rPr>
              <w:t>Sylvan</w:t>
            </w:r>
            <w:proofErr w:type="spellEnd"/>
            <w:r w:rsidRPr="008D3430">
              <w:rPr>
                <w:b/>
                <w:sz w:val="20"/>
                <w:szCs w:val="20"/>
                <w:lang w:val="fr-CA"/>
              </w:rPr>
              <w:t xml:space="preserve"> Adams et al.</w:t>
            </w:r>
            <w:r w:rsidR="006B3FA1" w:rsidRPr="008D3430">
              <w:rPr>
                <w:b/>
                <w:sz w:val="20"/>
                <w:szCs w:val="20"/>
                <w:lang w:val="fr-CA"/>
              </w:rPr>
              <w:t xml:space="preserve"> (</w:t>
            </w:r>
            <w:r w:rsidRPr="008D3430">
              <w:rPr>
                <w:b/>
                <w:sz w:val="20"/>
                <w:szCs w:val="20"/>
                <w:lang w:val="fr-CA"/>
              </w:rPr>
              <w:t>Que</w:t>
            </w:r>
            <w:r w:rsidR="006B3FA1" w:rsidRPr="008D3430">
              <w:rPr>
                <w:b/>
                <w:sz w:val="20"/>
                <w:szCs w:val="20"/>
                <w:lang w:val="fr-CA"/>
              </w:rPr>
              <w:t>.)</w:t>
            </w:r>
          </w:p>
          <w:p w:rsidR="006B3FA1" w:rsidRPr="008D3430" w:rsidRDefault="006B3FA1" w:rsidP="006B3FA1">
            <w:pPr>
              <w:rPr>
                <w:sz w:val="20"/>
                <w:szCs w:val="20"/>
                <w:lang w:val="fr-CA"/>
              </w:rPr>
            </w:pPr>
          </w:p>
          <w:p w:rsidR="006B3FA1" w:rsidRPr="003B3977" w:rsidRDefault="006B3FA1" w:rsidP="006B3FA1">
            <w:pPr>
              <w:rPr>
                <w:sz w:val="20"/>
                <w:szCs w:val="20"/>
              </w:rPr>
            </w:pPr>
            <w:r w:rsidRPr="003B3977">
              <w:rPr>
                <w:sz w:val="20"/>
                <w:szCs w:val="20"/>
              </w:rPr>
              <w:t>(</w:t>
            </w:r>
            <w:r>
              <w:rPr>
                <w:sz w:val="20"/>
                <w:szCs w:val="20"/>
              </w:rPr>
              <w:t>By Leave</w:t>
            </w:r>
            <w:r w:rsidRPr="003B3977">
              <w:rPr>
                <w:sz w:val="20"/>
                <w:szCs w:val="20"/>
              </w:rPr>
              <w:t>)</w:t>
            </w:r>
          </w:p>
          <w:p w:rsidR="006B3FA1" w:rsidRPr="003B3977" w:rsidRDefault="006B3FA1" w:rsidP="006B3FA1">
            <w:pPr>
              <w:rPr>
                <w:sz w:val="20"/>
                <w:szCs w:val="20"/>
              </w:rPr>
            </w:pPr>
          </w:p>
          <w:p w:rsidR="006B3FA1" w:rsidRPr="003B3977" w:rsidRDefault="0028676C" w:rsidP="006B3FA1">
            <w:pPr>
              <w:rPr>
                <w:sz w:val="20"/>
                <w:szCs w:val="20"/>
              </w:rPr>
            </w:pPr>
            <w:r w:rsidRPr="0028676C">
              <w:rPr>
                <w:sz w:val="20"/>
                <w:szCs w:val="20"/>
                <w:lang w:val="fr-CA"/>
              </w:rPr>
              <w:pict>
                <v:rect id="_x0000_i1100" style="width:106.1pt;height:1pt" o:hrpct="500" o:hralign="center" o:hrstd="t" o:hrnoshade="t" o:hr="t" fillcolor="black [3213]" stroked="f"/>
              </w:pict>
            </w:r>
          </w:p>
        </w:tc>
        <w:tc>
          <w:tcPr>
            <w:tcW w:w="588" w:type="pct"/>
          </w:tcPr>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Default="006B3FA1" w:rsidP="0010587F">
            <w:pPr>
              <w:jc w:val="center"/>
              <w:rPr>
                <w:sz w:val="20"/>
                <w:szCs w:val="20"/>
              </w:rPr>
            </w:pPr>
          </w:p>
          <w:p w:rsidR="006B3FA1" w:rsidRPr="003B3977" w:rsidRDefault="006B3FA1" w:rsidP="0010587F">
            <w:pPr>
              <w:jc w:val="center"/>
              <w:rPr>
                <w:sz w:val="20"/>
                <w:szCs w:val="20"/>
              </w:rPr>
            </w:pPr>
          </w:p>
        </w:tc>
        <w:tc>
          <w:tcPr>
            <w:tcW w:w="2206" w:type="pct"/>
          </w:tcPr>
          <w:p w:rsidR="006B3FA1" w:rsidRDefault="006B3FA1" w:rsidP="006B3FA1">
            <w:pPr>
              <w:rPr>
                <w:sz w:val="20"/>
                <w:szCs w:val="20"/>
              </w:rPr>
            </w:pPr>
            <w:r>
              <w:rPr>
                <w:sz w:val="20"/>
                <w:szCs w:val="20"/>
              </w:rPr>
              <w:t>1</w:t>
            </w:r>
            <w:r w:rsidR="00216231">
              <w:rPr>
                <w:sz w:val="20"/>
                <w:szCs w:val="20"/>
              </w:rPr>
              <w:t>3</w:t>
            </w:r>
            <w:r>
              <w:rPr>
                <w:sz w:val="20"/>
                <w:szCs w:val="20"/>
              </w:rPr>
              <w:t>.05.2013</w:t>
            </w:r>
          </w:p>
          <w:p w:rsidR="006B3FA1" w:rsidRDefault="006B3FA1" w:rsidP="006B3FA1">
            <w:pPr>
              <w:rPr>
                <w:sz w:val="20"/>
                <w:szCs w:val="20"/>
              </w:rPr>
            </w:pPr>
          </w:p>
          <w:p w:rsidR="006B3FA1" w:rsidRDefault="00216231" w:rsidP="006B3FA1">
            <w:pPr>
              <w:rPr>
                <w:b/>
                <w:sz w:val="20"/>
                <w:szCs w:val="20"/>
              </w:rPr>
            </w:pPr>
            <w:proofErr w:type="spellStart"/>
            <w:r>
              <w:rPr>
                <w:b/>
                <w:sz w:val="20"/>
                <w:szCs w:val="20"/>
              </w:rPr>
              <w:t>Dax</w:t>
            </w:r>
            <w:proofErr w:type="spellEnd"/>
            <w:r>
              <w:rPr>
                <w:b/>
                <w:sz w:val="20"/>
                <w:szCs w:val="20"/>
              </w:rPr>
              <w:t xml:space="preserve"> Richard Mack</w:t>
            </w:r>
          </w:p>
          <w:p w:rsidR="006B3FA1" w:rsidRDefault="006B3FA1" w:rsidP="006B3FA1">
            <w:pPr>
              <w:rPr>
                <w:b/>
                <w:sz w:val="20"/>
                <w:szCs w:val="20"/>
              </w:rPr>
            </w:pPr>
          </w:p>
          <w:p w:rsidR="006B3FA1" w:rsidRDefault="006B3FA1" w:rsidP="006B3FA1">
            <w:pPr>
              <w:rPr>
                <w:b/>
                <w:sz w:val="20"/>
                <w:szCs w:val="20"/>
              </w:rPr>
            </w:pPr>
            <w:r>
              <w:rPr>
                <w:b/>
                <w:sz w:val="20"/>
                <w:szCs w:val="20"/>
              </w:rPr>
              <w:tab/>
              <w:t>v. (35</w:t>
            </w:r>
            <w:r w:rsidR="00216231">
              <w:rPr>
                <w:b/>
                <w:sz w:val="20"/>
                <w:szCs w:val="20"/>
              </w:rPr>
              <w:t>093</w:t>
            </w:r>
            <w:r>
              <w:rPr>
                <w:b/>
                <w:sz w:val="20"/>
                <w:szCs w:val="20"/>
              </w:rPr>
              <w:t>)</w:t>
            </w:r>
          </w:p>
          <w:p w:rsidR="006B3FA1" w:rsidRDefault="006B3FA1" w:rsidP="006B3FA1">
            <w:pPr>
              <w:rPr>
                <w:b/>
                <w:sz w:val="20"/>
                <w:szCs w:val="20"/>
              </w:rPr>
            </w:pPr>
          </w:p>
          <w:p w:rsidR="006B3FA1" w:rsidRDefault="00216231" w:rsidP="006B3FA1">
            <w:pPr>
              <w:rPr>
                <w:b/>
                <w:sz w:val="20"/>
                <w:szCs w:val="20"/>
              </w:rPr>
            </w:pPr>
            <w:r>
              <w:rPr>
                <w:b/>
                <w:sz w:val="20"/>
                <w:szCs w:val="20"/>
              </w:rPr>
              <w:t xml:space="preserve">Her Majesty the Queen </w:t>
            </w:r>
            <w:r w:rsidR="006B3FA1">
              <w:rPr>
                <w:b/>
                <w:sz w:val="20"/>
                <w:szCs w:val="20"/>
              </w:rPr>
              <w:t>(</w:t>
            </w:r>
            <w:r>
              <w:rPr>
                <w:b/>
                <w:sz w:val="20"/>
                <w:szCs w:val="20"/>
              </w:rPr>
              <w:t>Alta</w:t>
            </w:r>
            <w:r w:rsidR="006B3FA1">
              <w:rPr>
                <w:b/>
                <w:sz w:val="20"/>
                <w:szCs w:val="20"/>
              </w:rPr>
              <w:t>.)</w:t>
            </w:r>
          </w:p>
          <w:p w:rsidR="006B3FA1" w:rsidRDefault="006B3FA1" w:rsidP="006B3FA1">
            <w:pPr>
              <w:rPr>
                <w:sz w:val="20"/>
                <w:szCs w:val="20"/>
              </w:rPr>
            </w:pPr>
          </w:p>
          <w:p w:rsidR="006B3FA1" w:rsidRDefault="006B3FA1" w:rsidP="006B3FA1">
            <w:pPr>
              <w:rPr>
                <w:sz w:val="20"/>
                <w:szCs w:val="20"/>
              </w:rPr>
            </w:pPr>
            <w:r>
              <w:rPr>
                <w:sz w:val="20"/>
                <w:szCs w:val="20"/>
              </w:rPr>
              <w:t>(By Leave)</w:t>
            </w:r>
          </w:p>
          <w:p w:rsidR="006B3FA1" w:rsidRDefault="006B3FA1" w:rsidP="006B3FA1">
            <w:pPr>
              <w:rPr>
                <w:sz w:val="20"/>
                <w:szCs w:val="20"/>
              </w:rPr>
            </w:pPr>
          </w:p>
          <w:p w:rsidR="006B3FA1" w:rsidRDefault="0028676C" w:rsidP="006B3FA1">
            <w:pPr>
              <w:rPr>
                <w:sz w:val="20"/>
                <w:szCs w:val="20"/>
              </w:rPr>
            </w:pPr>
            <w:r w:rsidRPr="0028676C">
              <w:rPr>
                <w:sz w:val="20"/>
                <w:szCs w:val="20"/>
                <w:lang w:val="fr-CA"/>
              </w:rPr>
              <w:pict>
                <v:rect id="_x0000_i1101" style="width:106.1pt;height:1pt" o:hrpct="500" o:hralign="center" o:hrstd="t" o:hrnoshade="t" o:hr="t" fillcolor="black [3213]" stroked="f"/>
              </w:pict>
            </w:r>
          </w:p>
        </w:tc>
      </w:tr>
      <w:tr w:rsidR="00216231" w:rsidRPr="003B3977" w:rsidTr="0010587F">
        <w:trPr>
          <w:cantSplit/>
        </w:trPr>
        <w:tc>
          <w:tcPr>
            <w:tcW w:w="2206" w:type="pct"/>
            <w:tcMar>
              <w:left w:w="0" w:type="dxa"/>
              <w:right w:w="0" w:type="dxa"/>
            </w:tcMar>
          </w:tcPr>
          <w:p w:rsidR="00216231" w:rsidRPr="003B3977" w:rsidRDefault="00216231" w:rsidP="00216231">
            <w:pPr>
              <w:rPr>
                <w:sz w:val="20"/>
                <w:szCs w:val="20"/>
              </w:rPr>
            </w:pPr>
            <w:r>
              <w:rPr>
                <w:sz w:val="20"/>
                <w:szCs w:val="20"/>
              </w:rPr>
              <w:t>13</w:t>
            </w:r>
            <w:r w:rsidRPr="003B3977">
              <w:rPr>
                <w:sz w:val="20"/>
                <w:szCs w:val="20"/>
              </w:rPr>
              <w:t>.0</w:t>
            </w:r>
            <w:r>
              <w:rPr>
                <w:sz w:val="20"/>
                <w:szCs w:val="20"/>
              </w:rPr>
              <w:t>5</w:t>
            </w:r>
            <w:r w:rsidRPr="003B3977">
              <w:rPr>
                <w:sz w:val="20"/>
                <w:szCs w:val="20"/>
              </w:rPr>
              <w:t>.201</w:t>
            </w:r>
            <w:r>
              <w:rPr>
                <w:sz w:val="20"/>
                <w:szCs w:val="20"/>
              </w:rPr>
              <w:t>3</w:t>
            </w:r>
          </w:p>
          <w:p w:rsidR="00216231" w:rsidRPr="003B3977" w:rsidRDefault="00216231" w:rsidP="00216231">
            <w:pPr>
              <w:rPr>
                <w:sz w:val="20"/>
                <w:szCs w:val="20"/>
              </w:rPr>
            </w:pPr>
          </w:p>
          <w:p w:rsidR="00216231" w:rsidRPr="003B3977" w:rsidRDefault="00216231" w:rsidP="00216231">
            <w:pPr>
              <w:rPr>
                <w:b/>
                <w:sz w:val="20"/>
                <w:szCs w:val="20"/>
              </w:rPr>
            </w:pPr>
            <w:r w:rsidRPr="003B3977">
              <w:rPr>
                <w:b/>
                <w:sz w:val="20"/>
                <w:szCs w:val="20"/>
              </w:rPr>
              <w:t>Her Majesty the Queen</w:t>
            </w:r>
          </w:p>
          <w:p w:rsidR="00216231" w:rsidRPr="003B3977" w:rsidRDefault="00216231" w:rsidP="00216231">
            <w:pPr>
              <w:rPr>
                <w:b/>
                <w:sz w:val="20"/>
                <w:szCs w:val="20"/>
              </w:rPr>
            </w:pPr>
          </w:p>
          <w:p w:rsidR="00216231" w:rsidRPr="003B3977" w:rsidRDefault="00216231" w:rsidP="00216231">
            <w:pPr>
              <w:rPr>
                <w:b/>
                <w:sz w:val="20"/>
                <w:szCs w:val="20"/>
              </w:rPr>
            </w:pPr>
            <w:r w:rsidRPr="003B3977">
              <w:rPr>
                <w:b/>
                <w:sz w:val="20"/>
                <w:szCs w:val="20"/>
              </w:rPr>
              <w:tab/>
              <w:t>v. (3</w:t>
            </w:r>
            <w:r>
              <w:rPr>
                <w:b/>
                <w:sz w:val="20"/>
                <w:szCs w:val="20"/>
              </w:rPr>
              <w:t>5</w:t>
            </w:r>
            <w:r w:rsidRPr="003B3977">
              <w:rPr>
                <w:b/>
                <w:sz w:val="20"/>
                <w:szCs w:val="20"/>
              </w:rPr>
              <w:t>1</w:t>
            </w:r>
            <w:r>
              <w:rPr>
                <w:b/>
                <w:sz w:val="20"/>
                <w:szCs w:val="20"/>
              </w:rPr>
              <w:t>15</w:t>
            </w:r>
            <w:r w:rsidRPr="003B3977">
              <w:rPr>
                <w:b/>
                <w:sz w:val="20"/>
                <w:szCs w:val="20"/>
              </w:rPr>
              <w:t>)</w:t>
            </w:r>
          </w:p>
          <w:p w:rsidR="00216231" w:rsidRPr="003B3977" w:rsidRDefault="00216231" w:rsidP="00216231">
            <w:pPr>
              <w:rPr>
                <w:b/>
                <w:sz w:val="20"/>
                <w:szCs w:val="20"/>
              </w:rPr>
            </w:pPr>
          </w:p>
          <w:p w:rsidR="00216231" w:rsidRPr="003B3977" w:rsidRDefault="00216231" w:rsidP="00216231">
            <w:pPr>
              <w:rPr>
                <w:b/>
                <w:sz w:val="20"/>
                <w:szCs w:val="20"/>
              </w:rPr>
            </w:pPr>
            <w:r>
              <w:rPr>
                <w:b/>
                <w:sz w:val="20"/>
                <w:szCs w:val="20"/>
              </w:rPr>
              <w:t xml:space="preserve">Level Aaron </w:t>
            </w:r>
            <w:proofErr w:type="spellStart"/>
            <w:r>
              <w:rPr>
                <w:b/>
                <w:sz w:val="20"/>
                <w:szCs w:val="20"/>
              </w:rPr>
              <w:t>Carvery</w:t>
            </w:r>
            <w:proofErr w:type="spellEnd"/>
            <w:r w:rsidRPr="003B3977">
              <w:rPr>
                <w:b/>
                <w:sz w:val="20"/>
                <w:szCs w:val="20"/>
              </w:rPr>
              <w:t xml:space="preserve"> (</w:t>
            </w:r>
            <w:r>
              <w:rPr>
                <w:b/>
                <w:sz w:val="20"/>
                <w:szCs w:val="20"/>
              </w:rPr>
              <w:t>N.S</w:t>
            </w:r>
            <w:r w:rsidRPr="003B3977">
              <w:rPr>
                <w:b/>
                <w:sz w:val="20"/>
                <w:szCs w:val="20"/>
              </w:rPr>
              <w:t>.)</w:t>
            </w:r>
          </w:p>
          <w:p w:rsidR="00216231" w:rsidRPr="003B3977" w:rsidRDefault="00216231" w:rsidP="00216231">
            <w:pPr>
              <w:rPr>
                <w:sz w:val="20"/>
                <w:szCs w:val="20"/>
              </w:rPr>
            </w:pPr>
          </w:p>
          <w:p w:rsidR="00216231" w:rsidRPr="003B3977" w:rsidRDefault="00216231" w:rsidP="00216231">
            <w:pPr>
              <w:rPr>
                <w:sz w:val="20"/>
                <w:szCs w:val="20"/>
              </w:rPr>
            </w:pPr>
            <w:r w:rsidRPr="003B3977">
              <w:rPr>
                <w:sz w:val="20"/>
                <w:szCs w:val="20"/>
              </w:rPr>
              <w:t>(</w:t>
            </w:r>
            <w:r>
              <w:rPr>
                <w:sz w:val="20"/>
                <w:szCs w:val="20"/>
              </w:rPr>
              <w:t>By Leave</w:t>
            </w:r>
            <w:r w:rsidRPr="003B3977">
              <w:rPr>
                <w:sz w:val="20"/>
                <w:szCs w:val="20"/>
              </w:rPr>
              <w:t>)</w:t>
            </w:r>
          </w:p>
          <w:p w:rsidR="00216231" w:rsidRPr="003B3977" w:rsidRDefault="00216231" w:rsidP="00216231">
            <w:pPr>
              <w:rPr>
                <w:sz w:val="20"/>
                <w:szCs w:val="20"/>
              </w:rPr>
            </w:pPr>
          </w:p>
          <w:p w:rsidR="00216231" w:rsidRDefault="0028676C" w:rsidP="00216231">
            <w:pPr>
              <w:rPr>
                <w:sz w:val="20"/>
                <w:szCs w:val="20"/>
              </w:rPr>
            </w:pPr>
            <w:r w:rsidRPr="0028676C">
              <w:rPr>
                <w:sz w:val="20"/>
                <w:szCs w:val="20"/>
                <w:lang w:val="fr-CA"/>
              </w:rPr>
              <w:pict>
                <v:rect id="_x0000_i1102" style="width:106.1pt;height:1pt" o:hrpct="500" o:hralign="center" o:hrstd="t" o:hrnoshade="t" o:hr="t" fillcolor="black [3213]" stroked="f"/>
              </w:pict>
            </w:r>
          </w:p>
        </w:tc>
        <w:tc>
          <w:tcPr>
            <w:tcW w:w="588" w:type="pct"/>
          </w:tcPr>
          <w:p w:rsidR="00216231" w:rsidRDefault="00216231" w:rsidP="0010587F">
            <w:pPr>
              <w:jc w:val="center"/>
              <w:rPr>
                <w:sz w:val="20"/>
                <w:szCs w:val="20"/>
              </w:rPr>
            </w:pPr>
          </w:p>
          <w:p w:rsidR="00216231" w:rsidRDefault="00216231" w:rsidP="0010587F">
            <w:pPr>
              <w:jc w:val="center"/>
              <w:rPr>
                <w:sz w:val="20"/>
                <w:szCs w:val="20"/>
              </w:rPr>
            </w:pPr>
          </w:p>
          <w:p w:rsidR="00216231" w:rsidRDefault="00216231" w:rsidP="0010587F">
            <w:pPr>
              <w:jc w:val="center"/>
              <w:rPr>
                <w:sz w:val="20"/>
                <w:szCs w:val="20"/>
              </w:rPr>
            </w:pPr>
          </w:p>
          <w:p w:rsidR="00216231" w:rsidRDefault="00216231" w:rsidP="0010587F">
            <w:pPr>
              <w:jc w:val="center"/>
              <w:rPr>
                <w:sz w:val="20"/>
                <w:szCs w:val="20"/>
              </w:rPr>
            </w:pPr>
          </w:p>
          <w:p w:rsidR="00216231" w:rsidRDefault="00216231" w:rsidP="0010587F">
            <w:pPr>
              <w:jc w:val="center"/>
              <w:rPr>
                <w:sz w:val="20"/>
                <w:szCs w:val="20"/>
              </w:rPr>
            </w:pPr>
          </w:p>
          <w:p w:rsidR="00216231" w:rsidRDefault="00216231" w:rsidP="0010587F">
            <w:pPr>
              <w:jc w:val="center"/>
              <w:rPr>
                <w:sz w:val="20"/>
                <w:szCs w:val="20"/>
              </w:rPr>
            </w:pPr>
          </w:p>
          <w:p w:rsidR="00216231" w:rsidRDefault="00216231" w:rsidP="0010587F">
            <w:pPr>
              <w:jc w:val="center"/>
              <w:rPr>
                <w:sz w:val="20"/>
                <w:szCs w:val="20"/>
              </w:rPr>
            </w:pPr>
          </w:p>
          <w:p w:rsidR="00216231" w:rsidRDefault="00216231" w:rsidP="0010587F">
            <w:pPr>
              <w:jc w:val="center"/>
              <w:rPr>
                <w:sz w:val="20"/>
                <w:szCs w:val="20"/>
              </w:rPr>
            </w:pPr>
          </w:p>
          <w:p w:rsidR="00216231" w:rsidRDefault="00216231" w:rsidP="0010587F">
            <w:pPr>
              <w:jc w:val="center"/>
              <w:rPr>
                <w:sz w:val="20"/>
                <w:szCs w:val="20"/>
              </w:rPr>
            </w:pPr>
          </w:p>
          <w:p w:rsidR="00216231" w:rsidRDefault="00216231" w:rsidP="0010587F">
            <w:pPr>
              <w:jc w:val="center"/>
              <w:rPr>
                <w:sz w:val="20"/>
                <w:szCs w:val="20"/>
              </w:rPr>
            </w:pPr>
          </w:p>
          <w:p w:rsidR="00216231" w:rsidRDefault="00216231" w:rsidP="0010587F">
            <w:pPr>
              <w:jc w:val="center"/>
              <w:rPr>
                <w:sz w:val="20"/>
                <w:szCs w:val="20"/>
              </w:rPr>
            </w:pPr>
          </w:p>
          <w:p w:rsidR="00216231" w:rsidRDefault="00216231" w:rsidP="0010587F">
            <w:pPr>
              <w:jc w:val="center"/>
              <w:rPr>
                <w:sz w:val="20"/>
                <w:szCs w:val="20"/>
              </w:rPr>
            </w:pPr>
          </w:p>
        </w:tc>
        <w:tc>
          <w:tcPr>
            <w:tcW w:w="2206" w:type="pct"/>
          </w:tcPr>
          <w:p w:rsidR="00216231" w:rsidRDefault="00216231" w:rsidP="00216231">
            <w:pPr>
              <w:rPr>
                <w:sz w:val="20"/>
                <w:szCs w:val="20"/>
              </w:rPr>
            </w:pPr>
            <w:r>
              <w:rPr>
                <w:sz w:val="20"/>
                <w:szCs w:val="20"/>
              </w:rPr>
              <w:t>13.05.2013</w:t>
            </w:r>
          </w:p>
          <w:p w:rsidR="00216231" w:rsidRDefault="00216231" w:rsidP="00216231">
            <w:pPr>
              <w:rPr>
                <w:sz w:val="20"/>
                <w:szCs w:val="20"/>
              </w:rPr>
            </w:pPr>
          </w:p>
          <w:p w:rsidR="00216231" w:rsidRDefault="00216231" w:rsidP="00216231">
            <w:pPr>
              <w:rPr>
                <w:b/>
                <w:sz w:val="20"/>
                <w:szCs w:val="20"/>
              </w:rPr>
            </w:pPr>
            <w:r>
              <w:rPr>
                <w:b/>
                <w:sz w:val="20"/>
                <w:szCs w:val="20"/>
              </w:rPr>
              <w:t>Canadian National Railway Company</w:t>
            </w:r>
          </w:p>
          <w:p w:rsidR="00216231" w:rsidRDefault="00216231" w:rsidP="00216231">
            <w:pPr>
              <w:rPr>
                <w:b/>
                <w:sz w:val="20"/>
                <w:szCs w:val="20"/>
              </w:rPr>
            </w:pPr>
          </w:p>
          <w:p w:rsidR="00216231" w:rsidRDefault="00216231" w:rsidP="00216231">
            <w:pPr>
              <w:rPr>
                <w:b/>
                <w:sz w:val="20"/>
                <w:szCs w:val="20"/>
              </w:rPr>
            </w:pPr>
            <w:r>
              <w:rPr>
                <w:b/>
                <w:sz w:val="20"/>
                <w:szCs w:val="20"/>
              </w:rPr>
              <w:tab/>
              <w:t>v. (35145)</w:t>
            </w:r>
          </w:p>
          <w:p w:rsidR="00216231" w:rsidRDefault="00216231" w:rsidP="00216231">
            <w:pPr>
              <w:rPr>
                <w:b/>
                <w:sz w:val="20"/>
                <w:szCs w:val="20"/>
              </w:rPr>
            </w:pPr>
          </w:p>
          <w:p w:rsidR="00216231" w:rsidRDefault="00216231" w:rsidP="00216231">
            <w:pPr>
              <w:rPr>
                <w:b/>
                <w:sz w:val="20"/>
                <w:szCs w:val="20"/>
              </w:rPr>
            </w:pPr>
            <w:r>
              <w:rPr>
                <w:b/>
                <w:sz w:val="20"/>
                <w:szCs w:val="20"/>
              </w:rPr>
              <w:t>Attorney General of Canada et al. (F.C.)</w:t>
            </w:r>
          </w:p>
          <w:p w:rsidR="00216231" w:rsidRDefault="00216231" w:rsidP="00216231">
            <w:pPr>
              <w:rPr>
                <w:sz w:val="20"/>
                <w:szCs w:val="20"/>
              </w:rPr>
            </w:pPr>
          </w:p>
          <w:p w:rsidR="00216231" w:rsidRDefault="00216231" w:rsidP="00216231">
            <w:pPr>
              <w:rPr>
                <w:sz w:val="20"/>
                <w:szCs w:val="20"/>
              </w:rPr>
            </w:pPr>
            <w:r>
              <w:rPr>
                <w:sz w:val="20"/>
                <w:szCs w:val="20"/>
              </w:rPr>
              <w:t>(By Leave)</w:t>
            </w:r>
          </w:p>
          <w:p w:rsidR="00216231" w:rsidRDefault="00216231" w:rsidP="00216231">
            <w:pPr>
              <w:rPr>
                <w:sz w:val="20"/>
                <w:szCs w:val="20"/>
              </w:rPr>
            </w:pPr>
          </w:p>
          <w:p w:rsidR="00216231" w:rsidRDefault="0028676C" w:rsidP="00216231">
            <w:pPr>
              <w:rPr>
                <w:sz w:val="20"/>
                <w:szCs w:val="20"/>
              </w:rPr>
            </w:pPr>
            <w:r w:rsidRPr="0028676C">
              <w:rPr>
                <w:sz w:val="20"/>
                <w:szCs w:val="20"/>
                <w:lang w:val="fr-CA"/>
              </w:rPr>
              <w:pict>
                <v:rect id="_x0000_i1103"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tblPr>
      <w:tblGrid>
        <w:gridCol w:w="4230"/>
        <w:gridCol w:w="1080"/>
        <w:gridCol w:w="4410"/>
      </w:tblGrid>
      <w:tr w:rsidR="00802863" w:rsidRPr="00B6040C"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080"/>
        <w:gridCol w:w="4417"/>
      </w:tblGrid>
      <w:tr w:rsidR="00802863" w:rsidRPr="00C50A5C" w:rsidTr="00C1697B">
        <w:trPr>
          <w:cantSplit/>
        </w:trPr>
        <w:tc>
          <w:tcPr>
            <w:tcW w:w="4338" w:type="dxa"/>
            <w:shd w:val="clear" w:color="auto" w:fill="auto"/>
          </w:tcPr>
          <w:p w:rsidR="00C1697B" w:rsidRPr="00C50A5C" w:rsidRDefault="00EF47F2" w:rsidP="00C1697B">
            <w:pPr>
              <w:rPr>
                <w:sz w:val="20"/>
                <w:szCs w:val="20"/>
              </w:rPr>
            </w:pPr>
            <w:r>
              <w:rPr>
                <w:sz w:val="20"/>
                <w:szCs w:val="20"/>
              </w:rPr>
              <w:t>02</w:t>
            </w:r>
            <w:r w:rsidR="00C1697B" w:rsidRPr="00C50A5C">
              <w:rPr>
                <w:sz w:val="20"/>
                <w:szCs w:val="20"/>
              </w:rPr>
              <w:t>.05.201</w:t>
            </w:r>
            <w:r>
              <w:rPr>
                <w:sz w:val="20"/>
                <w:szCs w:val="20"/>
              </w:rPr>
              <w:t>3</w:t>
            </w:r>
          </w:p>
          <w:p w:rsidR="00C1697B" w:rsidRPr="00C50A5C" w:rsidRDefault="00C1697B" w:rsidP="00C1697B">
            <w:pPr>
              <w:rPr>
                <w:sz w:val="20"/>
                <w:szCs w:val="20"/>
              </w:rPr>
            </w:pPr>
          </w:p>
          <w:p w:rsidR="00C1697B" w:rsidRPr="00C1697B" w:rsidRDefault="00EF47F2" w:rsidP="00C1697B">
            <w:pPr>
              <w:rPr>
                <w:b/>
                <w:sz w:val="20"/>
                <w:szCs w:val="20"/>
              </w:rPr>
            </w:pPr>
            <w:r>
              <w:rPr>
                <w:b/>
                <w:sz w:val="20"/>
                <w:szCs w:val="20"/>
              </w:rPr>
              <w:t>Paul Gustav Mo</w:t>
            </w:r>
            <w:r w:rsidR="00C1697B" w:rsidRPr="00C1697B">
              <w:rPr>
                <w:b/>
                <w:sz w:val="20"/>
                <w:szCs w:val="20"/>
              </w:rPr>
              <w:t>rt</w:t>
            </w:r>
            <w:r>
              <w:rPr>
                <w:b/>
                <w:sz w:val="20"/>
                <w:szCs w:val="20"/>
              </w:rPr>
              <w:t>o</w:t>
            </w:r>
            <w:r w:rsidR="00C1697B" w:rsidRPr="00C1697B">
              <w:rPr>
                <w:b/>
                <w:sz w:val="20"/>
                <w:szCs w:val="20"/>
              </w:rPr>
              <w:t>n</w:t>
            </w:r>
            <w:r w:rsidR="00417B01">
              <w:rPr>
                <w:b/>
                <w:sz w:val="20"/>
                <w:szCs w:val="20"/>
              </w:rPr>
              <w:t xml:space="preserve"> et al.</w:t>
            </w:r>
          </w:p>
          <w:p w:rsidR="00C1697B" w:rsidRPr="00C1697B" w:rsidRDefault="00C1697B" w:rsidP="00C1697B">
            <w:pPr>
              <w:rPr>
                <w:b/>
                <w:sz w:val="20"/>
                <w:szCs w:val="20"/>
              </w:rPr>
            </w:pPr>
          </w:p>
          <w:p w:rsidR="00C1697B" w:rsidRPr="00C1697B" w:rsidRDefault="00C1697B" w:rsidP="00C1697B">
            <w:pPr>
              <w:rPr>
                <w:b/>
                <w:sz w:val="20"/>
                <w:szCs w:val="20"/>
              </w:rPr>
            </w:pPr>
            <w:r w:rsidRPr="00C1697B">
              <w:rPr>
                <w:b/>
                <w:sz w:val="20"/>
                <w:szCs w:val="20"/>
              </w:rPr>
              <w:tab/>
              <w:t>v. (3</w:t>
            </w:r>
            <w:r w:rsidR="00EF47F2">
              <w:rPr>
                <w:b/>
                <w:sz w:val="20"/>
                <w:szCs w:val="20"/>
              </w:rPr>
              <w:t>5251</w:t>
            </w:r>
            <w:r w:rsidRPr="00C1697B">
              <w:rPr>
                <w:b/>
                <w:sz w:val="20"/>
                <w:szCs w:val="20"/>
              </w:rPr>
              <w:t>)</w:t>
            </w:r>
          </w:p>
          <w:p w:rsidR="00C1697B" w:rsidRPr="00C1697B" w:rsidRDefault="00C1697B" w:rsidP="00C1697B">
            <w:pPr>
              <w:rPr>
                <w:b/>
                <w:sz w:val="20"/>
                <w:szCs w:val="20"/>
              </w:rPr>
            </w:pPr>
          </w:p>
          <w:p w:rsidR="00C1697B" w:rsidRPr="00C1697B" w:rsidRDefault="00EF47F2" w:rsidP="00C1697B">
            <w:pPr>
              <w:rPr>
                <w:b/>
                <w:sz w:val="20"/>
                <w:szCs w:val="20"/>
              </w:rPr>
            </w:pPr>
            <w:r>
              <w:rPr>
                <w:b/>
                <w:sz w:val="20"/>
                <w:szCs w:val="20"/>
              </w:rPr>
              <w:t>F</w:t>
            </w:r>
            <w:r w:rsidR="00C1697B" w:rsidRPr="00C1697B">
              <w:rPr>
                <w:b/>
                <w:sz w:val="20"/>
                <w:szCs w:val="20"/>
              </w:rPr>
              <w:t>i</w:t>
            </w:r>
            <w:r>
              <w:rPr>
                <w:b/>
                <w:sz w:val="20"/>
                <w:szCs w:val="20"/>
              </w:rPr>
              <w:t>fth Th</w:t>
            </w:r>
            <w:r w:rsidR="00C1697B" w:rsidRPr="00C1697B">
              <w:rPr>
                <w:b/>
                <w:sz w:val="20"/>
                <w:szCs w:val="20"/>
              </w:rPr>
              <w:t>i</w:t>
            </w:r>
            <w:r>
              <w:rPr>
                <w:b/>
                <w:sz w:val="20"/>
                <w:szCs w:val="20"/>
              </w:rPr>
              <w:t>rd Bank</w:t>
            </w:r>
            <w:r w:rsidR="00C1697B" w:rsidRPr="00C1697B">
              <w:rPr>
                <w:b/>
                <w:sz w:val="20"/>
                <w:szCs w:val="20"/>
              </w:rPr>
              <w:t xml:space="preserve"> (Ont.)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C50A5C" w:rsidRDefault="0028676C" w:rsidP="00697C62">
            <w:pPr>
              <w:rPr>
                <w:sz w:val="20"/>
                <w:szCs w:val="20"/>
                <w:lang w:val="fr-CA"/>
              </w:rPr>
            </w:pPr>
            <w:r w:rsidRPr="0028676C">
              <w:rPr>
                <w:sz w:val="20"/>
                <w:szCs w:val="20"/>
                <w:lang w:val="fr-CA"/>
              </w:rPr>
              <w:pict>
                <v:rect id="_x0000_i1106" style="width:108pt;height:1pt" o:hrpct="0" o:hralign="center" o:hrstd="t" o:hrnoshade="t" o:hr="t" fillcolor="black [3213]" stroked="f"/>
              </w:pict>
            </w:r>
          </w:p>
        </w:tc>
        <w:tc>
          <w:tcPr>
            <w:tcW w:w="1080"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417" w:type="dxa"/>
            <w:shd w:val="clear" w:color="auto" w:fill="auto"/>
          </w:tcPr>
          <w:p w:rsidR="00C1697B" w:rsidRPr="00C50A5C" w:rsidRDefault="00C1697B" w:rsidP="00C1697B">
            <w:pPr>
              <w:rPr>
                <w:sz w:val="20"/>
                <w:szCs w:val="20"/>
              </w:rPr>
            </w:pPr>
            <w:r w:rsidRPr="00C50A5C">
              <w:rPr>
                <w:sz w:val="20"/>
                <w:szCs w:val="20"/>
              </w:rPr>
              <w:t>1</w:t>
            </w:r>
            <w:r w:rsidR="00EF47F2">
              <w:rPr>
                <w:sz w:val="20"/>
                <w:szCs w:val="20"/>
              </w:rPr>
              <w:t>0</w:t>
            </w:r>
            <w:r w:rsidRPr="00C50A5C">
              <w:rPr>
                <w:sz w:val="20"/>
                <w:szCs w:val="20"/>
              </w:rPr>
              <w:t>.05.201</w:t>
            </w:r>
            <w:r w:rsidR="00EF47F2">
              <w:rPr>
                <w:sz w:val="20"/>
                <w:szCs w:val="20"/>
              </w:rPr>
              <w:t>3</w:t>
            </w:r>
          </w:p>
          <w:p w:rsidR="00C1697B" w:rsidRPr="00C50A5C" w:rsidRDefault="00C1697B" w:rsidP="00C1697B">
            <w:pPr>
              <w:rPr>
                <w:sz w:val="20"/>
                <w:szCs w:val="20"/>
              </w:rPr>
            </w:pPr>
          </w:p>
          <w:p w:rsidR="00C1697B" w:rsidRPr="00C1697B" w:rsidRDefault="00EF47F2" w:rsidP="00C1697B">
            <w:pPr>
              <w:rPr>
                <w:b/>
                <w:sz w:val="20"/>
                <w:szCs w:val="20"/>
              </w:rPr>
            </w:pPr>
            <w:r>
              <w:rPr>
                <w:b/>
                <w:sz w:val="20"/>
                <w:szCs w:val="20"/>
              </w:rPr>
              <w:t>Her Majesty the Qu</w:t>
            </w:r>
            <w:r w:rsidR="00C1697B" w:rsidRPr="00C1697B">
              <w:rPr>
                <w:b/>
                <w:sz w:val="20"/>
                <w:szCs w:val="20"/>
              </w:rPr>
              <w:t>een</w:t>
            </w:r>
          </w:p>
          <w:p w:rsidR="00C1697B" w:rsidRPr="00C1697B" w:rsidRDefault="00C1697B" w:rsidP="00C1697B">
            <w:pPr>
              <w:rPr>
                <w:b/>
                <w:sz w:val="20"/>
                <w:szCs w:val="20"/>
              </w:rPr>
            </w:pPr>
          </w:p>
          <w:p w:rsidR="00C1697B" w:rsidRPr="00C1697B" w:rsidRDefault="00C1697B" w:rsidP="00C1697B">
            <w:pPr>
              <w:rPr>
                <w:b/>
                <w:sz w:val="20"/>
                <w:szCs w:val="20"/>
              </w:rPr>
            </w:pPr>
            <w:r w:rsidRPr="00C1697B">
              <w:rPr>
                <w:b/>
                <w:sz w:val="20"/>
                <w:szCs w:val="20"/>
              </w:rPr>
              <w:tab/>
              <w:t>v. (3</w:t>
            </w:r>
            <w:r w:rsidR="00EF47F2">
              <w:rPr>
                <w:b/>
                <w:sz w:val="20"/>
                <w:szCs w:val="20"/>
              </w:rPr>
              <w:t>5241</w:t>
            </w:r>
            <w:r w:rsidRPr="00C1697B">
              <w:rPr>
                <w:b/>
                <w:sz w:val="20"/>
                <w:szCs w:val="20"/>
              </w:rPr>
              <w:t>)</w:t>
            </w:r>
          </w:p>
          <w:p w:rsidR="00C1697B" w:rsidRPr="00C1697B" w:rsidRDefault="00C1697B" w:rsidP="00C1697B">
            <w:pPr>
              <w:rPr>
                <w:b/>
                <w:sz w:val="20"/>
                <w:szCs w:val="20"/>
              </w:rPr>
            </w:pPr>
          </w:p>
          <w:p w:rsidR="00C1697B" w:rsidRPr="00C1697B" w:rsidRDefault="00EF47F2" w:rsidP="00C1697B">
            <w:pPr>
              <w:rPr>
                <w:b/>
                <w:sz w:val="20"/>
                <w:szCs w:val="20"/>
              </w:rPr>
            </w:pPr>
            <w:r>
              <w:rPr>
                <w:b/>
                <w:sz w:val="20"/>
                <w:szCs w:val="20"/>
              </w:rPr>
              <w:t>Chris Bishop (NU</w:t>
            </w:r>
            <w:r w:rsidR="00C1697B" w:rsidRPr="00C1697B">
              <w:rPr>
                <w:b/>
                <w:sz w:val="20"/>
                <w:szCs w:val="20"/>
              </w:rPr>
              <w:t>)</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w:t>
            </w:r>
            <w:r w:rsidR="00EF47F2">
              <w:rPr>
                <w:sz w:val="20"/>
                <w:szCs w:val="20"/>
              </w:rPr>
              <w:t>As or Right</w:t>
            </w:r>
            <w:r w:rsidRPr="00C50A5C">
              <w:rPr>
                <w:sz w:val="20"/>
                <w:szCs w:val="20"/>
              </w:rPr>
              <w:t>)</w:t>
            </w:r>
          </w:p>
          <w:p w:rsidR="00802863" w:rsidRPr="00C50A5C" w:rsidRDefault="00802863" w:rsidP="00802863">
            <w:pPr>
              <w:rPr>
                <w:sz w:val="20"/>
                <w:szCs w:val="20"/>
              </w:rPr>
            </w:pPr>
          </w:p>
          <w:p w:rsidR="00802863" w:rsidRPr="00C50A5C" w:rsidRDefault="0028676C" w:rsidP="00802863">
            <w:pPr>
              <w:rPr>
                <w:sz w:val="20"/>
                <w:szCs w:val="20"/>
                <w:lang w:val="fr-CA"/>
              </w:rPr>
            </w:pPr>
            <w:r w:rsidRPr="0028676C">
              <w:rPr>
                <w:sz w:val="20"/>
                <w:szCs w:val="20"/>
                <w:lang w:val="fr-CA"/>
              </w:rPr>
              <w:pict>
                <v:rect id="_x0000_i1107" style="width:108pt;height:1pt" o:hrpct="0" o:hralign="center" o:hrstd="t" o:hrnoshade="t" o:hr="t" fillcolor="black [3213]" stroked="f"/>
              </w:pict>
            </w:r>
          </w:p>
        </w:tc>
      </w:tr>
    </w:tbl>
    <w:p w:rsidR="00802863" w:rsidRPr="00C50A5C" w:rsidRDefault="00802863"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B6040C"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180577" w:rsidP="00732DB7">
      <w:pPr>
        <w:widowControl w:val="0"/>
        <w:rPr>
          <w:sz w:val="20"/>
          <w:szCs w:val="20"/>
        </w:rPr>
      </w:pPr>
      <w:r>
        <w:rPr>
          <w:sz w:val="20"/>
          <w:szCs w:val="20"/>
        </w:rPr>
        <w:t>1</w:t>
      </w:r>
      <w:r w:rsidR="00732DB7" w:rsidRPr="00C50A5C">
        <w:rPr>
          <w:sz w:val="20"/>
          <w:szCs w:val="20"/>
        </w:rPr>
        <w:t>4.0</w:t>
      </w:r>
      <w:r>
        <w:rPr>
          <w:sz w:val="20"/>
          <w:szCs w:val="20"/>
        </w:rPr>
        <w:t>5</w:t>
      </w:r>
      <w:r w:rsidR="00732DB7" w:rsidRPr="00C50A5C">
        <w:rPr>
          <w:sz w:val="20"/>
          <w:szCs w:val="20"/>
        </w:rPr>
        <w:t>.201</w:t>
      </w:r>
      <w:r>
        <w:rPr>
          <w:sz w:val="20"/>
          <w:szCs w:val="20"/>
        </w:rPr>
        <w:t>3</w:t>
      </w:r>
    </w:p>
    <w:p w:rsidR="00732DB7" w:rsidRDefault="00732DB7" w:rsidP="00732DB7">
      <w:pPr>
        <w:widowControl w:val="0"/>
        <w:rPr>
          <w:sz w:val="20"/>
          <w:szCs w:val="20"/>
        </w:rPr>
      </w:pPr>
    </w:p>
    <w:p w:rsidR="001C5D48" w:rsidRPr="00825BA0" w:rsidRDefault="001C5D48" w:rsidP="001C5D48">
      <w:pPr>
        <w:widowControl w:val="0"/>
        <w:ind w:left="720" w:hanging="720"/>
        <w:rPr>
          <w:rFonts w:eastAsia="Calibri" w:cs="Times New Roman"/>
          <w:sz w:val="20"/>
          <w:szCs w:val="20"/>
          <w:u w:val="single"/>
        </w:rPr>
      </w:pPr>
      <w:r w:rsidRPr="00825BA0">
        <w:rPr>
          <w:rFonts w:eastAsia="Calibri" w:cs="Times New Roman"/>
          <w:sz w:val="20"/>
          <w:szCs w:val="20"/>
        </w:rPr>
        <w:t xml:space="preserve">Coram: </w:t>
      </w:r>
      <w:r w:rsidRPr="00825BA0">
        <w:rPr>
          <w:rFonts w:eastAsia="Calibri" w:cs="Times New Roman"/>
          <w:sz w:val="20"/>
          <w:szCs w:val="20"/>
        </w:rPr>
        <w:tab/>
      </w:r>
      <w:r w:rsidRPr="00825BA0">
        <w:rPr>
          <w:rFonts w:eastAsia="Calibri" w:cs="Times New Roman"/>
          <w:sz w:val="20"/>
          <w:szCs w:val="20"/>
          <w:u w:val="single"/>
        </w:rPr>
        <w:t xml:space="preserve">McLachlin C.J. and </w:t>
      </w:r>
      <w:proofErr w:type="spellStart"/>
      <w:r w:rsidRPr="00825BA0">
        <w:rPr>
          <w:rFonts w:eastAsia="Calibri" w:cs="Times New Roman"/>
          <w:sz w:val="20"/>
          <w:szCs w:val="20"/>
          <w:u w:val="single"/>
        </w:rPr>
        <w:t>LeBel</w:t>
      </w:r>
      <w:proofErr w:type="spellEnd"/>
      <w:r w:rsidRPr="00825BA0">
        <w:rPr>
          <w:rFonts w:eastAsia="Calibri" w:cs="Times New Roman"/>
          <w:sz w:val="20"/>
          <w:szCs w:val="20"/>
          <w:u w:val="single"/>
        </w:rPr>
        <w:t xml:space="preserve">, </w:t>
      </w:r>
      <w:proofErr w:type="spellStart"/>
      <w:r w:rsidRPr="00825BA0">
        <w:rPr>
          <w:rFonts w:eastAsia="Calibri" w:cs="Times New Roman"/>
          <w:sz w:val="20"/>
          <w:szCs w:val="20"/>
          <w:u w:val="single"/>
        </w:rPr>
        <w:t>Abella</w:t>
      </w:r>
      <w:proofErr w:type="spellEnd"/>
      <w:r w:rsidRPr="00825BA0">
        <w:rPr>
          <w:rFonts w:eastAsia="Calibri" w:cs="Times New Roman"/>
          <w:sz w:val="20"/>
          <w:szCs w:val="20"/>
          <w:u w:val="single"/>
        </w:rPr>
        <w:t>, Rothstein, Cromwell, Moldaver and Wagner JJ.</w:t>
      </w:r>
    </w:p>
    <w:p w:rsidR="00732DB7" w:rsidRPr="00C50A5C" w:rsidRDefault="00732DB7" w:rsidP="00732DB7">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732DB7" w:rsidRPr="00C50A5C" w:rsidRDefault="001C5D48" w:rsidP="00C1697B">
            <w:pPr>
              <w:widowControl w:val="0"/>
              <w:jc w:val="both"/>
              <w:rPr>
                <w:b/>
                <w:sz w:val="20"/>
                <w:szCs w:val="20"/>
              </w:rPr>
            </w:pPr>
            <w:r w:rsidRPr="00825BA0">
              <w:rPr>
                <w:rFonts w:eastAsia="Calibri" w:cs="Times New Roman"/>
                <w:b/>
                <w:sz w:val="20"/>
                <w:szCs w:val="20"/>
              </w:rPr>
              <w:t xml:space="preserve">Katz Group Canada Inc. et al. </w:t>
            </w:r>
          </w:p>
          <w:p w:rsidR="00732DB7" w:rsidRPr="00C50A5C" w:rsidRDefault="00732DB7" w:rsidP="00C1697B">
            <w:pPr>
              <w:widowControl w:val="0"/>
              <w:jc w:val="both"/>
              <w:rPr>
                <w:b/>
                <w:sz w:val="20"/>
                <w:szCs w:val="20"/>
              </w:rPr>
            </w:pPr>
          </w:p>
          <w:p w:rsidR="00732DB7" w:rsidRPr="00C50A5C" w:rsidRDefault="00732DB7" w:rsidP="00C1697B">
            <w:pPr>
              <w:widowControl w:val="0"/>
              <w:tabs>
                <w:tab w:val="left" w:pos="736"/>
              </w:tabs>
              <w:jc w:val="both"/>
              <w:rPr>
                <w:b/>
                <w:sz w:val="20"/>
                <w:szCs w:val="20"/>
              </w:rPr>
            </w:pPr>
            <w:r w:rsidRPr="00C50A5C">
              <w:rPr>
                <w:b/>
                <w:sz w:val="20"/>
                <w:szCs w:val="20"/>
              </w:rPr>
              <w:tab/>
              <w:t>v. (3</w:t>
            </w:r>
            <w:r w:rsidR="00180577">
              <w:rPr>
                <w:b/>
                <w:sz w:val="20"/>
                <w:szCs w:val="20"/>
              </w:rPr>
              <w:t>4647</w:t>
            </w:r>
            <w:r w:rsidRPr="00C50A5C">
              <w:rPr>
                <w:b/>
                <w:sz w:val="20"/>
                <w:szCs w:val="20"/>
              </w:rPr>
              <w:t>)</w:t>
            </w:r>
          </w:p>
          <w:p w:rsidR="00732DB7" w:rsidRPr="00C50A5C" w:rsidRDefault="00732DB7" w:rsidP="00C1697B">
            <w:pPr>
              <w:widowControl w:val="0"/>
              <w:jc w:val="both"/>
              <w:rPr>
                <w:b/>
                <w:sz w:val="20"/>
                <w:szCs w:val="20"/>
              </w:rPr>
            </w:pPr>
          </w:p>
          <w:p w:rsidR="00732DB7" w:rsidRDefault="001C5D48" w:rsidP="00180577">
            <w:pPr>
              <w:widowControl w:val="0"/>
              <w:jc w:val="both"/>
              <w:rPr>
                <w:b/>
                <w:sz w:val="20"/>
                <w:szCs w:val="20"/>
              </w:rPr>
            </w:pPr>
            <w:r w:rsidRPr="00825BA0">
              <w:rPr>
                <w:rFonts w:eastAsia="Calibri" w:cs="Times New Roman"/>
                <w:b/>
                <w:sz w:val="20"/>
                <w:szCs w:val="20"/>
              </w:rPr>
              <w:t>Minister of Heath and Long-Term Care et al.</w:t>
            </w:r>
            <w:r w:rsidRPr="00C50A5C">
              <w:rPr>
                <w:b/>
                <w:sz w:val="20"/>
                <w:szCs w:val="20"/>
              </w:rPr>
              <w:t xml:space="preserve"> </w:t>
            </w:r>
            <w:r w:rsidR="00732DB7" w:rsidRPr="00C50A5C">
              <w:rPr>
                <w:b/>
                <w:sz w:val="20"/>
                <w:szCs w:val="20"/>
              </w:rPr>
              <w:t>(</w:t>
            </w:r>
            <w:r w:rsidR="00180577">
              <w:rPr>
                <w:b/>
                <w:sz w:val="20"/>
                <w:szCs w:val="20"/>
              </w:rPr>
              <w:t>Ont</w:t>
            </w:r>
            <w:r w:rsidR="00732DB7" w:rsidRPr="00C50A5C">
              <w:rPr>
                <w:b/>
                <w:sz w:val="20"/>
                <w:szCs w:val="20"/>
              </w:rPr>
              <w:t>.) (Civil) (By Leave)</w:t>
            </w:r>
          </w:p>
          <w:p w:rsidR="001C5D48" w:rsidRDefault="001C5D48" w:rsidP="00180577">
            <w:pPr>
              <w:widowControl w:val="0"/>
              <w:jc w:val="both"/>
              <w:rPr>
                <w:b/>
                <w:sz w:val="20"/>
                <w:szCs w:val="20"/>
              </w:rPr>
            </w:pPr>
          </w:p>
          <w:p w:rsidR="001C5D48" w:rsidRDefault="001C5D48" w:rsidP="00180577">
            <w:pPr>
              <w:widowControl w:val="0"/>
              <w:jc w:val="both"/>
              <w:rPr>
                <w:b/>
                <w:sz w:val="20"/>
                <w:szCs w:val="20"/>
              </w:rPr>
            </w:pPr>
            <w:r>
              <w:rPr>
                <w:b/>
                <w:sz w:val="20"/>
                <w:szCs w:val="20"/>
              </w:rPr>
              <w:t>- and between -</w:t>
            </w:r>
          </w:p>
          <w:p w:rsidR="001C5D48" w:rsidRDefault="001C5D48" w:rsidP="00180577">
            <w:pPr>
              <w:widowControl w:val="0"/>
              <w:jc w:val="both"/>
              <w:rPr>
                <w:sz w:val="20"/>
                <w:szCs w:val="20"/>
              </w:rPr>
            </w:pPr>
          </w:p>
          <w:p w:rsidR="001C5D48" w:rsidRDefault="001C5D48" w:rsidP="00180577">
            <w:pPr>
              <w:widowControl w:val="0"/>
              <w:jc w:val="both"/>
              <w:rPr>
                <w:b/>
                <w:sz w:val="20"/>
                <w:szCs w:val="20"/>
              </w:rPr>
            </w:pPr>
            <w:r w:rsidRPr="00825BA0">
              <w:rPr>
                <w:rFonts w:eastAsia="Calibri" w:cs="Times New Roman"/>
                <w:b/>
                <w:sz w:val="20"/>
                <w:szCs w:val="20"/>
              </w:rPr>
              <w:t xml:space="preserve">Shoppers Drug Mart Inc. et al. </w:t>
            </w:r>
          </w:p>
          <w:p w:rsidR="001C5D48" w:rsidRDefault="001C5D48" w:rsidP="00180577">
            <w:pPr>
              <w:widowControl w:val="0"/>
              <w:jc w:val="both"/>
              <w:rPr>
                <w:b/>
                <w:sz w:val="20"/>
                <w:szCs w:val="20"/>
              </w:rPr>
            </w:pPr>
          </w:p>
          <w:p w:rsidR="001C5D48" w:rsidRDefault="001C5D48" w:rsidP="00180577">
            <w:pPr>
              <w:widowControl w:val="0"/>
              <w:jc w:val="both"/>
              <w:rPr>
                <w:b/>
                <w:sz w:val="20"/>
                <w:szCs w:val="20"/>
              </w:rPr>
            </w:pPr>
            <w:r>
              <w:rPr>
                <w:b/>
                <w:sz w:val="20"/>
                <w:szCs w:val="20"/>
              </w:rPr>
              <w:tab/>
            </w:r>
            <w:r w:rsidRPr="00825BA0">
              <w:rPr>
                <w:rFonts w:eastAsia="Calibri" w:cs="Times New Roman"/>
                <w:b/>
                <w:sz w:val="20"/>
                <w:szCs w:val="20"/>
              </w:rPr>
              <w:t xml:space="preserve">v. </w:t>
            </w:r>
            <w:r w:rsidRPr="00C50A5C">
              <w:rPr>
                <w:b/>
                <w:sz w:val="20"/>
                <w:szCs w:val="20"/>
              </w:rPr>
              <w:t>(3</w:t>
            </w:r>
            <w:r>
              <w:rPr>
                <w:b/>
                <w:sz w:val="20"/>
                <w:szCs w:val="20"/>
              </w:rPr>
              <w:t>4649</w:t>
            </w:r>
            <w:r w:rsidRPr="00C50A5C">
              <w:rPr>
                <w:b/>
                <w:sz w:val="20"/>
                <w:szCs w:val="20"/>
              </w:rPr>
              <w:t>)</w:t>
            </w:r>
          </w:p>
          <w:p w:rsidR="001C5D48" w:rsidRDefault="001C5D48" w:rsidP="00180577">
            <w:pPr>
              <w:widowControl w:val="0"/>
              <w:jc w:val="both"/>
              <w:rPr>
                <w:b/>
                <w:sz w:val="20"/>
                <w:szCs w:val="20"/>
              </w:rPr>
            </w:pPr>
          </w:p>
          <w:p w:rsidR="001C5D48" w:rsidRPr="00180577" w:rsidRDefault="001C5D48" w:rsidP="001C5D48">
            <w:pPr>
              <w:widowControl w:val="0"/>
              <w:jc w:val="both"/>
              <w:rPr>
                <w:sz w:val="20"/>
                <w:szCs w:val="20"/>
              </w:rPr>
            </w:pPr>
            <w:r w:rsidRPr="00825BA0">
              <w:rPr>
                <w:rFonts w:eastAsia="Calibri" w:cs="Times New Roman"/>
                <w:b/>
                <w:sz w:val="20"/>
                <w:szCs w:val="20"/>
              </w:rPr>
              <w:t>Minister of Heath and Long-Term Care et al.</w:t>
            </w:r>
            <w:r>
              <w:rPr>
                <w:b/>
                <w:sz w:val="20"/>
                <w:szCs w:val="20"/>
              </w:rPr>
              <w:t xml:space="preserve"> </w:t>
            </w:r>
            <w:r w:rsidRPr="00C50A5C">
              <w:rPr>
                <w:b/>
                <w:sz w:val="20"/>
                <w:szCs w:val="20"/>
              </w:rPr>
              <w:t>(</w:t>
            </w:r>
            <w:r>
              <w:rPr>
                <w:b/>
                <w:sz w:val="20"/>
                <w:szCs w:val="20"/>
              </w:rPr>
              <w:t>Ont.</w:t>
            </w:r>
            <w:r w:rsidRPr="00C50A5C">
              <w:rPr>
                <w:b/>
                <w:sz w:val="20"/>
                <w:szCs w:val="20"/>
              </w:rPr>
              <w:t>) (Civil) (By Leave)</w:t>
            </w:r>
          </w:p>
        </w:tc>
        <w:tc>
          <w:tcPr>
            <w:tcW w:w="720" w:type="dxa"/>
            <w:tcMar>
              <w:left w:w="0" w:type="dxa"/>
              <w:right w:w="0" w:type="dxa"/>
            </w:tcMar>
          </w:tcPr>
          <w:p w:rsidR="00732DB7" w:rsidRPr="00180577" w:rsidRDefault="00732DB7" w:rsidP="00732DB7">
            <w:pPr>
              <w:widowControl w:val="0"/>
              <w:jc w:val="center"/>
              <w:rPr>
                <w:sz w:val="20"/>
                <w:szCs w:val="20"/>
              </w:rPr>
            </w:pPr>
          </w:p>
        </w:tc>
        <w:tc>
          <w:tcPr>
            <w:tcW w:w="4380" w:type="dxa"/>
            <w:tcMar>
              <w:left w:w="0" w:type="dxa"/>
              <w:right w:w="0" w:type="dxa"/>
            </w:tcMar>
          </w:tcPr>
          <w:p w:rsidR="00611030" w:rsidRPr="007F6007" w:rsidRDefault="00611030" w:rsidP="00611030">
            <w:pPr>
              <w:jc w:val="both"/>
              <w:rPr>
                <w:sz w:val="20"/>
                <w:szCs w:val="20"/>
                <w:lang w:val="en-US"/>
              </w:rPr>
            </w:pPr>
            <w:r w:rsidRPr="007F6007">
              <w:rPr>
                <w:sz w:val="20"/>
                <w:szCs w:val="20"/>
                <w:lang w:val="en-US"/>
              </w:rPr>
              <w:t>Mahmud Jamal</w:t>
            </w:r>
            <w:r>
              <w:rPr>
                <w:sz w:val="20"/>
                <w:szCs w:val="20"/>
                <w:lang w:val="en-US"/>
              </w:rPr>
              <w:t xml:space="preserve">, </w:t>
            </w:r>
            <w:r w:rsidRPr="007F6007">
              <w:rPr>
                <w:sz w:val="20"/>
                <w:szCs w:val="20"/>
                <w:lang w:val="en-US"/>
              </w:rPr>
              <w:t>Craig T. Lockwood</w:t>
            </w:r>
            <w:r>
              <w:rPr>
                <w:sz w:val="20"/>
                <w:szCs w:val="20"/>
                <w:lang w:val="en-US"/>
              </w:rPr>
              <w:t xml:space="preserve">, </w:t>
            </w:r>
            <w:r w:rsidRPr="007F6007">
              <w:rPr>
                <w:sz w:val="20"/>
                <w:szCs w:val="20"/>
              </w:rPr>
              <w:t>Eric Morgan</w:t>
            </w:r>
            <w:r>
              <w:rPr>
                <w:sz w:val="20"/>
                <w:szCs w:val="20"/>
              </w:rPr>
              <w:t xml:space="preserve"> and </w:t>
            </w:r>
            <w:r w:rsidRPr="007F6007">
              <w:rPr>
                <w:sz w:val="20"/>
                <w:szCs w:val="20"/>
              </w:rPr>
              <w:t>W. David Rankin</w:t>
            </w:r>
            <w:r>
              <w:rPr>
                <w:sz w:val="20"/>
                <w:szCs w:val="20"/>
              </w:rPr>
              <w:t xml:space="preserve"> f</w:t>
            </w:r>
            <w:r w:rsidRPr="007F6007">
              <w:rPr>
                <w:sz w:val="20"/>
                <w:szCs w:val="20"/>
                <w:lang w:val="en-US"/>
              </w:rPr>
              <w:t xml:space="preserve">or the </w:t>
            </w:r>
            <w:r>
              <w:rPr>
                <w:sz w:val="20"/>
                <w:szCs w:val="20"/>
                <w:lang w:val="en-US"/>
              </w:rPr>
              <w:t>a</w:t>
            </w:r>
            <w:r w:rsidRPr="007F6007">
              <w:rPr>
                <w:sz w:val="20"/>
                <w:szCs w:val="20"/>
                <w:lang w:val="en-US"/>
              </w:rPr>
              <w:t xml:space="preserve">ppellants </w:t>
            </w:r>
            <w:r w:rsidRPr="007F6007">
              <w:rPr>
                <w:sz w:val="20"/>
                <w:szCs w:val="20"/>
              </w:rPr>
              <w:t>Shoppers Drug Mart Inc. et al</w:t>
            </w:r>
            <w:r w:rsidRPr="007F6007">
              <w:rPr>
                <w:sz w:val="20"/>
                <w:szCs w:val="20"/>
                <w:lang w:val="en-US"/>
              </w:rPr>
              <w:t xml:space="preserve"> (34649).</w:t>
            </w:r>
          </w:p>
          <w:p w:rsidR="00611030" w:rsidRPr="007F6007" w:rsidRDefault="00611030" w:rsidP="00611030">
            <w:pPr>
              <w:jc w:val="both"/>
              <w:rPr>
                <w:sz w:val="20"/>
                <w:szCs w:val="20"/>
                <w:lang w:val="en-US"/>
              </w:rPr>
            </w:pPr>
          </w:p>
          <w:p w:rsidR="00611030" w:rsidRPr="007F6007" w:rsidRDefault="00611030" w:rsidP="00611030">
            <w:pPr>
              <w:jc w:val="both"/>
              <w:rPr>
                <w:sz w:val="20"/>
                <w:szCs w:val="20"/>
                <w:lang w:val="en-US"/>
              </w:rPr>
            </w:pPr>
            <w:r w:rsidRPr="007F6007">
              <w:rPr>
                <w:sz w:val="20"/>
                <w:szCs w:val="20"/>
                <w:lang w:val="en-US"/>
              </w:rPr>
              <w:t>Terrence J. O’Sullivan</w:t>
            </w:r>
            <w:r>
              <w:rPr>
                <w:sz w:val="20"/>
                <w:szCs w:val="20"/>
                <w:lang w:val="en-US"/>
              </w:rPr>
              <w:t xml:space="preserve"> and </w:t>
            </w:r>
            <w:r w:rsidRPr="007F6007">
              <w:rPr>
                <w:sz w:val="20"/>
                <w:szCs w:val="20"/>
                <w:lang w:val="en-US"/>
              </w:rPr>
              <w:t xml:space="preserve">M. Paul </w:t>
            </w:r>
            <w:proofErr w:type="spellStart"/>
            <w:r w:rsidRPr="007F6007">
              <w:rPr>
                <w:sz w:val="20"/>
                <w:szCs w:val="20"/>
                <w:lang w:val="en-US"/>
              </w:rPr>
              <w:t>Michell</w:t>
            </w:r>
            <w:proofErr w:type="spellEnd"/>
            <w:r>
              <w:rPr>
                <w:sz w:val="20"/>
                <w:szCs w:val="20"/>
                <w:lang w:val="en-US"/>
              </w:rPr>
              <w:t xml:space="preserve"> f</w:t>
            </w:r>
            <w:r w:rsidRPr="007F6007">
              <w:rPr>
                <w:sz w:val="20"/>
                <w:szCs w:val="20"/>
                <w:lang w:val="en-US"/>
              </w:rPr>
              <w:t xml:space="preserve">or the </w:t>
            </w:r>
            <w:r>
              <w:rPr>
                <w:sz w:val="20"/>
                <w:szCs w:val="20"/>
                <w:lang w:val="en-US"/>
              </w:rPr>
              <w:t>a</w:t>
            </w:r>
            <w:r w:rsidRPr="007F6007">
              <w:rPr>
                <w:sz w:val="20"/>
                <w:szCs w:val="20"/>
                <w:lang w:val="en-US"/>
              </w:rPr>
              <w:t xml:space="preserve">ppellants </w:t>
            </w:r>
            <w:r w:rsidRPr="007F6007">
              <w:rPr>
                <w:sz w:val="20"/>
                <w:szCs w:val="20"/>
              </w:rPr>
              <w:t>Katz Group Canada Inc. et al.</w:t>
            </w:r>
            <w:r>
              <w:rPr>
                <w:sz w:val="20"/>
                <w:szCs w:val="20"/>
                <w:lang w:val="en-US"/>
              </w:rPr>
              <w:t xml:space="preserve"> </w:t>
            </w:r>
            <w:r w:rsidRPr="007F6007">
              <w:rPr>
                <w:sz w:val="20"/>
                <w:szCs w:val="20"/>
                <w:lang w:val="en-US"/>
              </w:rPr>
              <w:t>(34647).</w:t>
            </w:r>
          </w:p>
          <w:p w:rsidR="00611030" w:rsidRPr="007F6007" w:rsidRDefault="00611030" w:rsidP="00611030">
            <w:pPr>
              <w:jc w:val="both"/>
              <w:rPr>
                <w:sz w:val="20"/>
                <w:szCs w:val="20"/>
                <w:lang w:val="en-US"/>
              </w:rPr>
            </w:pPr>
          </w:p>
          <w:p w:rsidR="00732DB7" w:rsidRPr="00C50A5C" w:rsidRDefault="00611030" w:rsidP="00611030">
            <w:pPr>
              <w:widowControl w:val="0"/>
              <w:jc w:val="both"/>
              <w:rPr>
                <w:sz w:val="20"/>
                <w:szCs w:val="20"/>
              </w:rPr>
            </w:pPr>
            <w:r w:rsidRPr="007F6007">
              <w:rPr>
                <w:sz w:val="20"/>
                <w:szCs w:val="20"/>
                <w:lang w:val="en-US"/>
              </w:rPr>
              <w:t xml:space="preserve">Lise G. </w:t>
            </w:r>
            <w:proofErr w:type="spellStart"/>
            <w:r w:rsidRPr="007F6007">
              <w:rPr>
                <w:sz w:val="20"/>
                <w:szCs w:val="20"/>
                <w:lang w:val="en-US"/>
              </w:rPr>
              <w:t>Favreau</w:t>
            </w:r>
            <w:proofErr w:type="spellEnd"/>
            <w:r>
              <w:rPr>
                <w:sz w:val="20"/>
                <w:szCs w:val="20"/>
                <w:lang w:val="en-US"/>
              </w:rPr>
              <w:t xml:space="preserve">, </w:t>
            </w:r>
            <w:r w:rsidRPr="007F6007">
              <w:rPr>
                <w:sz w:val="20"/>
                <w:szCs w:val="20"/>
                <w:lang w:val="en-US"/>
              </w:rPr>
              <w:t xml:space="preserve">Kim </w:t>
            </w:r>
            <w:proofErr w:type="spellStart"/>
            <w:r w:rsidRPr="007F6007">
              <w:rPr>
                <w:sz w:val="20"/>
                <w:szCs w:val="20"/>
                <w:lang w:val="en-US"/>
              </w:rPr>
              <w:t>Twohig</w:t>
            </w:r>
            <w:proofErr w:type="spellEnd"/>
            <w:r>
              <w:rPr>
                <w:sz w:val="20"/>
                <w:szCs w:val="20"/>
                <w:lang w:val="en-US"/>
              </w:rPr>
              <w:t xml:space="preserve"> and </w:t>
            </w:r>
            <w:r w:rsidRPr="007F6007">
              <w:rPr>
                <w:sz w:val="20"/>
                <w:szCs w:val="20"/>
                <w:lang w:val="en-US"/>
              </w:rPr>
              <w:t>Kristin Smith</w:t>
            </w:r>
            <w:r>
              <w:rPr>
                <w:sz w:val="20"/>
                <w:szCs w:val="20"/>
                <w:lang w:val="en-US"/>
              </w:rPr>
              <w:t xml:space="preserve"> f</w:t>
            </w:r>
            <w:r w:rsidRPr="007F6007">
              <w:rPr>
                <w:sz w:val="20"/>
                <w:szCs w:val="20"/>
                <w:lang w:val="en-US"/>
              </w:rPr>
              <w:t xml:space="preserve">or the </w:t>
            </w:r>
            <w:r>
              <w:rPr>
                <w:sz w:val="20"/>
                <w:szCs w:val="20"/>
                <w:lang w:val="en-US"/>
              </w:rPr>
              <w:t>r</w:t>
            </w:r>
            <w:r w:rsidRPr="007F6007">
              <w:rPr>
                <w:sz w:val="20"/>
                <w:szCs w:val="20"/>
                <w:lang w:val="en-US"/>
              </w:rPr>
              <w:t>espondents.</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B6040C"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r w:rsidR="001C5D48">
              <w:rPr>
                <w:b/>
                <w:sz w:val="20"/>
                <w:szCs w:val="20"/>
                <w:u w:val="single"/>
              </w:rPr>
              <w:t xml:space="preserve"> - 34647</w:t>
            </w:r>
            <w:r w:rsidRPr="00CC4D84">
              <w:rPr>
                <w:b/>
                <w:sz w:val="20"/>
                <w:szCs w:val="20"/>
                <w:u w:val="single"/>
              </w:rPr>
              <w:t>:</w:t>
            </w:r>
          </w:p>
          <w:p w:rsidR="00C1697B" w:rsidRPr="00C1697B" w:rsidRDefault="00C1697B" w:rsidP="00C1697B">
            <w:pPr>
              <w:widowControl w:val="0"/>
              <w:jc w:val="both"/>
              <w:rPr>
                <w:b/>
                <w:sz w:val="20"/>
                <w:szCs w:val="20"/>
              </w:rPr>
            </w:pPr>
          </w:p>
          <w:p w:rsidR="00C1697B" w:rsidRPr="00C1697B" w:rsidRDefault="00EE5697" w:rsidP="00C1697B">
            <w:pPr>
              <w:widowControl w:val="0"/>
              <w:jc w:val="both"/>
              <w:rPr>
                <w:b/>
                <w:sz w:val="20"/>
                <w:szCs w:val="20"/>
              </w:rPr>
            </w:pPr>
            <w:r w:rsidRPr="00C616B0">
              <w:rPr>
                <w:sz w:val="20"/>
                <w:szCs w:val="20"/>
              </w:rPr>
              <w:t xml:space="preserve">Health law </w:t>
            </w:r>
            <w:r w:rsidRPr="00C616B0">
              <w:rPr>
                <w:sz w:val="20"/>
                <w:szCs w:val="20"/>
              </w:rPr>
              <w:noBreakHyphen/>
              <w:t xml:space="preserve"> Public health </w:t>
            </w:r>
            <w:r w:rsidRPr="00C616B0">
              <w:rPr>
                <w:sz w:val="20"/>
                <w:szCs w:val="20"/>
              </w:rPr>
              <w:noBreakHyphen/>
              <w:t xml:space="preserve"> Regulations </w:t>
            </w:r>
            <w:r w:rsidRPr="00C616B0">
              <w:rPr>
                <w:sz w:val="20"/>
                <w:szCs w:val="20"/>
              </w:rPr>
              <w:noBreakHyphen/>
              <w:t xml:space="preserve"> Whether this Court should show deference or genuine restraint in reviewing the legality or </w:t>
            </w:r>
            <w:proofErr w:type="spellStart"/>
            <w:r w:rsidRPr="00C616B0">
              <w:rPr>
                <w:i/>
                <w:sz w:val="20"/>
                <w:szCs w:val="20"/>
              </w:rPr>
              <w:t>vires</w:t>
            </w:r>
            <w:proofErr w:type="spellEnd"/>
            <w:r w:rsidRPr="00C616B0">
              <w:rPr>
                <w:sz w:val="20"/>
                <w:szCs w:val="20"/>
              </w:rPr>
              <w:t xml:space="preserve"> of regulations </w:t>
            </w:r>
            <w:r w:rsidRPr="00C616B0">
              <w:rPr>
                <w:sz w:val="20"/>
                <w:szCs w:val="20"/>
              </w:rPr>
              <w:noBreakHyphen/>
              <w:t xml:space="preserve"> Whether the private label ban is consistent with the purpose of the parent statutes </w:t>
            </w:r>
            <w:r w:rsidRPr="00C616B0">
              <w:rPr>
                <w:sz w:val="20"/>
                <w:szCs w:val="20"/>
              </w:rPr>
              <w:noBreakHyphen/>
              <w:t xml:space="preserve"> Whether the private label ban is a condition of listing or a prohibition </w:t>
            </w:r>
            <w:r w:rsidRPr="00C616B0">
              <w:rPr>
                <w:sz w:val="20"/>
                <w:szCs w:val="20"/>
              </w:rPr>
              <w:noBreakHyphen/>
              <w:t xml:space="preserve"> Whether the parent statutes authorize regulations that interfere with otherwise lawful commercial activity, namely, the decision of a pharmacy chain to invest in its own drug manufacturer </w:t>
            </w:r>
            <w:r w:rsidRPr="00C616B0">
              <w:rPr>
                <w:sz w:val="20"/>
                <w:szCs w:val="20"/>
              </w:rPr>
              <w:noBreakHyphen/>
              <w:t xml:space="preserve"> Whether the parent statutes authorize regulations that discriminate amongst drug manufacturers by banning some of them from the Ontario marketplace.</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w:t>
            </w:r>
            <w:r w:rsidR="001C5D48">
              <w:rPr>
                <w:b/>
                <w:sz w:val="20"/>
                <w:szCs w:val="20"/>
                <w:u w:val="single"/>
                <w:lang w:val="fr-CA"/>
              </w:rPr>
              <w:t xml:space="preserve"> -</w:t>
            </w:r>
            <w:r w:rsidRPr="00CC4D84">
              <w:rPr>
                <w:b/>
                <w:sz w:val="20"/>
                <w:szCs w:val="20"/>
                <w:u w:val="single"/>
                <w:lang w:val="fr-CA"/>
              </w:rPr>
              <w:t xml:space="preserve"> </w:t>
            </w:r>
            <w:r w:rsidR="001C5D48">
              <w:rPr>
                <w:b/>
                <w:sz w:val="20"/>
                <w:szCs w:val="20"/>
                <w:u w:val="single"/>
                <w:lang w:val="fr-CA"/>
              </w:rPr>
              <w:t xml:space="preserve">34647 </w:t>
            </w:r>
            <w:r w:rsidRPr="00CC4D84">
              <w:rPr>
                <w:b/>
                <w:sz w:val="20"/>
                <w:szCs w:val="20"/>
                <w:u w:val="single"/>
                <w:lang w:val="fr-CA"/>
              </w:rPr>
              <w:t>:</w:t>
            </w:r>
          </w:p>
          <w:p w:rsidR="00C1697B" w:rsidRPr="00C1697B" w:rsidRDefault="00C1697B" w:rsidP="00C1697B">
            <w:pPr>
              <w:widowControl w:val="0"/>
              <w:jc w:val="both"/>
              <w:rPr>
                <w:sz w:val="20"/>
                <w:szCs w:val="20"/>
                <w:lang w:val="fr-CA"/>
              </w:rPr>
            </w:pPr>
          </w:p>
          <w:p w:rsidR="00C1697B" w:rsidRPr="00C1697B" w:rsidRDefault="00EE5697" w:rsidP="00C1697B">
            <w:pPr>
              <w:widowControl w:val="0"/>
              <w:jc w:val="both"/>
              <w:rPr>
                <w:sz w:val="20"/>
                <w:szCs w:val="20"/>
                <w:lang w:val="fr-CA"/>
              </w:rPr>
            </w:pPr>
            <w:r w:rsidRPr="00A2644D">
              <w:rPr>
                <w:sz w:val="20"/>
                <w:szCs w:val="20"/>
                <w:lang w:val="fr-CA"/>
              </w:rPr>
              <w:t xml:space="preserve">Droit de la santé </w:t>
            </w:r>
            <w:r w:rsidRPr="00A2644D">
              <w:rPr>
                <w:sz w:val="20"/>
                <w:szCs w:val="20"/>
                <w:lang w:val="fr-CA"/>
              </w:rPr>
              <w:noBreakHyphen/>
              <w:t xml:space="preserve"> Santé publique </w:t>
            </w:r>
            <w:r w:rsidRPr="00A2644D">
              <w:rPr>
                <w:sz w:val="20"/>
                <w:szCs w:val="20"/>
                <w:lang w:val="fr-CA"/>
              </w:rPr>
              <w:noBreakHyphen/>
              <w:t xml:space="preserve"> Règlements </w:t>
            </w:r>
            <w:r w:rsidRPr="00A2644D">
              <w:rPr>
                <w:sz w:val="20"/>
                <w:szCs w:val="20"/>
                <w:lang w:val="fr-CA"/>
              </w:rPr>
              <w:noBreakHyphen/>
              <w:t xml:space="preserve"> Cette Cour </w:t>
            </w:r>
            <w:proofErr w:type="spellStart"/>
            <w:r w:rsidRPr="00A2644D">
              <w:rPr>
                <w:sz w:val="20"/>
                <w:szCs w:val="20"/>
                <w:lang w:val="fr-CA"/>
              </w:rPr>
              <w:t>devrait</w:t>
            </w:r>
            <w:r w:rsidRPr="00A2644D">
              <w:rPr>
                <w:sz w:val="20"/>
                <w:szCs w:val="20"/>
                <w:lang w:val="fr-CA"/>
              </w:rPr>
              <w:noBreakHyphen/>
              <w:t>elle</w:t>
            </w:r>
            <w:proofErr w:type="spellEnd"/>
            <w:r w:rsidRPr="00A2644D">
              <w:rPr>
                <w:sz w:val="20"/>
                <w:szCs w:val="20"/>
                <w:lang w:val="fr-CA"/>
              </w:rPr>
              <w:t xml:space="preserve"> faire preuve de déférence ou de véritable retenue en examinant la légalité ou la validité de règlements? </w:t>
            </w:r>
            <w:r w:rsidRPr="00A2644D">
              <w:rPr>
                <w:sz w:val="20"/>
                <w:szCs w:val="20"/>
                <w:lang w:val="fr-CA"/>
              </w:rPr>
              <w:noBreakHyphen/>
              <w:t xml:space="preserve"> L’interdiction des médicaments de marque privée </w:t>
            </w:r>
            <w:proofErr w:type="spellStart"/>
            <w:r w:rsidRPr="00A2644D">
              <w:rPr>
                <w:sz w:val="20"/>
                <w:szCs w:val="20"/>
                <w:lang w:val="fr-CA"/>
              </w:rPr>
              <w:t>est</w:t>
            </w:r>
            <w:r w:rsidRPr="00A2644D">
              <w:rPr>
                <w:sz w:val="20"/>
                <w:szCs w:val="20"/>
                <w:lang w:val="fr-CA"/>
              </w:rPr>
              <w:noBreakHyphen/>
              <w:t>elle</w:t>
            </w:r>
            <w:proofErr w:type="spellEnd"/>
            <w:r w:rsidRPr="00A2644D">
              <w:rPr>
                <w:sz w:val="20"/>
                <w:szCs w:val="20"/>
                <w:lang w:val="fr-CA"/>
              </w:rPr>
              <w:t xml:space="preserve"> conforme à l’objet des lois habilitantes? </w:t>
            </w:r>
            <w:r w:rsidRPr="00A2644D">
              <w:rPr>
                <w:sz w:val="20"/>
                <w:szCs w:val="20"/>
                <w:lang w:val="fr-CA"/>
              </w:rPr>
              <w:noBreakHyphen/>
              <w:t xml:space="preserve"> L’interdiction des médicaments de marque privée </w:t>
            </w:r>
            <w:proofErr w:type="spellStart"/>
            <w:r w:rsidRPr="00A2644D">
              <w:rPr>
                <w:sz w:val="20"/>
                <w:szCs w:val="20"/>
                <w:lang w:val="fr-CA"/>
              </w:rPr>
              <w:t>est</w:t>
            </w:r>
            <w:r w:rsidRPr="00A2644D">
              <w:rPr>
                <w:sz w:val="20"/>
                <w:szCs w:val="20"/>
                <w:lang w:val="fr-CA"/>
              </w:rPr>
              <w:noBreakHyphen/>
              <w:t>elle</w:t>
            </w:r>
            <w:proofErr w:type="spellEnd"/>
            <w:r w:rsidRPr="00A2644D">
              <w:rPr>
                <w:sz w:val="20"/>
                <w:szCs w:val="20"/>
                <w:lang w:val="fr-CA"/>
              </w:rPr>
              <w:t xml:space="preserve"> une condition d’inscription sur la liste ou une interdiction? </w:t>
            </w:r>
            <w:r w:rsidRPr="00A2644D">
              <w:rPr>
                <w:sz w:val="20"/>
                <w:szCs w:val="20"/>
                <w:lang w:val="fr-CA"/>
              </w:rPr>
              <w:noBreakHyphen/>
              <w:t xml:space="preserve"> Les lois habilitantes </w:t>
            </w:r>
            <w:proofErr w:type="spellStart"/>
            <w:r w:rsidRPr="00A2644D">
              <w:rPr>
                <w:sz w:val="20"/>
                <w:szCs w:val="20"/>
                <w:lang w:val="fr-CA"/>
              </w:rPr>
              <w:t>autorisent</w:t>
            </w:r>
            <w:r w:rsidRPr="00A2644D">
              <w:rPr>
                <w:sz w:val="20"/>
                <w:szCs w:val="20"/>
                <w:lang w:val="fr-CA"/>
              </w:rPr>
              <w:noBreakHyphen/>
              <w:t>elles</w:t>
            </w:r>
            <w:proofErr w:type="spellEnd"/>
            <w:r w:rsidRPr="00A2644D">
              <w:rPr>
                <w:sz w:val="20"/>
                <w:szCs w:val="20"/>
                <w:lang w:val="fr-CA"/>
              </w:rPr>
              <w:t xml:space="preserve"> des règlements qui font obstacle à une activité commerciale licite par ailleurs, à savoir la décision d’une chaîne de pharmacies d’investir dans le fabricant de ses propres médicaments? </w:t>
            </w:r>
            <w:r w:rsidRPr="00A2644D">
              <w:rPr>
                <w:sz w:val="20"/>
                <w:szCs w:val="20"/>
                <w:lang w:val="fr-CA"/>
              </w:rPr>
              <w:noBreakHyphen/>
              <w:t xml:space="preserve"> Les lois habilitantes </w:t>
            </w:r>
            <w:proofErr w:type="spellStart"/>
            <w:r w:rsidRPr="00A2644D">
              <w:rPr>
                <w:sz w:val="20"/>
                <w:szCs w:val="20"/>
                <w:lang w:val="fr-CA"/>
              </w:rPr>
              <w:t>autorisent</w:t>
            </w:r>
            <w:r w:rsidRPr="00A2644D">
              <w:rPr>
                <w:sz w:val="20"/>
                <w:szCs w:val="20"/>
                <w:lang w:val="fr-CA"/>
              </w:rPr>
              <w:noBreakHyphen/>
              <w:t>elles</w:t>
            </w:r>
            <w:proofErr w:type="spellEnd"/>
            <w:r w:rsidRPr="00A2644D">
              <w:rPr>
                <w:sz w:val="20"/>
                <w:szCs w:val="20"/>
                <w:lang w:val="fr-CA"/>
              </w:rPr>
              <w:t xml:space="preserve"> des règlements qui font des distinctions entre des fabricants de médicaments en interdisant l’accès de certains d’entre eux au marché ontarien?</w:t>
            </w:r>
          </w:p>
        </w:tc>
      </w:tr>
    </w:tbl>
    <w:p w:rsidR="00732DB7" w:rsidRDefault="00732DB7" w:rsidP="00732DB7">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1C5D48" w:rsidRPr="00B6040C" w:rsidTr="001277D5">
        <w:tc>
          <w:tcPr>
            <w:tcW w:w="4380" w:type="dxa"/>
            <w:tcMar>
              <w:left w:w="0" w:type="dxa"/>
              <w:right w:w="0" w:type="dxa"/>
            </w:tcMar>
          </w:tcPr>
          <w:p w:rsidR="001C5D48" w:rsidRPr="00CC4D84" w:rsidRDefault="001C5D48" w:rsidP="001277D5">
            <w:pPr>
              <w:widowControl w:val="0"/>
              <w:jc w:val="both"/>
              <w:rPr>
                <w:b/>
                <w:sz w:val="20"/>
                <w:szCs w:val="20"/>
                <w:u w:val="single"/>
              </w:rPr>
            </w:pPr>
            <w:r w:rsidRPr="00CC4D84">
              <w:rPr>
                <w:b/>
                <w:sz w:val="20"/>
                <w:szCs w:val="20"/>
                <w:u w:val="single"/>
              </w:rPr>
              <w:t>Nature of the case</w:t>
            </w:r>
            <w:r>
              <w:rPr>
                <w:b/>
                <w:sz w:val="20"/>
                <w:szCs w:val="20"/>
                <w:u w:val="single"/>
              </w:rPr>
              <w:t xml:space="preserve"> - 34649</w:t>
            </w:r>
            <w:r w:rsidRPr="00CC4D84">
              <w:rPr>
                <w:b/>
                <w:sz w:val="20"/>
                <w:szCs w:val="20"/>
                <w:u w:val="single"/>
              </w:rPr>
              <w:t>:</w:t>
            </w:r>
          </w:p>
          <w:p w:rsidR="001C5D48" w:rsidRPr="00C1697B" w:rsidRDefault="001C5D48" w:rsidP="001277D5">
            <w:pPr>
              <w:widowControl w:val="0"/>
              <w:jc w:val="both"/>
              <w:rPr>
                <w:b/>
                <w:sz w:val="20"/>
                <w:szCs w:val="20"/>
              </w:rPr>
            </w:pPr>
          </w:p>
          <w:p w:rsidR="001C5D48" w:rsidRPr="00C1697B" w:rsidRDefault="00EE5697" w:rsidP="001277D5">
            <w:pPr>
              <w:widowControl w:val="0"/>
              <w:jc w:val="both"/>
              <w:rPr>
                <w:b/>
                <w:sz w:val="20"/>
                <w:szCs w:val="20"/>
              </w:rPr>
            </w:pPr>
            <w:r w:rsidRPr="00D96070">
              <w:rPr>
                <w:sz w:val="20"/>
                <w:szCs w:val="20"/>
              </w:rPr>
              <w:t xml:space="preserve">Health law </w:t>
            </w:r>
            <w:r w:rsidRPr="00D96070">
              <w:rPr>
                <w:sz w:val="20"/>
                <w:szCs w:val="20"/>
              </w:rPr>
              <w:noBreakHyphen/>
              <w:t xml:space="preserve"> Public health </w:t>
            </w:r>
            <w:r w:rsidRPr="00D96070">
              <w:rPr>
                <w:sz w:val="20"/>
                <w:szCs w:val="20"/>
              </w:rPr>
              <w:noBreakHyphen/>
              <w:t xml:space="preserve"> Regulations </w:t>
            </w:r>
            <w:r w:rsidRPr="00D96070">
              <w:rPr>
                <w:sz w:val="20"/>
                <w:szCs w:val="20"/>
              </w:rPr>
              <w:noBreakHyphen/>
              <w:t xml:space="preserve"> Whether this Court should show deference or genuine restraint in reviewing the legality or </w:t>
            </w:r>
            <w:proofErr w:type="spellStart"/>
            <w:r w:rsidRPr="00D96070">
              <w:rPr>
                <w:i/>
                <w:sz w:val="20"/>
                <w:szCs w:val="20"/>
              </w:rPr>
              <w:t>vires</w:t>
            </w:r>
            <w:proofErr w:type="spellEnd"/>
            <w:r w:rsidRPr="00D96070">
              <w:rPr>
                <w:sz w:val="20"/>
                <w:szCs w:val="20"/>
              </w:rPr>
              <w:t xml:space="preserve"> of regulations </w:t>
            </w:r>
            <w:r w:rsidRPr="00D96070">
              <w:rPr>
                <w:sz w:val="20"/>
                <w:szCs w:val="20"/>
              </w:rPr>
              <w:noBreakHyphen/>
              <w:t xml:space="preserve"> Whether the private label ban is consistent with the purpose of the parent statutes </w:t>
            </w:r>
            <w:r w:rsidRPr="00D96070">
              <w:rPr>
                <w:sz w:val="20"/>
                <w:szCs w:val="20"/>
              </w:rPr>
              <w:noBreakHyphen/>
              <w:t xml:space="preserve"> Whether the private label ban is a condition of listing or a prohibition </w:t>
            </w:r>
            <w:r w:rsidRPr="00D96070">
              <w:rPr>
                <w:sz w:val="20"/>
                <w:szCs w:val="20"/>
              </w:rPr>
              <w:noBreakHyphen/>
              <w:t xml:space="preserve"> Whether the parent statutes authorize regulations that interfere with otherwise lawful commercial activity, namely, the decision of a pharmacy chain to invest in its own drug manufacturer </w:t>
            </w:r>
            <w:r w:rsidRPr="00D96070">
              <w:rPr>
                <w:sz w:val="20"/>
                <w:szCs w:val="20"/>
              </w:rPr>
              <w:noBreakHyphen/>
              <w:t xml:space="preserve"> Whether the parent statutes authorize regulations that discriminate amongst drug manufacturers by banning some of them from the Ontario marketplace.</w:t>
            </w:r>
          </w:p>
        </w:tc>
        <w:tc>
          <w:tcPr>
            <w:tcW w:w="720" w:type="dxa"/>
            <w:tcMar>
              <w:left w:w="0" w:type="dxa"/>
              <w:right w:w="0" w:type="dxa"/>
            </w:tcMar>
          </w:tcPr>
          <w:p w:rsidR="001C5D48" w:rsidRPr="00C1697B" w:rsidRDefault="001C5D48" w:rsidP="001277D5">
            <w:pPr>
              <w:widowControl w:val="0"/>
              <w:jc w:val="center"/>
              <w:rPr>
                <w:sz w:val="20"/>
                <w:szCs w:val="20"/>
              </w:rPr>
            </w:pPr>
          </w:p>
        </w:tc>
        <w:tc>
          <w:tcPr>
            <w:tcW w:w="4380" w:type="dxa"/>
            <w:tcMar>
              <w:left w:w="0" w:type="dxa"/>
              <w:right w:w="0" w:type="dxa"/>
            </w:tcMar>
          </w:tcPr>
          <w:p w:rsidR="001C5D48" w:rsidRPr="00CC4D84" w:rsidRDefault="001C5D48" w:rsidP="001277D5">
            <w:pPr>
              <w:widowControl w:val="0"/>
              <w:jc w:val="both"/>
              <w:rPr>
                <w:b/>
                <w:sz w:val="20"/>
                <w:szCs w:val="20"/>
                <w:u w:val="single"/>
                <w:lang w:val="fr-CA"/>
              </w:rPr>
            </w:pPr>
            <w:r w:rsidRPr="00CC4D84">
              <w:rPr>
                <w:b/>
                <w:sz w:val="20"/>
                <w:szCs w:val="20"/>
                <w:u w:val="single"/>
                <w:lang w:val="fr-CA"/>
              </w:rPr>
              <w:t>Nature de la cause</w:t>
            </w:r>
            <w:r>
              <w:rPr>
                <w:b/>
                <w:sz w:val="20"/>
                <w:szCs w:val="20"/>
                <w:u w:val="single"/>
                <w:lang w:val="fr-CA"/>
              </w:rPr>
              <w:t xml:space="preserve"> -</w:t>
            </w:r>
            <w:r w:rsidRPr="00CC4D84">
              <w:rPr>
                <w:b/>
                <w:sz w:val="20"/>
                <w:szCs w:val="20"/>
                <w:u w:val="single"/>
                <w:lang w:val="fr-CA"/>
              </w:rPr>
              <w:t xml:space="preserve"> </w:t>
            </w:r>
            <w:r>
              <w:rPr>
                <w:b/>
                <w:sz w:val="20"/>
                <w:szCs w:val="20"/>
                <w:u w:val="single"/>
                <w:lang w:val="fr-CA"/>
              </w:rPr>
              <w:t xml:space="preserve">34649 </w:t>
            </w:r>
            <w:r w:rsidRPr="00CC4D84">
              <w:rPr>
                <w:b/>
                <w:sz w:val="20"/>
                <w:szCs w:val="20"/>
                <w:u w:val="single"/>
                <w:lang w:val="fr-CA"/>
              </w:rPr>
              <w:t>:</w:t>
            </w:r>
          </w:p>
          <w:p w:rsidR="001C5D48" w:rsidRPr="00C1697B" w:rsidRDefault="001C5D48" w:rsidP="001277D5">
            <w:pPr>
              <w:widowControl w:val="0"/>
              <w:jc w:val="both"/>
              <w:rPr>
                <w:sz w:val="20"/>
                <w:szCs w:val="20"/>
                <w:lang w:val="fr-CA"/>
              </w:rPr>
            </w:pPr>
          </w:p>
          <w:p w:rsidR="001C5D48" w:rsidRPr="00C1697B" w:rsidRDefault="00EE5697" w:rsidP="001277D5">
            <w:pPr>
              <w:widowControl w:val="0"/>
              <w:jc w:val="both"/>
              <w:rPr>
                <w:sz w:val="20"/>
                <w:szCs w:val="20"/>
                <w:lang w:val="fr-CA"/>
              </w:rPr>
            </w:pPr>
            <w:r w:rsidRPr="0078635C">
              <w:rPr>
                <w:sz w:val="20"/>
                <w:szCs w:val="20"/>
                <w:lang w:val="fr-CA"/>
              </w:rPr>
              <w:t xml:space="preserve">Droit de la santé </w:t>
            </w:r>
            <w:r w:rsidRPr="0078635C">
              <w:rPr>
                <w:sz w:val="20"/>
                <w:szCs w:val="20"/>
                <w:lang w:val="fr-CA"/>
              </w:rPr>
              <w:noBreakHyphen/>
              <w:t xml:space="preserve"> Santé publique </w:t>
            </w:r>
            <w:r w:rsidRPr="0078635C">
              <w:rPr>
                <w:sz w:val="20"/>
                <w:szCs w:val="20"/>
                <w:lang w:val="fr-CA"/>
              </w:rPr>
              <w:noBreakHyphen/>
              <w:t xml:space="preserve"> Règlements </w:t>
            </w:r>
            <w:r w:rsidRPr="0078635C">
              <w:rPr>
                <w:sz w:val="20"/>
                <w:szCs w:val="20"/>
                <w:lang w:val="fr-CA"/>
              </w:rPr>
              <w:noBreakHyphen/>
              <w:t xml:space="preserve"> Cette Cour </w:t>
            </w:r>
            <w:proofErr w:type="spellStart"/>
            <w:r w:rsidRPr="0078635C">
              <w:rPr>
                <w:sz w:val="20"/>
                <w:szCs w:val="20"/>
                <w:lang w:val="fr-CA"/>
              </w:rPr>
              <w:t>devrait</w:t>
            </w:r>
            <w:r w:rsidRPr="0078635C">
              <w:rPr>
                <w:sz w:val="20"/>
                <w:szCs w:val="20"/>
                <w:lang w:val="fr-CA"/>
              </w:rPr>
              <w:noBreakHyphen/>
              <w:t>elle</w:t>
            </w:r>
            <w:proofErr w:type="spellEnd"/>
            <w:r w:rsidRPr="0078635C">
              <w:rPr>
                <w:sz w:val="20"/>
                <w:szCs w:val="20"/>
                <w:lang w:val="fr-CA"/>
              </w:rPr>
              <w:t xml:space="preserve"> faire preuve de déférence ou de véritable retenue en examinant la légalité ou la validité de règlements? </w:t>
            </w:r>
            <w:r w:rsidRPr="0078635C">
              <w:rPr>
                <w:sz w:val="20"/>
                <w:szCs w:val="20"/>
                <w:lang w:val="fr-CA"/>
              </w:rPr>
              <w:noBreakHyphen/>
              <w:t xml:space="preserve"> L’interdiction des médicaments de marque privée </w:t>
            </w:r>
            <w:proofErr w:type="spellStart"/>
            <w:r w:rsidRPr="0078635C">
              <w:rPr>
                <w:sz w:val="20"/>
                <w:szCs w:val="20"/>
                <w:lang w:val="fr-CA"/>
              </w:rPr>
              <w:t>est</w:t>
            </w:r>
            <w:r w:rsidRPr="0078635C">
              <w:rPr>
                <w:sz w:val="20"/>
                <w:szCs w:val="20"/>
                <w:lang w:val="fr-CA"/>
              </w:rPr>
              <w:noBreakHyphen/>
              <w:t>elle</w:t>
            </w:r>
            <w:proofErr w:type="spellEnd"/>
            <w:r w:rsidRPr="0078635C">
              <w:rPr>
                <w:sz w:val="20"/>
                <w:szCs w:val="20"/>
                <w:lang w:val="fr-CA"/>
              </w:rPr>
              <w:t xml:space="preserve"> conforme à l’objet des lois habilitantes? </w:t>
            </w:r>
            <w:r w:rsidRPr="0078635C">
              <w:rPr>
                <w:sz w:val="20"/>
                <w:szCs w:val="20"/>
                <w:lang w:val="fr-CA"/>
              </w:rPr>
              <w:noBreakHyphen/>
              <w:t xml:space="preserve"> L’interdiction des médicaments de marque privée </w:t>
            </w:r>
            <w:proofErr w:type="spellStart"/>
            <w:r w:rsidRPr="0078635C">
              <w:rPr>
                <w:sz w:val="20"/>
                <w:szCs w:val="20"/>
                <w:lang w:val="fr-CA"/>
              </w:rPr>
              <w:t>est</w:t>
            </w:r>
            <w:r w:rsidRPr="0078635C">
              <w:rPr>
                <w:sz w:val="20"/>
                <w:szCs w:val="20"/>
                <w:lang w:val="fr-CA"/>
              </w:rPr>
              <w:noBreakHyphen/>
              <w:t>elle</w:t>
            </w:r>
            <w:proofErr w:type="spellEnd"/>
            <w:r w:rsidRPr="0078635C">
              <w:rPr>
                <w:sz w:val="20"/>
                <w:szCs w:val="20"/>
                <w:lang w:val="fr-CA"/>
              </w:rPr>
              <w:t xml:space="preserve"> une condition d’inscription sur la liste ou une interdiction? </w:t>
            </w:r>
            <w:r w:rsidRPr="0078635C">
              <w:rPr>
                <w:sz w:val="20"/>
                <w:szCs w:val="20"/>
                <w:lang w:val="fr-CA"/>
              </w:rPr>
              <w:noBreakHyphen/>
              <w:t xml:space="preserve"> Les lois habilitantes </w:t>
            </w:r>
            <w:proofErr w:type="spellStart"/>
            <w:r w:rsidRPr="0078635C">
              <w:rPr>
                <w:sz w:val="20"/>
                <w:szCs w:val="20"/>
                <w:lang w:val="fr-CA"/>
              </w:rPr>
              <w:t>autorisent</w:t>
            </w:r>
            <w:r w:rsidRPr="0078635C">
              <w:rPr>
                <w:sz w:val="20"/>
                <w:szCs w:val="20"/>
                <w:lang w:val="fr-CA"/>
              </w:rPr>
              <w:noBreakHyphen/>
              <w:t>elles</w:t>
            </w:r>
            <w:proofErr w:type="spellEnd"/>
            <w:r w:rsidRPr="0078635C">
              <w:rPr>
                <w:sz w:val="20"/>
                <w:szCs w:val="20"/>
                <w:lang w:val="fr-CA"/>
              </w:rPr>
              <w:t xml:space="preserve"> des règlements qui font obstacle à une activité commerciale licite par ailleurs, à savoir la décision d’une chaîne de pharmacies d’investir dans le fabricant de ses propres médicaments? </w:t>
            </w:r>
            <w:r w:rsidRPr="0078635C">
              <w:rPr>
                <w:sz w:val="20"/>
                <w:szCs w:val="20"/>
                <w:lang w:val="fr-CA"/>
              </w:rPr>
              <w:noBreakHyphen/>
              <w:t xml:space="preserve"> Les lois habilitantes </w:t>
            </w:r>
            <w:proofErr w:type="spellStart"/>
            <w:r w:rsidRPr="0078635C">
              <w:rPr>
                <w:sz w:val="20"/>
                <w:szCs w:val="20"/>
                <w:lang w:val="fr-CA"/>
              </w:rPr>
              <w:t>autorisent</w:t>
            </w:r>
            <w:r w:rsidRPr="0078635C">
              <w:rPr>
                <w:sz w:val="20"/>
                <w:szCs w:val="20"/>
                <w:lang w:val="fr-CA"/>
              </w:rPr>
              <w:noBreakHyphen/>
              <w:t>elles</w:t>
            </w:r>
            <w:proofErr w:type="spellEnd"/>
            <w:r w:rsidRPr="0078635C">
              <w:rPr>
                <w:sz w:val="20"/>
                <w:szCs w:val="20"/>
                <w:lang w:val="fr-CA"/>
              </w:rPr>
              <w:t xml:space="preserve"> des règlements qui font des distinctions entre des fabricants de médicaments en interdisant l’accès de certains d’entre eux au marché ontarien?</w:t>
            </w:r>
          </w:p>
        </w:tc>
      </w:tr>
    </w:tbl>
    <w:p w:rsidR="001C5D48" w:rsidRDefault="001C5D48" w:rsidP="00732DB7">
      <w:pPr>
        <w:widowControl w:val="0"/>
        <w:rPr>
          <w:sz w:val="20"/>
          <w:szCs w:val="20"/>
          <w:lang w:val="fr-CA"/>
        </w:rPr>
      </w:pPr>
    </w:p>
    <w:p w:rsidR="002A27D1" w:rsidRDefault="0028676C" w:rsidP="002A27D1">
      <w:pPr>
        <w:widowControl w:val="0"/>
        <w:rPr>
          <w:sz w:val="20"/>
          <w:szCs w:val="20"/>
        </w:rPr>
      </w:pPr>
      <w:r w:rsidRPr="0028676C">
        <w:rPr>
          <w:sz w:val="20"/>
          <w:szCs w:val="20"/>
          <w:lang w:val="fr-CA"/>
        </w:rPr>
        <w:pict>
          <v:rect id="_x0000_i1110" style="width:2in;height:1pt" o:hrpct="0" o:hralign="center" o:hrstd="t" o:hrnoshade="t" o:hr="t" fillcolor="black [3213]" stroked="f"/>
        </w:pict>
      </w:r>
    </w:p>
    <w:p w:rsidR="002A27D1" w:rsidRDefault="002A27D1" w:rsidP="002A27D1">
      <w:pPr>
        <w:widowControl w:val="0"/>
        <w:rPr>
          <w:sz w:val="20"/>
          <w:szCs w:val="20"/>
        </w:rPr>
      </w:pPr>
    </w:p>
    <w:p w:rsidR="00180577" w:rsidRPr="00FA4CDE" w:rsidRDefault="00180577" w:rsidP="00180577">
      <w:pPr>
        <w:widowControl w:val="0"/>
        <w:rPr>
          <w:sz w:val="20"/>
          <w:szCs w:val="20"/>
          <w:lang w:val="fr-CA"/>
        </w:rPr>
      </w:pPr>
      <w:r w:rsidRPr="00FA4CDE">
        <w:rPr>
          <w:sz w:val="20"/>
          <w:szCs w:val="20"/>
          <w:lang w:val="fr-CA"/>
        </w:rPr>
        <w:t>15.05.2013</w:t>
      </w:r>
    </w:p>
    <w:p w:rsidR="00180577" w:rsidRPr="00FA4CDE" w:rsidRDefault="00180577" w:rsidP="00180577">
      <w:pPr>
        <w:widowControl w:val="0"/>
        <w:rPr>
          <w:sz w:val="20"/>
          <w:szCs w:val="20"/>
          <w:lang w:val="fr-CA"/>
        </w:rPr>
      </w:pPr>
    </w:p>
    <w:p w:rsidR="00180577" w:rsidRPr="00180577" w:rsidRDefault="00180577" w:rsidP="00180577">
      <w:pPr>
        <w:widowControl w:val="0"/>
        <w:ind w:left="720" w:hanging="720"/>
        <w:rPr>
          <w:b/>
          <w:sz w:val="20"/>
          <w:szCs w:val="20"/>
          <w:lang w:val="fr-CA"/>
        </w:rPr>
      </w:pPr>
      <w:r w:rsidRPr="00180577">
        <w:rPr>
          <w:sz w:val="20"/>
          <w:szCs w:val="20"/>
          <w:lang w:val="fr-CA"/>
        </w:rPr>
        <w:t xml:space="preserve">Coram: </w:t>
      </w:r>
      <w:r w:rsidRPr="00180577">
        <w:rPr>
          <w:sz w:val="20"/>
          <w:szCs w:val="20"/>
          <w:lang w:val="fr-CA"/>
        </w:rPr>
        <w:tab/>
      </w:r>
      <w:r w:rsidRPr="00180577">
        <w:rPr>
          <w:sz w:val="20"/>
          <w:szCs w:val="20"/>
          <w:u w:val="single"/>
          <w:lang w:val="fr-CA"/>
        </w:rPr>
        <w:t xml:space="preserve">La juge en chef McLachlin et </w:t>
      </w:r>
      <w:r>
        <w:rPr>
          <w:sz w:val="20"/>
          <w:szCs w:val="20"/>
          <w:u w:val="single"/>
          <w:lang w:val="fr-CA"/>
        </w:rPr>
        <w:t xml:space="preserve">les juges </w:t>
      </w:r>
      <w:proofErr w:type="spellStart"/>
      <w:r w:rsidRPr="00180577">
        <w:rPr>
          <w:sz w:val="20"/>
          <w:szCs w:val="20"/>
          <w:u w:val="single"/>
          <w:lang w:val="fr-CA"/>
        </w:rPr>
        <w:t>LeBel</w:t>
      </w:r>
      <w:proofErr w:type="spellEnd"/>
      <w:r w:rsidRPr="00180577">
        <w:rPr>
          <w:sz w:val="20"/>
          <w:szCs w:val="20"/>
          <w:u w:val="single"/>
          <w:lang w:val="fr-CA"/>
        </w:rPr>
        <w:t xml:space="preserve">, </w:t>
      </w:r>
      <w:r>
        <w:rPr>
          <w:sz w:val="20"/>
          <w:szCs w:val="20"/>
          <w:u w:val="single"/>
          <w:lang w:val="fr-CA"/>
        </w:rPr>
        <w:t xml:space="preserve">Fish, </w:t>
      </w:r>
      <w:r w:rsidRPr="00180577">
        <w:rPr>
          <w:sz w:val="20"/>
          <w:szCs w:val="20"/>
          <w:u w:val="single"/>
          <w:lang w:val="fr-CA"/>
        </w:rPr>
        <w:t xml:space="preserve">Abella, </w:t>
      </w:r>
      <w:proofErr w:type="spellStart"/>
      <w:r w:rsidRPr="00180577">
        <w:rPr>
          <w:sz w:val="20"/>
          <w:szCs w:val="20"/>
          <w:u w:val="single"/>
          <w:lang w:val="fr-CA"/>
        </w:rPr>
        <w:t>Rothstein</w:t>
      </w:r>
      <w:proofErr w:type="spellEnd"/>
      <w:r w:rsidRPr="00180577">
        <w:rPr>
          <w:sz w:val="20"/>
          <w:szCs w:val="20"/>
          <w:u w:val="single"/>
          <w:lang w:val="fr-CA"/>
        </w:rPr>
        <w:t>, Cromwell, Moldaver</w:t>
      </w:r>
      <w:r>
        <w:rPr>
          <w:sz w:val="20"/>
          <w:szCs w:val="20"/>
          <w:u w:val="single"/>
          <w:lang w:val="fr-CA"/>
        </w:rPr>
        <w:t xml:space="preserve">, Karakatsanis et </w:t>
      </w:r>
      <w:r w:rsidRPr="00180577">
        <w:rPr>
          <w:sz w:val="20"/>
          <w:szCs w:val="20"/>
          <w:u w:val="single"/>
          <w:lang w:val="fr-CA"/>
        </w:rPr>
        <w:t>Wagner</w:t>
      </w:r>
      <w:r w:rsidRPr="00180577">
        <w:rPr>
          <w:sz w:val="20"/>
          <w:szCs w:val="20"/>
          <w:lang w:val="fr-CA"/>
        </w:rPr>
        <w:t xml:space="preserve"> </w:t>
      </w:r>
    </w:p>
    <w:p w:rsidR="00180577" w:rsidRPr="00180577" w:rsidRDefault="00180577" w:rsidP="00180577">
      <w:pPr>
        <w:widowControl w:val="0"/>
        <w:rPr>
          <w:b/>
          <w:sz w:val="20"/>
          <w:szCs w:val="20"/>
          <w:lang w:val="fr-CA"/>
        </w:rPr>
      </w:pPr>
    </w:p>
    <w:tbl>
      <w:tblPr>
        <w:tblW w:w="0" w:type="auto"/>
        <w:tblLayout w:type="fixed"/>
        <w:tblCellMar>
          <w:left w:w="0" w:type="dxa"/>
          <w:right w:w="0" w:type="dxa"/>
        </w:tblCellMar>
        <w:tblLook w:val="0000"/>
      </w:tblPr>
      <w:tblGrid>
        <w:gridCol w:w="4380"/>
        <w:gridCol w:w="720"/>
        <w:gridCol w:w="4380"/>
      </w:tblGrid>
      <w:tr w:rsidR="00180577" w:rsidRPr="008D3430" w:rsidTr="00180577">
        <w:tc>
          <w:tcPr>
            <w:tcW w:w="4380" w:type="dxa"/>
            <w:tcMar>
              <w:left w:w="0" w:type="dxa"/>
              <w:right w:w="0" w:type="dxa"/>
            </w:tcMar>
          </w:tcPr>
          <w:p w:rsidR="00180577" w:rsidRPr="00180577" w:rsidRDefault="00180577" w:rsidP="00180577">
            <w:pPr>
              <w:widowControl w:val="0"/>
              <w:jc w:val="both"/>
              <w:rPr>
                <w:b/>
                <w:sz w:val="20"/>
                <w:szCs w:val="20"/>
                <w:lang w:val="fr-CA"/>
              </w:rPr>
            </w:pPr>
            <w:proofErr w:type="spellStart"/>
            <w:r w:rsidRPr="00180577">
              <w:rPr>
                <w:b/>
                <w:sz w:val="20"/>
                <w:szCs w:val="20"/>
                <w:lang w:val="fr-CA"/>
              </w:rPr>
              <w:t>Mihai</w:t>
            </w:r>
            <w:proofErr w:type="spellEnd"/>
            <w:r w:rsidRPr="00180577">
              <w:rPr>
                <w:b/>
                <w:sz w:val="20"/>
                <w:szCs w:val="20"/>
                <w:lang w:val="fr-CA"/>
              </w:rPr>
              <w:t xml:space="preserve"> </w:t>
            </w:r>
            <w:proofErr w:type="spellStart"/>
            <w:r w:rsidRPr="00180577">
              <w:rPr>
                <w:b/>
                <w:sz w:val="20"/>
                <w:szCs w:val="20"/>
                <w:lang w:val="fr-CA"/>
              </w:rPr>
              <w:t>Ibasnescu</w:t>
            </w:r>
            <w:proofErr w:type="spellEnd"/>
          </w:p>
          <w:p w:rsidR="00180577" w:rsidRPr="00180577" w:rsidRDefault="00180577" w:rsidP="00180577">
            <w:pPr>
              <w:widowControl w:val="0"/>
              <w:jc w:val="both"/>
              <w:rPr>
                <w:b/>
                <w:sz w:val="20"/>
                <w:szCs w:val="20"/>
                <w:lang w:val="fr-CA"/>
              </w:rPr>
            </w:pPr>
          </w:p>
          <w:p w:rsidR="00180577" w:rsidRPr="00180577" w:rsidRDefault="00180577" w:rsidP="00180577">
            <w:pPr>
              <w:widowControl w:val="0"/>
              <w:tabs>
                <w:tab w:val="left" w:pos="736"/>
              </w:tabs>
              <w:jc w:val="both"/>
              <w:rPr>
                <w:b/>
                <w:sz w:val="20"/>
                <w:szCs w:val="20"/>
                <w:lang w:val="fr-CA"/>
              </w:rPr>
            </w:pPr>
            <w:r w:rsidRPr="00180577">
              <w:rPr>
                <w:b/>
                <w:sz w:val="20"/>
                <w:szCs w:val="20"/>
                <w:lang w:val="fr-CA"/>
              </w:rPr>
              <w:tab/>
              <w:t>c. (34653)</w:t>
            </w:r>
          </w:p>
          <w:p w:rsidR="00180577" w:rsidRPr="00180577" w:rsidRDefault="00180577" w:rsidP="00180577">
            <w:pPr>
              <w:widowControl w:val="0"/>
              <w:jc w:val="both"/>
              <w:rPr>
                <w:b/>
                <w:sz w:val="20"/>
                <w:szCs w:val="20"/>
                <w:lang w:val="fr-CA"/>
              </w:rPr>
            </w:pPr>
          </w:p>
          <w:p w:rsidR="00180577" w:rsidRPr="00180577" w:rsidRDefault="00180577" w:rsidP="00180577">
            <w:pPr>
              <w:widowControl w:val="0"/>
              <w:jc w:val="both"/>
              <w:rPr>
                <w:sz w:val="20"/>
                <w:szCs w:val="20"/>
                <w:lang w:val="fr-CA"/>
              </w:rPr>
            </w:pPr>
            <w:r w:rsidRPr="00180577">
              <w:rPr>
                <w:b/>
                <w:sz w:val="20"/>
                <w:szCs w:val="20"/>
                <w:lang w:val="fr-CA"/>
              </w:rPr>
              <w:t>Sa Majesté la Reine (</w:t>
            </w:r>
            <w:proofErr w:type="spellStart"/>
            <w:r w:rsidRPr="00180577">
              <w:rPr>
                <w:b/>
                <w:sz w:val="20"/>
                <w:szCs w:val="20"/>
                <w:lang w:val="fr-CA"/>
              </w:rPr>
              <w:t>Qc</w:t>
            </w:r>
            <w:proofErr w:type="spellEnd"/>
            <w:r w:rsidRPr="00180577">
              <w:rPr>
                <w:b/>
                <w:sz w:val="20"/>
                <w:szCs w:val="20"/>
                <w:lang w:val="fr-CA"/>
              </w:rPr>
              <w:t>) (Civile) (Autorisation)</w:t>
            </w:r>
          </w:p>
        </w:tc>
        <w:tc>
          <w:tcPr>
            <w:tcW w:w="720" w:type="dxa"/>
            <w:tcMar>
              <w:left w:w="0" w:type="dxa"/>
              <w:right w:w="0" w:type="dxa"/>
            </w:tcMar>
          </w:tcPr>
          <w:p w:rsidR="00180577" w:rsidRPr="00180577" w:rsidRDefault="00180577" w:rsidP="00180577">
            <w:pPr>
              <w:widowControl w:val="0"/>
              <w:jc w:val="center"/>
              <w:rPr>
                <w:sz w:val="20"/>
                <w:szCs w:val="20"/>
                <w:lang w:val="fr-CA"/>
              </w:rPr>
            </w:pPr>
          </w:p>
        </w:tc>
        <w:tc>
          <w:tcPr>
            <w:tcW w:w="4380" w:type="dxa"/>
            <w:tcMar>
              <w:left w:w="0" w:type="dxa"/>
              <w:right w:w="0" w:type="dxa"/>
            </w:tcMar>
          </w:tcPr>
          <w:p w:rsidR="00FD3F8F" w:rsidRPr="00013880" w:rsidRDefault="00FD3F8F" w:rsidP="00FD3F8F">
            <w:pPr>
              <w:rPr>
                <w:sz w:val="20"/>
                <w:szCs w:val="20"/>
                <w:lang w:val="fr-CA"/>
              </w:rPr>
            </w:pPr>
            <w:r w:rsidRPr="00013880">
              <w:rPr>
                <w:sz w:val="20"/>
                <w:szCs w:val="20"/>
                <w:lang w:val="fr-CA"/>
              </w:rPr>
              <w:t xml:space="preserve">Rose-Mélanie </w:t>
            </w:r>
            <w:proofErr w:type="spellStart"/>
            <w:r w:rsidRPr="00013880">
              <w:rPr>
                <w:sz w:val="20"/>
                <w:szCs w:val="20"/>
                <w:lang w:val="fr-CA"/>
              </w:rPr>
              <w:t>Drivod</w:t>
            </w:r>
            <w:proofErr w:type="spellEnd"/>
            <w:r>
              <w:rPr>
                <w:sz w:val="20"/>
                <w:szCs w:val="20"/>
                <w:lang w:val="fr-CA"/>
              </w:rPr>
              <w:t xml:space="preserve"> p</w:t>
            </w:r>
            <w:r w:rsidRPr="00013880">
              <w:rPr>
                <w:sz w:val="20"/>
                <w:szCs w:val="20"/>
                <w:lang w:val="fr-CA"/>
              </w:rPr>
              <w:t>our l’appelant</w:t>
            </w:r>
            <w:r>
              <w:rPr>
                <w:sz w:val="20"/>
                <w:szCs w:val="20"/>
                <w:lang w:val="fr-CA"/>
              </w:rPr>
              <w:t>.</w:t>
            </w:r>
          </w:p>
          <w:p w:rsidR="00FD3F8F" w:rsidRPr="00013880" w:rsidRDefault="00FD3F8F" w:rsidP="00FD3F8F">
            <w:pPr>
              <w:rPr>
                <w:sz w:val="20"/>
                <w:szCs w:val="20"/>
                <w:lang w:val="fr-CA"/>
              </w:rPr>
            </w:pPr>
          </w:p>
          <w:p w:rsidR="00180577" w:rsidRPr="00180577" w:rsidRDefault="00FD3F8F" w:rsidP="00FD3F8F">
            <w:pPr>
              <w:widowControl w:val="0"/>
              <w:jc w:val="both"/>
              <w:rPr>
                <w:sz w:val="20"/>
                <w:szCs w:val="20"/>
                <w:lang w:val="fr-CA"/>
              </w:rPr>
            </w:pPr>
            <w:r w:rsidRPr="00013880">
              <w:rPr>
                <w:sz w:val="20"/>
                <w:szCs w:val="20"/>
                <w:lang w:val="en-US"/>
              </w:rPr>
              <w:t xml:space="preserve">Dennis </w:t>
            </w:r>
            <w:proofErr w:type="spellStart"/>
            <w:r w:rsidRPr="00013880">
              <w:rPr>
                <w:sz w:val="20"/>
                <w:szCs w:val="20"/>
                <w:lang w:val="en-US"/>
              </w:rPr>
              <w:t>Galiatsatos</w:t>
            </w:r>
            <w:proofErr w:type="spellEnd"/>
            <w:r>
              <w:rPr>
                <w:sz w:val="20"/>
                <w:szCs w:val="20"/>
                <w:lang w:val="en-US"/>
              </w:rPr>
              <w:t xml:space="preserve"> et </w:t>
            </w:r>
            <w:r w:rsidRPr="00013880">
              <w:rPr>
                <w:sz w:val="20"/>
                <w:szCs w:val="20"/>
                <w:lang w:val="fr-CA"/>
              </w:rPr>
              <w:t>Benoit Lauzon</w:t>
            </w:r>
            <w:r>
              <w:rPr>
                <w:sz w:val="20"/>
                <w:szCs w:val="20"/>
                <w:lang w:val="fr-CA"/>
              </w:rPr>
              <w:t xml:space="preserve"> f</w:t>
            </w:r>
            <w:r w:rsidRPr="00013880">
              <w:rPr>
                <w:sz w:val="20"/>
                <w:szCs w:val="20"/>
                <w:lang w:val="en-US"/>
              </w:rPr>
              <w:t>or the respondent.</w:t>
            </w:r>
          </w:p>
        </w:tc>
      </w:tr>
    </w:tbl>
    <w:p w:rsidR="00180577" w:rsidRPr="00180577" w:rsidRDefault="00180577" w:rsidP="00180577">
      <w:pPr>
        <w:widowControl w:val="0"/>
        <w:rPr>
          <w:lang w:val="fr-CA"/>
        </w:rPr>
      </w:pPr>
    </w:p>
    <w:p w:rsidR="00180577" w:rsidRPr="0085476B" w:rsidRDefault="00180577" w:rsidP="00180577">
      <w:pPr>
        <w:widowControl w:val="0"/>
        <w:rPr>
          <w:sz w:val="20"/>
          <w:szCs w:val="20"/>
        </w:rPr>
      </w:pPr>
      <w:r w:rsidRPr="0085476B">
        <w:rPr>
          <w:b/>
          <w:sz w:val="20"/>
          <w:szCs w:val="20"/>
        </w:rPr>
        <w:t xml:space="preserve">RESERVED / </w:t>
      </w:r>
      <w:r w:rsidRPr="0085476B">
        <w:rPr>
          <w:b/>
          <w:sz w:val="20"/>
          <w:szCs w:val="20"/>
          <w:lang w:val="fr-CA"/>
        </w:rPr>
        <w:t>EN DÉLIBÉRÉ</w:t>
      </w:r>
    </w:p>
    <w:p w:rsidR="00180577" w:rsidRDefault="00180577" w:rsidP="00180577"/>
    <w:tbl>
      <w:tblPr>
        <w:tblW w:w="0" w:type="auto"/>
        <w:tblLayout w:type="fixed"/>
        <w:tblCellMar>
          <w:left w:w="0" w:type="dxa"/>
          <w:right w:w="0" w:type="dxa"/>
        </w:tblCellMar>
        <w:tblLook w:val="0000"/>
      </w:tblPr>
      <w:tblGrid>
        <w:gridCol w:w="4380"/>
        <w:gridCol w:w="720"/>
        <w:gridCol w:w="4380"/>
      </w:tblGrid>
      <w:tr w:rsidR="00180577" w:rsidRPr="00B6040C" w:rsidTr="00180577">
        <w:tc>
          <w:tcPr>
            <w:tcW w:w="4380" w:type="dxa"/>
            <w:tcMar>
              <w:left w:w="0" w:type="dxa"/>
              <w:right w:w="0" w:type="dxa"/>
            </w:tcMar>
          </w:tcPr>
          <w:p w:rsidR="00180577" w:rsidRPr="00CC4D84" w:rsidRDefault="00180577" w:rsidP="00180577">
            <w:pPr>
              <w:widowControl w:val="0"/>
              <w:jc w:val="both"/>
              <w:rPr>
                <w:b/>
                <w:sz w:val="20"/>
                <w:szCs w:val="20"/>
                <w:u w:val="single"/>
              </w:rPr>
            </w:pPr>
            <w:r w:rsidRPr="00CC4D84">
              <w:rPr>
                <w:b/>
                <w:sz w:val="20"/>
                <w:szCs w:val="20"/>
                <w:u w:val="single"/>
              </w:rPr>
              <w:t>Nature of the case:</w:t>
            </w:r>
          </w:p>
          <w:p w:rsidR="00180577" w:rsidRPr="00C1697B" w:rsidRDefault="00180577" w:rsidP="00180577">
            <w:pPr>
              <w:widowControl w:val="0"/>
              <w:jc w:val="both"/>
              <w:rPr>
                <w:b/>
                <w:sz w:val="20"/>
                <w:szCs w:val="20"/>
              </w:rPr>
            </w:pPr>
          </w:p>
          <w:p w:rsidR="00180577" w:rsidRPr="00C1697B" w:rsidRDefault="00F86B6A" w:rsidP="00180577">
            <w:pPr>
              <w:widowControl w:val="0"/>
              <w:jc w:val="both"/>
              <w:rPr>
                <w:b/>
                <w:sz w:val="20"/>
                <w:szCs w:val="20"/>
              </w:rPr>
            </w:pPr>
            <w:r w:rsidRPr="00E3309F">
              <w:rPr>
                <w:sz w:val="20"/>
                <w:szCs w:val="20"/>
              </w:rPr>
              <w:t xml:space="preserve">Criminal law </w:t>
            </w:r>
            <w:r w:rsidRPr="00E3309F">
              <w:rPr>
                <w:sz w:val="20"/>
                <w:szCs w:val="20"/>
              </w:rPr>
              <w:noBreakHyphen/>
              <w:t xml:space="preserve"> Offences </w:t>
            </w:r>
            <w:r w:rsidRPr="00E3309F">
              <w:rPr>
                <w:sz w:val="20"/>
                <w:szCs w:val="20"/>
              </w:rPr>
              <w:noBreakHyphen/>
              <w:t xml:space="preserve"> Driving with more than 80 mg of alcohol in 100 ml of blood </w:t>
            </w:r>
            <w:r w:rsidRPr="00E3309F">
              <w:rPr>
                <w:sz w:val="20"/>
                <w:szCs w:val="20"/>
              </w:rPr>
              <w:noBreakHyphen/>
              <w:t xml:space="preserve"> Impaired driving </w:t>
            </w:r>
            <w:r w:rsidRPr="00E3309F">
              <w:rPr>
                <w:sz w:val="20"/>
                <w:szCs w:val="20"/>
              </w:rPr>
              <w:noBreakHyphen/>
              <w:t xml:space="preserve"> Evidence </w:t>
            </w:r>
            <w:r w:rsidRPr="00E3309F">
              <w:rPr>
                <w:sz w:val="20"/>
                <w:szCs w:val="20"/>
              </w:rPr>
              <w:noBreakHyphen/>
              <w:t xml:space="preserve"> Presumptions </w:t>
            </w:r>
            <w:r w:rsidRPr="00E3309F">
              <w:rPr>
                <w:sz w:val="20"/>
                <w:szCs w:val="20"/>
              </w:rPr>
              <w:noBreakHyphen/>
              <w:t xml:space="preserve"> </w:t>
            </w:r>
            <w:proofErr w:type="spellStart"/>
            <w:r w:rsidRPr="00E3309F">
              <w:rPr>
                <w:sz w:val="20"/>
                <w:szCs w:val="20"/>
              </w:rPr>
              <w:t>Breathalyzer</w:t>
            </w:r>
            <w:proofErr w:type="spellEnd"/>
            <w:r w:rsidRPr="00E3309F">
              <w:rPr>
                <w:sz w:val="20"/>
                <w:szCs w:val="20"/>
              </w:rPr>
              <w:t xml:space="preserve"> tests </w:t>
            </w:r>
            <w:r w:rsidRPr="00E3309F">
              <w:rPr>
                <w:sz w:val="20"/>
                <w:szCs w:val="20"/>
              </w:rPr>
              <w:noBreakHyphen/>
              <w:t xml:space="preserve"> Straddle evidence </w:t>
            </w:r>
            <w:r w:rsidRPr="00E3309F">
              <w:rPr>
                <w:sz w:val="20"/>
                <w:szCs w:val="20"/>
              </w:rPr>
              <w:noBreakHyphen/>
              <w:t xml:space="preserve"> Whether Court of Appeal erred in law in its analysis of </w:t>
            </w:r>
            <w:r w:rsidRPr="00E3309F">
              <w:rPr>
                <w:i/>
                <w:sz w:val="20"/>
                <w:szCs w:val="20"/>
              </w:rPr>
              <w:t>R. v. Gibson</w:t>
            </w:r>
            <w:r w:rsidRPr="00E3309F">
              <w:rPr>
                <w:sz w:val="20"/>
                <w:szCs w:val="20"/>
              </w:rPr>
              <w:t xml:space="preserve">, [2008] 1 S.C.R. 397 </w:t>
            </w:r>
            <w:r w:rsidRPr="00E3309F">
              <w:rPr>
                <w:sz w:val="20"/>
                <w:szCs w:val="20"/>
              </w:rPr>
              <w:noBreakHyphen/>
              <w:t xml:space="preserve"> Whether Court of Appeal erred in law in not complying with </w:t>
            </w:r>
            <w:r w:rsidRPr="00E3309F">
              <w:rPr>
                <w:i/>
                <w:sz w:val="20"/>
                <w:szCs w:val="20"/>
              </w:rPr>
              <w:t>stare </w:t>
            </w:r>
            <w:proofErr w:type="spellStart"/>
            <w:r w:rsidRPr="00E3309F">
              <w:rPr>
                <w:i/>
                <w:sz w:val="20"/>
                <w:szCs w:val="20"/>
              </w:rPr>
              <w:t>decisis</w:t>
            </w:r>
            <w:proofErr w:type="spellEnd"/>
            <w:r w:rsidRPr="00E3309F">
              <w:rPr>
                <w:sz w:val="20"/>
                <w:szCs w:val="20"/>
              </w:rPr>
              <w:t xml:space="preserve"> rule </w:t>
            </w:r>
            <w:r w:rsidRPr="00E3309F">
              <w:rPr>
                <w:sz w:val="20"/>
                <w:szCs w:val="20"/>
              </w:rPr>
              <w:noBreakHyphen/>
              <w:t xml:space="preserve"> Whether Court of Appeal overstepped its role by substituting its own assessment of facts for that of trial judge.</w:t>
            </w:r>
          </w:p>
        </w:tc>
        <w:tc>
          <w:tcPr>
            <w:tcW w:w="720" w:type="dxa"/>
            <w:tcMar>
              <w:left w:w="0" w:type="dxa"/>
              <w:right w:w="0" w:type="dxa"/>
            </w:tcMar>
          </w:tcPr>
          <w:p w:rsidR="00180577" w:rsidRPr="00C1697B" w:rsidRDefault="00180577" w:rsidP="00180577">
            <w:pPr>
              <w:widowControl w:val="0"/>
              <w:jc w:val="center"/>
              <w:rPr>
                <w:sz w:val="20"/>
                <w:szCs w:val="20"/>
              </w:rPr>
            </w:pPr>
          </w:p>
        </w:tc>
        <w:tc>
          <w:tcPr>
            <w:tcW w:w="4380" w:type="dxa"/>
            <w:tcMar>
              <w:left w:w="0" w:type="dxa"/>
              <w:right w:w="0" w:type="dxa"/>
            </w:tcMar>
          </w:tcPr>
          <w:p w:rsidR="00180577" w:rsidRPr="00CC4D84" w:rsidRDefault="00180577" w:rsidP="00180577">
            <w:pPr>
              <w:widowControl w:val="0"/>
              <w:jc w:val="both"/>
              <w:rPr>
                <w:b/>
                <w:sz w:val="20"/>
                <w:szCs w:val="20"/>
                <w:u w:val="single"/>
                <w:lang w:val="fr-CA"/>
              </w:rPr>
            </w:pPr>
            <w:r w:rsidRPr="00CC4D84">
              <w:rPr>
                <w:b/>
                <w:sz w:val="20"/>
                <w:szCs w:val="20"/>
                <w:u w:val="single"/>
                <w:lang w:val="fr-CA"/>
              </w:rPr>
              <w:t>Nature de la cause :</w:t>
            </w:r>
          </w:p>
          <w:p w:rsidR="00180577" w:rsidRPr="00C1697B" w:rsidRDefault="00180577" w:rsidP="00180577">
            <w:pPr>
              <w:widowControl w:val="0"/>
              <w:jc w:val="both"/>
              <w:rPr>
                <w:sz w:val="20"/>
                <w:szCs w:val="20"/>
                <w:lang w:val="fr-CA"/>
              </w:rPr>
            </w:pPr>
          </w:p>
          <w:p w:rsidR="00180577" w:rsidRPr="00C1697B" w:rsidRDefault="00F86B6A" w:rsidP="00180577">
            <w:pPr>
              <w:widowControl w:val="0"/>
              <w:jc w:val="both"/>
              <w:rPr>
                <w:sz w:val="20"/>
                <w:szCs w:val="20"/>
                <w:lang w:val="fr-CA"/>
              </w:rPr>
            </w:pPr>
            <w:r w:rsidRPr="001B6767">
              <w:rPr>
                <w:sz w:val="20"/>
                <w:szCs w:val="20"/>
                <w:lang w:val="fr-CA"/>
              </w:rPr>
              <w:t xml:space="preserve">Droit criminel </w:t>
            </w:r>
            <w:r w:rsidRPr="001B6767">
              <w:rPr>
                <w:sz w:val="20"/>
                <w:szCs w:val="20"/>
                <w:lang w:val="fr-CA"/>
              </w:rPr>
              <w:noBreakHyphen/>
              <w:t xml:space="preserve"> Infractions </w:t>
            </w:r>
            <w:r w:rsidRPr="001B6767">
              <w:rPr>
                <w:sz w:val="20"/>
                <w:szCs w:val="20"/>
                <w:lang w:val="fr-CA"/>
              </w:rPr>
              <w:noBreakHyphen/>
              <w:t xml:space="preserve"> Conduite avec plus de 80 mg d’alcool / 100 ml dans le sang </w:t>
            </w:r>
            <w:r w:rsidRPr="001B6767">
              <w:rPr>
                <w:sz w:val="20"/>
                <w:szCs w:val="20"/>
                <w:lang w:val="fr-CA"/>
              </w:rPr>
              <w:noBreakHyphen/>
              <w:t xml:space="preserve"> Conduite avec les capacités affaiblies </w:t>
            </w:r>
            <w:r w:rsidRPr="001B6767">
              <w:rPr>
                <w:sz w:val="20"/>
                <w:szCs w:val="20"/>
                <w:lang w:val="fr-CA"/>
              </w:rPr>
              <w:noBreakHyphen/>
              <w:t xml:space="preserve"> Preuve </w:t>
            </w:r>
            <w:r w:rsidRPr="001B6767">
              <w:rPr>
                <w:sz w:val="20"/>
                <w:szCs w:val="20"/>
                <w:lang w:val="fr-CA"/>
              </w:rPr>
              <w:noBreakHyphen/>
              <w:t xml:space="preserve"> Présomptions </w:t>
            </w:r>
            <w:r w:rsidRPr="001B6767">
              <w:rPr>
                <w:sz w:val="20"/>
                <w:szCs w:val="20"/>
                <w:lang w:val="fr-CA"/>
              </w:rPr>
              <w:noBreakHyphen/>
              <w:t xml:space="preserve"> Alcootests </w:t>
            </w:r>
            <w:r w:rsidRPr="001B6767">
              <w:rPr>
                <w:sz w:val="20"/>
                <w:szCs w:val="20"/>
                <w:lang w:val="fr-CA"/>
              </w:rPr>
              <w:noBreakHyphen/>
              <w:t xml:space="preserve"> Preuve de chevauchement </w:t>
            </w:r>
            <w:r w:rsidRPr="001B6767">
              <w:rPr>
                <w:sz w:val="20"/>
                <w:szCs w:val="20"/>
                <w:lang w:val="fr-CA"/>
              </w:rPr>
              <w:noBreakHyphen/>
              <w:t xml:space="preserve"> La Cour d’appel </w:t>
            </w:r>
            <w:proofErr w:type="spellStart"/>
            <w:r w:rsidRPr="001B6767">
              <w:rPr>
                <w:sz w:val="20"/>
                <w:szCs w:val="20"/>
                <w:lang w:val="fr-CA"/>
              </w:rPr>
              <w:t>a</w:t>
            </w:r>
            <w:r w:rsidRPr="001B6767">
              <w:rPr>
                <w:sz w:val="20"/>
                <w:szCs w:val="20"/>
                <w:lang w:val="fr-CA"/>
              </w:rPr>
              <w:noBreakHyphen/>
              <w:t>t</w:t>
            </w:r>
            <w:r w:rsidRPr="001B6767">
              <w:rPr>
                <w:sz w:val="20"/>
                <w:szCs w:val="20"/>
                <w:lang w:val="fr-CA"/>
              </w:rPr>
              <w:noBreakHyphen/>
              <w:t>elle</w:t>
            </w:r>
            <w:proofErr w:type="spellEnd"/>
            <w:r w:rsidRPr="001B6767">
              <w:rPr>
                <w:sz w:val="20"/>
                <w:szCs w:val="20"/>
                <w:lang w:val="fr-CA"/>
              </w:rPr>
              <w:t xml:space="preserve"> erré en droit dans son analyse de l’arrêt </w:t>
            </w:r>
            <w:r w:rsidRPr="001B6767">
              <w:rPr>
                <w:i/>
                <w:sz w:val="20"/>
                <w:szCs w:val="20"/>
                <w:lang w:val="fr-CA"/>
              </w:rPr>
              <w:t>R. c. Gibson</w:t>
            </w:r>
            <w:r w:rsidRPr="001B6767">
              <w:rPr>
                <w:sz w:val="20"/>
                <w:szCs w:val="20"/>
                <w:lang w:val="fr-CA"/>
              </w:rPr>
              <w:t xml:space="preserve">, [2008] 1 R.C.S. 397? </w:t>
            </w:r>
            <w:r w:rsidRPr="001B6767">
              <w:rPr>
                <w:sz w:val="20"/>
                <w:szCs w:val="20"/>
                <w:lang w:val="fr-CA"/>
              </w:rPr>
              <w:noBreakHyphen/>
              <w:t xml:space="preserve"> La Cour d’appel </w:t>
            </w:r>
            <w:proofErr w:type="spellStart"/>
            <w:r w:rsidRPr="001B6767">
              <w:rPr>
                <w:sz w:val="20"/>
                <w:szCs w:val="20"/>
                <w:lang w:val="fr-CA"/>
              </w:rPr>
              <w:t>a</w:t>
            </w:r>
            <w:r w:rsidRPr="001B6767">
              <w:rPr>
                <w:sz w:val="20"/>
                <w:szCs w:val="20"/>
                <w:lang w:val="fr-CA"/>
              </w:rPr>
              <w:noBreakHyphen/>
              <w:t>t</w:t>
            </w:r>
            <w:r w:rsidRPr="001B6767">
              <w:rPr>
                <w:sz w:val="20"/>
                <w:szCs w:val="20"/>
                <w:lang w:val="fr-CA"/>
              </w:rPr>
              <w:noBreakHyphen/>
              <w:t>elle</w:t>
            </w:r>
            <w:proofErr w:type="spellEnd"/>
            <w:r w:rsidRPr="001B6767">
              <w:rPr>
                <w:sz w:val="20"/>
                <w:szCs w:val="20"/>
                <w:lang w:val="fr-CA"/>
              </w:rPr>
              <w:t xml:space="preserve"> erré en droit en ne respectant pas la règle du </w:t>
            </w:r>
            <w:proofErr w:type="spellStart"/>
            <w:r w:rsidRPr="001B6767">
              <w:rPr>
                <w:i/>
                <w:sz w:val="20"/>
                <w:szCs w:val="20"/>
                <w:lang w:val="fr-CA"/>
              </w:rPr>
              <w:t>stare</w:t>
            </w:r>
            <w:proofErr w:type="spellEnd"/>
            <w:r w:rsidRPr="001B6767">
              <w:rPr>
                <w:i/>
                <w:sz w:val="20"/>
                <w:szCs w:val="20"/>
                <w:lang w:val="fr-CA"/>
              </w:rPr>
              <w:t xml:space="preserve"> </w:t>
            </w:r>
            <w:proofErr w:type="spellStart"/>
            <w:r w:rsidRPr="001B6767">
              <w:rPr>
                <w:i/>
                <w:sz w:val="20"/>
                <w:szCs w:val="20"/>
                <w:lang w:val="fr-CA"/>
              </w:rPr>
              <w:t>decisis</w:t>
            </w:r>
            <w:proofErr w:type="spellEnd"/>
            <w:r w:rsidRPr="001B6767">
              <w:rPr>
                <w:sz w:val="20"/>
                <w:szCs w:val="20"/>
                <w:lang w:val="fr-CA"/>
              </w:rPr>
              <w:t xml:space="preserve">? </w:t>
            </w:r>
            <w:r w:rsidRPr="001B6767">
              <w:rPr>
                <w:sz w:val="20"/>
                <w:szCs w:val="20"/>
                <w:lang w:val="fr-CA"/>
              </w:rPr>
              <w:noBreakHyphen/>
              <w:t xml:space="preserve"> La Cour d’appel </w:t>
            </w:r>
            <w:proofErr w:type="spellStart"/>
            <w:r w:rsidRPr="001B6767">
              <w:rPr>
                <w:sz w:val="20"/>
                <w:szCs w:val="20"/>
                <w:lang w:val="fr-CA"/>
              </w:rPr>
              <w:t>a</w:t>
            </w:r>
            <w:r w:rsidRPr="001B6767">
              <w:rPr>
                <w:sz w:val="20"/>
                <w:szCs w:val="20"/>
                <w:lang w:val="fr-CA"/>
              </w:rPr>
              <w:noBreakHyphen/>
              <w:t>t</w:t>
            </w:r>
            <w:r w:rsidRPr="001B6767">
              <w:rPr>
                <w:sz w:val="20"/>
                <w:szCs w:val="20"/>
                <w:lang w:val="fr-CA"/>
              </w:rPr>
              <w:noBreakHyphen/>
              <w:t>elle</w:t>
            </w:r>
            <w:proofErr w:type="spellEnd"/>
            <w:r w:rsidRPr="001B6767">
              <w:rPr>
                <w:sz w:val="20"/>
                <w:szCs w:val="20"/>
                <w:lang w:val="fr-CA"/>
              </w:rPr>
              <w:t xml:space="preserve"> outrepassé son rôle en substituant sa propre appréciation des faits à celle du juge du procès?</w:t>
            </w:r>
          </w:p>
        </w:tc>
      </w:tr>
    </w:tbl>
    <w:p w:rsidR="00180577" w:rsidRDefault="00180577" w:rsidP="00180577">
      <w:pPr>
        <w:widowControl w:val="0"/>
        <w:rPr>
          <w:sz w:val="20"/>
          <w:szCs w:val="20"/>
          <w:lang w:val="fr-CA"/>
        </w:rPr>
      </w:pPr>
    </w:p>
    <w:p w:rsidR="00180577" w:rsidRDefault="0028676C" w:rsidP="00180577">
      <w:pPr>
        <w:widowControl w:val="0"/>
        <w:rPr>
          <w:sz w:val="20"/>
          <w:szCs w:val="20"/>
        </w:rPr>
      </w:pPr>
      <w:r w:rsidRPr="0028676C">
        <w:rPr>
          <w:sz w:val="20"/>
          <w:szCs w:val="20"/>
          <w:lang w:val="fr-CA"/>
        </w:rPr>
        <w:pict>
          <v:rect id="_x0000_i1111" style="width:2in;height:1pt" o:hrpct="0" o:hralign="center" o:hrstd="t" o:hrnoshade="t" o:hr="t" fillcolor="black [3213]" stroked="f"/>
        </w:pict>
      </w:r>
    </w:p>
    <w:p w:rsidR="00180577" w:rsidRDefault="00180577" w:rsidP="00180577">
      <w:pPr>
        <w:widowControl w:val="0"/>
        <w:rPr>
          <w:sz w:val="20"/>
          <w:szCs w:val="20"/>
        </w:rPr>
      </w:pPr>
    </w:p>
    <w:p w:rsidR="00180577" w:rsidRPr="00C50A5C" w:rsidRDefault="00180577" w:rsidP="00180577">
      <w:pPr>
        <w:widowControl w:val="0"/>
        <w:rPr>
          <w:sz w:val="20"/>
          <w:szCs w:val="20"/>
        </w:rPr>
      </w:pPr>
      <w:r>
        <w:rPr>
          <w:sz w:val="20"/>
          <w:szCs w:val="20"/>
        </w:rPr>
        <w:t>16</w:t>
      </w:r>
      <w:r w:rsidRPr="00C50A5C">
        <w:rPr>
          <w:sz w:val="20"/>
          <w:szCs w:val="20"/>
        </w:rPr>
        <w:t>.0</w:t>
      </w:r>
      <w:r>
        <w:rPr>
          <w:sz w:val="20"/>
          <w:szCs w:val="20"/>
        </w:rPr>
        <w:t>5</w:t>
      </w:r>
      <w:r w:rsidRPr="00C50A5C">
        <w:rPr>
          <w:sz w:val="20"/>
          <w:szCs w:val="20"/>
        </w:rPr>
        <w:t>.201</w:t>
      </w:r>
      <w:r>
        <w:rPr>
          <w:sz w:val="20"/>
          <w:szCs w:val="20"/>
        </w:rPr>
        <w:t>3</w:t>
      </w:r>
    </w:p>
    <w:p w:rsidR="00180577" w:rsidRDefault="00180577" w:rsidP="00180577">
      <w:pPr>
        <w:widowControl w:val="0"/>
        <w:rPr>
          <w:sz w:val="20"/>
          <w:szCs w:val="20"/>
        </w:rPr>
      </w:pPr>
    </w:p>
    <w:p w:rsidR="00704F01" w:rsidRPr="00A01959" w:rsidRDefault="00704F01" w:rsidP="00704F01">
      <w:pPr>
        <w:widowControl w:val="0"/>
        <w:ind w:left="720" w:hanging="720"/>
        <w:rPr>
          <w:rFonts w:eastAsia="Calibri" w:cs="Times New Roman"/>
          <w:sz w:val="20"/>
          <w:szCs w:val="20"/>
          <w:u w:val="single"/>
        </w:rPr>
      </w:pPr>
      <w:r w:rsidRPr="00A01959">
        <w:rPr>
          <w:rFonts w:eastAsia="Calibri" w:cs="Times New Roman"/>
          <w:sz w:val="20"/>
          <w:szCs w:val="20"/>
        </w:rPr>
        <w:t xml:space="preserve">Coram: </w:t>
      </w:r>
      <w:r w:rsidRPr="00A01959">
        <w:rPr>
          <w:rFonts w:eastAsia="Calibri" w:cs="Times New Roman"/>
          <w:sz w:val="20"/>
          <w:szCs w:val="20"/>
        </w:rPr>
        <w:tab/>
      </w:r>
      <w:r w:rsidRPr="00A01959">
        <w:rPr>
          <w:rFonts w:eastAsia="Calibri" w:cs="Times New Roman"/>
          <w:sz w:val="20"/>
          <w:szCs w:val="20"/>
          <w:u w:val="single"/>
        </w:rPr>
        <w:t xml:space="preserve">McLachlin C.J. and </w:t>
      </w:r>
      <w:proofErr w:type="spellStart"/>
      <w:r w:rsidRPr="00A01959">
        <w:rPr>
          <w:rFonts w:eastAsia="Calibri" w:cs="Times New Roman"/>
          <w:sz w:val="20"/>
          <w:szCs w:val="20"/>
          <w:u w:val="single"/>
        </w:rPr>
        <w:t>LeBel</w:t>
      </w:r>
      <w:proofErr w:type="spellEnd"/>
      <w:r w:rsidRPr="00A01959">
        <w:rPr>
          <w:rFonts w:eastAsia="Calibri" w:cs="Times New Roman"/>
          <w:sz w:val="20"/>
          <w:szCs w:val="20"/>
          <w:u w:val="single"/>
        </w:rPr>
        <w:t>, Fish, Rothstein, Cromwell, Moldaver and Karakatsanis JJ.</w:t>
      </w:r>
    </w:p>
    <w:p w:rsidR="00180577" w:rsidRPr="00C50A5C" w:rsidRDefault="00180577" w:rsidP="00180577">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180577" w:rsidRPr="00C50A5C" w:rsidTr="00180577">
        <w:tc>
          <w:tcPr>
            <w:tcW w:w="4380" w:type="dxa"/>
            <w:tcMar>
              <w:left w:w="0" w:type="dxa"/>
              <w:right w:w="0" w:type="dxa"/>
            </w:tcMar>
          </w:tcPr>
          <w:p w:rsidR="00180577" w:rsidRPr="00C50A5C" w:rsidRDefault="00704F01" w:rsidP="00704F01">
            <w:pPr>
              <w:widowControl w:val="0"/>
              <w:jc w:val="both"/>
              <w:rPr>
                <w:b/>
                <w:sz w:val="20"/>
                <w:szCs w:val="20"/>
              </w:rPr>
            </w:pPr>
            <w:r w:rsidRPr="00A01959">
              <w:rPr>
                <w:rFonts w:eastAsia="Calibri" w:cs="Times New Roman"/>
                <w:b/>
                <w:sz w:val="20"/>
                <w:szCs w:val="20"/>
              </w:rPr>
              <w:t>Telecommunication Employees Association of Manitoba Inc. – International Federation of Professional and Technical Engineers Local 161 et</w:t>
            </w:r>
            <w:r w:rsidR="0077694A">
              <w:rPr>
                <w:rFonts w:eastAsia="Calibri" w:cs="Times New Roman"/>
                <w:b/>
                <w:sz w:val="20"/>
                <w:szCs w:val="20"/>
              </w:rPr>
              <w:t> </w:t>
            </w:r>
            <w:r w:rsidRPr="00A01959">
              <w:rPr>
                <w:rFonts w:eastAsia="Calibri" w:cs="Times New Roman"/>
                <w:b/>
                <w:sz w:val="20"/>
                <w:szCs w:val="20"/>
              </w:rPr>
              <w:t>al</w:t>
            </w:r>
            <w:r>
              <w:rPr>
                <w:b/>
                <w:sz w:val="20"/>
                <w:szCs w:val="20"/>
              </w:rPr>
              <w:t>.</w:t>
            </w:r>
          </w:p>
          <w:p w:rsidR="00180577" w:rsidRPr="00C50A5C" w:rsidRDefault="00180577" w:rsidP="00180577">
            <w:pPr>
              <w:widowControl w:val="0"/>
              <w:jc w:val="both"/>
              <w:rPr>
                <w:b/>
                <w:sz w:val="20"/>
                <w:szCs w:val="20"/>
              </w:rPr>
            </w:pPr>
          </w:p>
          <w:p w:rsidR="00180577" w:rsidRPr="00C50A5C" w:rsidRDefault="00180577" w:rsidP="00180577">
            <w:pPr>
              <w:widowControl w:val="0"/>
              <w:tabs>
                <w:tab w:val="left" w:pos="736"/>
              </w:tabs>
              <w:jc w:val="both"/>
              <w:rPr>
                <w:b/>
                <w:sz w:val="20"/>
                <w:szCs w:val="20"/>
              </w:rPr>
            </w:pPr>
            <w:r w:rsidRPr="00C50A5C">
              <w:rPr>
                <w:b/>
                <w:sz w:val="20"/>
                <w:szCs w:val="20"/>
              </w:rPr>
              <w:tab/>
              <w:t>v. (3</w:t>
            </w:r>
            <w:r>
              <w:rPr>
                <w:b/>
                <w:sz w:val="20"/>
                <w:szCs w:val="20"/>
              </w:rPr>
              <w:t>4763</w:t>
            </w:r>
            <w:r w:rsidRPr="00C50A5C">
              <w:rPr>
                <w:b/>
                <w:sz w:val="20"/>
                <w:szCs w:val="20"/>
              </w:rPr>
              <w:t>)</w:t>
            </w:r>
          </w:p>
          <w:p w:rsidR="00180577" w:rsidRPr="00C50A5C" w:rsidRDefault="00180577" w:rsidP="00180577">
            <w:pPr>
              <w:widowControl w:val="0"/>
              <w:jc w:val="both"/>
              <w:rPr>
                <w:b/>
                <w:sz w:val="20"/>
                <w:szCs w:val="20"/>
              </w:rPr>
            </w:pPr>
          </w:p>
          <w:p w:rsidR="00180577" w:rsidRPr="00180577" w:rsidRDefault="00704F01" w:rsidP="00180577">
            <w:pPr>
              <w:widowControl w:val="0"/>
              <w:jc w:val="both"/>
              <w:rPr>
                <w:sz w:val="20"/>
                <w:szCs w:val="20"/>
              </w:rPr>
            </w:pPr>
            <w:r w:rsidRPr="00A01959">
              <w:rPr>
                <w:rFonts w:eastAsia="Calibri" w:cs="Times New Roman"/>
                <w:b/>
                <w:sz w:val="20"/>
                <w:szCs w:val="20"/>
              </w:rPr>
              <w:t>Manitoba Telecom Services Inc. et al.</w:t>
            </w:r>
            <w:r w:rsidR="00180577" w:rsidRPr="00C50A5C">
              <w:rPr>
                <w:b/>
                <w:sz w:val="20"/>
                <w:szCs w:val="20"/>
              </w:rPr>
              <w:t xml:space="preserve"> (</w:t>
            </w:r>
            <w:r w:rsidR="00180577">
              <w:rPr>
                <w:b/>
                <w:sz w:val="20"/>
                <w:szCs w:val="20"/>
              </w:rPr>
              <w:t>Man.</w:t>
            </w:r>
            <w:r w:rsidR="00180577" w:rsidRPr="00C50A5C">
              <w:rPr>
                <w:b/>
                <w:sz w:val="20"/>
                <w:szCs w:val="20"/>
              </w:rPr>
              <w:t>) (Civil) (By Leave)</w:t>
            </w:r>
          </w:p>
        </w:tc>
        <w:tc>
          <w:tcPr>
            <w:tcW w:w="720" w:type="dxa"/>
            <w:tcMar>
              <w:left w:w="0" w:type="dxa"/>
              <w:right w:w="0" w:type="dxa"/>
            </w:tcMar>
          </w:tcPr>
          <w:p w:rsidR="00180577" w:rsidRPr="00180577" w:rsidRDefault="00180577" w:rsidP="00180577">
            <w:pPr>
              <w:widowControl w:val="0"/>
              <w:jc w:val="center"/>
              <w:rPr>
                <w:sz w:val="20"/>
                <w:szCs w:val="20"/>
              </w:rPr>
            </w:pPr>
          </w:p>
        </w:tc>
        <w:tc>
          <w:tcPr>
            <w:tcW w:w="4380" w:type="dxa"/>
            <w:tcMar>
              <w:left w:w="0" w:type="dxa"/>
              <w:right w:w="0" w:type="dxa"/>
            </w:tcMar>
          </w:tcPr>
          <w:p w:rsidR="0077694A" w:rsidRPr="003605C4" w:rsidRDefault="0077694A" w:rsidP="0077694A">
            <w:pPr>
              <w:jc w:val="both"/>
              <w:rPr>
                <w:sz w:val="20"/>
                <w:szCs w:val="20"/>
              </w:rPr>
            </w:pPr>
            <w:r w:rsidRPr="003605C4">
              <w:rPr>
                <w:sz w:val="20"/>
                <w:szCs w:val="20"/>
              </w:rPr>
              <w:t xml:space="preserve">Brian J. </w:t>
            </w:r>
            <w:proofErr w:type="spellStart"/>
            <w:r w:rsidRPr="003605C4">
              <w:rPr>
                <w:sz w:val="20"/>
                <w:szCs w:val="20"/>
              </w:rPr>
              <w:t>Meronek</w:t>
            </w:r>
            <w:proofErr w:type="spellEnd"/>
            <w:r>
              <w:rPr>
                <w:sz w:val="20"/>
                <w:szCs w:val="20"/>
              </w:rPr>
              <w:t xml:space="preserve">, </w:t>
            </w:r>
            <w:r w:rsidRPr="003605C4">
              <w:rPr>
                <w:sz w:val="20"/>
                <w:szCs w:val="20"/>
              </w:rPr>
              <w:t xml:space="preserve">Kris </w:t>
            </w:r>
            <w:proofErr w:type="spellStart"/>
            <w:r w:rsidRPr="003605C4">
              <w:rPr>
                <w:sz w:val="20"/>
                <w:szCs w:val="20"/>
              </w:rPr>
              <w:t>Saxberg</w:t>
            </w:r>
            <w:proofErr w:type="spellEnd"/>
            <w:r>
              <w:rPr>
                <w:sz w:val="20"/>
                <w:szCs w:val="20"/>
              </w:rPr>
              <w:t xml:space="preserve">, </w:t>
            </w:r>
            <w:r w:rsidRPr="003605C4">
              <w:rPr>
                <w:sz w:val="20"/>
                <w:szCs w:val="20"/>
              </w:rPr>
              <w:t xml:space="preserve">D. Tomas </w:t>
            </w:r>
            <w:proofErr w:type="spellStart"/>
            <w:r w:rsidRPr="003605C4">
              <w:rPr>
                <w:sz w:val="20"/>
                <w:szCs w:val="20"/>
              </w:rPr>
              <w:t>Masi</w:t>
            </w:r>
            <w:proofErr w:type="spellEnd"/>
            <w:r>
              <w:rPr>
                <w:sz w:val="20"/>
                <w:szCs w:val="20"/>
              </w:rPr>
              <w:t xml:space="preserve">, </w:t>
            </w:r>
            <w:r w:rsidRPr="003605C4">
              <w:rPr>
                <w:sz w:val="20"/>
                <w:szCs w:val="20"/>
              </w:rPr>
              <w:t>James Cameron</w:t>
            </w:r>
            <w:r>
              <w:rPr>
                <w:sz w:val="20"/>
                <w:szCs w:val="20"/>
              </w:rPr>
              <w:t xml:space="preserve"> and </w:t>
            </w:r>
            <w:r w:rsidRPr="003605C4">
              <w:rPr>
                <w:sz w:val="20"/>
                <w:szCs w:val="20"/>
              </w:rPr>
              <w:t xml:space="preserve">Andrew </w:t>
            </w:r>
            <w:proofErr w:type="spellStart"/>
            <w:r w:rsidRPr="003605C4">
              <w:rPr>
                <w:sz w:val="20"/>
                <w:szCs w:val="20"/>
              </w:rPr>
              <w:t>Astritis</w:t>
            </w:r>
            <w:proofErr w:type="spellEnd"/>
            <w:r>
              <w:rPr>
                <w:sz w:val="20"/>
                <w:szCs w:val="20"/>
              </w:rPr>
              <w:t xml:space="preserve"> f</w:t>
            </w:r>
            <w:r w:rsidRPr="003605C4">
              <w:rPr>
                <w:sz w:val="20"/>
                <w:szCs w:val="20"/>
              </w:rPr>
              <w:t xml:space="preserve">or the </w:t>
            </w:r>
            <w:r>
              <w:rPr>
                <w:sz w:val="20"/>
                <w:szCs w:val="20"/>
              </w:rPr>
              <w:t>a</w:t>
            </w:r>
            <w:r w:rsidRPr="003605C4">
              <w:rPr>
                <w:sz w:val="20"/>
                <w:szCs w:val="20"/>
              </w:rPr>
              <w:t>ppellants</w:t>
            </w:r>
            <w:r>
              <w:rPr>
                <w:sz w:val="20"/>
                <w:szCs w:val="20"/>
              </w:rPr>
              <w:t>.</w:t>
            </w:r>
          </w:p>
          <w:p w:rsidR="0077694A" w:rsidRPr="003605C4" w:rsidRDefault="0077694A" w:rsidP="0077694A">
            <w:pPr>
              <w:jc w:val="both"/>
              <w:rPr>
                <w:sz w:val="20"/>
                <w:szCs w:val="20"/>
              </w:rPr>
            </w:pPr>
          </w:p>
          <w:p w:rsidR="00180577" w:rsidRPr="00C50A5C" w:rsidRDefault="0077694A" w:rsidP="0077694A">
            <w:pPr>
              <w:widowControl w:val="0"/>
              <w:jc w:val="both"/>
              <w:rPr>
                <w:sz w:val="20"/>
                <w:szCs w:val="20"/>
              </w:rPr>
            </w:pPr>
            <w:r w:rsidRPr="003605C4">
              <w:rPr>
                <w:sz w:val="20"/>
                <w:szCs w:val="20"/>
              </w:rPr>
              <w:t>Kevin T. Williams</w:t>
            </w:r>
            <w:r>
              <w:rPr>
                <w:sz w:val="20"/>
                <w:szCs w:val="20"/>
              </w:rPr>
              <w:t xml:space="preserve">, </w:t>
            </w:r>
            <w:r w:rsidRPr="003605C4">
              <w:rPr>
                <w:sz w:val="20"/>
                <w:szCs w:val="20"/>
              </w:rPr>
              <w:t>Paul B. Forsyth</w:t>
            </w:r>
            <w:r>
              <w:rPr>
                <w:sz w:val="20"/>
                <w:szCs w:val="20"/>
              </w:rPr>
              <w:t xml:space="preserve"> and </w:t>
            </w:r>
            <w:r w:rsidRPr="003605C4">
              <w:rPr>
                <w:sz w:val="20"/>
                <w:szCs w:val="20"/>
              </w:rPr>
              <w:t xml:space="preserve">Kyle Dear </w:t>
            </w:r>
            <w:r>
              <w:rPr>
                <w:sz w:val="20"/>
                <w:szCs w:val="20"/>
              </w:rPr>
              <w:t>f</w:t>
            </w:r>
            <w:r w:rsidRPr="003605C4">
              <w:rPr>
                <w:sz w:val="20"/>
                <w:szCs w:val="20"/>
              </w:rPr>
              <w:t xml:space="preserve">or the </w:t>
            </w:r>
            <w:r>
              <w:rPr>
                <w:sz w:val="20"/>
                <w:szCs w:val="20"/>
              </w:rPr>
              <w:t>r</w:t>
            </w:r>
            <w:r w:rsidRPr="003605C4">
              <w:rPr>
                <w:sz w:val="20"/>
                <w:szCs w:val="20"/>
              </w:rPr>
              <w:t>espondents.</w:t>
            </w:r>
          </w:p>
        </w:tc>
      </w:tr>
    </w:tbl>
    <w:p w:rsidR="00180577" w:rsidRDefault="00180577" w:rsidP="00180577">
      <w:pPr>
        <w:widowControl w:val="0"/>
      </w:pPr>
    </w:p>
    <w:p w:rsidR="00180577" w:rsidRPr="0085476B" w:rsidRDefault="00180577" w:rsidP="00180577">
      <w:pPr>
        <w:widowControl w:val="0"/>
        <w:rPr>
          <w:sz w:val="20"/>
          <w:szCs w:val="20"/>
        </w:rPr>
      </w:pPr>
      <w:r w:rsidRPr="0085476B">
        <w:rPr>
          <w:b/>
          <w:sz w:val="20"/>
          <w:szCs w:val="20"/>
        </w:rPr>
        <w:t xml:space="preserve">RESERVED / </w:t>
      </w:r>
      <w:r w:rsidRPr="0085476B">
        <w:rPr>
          <w:b/>
          <w:sz w:val="20"/>
          <w:szCs w:val="20"/>
          <w:lang w:val="fr-CA"/>
        </w:rPr>
        <w:t>EN DÉLIBÉRÉ</w:t>
      </w:r>
    </w:p>
    <w:p w:rsidR="00180577" w:rsidRDefault="00180577" w:rsidP="00180577"/>
    <w:tbl>
      <w:tblPr>
        <w:tblW w:w="0" w:type="auto"/>
        <w:tblLayout w:type="fixed"/>
        <w:tblCellMar>
          <w:left w:w="0" w:type="dxa"/>
          <w:right w:w="0" w:type="dxa"/>
        </w:tblCellMar>
        <w:tblLook w:val="0000"/>
      </w:tblPr>
      <w:tblGrid>
        <w:gridCol w:w="4380"/>
        <w:gridCol w:w="720"/>
        <w:gridCol w:w="4380"/>
      </w:tblGrid>
      <w:tr w:rsidR="00180577" w:rsidRPr="00B6040C" w:rsidTr="00180577">
        <w:tc>
          <w:tcPr>
            <w:tcW w:w="4380" w:type="dxa"/>
            <w:tcMar>
              <w:left w:w="0" w:type="dxa"/>
              <w:right w:w="0" w:type="dxa"/>
            </w:tcMar>
          </w:tcPr>
          <w:p w:rsidR="00180577" w:rsidRPr="00704F01" w:rsidRDefault="00180577" w:rsidP="00180577">
            <w:pPr>
              <w:widowControl w:val="0"/>
              <w:jc w:val="both"/>
              <w:rPr>
                <w:b/>
                <w:sz w:val="20"/>
                <w:szCs w:val="20"/>
                <w:u w:val="single"/>
                <w:lang w:val="fr-CA"/>
              </w:rPr>
            </w:pPr>
            <w:r w:rsidRPr="00704F01">
              <w:rPr>
                <w:b/>
                <w:sz w:val="20"/>
                <w:szCs w:val="20"/>
                <w:u w:val="single"/>
                <w:lang w:val="fr-CA"/>
              </w:rPr>
              <w:t>Nature of the case:</w:t>
            </w:r>
          </w:p>
          <w:p w:rsidR="00180577" w:rsidRPr="00704F01" w:rsidRDefault="00180577" w:rsidP="00180577">
            <w:pPr>
              <w:widowControl w:val="0"/>
              <w:jc w:val="both"/>
              <w:rPr>
                <w:b/>
                <w:sz w:val="20"/>
                <w:szCs w:val="20"/>
                <w:lang w:val="fr-CA"/>
              </w:rPr>
            </w:pPr>
          </w:p>
          <w:p w:rsidR="00180577" w:rsidRPr="00704F01" w:rsidRDefault="00704F01" w:rsidP="00180577">
            <w:pPr>
              <w:widowControl w:val="0"/>
              <w:jc w:val="both"/>
              <w:rPr>
                <w:b/>
                <w:sz w:val="20"/>
                <w:szCs w:val="20"/>
                <w:lang w:val="fr-CA"/>
              </w:rPr>
            </w:pPr>
            <w:r w:rsidRPr="009F2BD3">
              <w:rPr>
                <w:sz w:val="20"/>
                <w:szCs w:val="20"/>
                <w:lang w:val="fr-CA"/>
              </w:rPr>
              <w:t xml:space="preserve">Pensions </w:t>
            </w:r>
            <w:r w:rsidRPr="009F2BD3">
              <w:rPr>
                <w:sz w:val="20"/>
                <w:szCs w:val="20"/>
                <w:lang w:val="fr-CA"/>
              </w:rPr>
              <w:noBreakHyphen/>
              <w:t xml:space="preserve"> Législation </w:t>
            </w:r>
            <w:r w:rsidRPr="009F2BD3">
              <w:rPr>
                <w:sz w:val="20"/>
                <w:szCs w:val="20"/>
                <w:lang w:val="fr-CA"/>
              </w:rPr>
              <w:noBreakHyphen/>
              <w:t xml:space="preserve"> Interprétation </w:t>
            </w:r>
            <w:r w:rsidRPr="009F2BD3">
              <w:rPr>
                <w:sz w:val="20"/>
                <w:szCs w:val="20"/>
                <w:lang w:val="fr-CA"/>
              </w:rPr>
              <w:noBreakHyphen/>
              <w:t xml:space="preserve"> La Cour d’appel </w:t>
            </w:r>
            <w:proofErr w:type="spellStart"/>
            <w:r w:rsidRPr="009F2BD3">
              <w:rPr>
                <w:sz w:val="20"/>
                <w:szCs w:val="20"/>
                <w:lang w:val="fr-CA"/>
              </w:rPr>
              <w:t>a</w:t>
            </w:r>
            <w:r w:rsidRPr="009F2BD3">
              <w:rPr>
                <w:sz w:val="20"/>
                <w:szCs w:val="20"/>
                <w:lang w:val="fr-CA"/>
              </w:rPr>
              <w:noBreakHyphen/>
              <w:t>t</w:t>
            </w:r>
            <w:r w:rsidRPr="009F2BD3">
              <w:rPr>
                <w:sz w:val="20"/>
                <w:szCs w:val="20"/>
                <w:lang w:val="fr-CA"/>
              </w:rPr>
              <w:noBreakHyphen/>
              <w:t>elle</w:t>
            </w:r>
            <w:proofErr w:type="spellEnd"/>
            <w:r w:rsidRPr="009F2BD3">
              <w:rPr>
                <w:sz w:val="20"/>
                <w:szCs w:val="20"/>
                <w:lang w:val="fr-CA"/>
              </w:rPr>
              <w:t xml:space="preserve"> eu tort de contrôler la décision en l’espèce en appliquant la norme de la décision correcte? </w:t>
            </w:r>
            <w:r w:rsidRPr="009F2BD3">
              <w:rPr>
                <w:sz w:val="20"/>
                <w:szCs w:val="20"/>
                <w:lang w:val="fr-CA"/>
              </w:rPr>
              <w:noBreakHyphen/>
              <w:t xml:space="preserve"> La Cour d’appel </w:t>
            </w:r>
            <w:proofErr w:type="spellStart"/>
            <w:r w:rsidRPr="009F2BD3">
              <w:rPr>
                <w:sz w:val="20"/>
                <w:szCs w:val="20"/>
                <w:lang w:val="fr-CA"/>
              </w:rPr>
              <w:t>a</w:t>
            </w:r>
            <w:r w:rsidRPr="009F2BD3">
              <w:rPr>
                <w:sz w:val="20"/>
                <w:szCs w:val="20"/>
                <w:lang w:val="fr-CA"/>
              </w:rPr>
              <w:noBreakHyphen/>
              <w:t>t</w:t>
            </w:r>
            <w:r w:rsidRPr="009F2BD3">
              <w:rPr>
                <w:sz w:val="20"/>
                <w:szCs w:val="20"/>
                <w:lang w:val="fr-CA"/>
              </w:rPr>
              <w:noBreakHyphen/>
              <w:t>elle</w:t>
            </w:r>
            <w:proofErr w:type="spellEnd"/>
            <w:r w:rsidRPr="009F2BD3">
              <w:rPr>
                <w:sz w:val="20"/>
                <w:szCs w:val="20"/>
                <w:lang w:val="fr-CA"/>
              </w:rPr>
              <w:t xml:space="preserve"> eu tort de conclure que le surplus initial était le même qu’un surplus actuariel dans un régime de retraite à prestations déterminées existant? </w:t>
            </w:r>
            <w:r w:rsidRPr="009F2BD3">
              <w:rPr>
                <w:sz w:val="20"/>
                <w:szCs w:val="20"/>
                <w:lang w:val="fr-CA"/>
              </w:rPr>
              <w:noBreakHyphen/>
              <w:t xml:space="preserve"> La Cour d’appel </w:t>
            </w:r>
            <w:proofErr w:type="spellStart"/>
            <w:r w:rsidRPr="009F2BD3">
              <w:rPr>
                <w:sz w:val="20"/>
                <w:szCs w:val="20"/>
                <w:lang w:val="fr-CA"/>
              </w:rPr>
              <w:t>a</w:t>
            </w:r>
            <w:r w:rsidRPr="009F2BD3">
              <w:rPr>
                <w:sz w:val="20"/>
                <w:szCs w:val="20"/>
                <w:lang w:val="fr-CA"/>
              </w:rPr>
              <w:noBreakHyphen/>
              <w:t>t</w:t>
            </w:r>
            <w:r w:rsidRPr="009F2BD3">
              <w:rPr>
                <w:sz w:val="20"/>
                <w:szCs w:val="20"/>
                <w:lang w:val="fr-CA"/>
              </w:rPr>
              <w:noBreakHyphen/>
              <w:t>elle</w:t>
            </w:r>
            <w:proofErr w:type="spellEnd"/>
            <w:r w:rsidRPr="009F2BD3">
              <w:rPr>
                <w:sz w:val="20"/>
                <w:szCs w:val="20"/>
                <w:lang w:val="fr-CA"/>
              </w:rPr>
              <w:t xml:space="preserve"> eu tort d’infirmer la conclusion du juge de première instance selon laquelle les prestations des deux régimes n’étaient pas équivalentes en valeur à la date de mise en œuvre? </w:t>
            </w:r>
            <w:r w:rsidRPr="009F2BD3">
              <w:rPr>
                <w:sz w:val="20"/>
                <w:szCs w:val="20"/>
                <w:lang w:val="fr-CA"/>
              </w:rPr>
              <w:noBreakHyphen/>
              <w:t xml:space="preserve"> La Cour d’appel </w:t>
            </w:r>
            <w:proofErr w:type="spellStart"/>
            <w:r w:rsidRPr="009F2BD3">
              <w:rPr>
                <w:sz w:val="20"/>
                <w:szCs w:val="20"/>
                <w:lang w:val="fr-CA"/>
              </w:rPr>
              <w:t>a</w:t>
            </w:r>
            <w:r w:rsidRPr="009F2BD3">
              <w:rPr>
                <w:sz w:val="20"/>
                <w:szCs w:val="20"/>
                <w:lang w:val="fr-CA"/>
              </w:rPr>
              <w:noBreakHyphen/>
              <w:t>t</w:t>
            </w:r>
            <w:r w:rsidRPr="009F2BD3">
              <w:rPr>
                <w:sz w:val="20"/>
                <w:szCs w:val="20"/>
                <w:lang w:val="fr-CA"/>
              </w:rPr>
              <w:noBreakHyphen/>
              <w:t>elle</w:t>
            </w:r>
            <w:proofErr w:type="spellEnd"/>
            <w:r w:rsidRPr="009F2BD3">
              <w:rPr>
                <w:sz w:val="20"/>
                <w:szCs w:val="20"/>
                <w:lang w:val="fr-CA"/>
              </w:rPr>
              <w:t xml:space="preserve"> eu tort de conclure que l’engagement était inexécutable et que les intimées n’avaient pas violé le protocole d’accord? </w:t>
            </w:r>
            <w:r w:rsidRPr="009F2BD3">
              <w:rPr>
                <w:sz w:val="20"/>
                <w:szCs w:val="20"/>
                <w:lang w:val="fr-CA"/>
              </w:rPr>
              <w:noBreakHyphen/>
              <w:t xml:space="preserve"> Le fait que le juge d’un tribunal d’appel, qui vient de prendre sa retraite, plaide une cause devant une formation du même tribunal </w:t>
            </w:r>
            <w:proofErr w:type="spellStart"/>
            <w:r w:rsidRPr="009F2BD3">
              <w:rPr>
                <w:sz w:val="20"/>
                <w:szCs w:val="20"/>
                <w:lang w:val="fr-CA"/>
              </w:rPr>
              <w:t>suscite</w:t>
            </w:r>
            <w:r w:rsidRPr="009F2BD3">
              <w:rPr>
                <w:sz w:val="20"/>
                <w:szCs w:val="20"/>
                <w:lang w:val="fr-CA"/>
              </w:rPr>
              <w:noBreakHyphen/>
              <w:t>t</w:t>
            </w:r>
            <w:r w:rsidRPr="009F2BD3">
              <w:rPr>
                <w:sz w:val="20"/>
                <w:szCs w:val="20"/>
                <w:lang w:val="fr-CA"/>
              </w:rPr>
              <w:noBreakHyphen/>
              <w:t>il</w:t>
            </w:r>
            <w:proofErr w:type="spellEnd"/>
            <w:r w:rsidRPr="009F2BD3">
              <w:rPr>
                <w:sz w:val="20"/>
                <w:szCs w:val="20"/>
                <w:lang w:val="fr-CA"/>
              </w:rPr>
              <w:t xml:space="preserve"> une crainte de partialité?</w:t>
            </w:r>
          </w:p>
        </w:tc>
        <w:tc>
          <w:tcPr>
            <w:tcW w:w="720" w:type="dxa"/>
            <w:tcMar>
              <w:left w:w="0" w:type="dxa"/>
              <w:right w:w="0" w:type="dxa"/>
            </w:tcMar>
          </w:tcPr>
          <w:p w:rsidR="00180577" w:rsidRPr="00704F01" w:rsidRDefault="00180577" w:rsidP="00180577">
            <w:pPr>
              <w:widowControl w:val="0"/>
              <w:jc w:val="center"/>
              <w:rPr>
                <w:sz w:val="20"/>
                <w:szCs w:val="20"/>
                <w:lang w:val="fr-CA"/>
              </w:rPr>
            </w:pPr>
          </w:p>
        </w:tc>
        <w:tc>
          <w:tcPr>
            <w:tcW w:w="4380" w:type="dxa"/>
            <w:tcMar>
              <w:left w:w="0" w:type="dxa"/>
              <w:right w:w="0" w:type="dxa"/>
            </w:tcMar>
          </w:tcPr>
          <w:p w:rsidR="00180577" w:rsidRPr="00CC4D84" w:rsidRDefault="00180577" w:rsidP="00180577">
            <w:pPr>
              <w:widowControl w:val="0"/>
              <w:jc w:val="both"/>
              <w:rPr>
                <w:b/>
                <w:sz w:val="20"/>
                <w:szCs w:val="20"/>
                <w:u w:val="single"/>
                <w:lang w:val="fr-CA"/>
              </w:rPr>
            </w:pPr>
            <w:r w:rsidRPr="00CC4D84">
              <w:rPr>
                <w:b/>
                <w:sz w:val="20"/>
                <w:szCs w:val="20"/>
                <w:u w:val="single"/>
                <w:lang w:val="fr-CA"/>
              </w:rPr>
              <w:t>Nature de la cause :</w:t>
            </w:r>
          </w:p>
          <w:p w:rsidR="00180577" w:rsidRPr="00C1697B" w:rsidRDefault="00180577" w:rsidP="00180577">
            <w:pPr>
              <w:widowControl w:val="0"/>
              <w:jc w:val="both"/>
              <w:rPr>
                <w:sz w:val="20"/>
                <w:szCs w:val="20"/>
                <w:lang w:val="fr-CA"/>
              </w:rPr>
            </w:pPr>
          </w:p>
          <w:p w:rsidR="00180577" w:rsidRPr="00C1697B" w:rsidRDefault="00704F01" w:rsidP="00180577">
            <w:pPr>
              <w:widowControl w:val="0"/>
              <w:jc w:val="both"/>
              <w:rPr>
                <w:sz w:val="20"/>
                <w:szCs w:val="20"/>
                <w:lang w:val="fr-CA"/>
              </w:rPr>
            </w:pPr>
            <w:bookmarkStart w:id="1" w:name="OLE_LINK1"/>
            <w:r w:rsidRPr="009F2BD3">
              <w:rPr>
                <w:sz w:val="20"/>
                <w:szCs w:val="20"/>
                <w:lang w:val="fr-CA"/>
              </w:rPr>
              <w:t xml:space="preserve">Pensions </w:t>
            </w:r>
            <w:r w:rsidRPr="009F2BD3">
              <w:rPr>
                <w:sz w:val="20"/>
                <w:szCs w:val="20"/>
                <w:lang w:val="fr-CA"/>
              </w:rPr>
              <w:noBreakHyphen/>
              <w:t xml:space="preserve"> Législation </w:t>
            </w:r>
            <w:r w:rsidRPr="009F2BD3">
              <w:rPr>
                <w:sz w:val="20"/>
                <w:szCs w:val="20"/>
                <w:lang w:val="fr-CA"/>
              </w:rPr>
              <w:noBreakHyphen/>
              <w:t xml:space="preserve"> Interprétation </w:t>
            </w:r>
            <w:r w:rsidRPr="009F2BD3">
              <w:rPr>
                <w:sz w:val="20"/>
                <w:szCs w:val="20"/>
                <w:lang w:val="fr-CA"/>
              </w:rPr>
              <w:noBreakHyphen/>
              <w:t xml:space="preserve"> La Cour d’appel </w:t>
            </w:r>
            <w:proofErr w:type="spellStart"/>
            <w:r w:rsidRPr="009F2BD3">
              <w:rPr>
                <w:sz w:val="20"/>
                <w:szCs w:val="20"/>
                <w:lang w:val="fr-CA"/>
              </w:rPr>
              <w:t>a</w:t>
            </w:r>
            <w:r w:rsidRPr="009F2BD3">
              <w:rPr>
                <w:sz w:val="20"/>
                <w:szCs w:val="20"/>
                <w:lang w:val="fr-CA"/>
              </w:rPr>
              <w:noBreakHyphen/>
              <w:t>t</w:t>
            </w:r>
            <w:r w:rsidRPr="009F2BD3">
              <w:rPr>
                <w:sz w:val="20"/>
                <w:szCs w:val="20"/>
                <w:lang w:val="fr-CA"/>
              </w:rPr>
              <w:noBreakHyphen/>
              <w:t>elle</w:t>
            </w:r>
            <w:proofErr w:type="spellEnd"/>
            <w:r w:rsidRPr="009F2BD3">
              <w:rPr>
                <w:sz w:val="20"/>
                <w:szCs w:val="20"/>
                <w:lang w:val="fr-CA"/>
              </w:rPr>
              <w:t xml:space="preserve"> eu tort de contrôler la décision en l’espèce en appliquant la norme de la décision correcte? </w:t>
            </w:r>
            <w:r w:rsidRPr="009F2BD3">
              <w:rPr>
                <w:sz w:val="20"/>
                <w:szCs w:val="20"/>
                <w:lang w:val="fr-CA"/>
              </w:rPr>
              <w:noBreakHyphen/>
              <w:t xml:space="preserve"> La Cour d’appel </w:t>
            </w:r>
            <w:proofErr w:type="spellStart"/>
            <w:r w:rsidRPr="009F2BD3">
              <w:rPr>
                <w:sz w:val="20"/>
                <w:szCs w:val="20"/>
                <w:lang w:val="fr-CA"/>
              </w:rPr>
              <w:t>a</w:t>
            </w:r>
            <w:r w:rsidRPr="009F2BD3">
              <w:rPr>
                <w:sz w:val="20"/>
                <w:szCs w:val="20"/>
                <w:lang w:val="fr-CA"/>
              </w:rPr>
              <w:noBreakHyphen/>
              <w:t>t</w:t>
            </w:r>
            <w:r w:rsidRPr="009F2BD3">
              <w:rPr>
                <w:sz w:val="20"/>
                <w:szCs w:val="20"/>
                <w:lang w:val="fr-CA"/>
              </w:rPr>
              <w:noBreakHyphen/>
              <w:t>elle</w:t>
            </w:r>
            <w:proofErr w:type="spellEnd"/>
            <w:r w:rsidRPr="009F2BD3">
              <w:rPr>
                <w:sz w:val="20"/>
                <w:szCs w:val="20"/>
                <w:lang w:val="fr-CA"/>
              </w:rPr>
              <w:t xml:space="preserve"> eu tort de conclure que le surplus initial était le même qu’un surplus actuariel dans un régime de retraite à prestations déterminées existant? </w:t>
            </w:r>
            <w:r w:rsidRPr="009F2BD3">
              <w:rPr>
                <w:sz w:val="20"/>
                <w:szCs w:val="20"/>
                <w:lang w:val="fr-CA"/>
              </w:rPr>
              <w:noBreakHyphen/>
              <w:t xml:space="preserve"> La Cour d’appel </w:t>
            </w:r>
            <w:proofErr w:type="spellStart"/>
            <w:r w:rsidRPr="009F2BD3">
              <w:rPr>
                <w:sz w:val="20"/>
                <w:szCs w:val="20"/>
                <w:lang w:val="fr-CA"/>
              </w:rPr>
              <w:t>a</w:t>
            </w:r>
            <w:r w:rsidRPr="009F2BD3">
              <w:rPr>
                <w:sz w:val="20"/>
                <w:szCs w:val="20"/>
                <w:lang w:val="fr-CA"/>
              </w:rPr>
              <w:noBreakHyphen/>
              <w:t>t</w:t>
            </w:r>
            <w:r w:rsidRPr="009F2BD3">
              <w:rPr>
                <w:sz w:val="20"/>
                <w:szCs w:val="20"/>
                <w:lang w:val="fr-CA"/>
              </w:rPr>
              <w:noBreakHyphen/>
              <w:t>elle</w:t>
            </w:r>
            <w:proofErr w:type="spellEnd"/>
            <w:r w:rsidRPr="009F2BD3">
              <w:rPr>
                <w:sz w:val="20"/>
                <w:szCs w:val="20"/>
                <w:lang w:val="fr-CA"/>
              </w:rPr>
              <w:t xml:space="preserve"> eu tort d’infirmer la conclusion du juge de première instance selon laquelle les prestations des deux régimes n’étaient pas équivalentes en valeur à la date de mise en œuvre? </w:t>
            </w:r>
            <w:bookmarkEnd w:id="1"/>
            <w:r w:rsidRPr="009F2BD3">
              <w:rPr>
                <w:sz w:val="20"/>
                <w:szCs w:val="20"/>
                <w:lang w:val="fr-CA"/>
              </w:rPr>
              <w:noBreakHyphen/>
              <w:t xml:space="preserve"> La Cour d’appel </w:t>
            </w:r>
            <w:proofErr w:type="spellStart"/>
            <w:r w:rsidRPr="009F2BD3">
              <w:rPr>
                <w:sz w:val="20"/>
                <w:szCs w:val="20"/>
                <w:lang w:val="fr-CA"/>
              </w:rPr>
              <w:t>a</w:t>
            </w:r>
            <w:r w:rsidRPr="009F2BD3">
              <w:rPr>
                <w:sz w:val="20"/>
                <w:szCs w:val="20"/>
                <w:lang w:val="fr-CA"/>
              </w:rPr>
              <w:noBreakHyphen/>
              <w:t>t</w:t>
            </w:r>
            <w:r w:rsidRPr="009F2BD3">
              <w:rPr>
                <w:sz w:val="20"/>
                <w:szCs w:val="20"/>
                <w:lang w:val="fr-CA"/>
              </w:rPr>
              <w:noBreakHyphen/>
              <w:t>elle</w:t>
            </w:r>
            <w:proofErr w:type="spellEnd"/>
            <w:r w:rsidRPr="009F2BD3">
              <w:rPr>
                <w:sz w:val="20"/>
                <w:szCs w:val="20"/>
                <w:lang w:val="fr-CA"/>
              </w:rPr>
              <w:t xml:space="preserve"> eu tort de conclure que l’engagement était inexécutable et que les intimées n’avaient pas violé le protocole d’accord? </w:t>
            </w:r>
            <w:r w:rsidRPr="009F2BD3">
              <w:rPr>
                <w:sz w:val="20"/>
                <w:szCs w:val="20"/>
                <w:lang w:val="fr-CA"/>
              </w:rPr>
              <w:noBreakHyphen/>
              <w:t xml:space="preserve"> Le fait que le juge d’un tribunal d’appel, qui vient de prendre sa retraite, plaide une cause devant une formation du même tribunal </w:t>
            </w:r>
            <w:proofErr w:type="spellStart"/>
            <w:r w:rsidRPr="009F2BD3">
              <w:rPr>
                <w:sz w:val="20"/>
                <w:szCs w:val="20"/>
                <w:lang w:val="fr-CA"/>
              </w:rPr>
              <w:t>suscite</w:t>
            </w:r>
            <w:r w:rsidRPr="009F2BD3">
              <w:rPr>
                <w:sz w:val="20"/>
                <w:szCs w:val="20"/>
                <w:lang w:val="fr-CA"/>
              </w:rPr>
              <w:noBreakHyphen/>
              <w:t>t</w:t>
            </w:r>
            <w:r w:rsidRPr="009F2BD3">
              <w:rPr>
                <w:sz w:val="20"/>
                <w:szCs w:val="20"/>
                <w:lang w:val="fr-CA"/>
              </w:rPr>
              <w:noBreakHyphen/>
              <w:t>il</w:t>
            </w:r>
            <w:proofErr w:type="spellEnd"/>
            <w:r w:rsidRPr="009F2BD3">
              <w:rPr>
                <w:sz w:val="20"/>
                <w:szCs w:val="20"/>
                <w:lang w:val="fr-CA"/>
              </w:rPr>
              <w:t xml:space="preserve"> une crainte de partialité?</w:t>
            </w:r>
          </w:p>
        </w:tc>
      </w:tr>
    </w:tbl>
    <w:p w:rsidR="00180577" w:rsidRDefault="00180577" w:rsidP="00180577">
      <w:pPr>
        <w:widowControl w:val="0"/>
        <w:rPr>
          <w:sz w:val="20"/>
          <w:szCs w:val="20"/>
          <w:lang w:val="fr-CA"/>
        </w:rPr>
      </w:pPr>
    </w:p>
    <w:p w:rsidR="00180577" w:rsidRDefault="0028676C" w:rsidP="00180577">
      <w:pPr>
        <w:widowControl w:val="0"/>
        <w:rPr>
          <w:sz w:val="20"/>
          <w:szCs w:val="20"/>
        </w:rPr>
      </w:pPr>
      <w:r w:rsidRPr="0028676C">
        <w:rPr>
          <w:sz w:val="20"/>
          <w:szCs w:val="20"/>
          <w:lang w:val="fr-CA"/>
        </w:rPr>
        <w:pict>
          <v:rect id="_x0000_i1112" style="width:2in;height:1pt" o:hrpct="0" o:hralign="center" o:hrstd="t" o:hrnoshade="t" o:hr="t" fillcolor="black [3213]" stroked="f"/>
        </w:pict>
      </w:r>
    </w:p>
    <w:p w:rsidR="00180577" w:rsidRDefault="00180577" w:rsidP="00180577">
      <w:pPr>
        <w:widowControl w:val="0"/>
        <w:rPr>
          <w:sz w:val="20"/>
          <w:szCs w:val="20"/>
        </w:rPr>
      </w:pPr>
    </w:p>
    <w:p w:rsidR="00180577" w:rsidRPr="00C50A5C" w:rsidRDefault="00180577" w:rsidP="00180577">
      <w:pPr>
        <w:widowControl w:val="0"/>
        <w:rPr>
          <w:sz w:val="20"/>
          <w:szCs w:val="20"/>
        </w:rPr>
      </w:pPr>
      <w:r>
        <w:rPr>
          <w:sz w:val="20"/>
          <w:szCs w:val="20"/>
        </w:rPr>
        <w:t>16</w:t>
      </w:r>
      <w:r w:rsidRPr="00C50A5C">
        <w:rPr>
          <w:sz w:val="20"/>
          <w:szCs w:val="20"/>
        </w:rPr>
        <w:t>.0</w:t>
      </w:r>
      <w:r>
        <w:rPr>
          <w:sz w:val="20"/>
          <w:szCs w:val="20"/>
        </w:rPr>
        <w:t>5</w:t>
      </w:r>
      <w:r w:rsidRPr="00C50A5C">
        <w:rPr>
          <w:sz w:val="20"/>
          <w:szCs w:val="20"/>
        </w:rPr>
        <w:t>.201</w:t>
      </w:r>
      <w:r>
        <w:rPr>
          <w:sz w:val="20"/>
          <w:szCs w:val="20"/>
        </w:rPr>
        <w:t>3</w:t>
      </w:r>
    </w:p>
    <w:p w:rsidR="00180577" w:rsidRDefault="00180577" w:rsidP="00180577">
      <w:pPr>
        <w:widowControl w:val="0"/>
        <w:rPr>
          <w:sz w:val="20"/>
          <w:szCs w:val="20"/>
        </w:rPr>
      </w:pPr>
    </w:p>
    <w:p w:rsidR="00704F01" w:rsidRPr="00A01959" w:rsidRDefault="00704F01" w:rsidP="00704F01">
      <w:pPr>
        <w:widowControl w:val="0"/>
        <w:ind w:left="720" w:hanging="720"/>
        <w:rPr>
          <w:rFonts w:eastAsia="Calibri" w:cs="Times New Roman"/>
          <w:sz w:val="20"/>
          <w:szCs w:val="20"/>
          <w:u w:val="single"/>
        </w:rPr>
      </w:pPr>
      <w:r w:rsidRPr="00A01959">
        <w:rPr>
          <w:rFonts w:eastAsia="Calibri" w:cs="Times New Roman"/>
          <w:sz w:val="20"/>
          <w:szCs w:val="20"/>
        </w:rPr>
        <w:t xml:space="preserve">Coram: </w:t>
      </w:r>
      <w:r w:rsidRPr="00A01959">
        <w:rPr>
          <w:rFonts w:eastAsia="Calibri" w:cs="Times New Roman"/>
          <w:sz w:val="20"/>
          <w:szCs w:val="20"/>
        </w:rPr>
        <w:tab/>
      </w:r>
      <w:r w:rsidRPr="00A01959">
        <w:rPr>
          <w:rFonts w:eastAsia="Calibri" w:cs="Times New Roman"/>
          <w:sz w:val="20"/>
          <w:szCs w:val="20"/>
          <w:u w:val="single"/>
        </w:rPr>
        <w:t>Fish, Rothstein, Cromwell, Moldaver and Karakatsanis JJ.</w:t>
      </w:r>
    </w:p>
    <w:p w:rsidR="00180577" w:rsidRPr="00C50A5C" w:rsidRDefault="00180577" w:rsidP="00180577">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180577" w:rsidRPr="00C50A5C" w:rsidTr="00180577">
        <w:tc>
          <w:tcPr>
            <w:tcW w:w="4380" w:type="dxa"/>
            <w:tcMar>
              <w:left w:w="0" w:type="dxa"/>
              <w:right w:w="0" w:type="dxa"/>
            </w:tcMar>
          </w:tcPr>
          <w:p w:rsidR="00704F01" w:rsidRDefault="00704F01" w:rsidP="00180577">
            <w:pPr>
              <w:widowControl w:val="0"/>
              <w:jc w:val="both"/>
              <w:rPr>
                <w:b/>
                <w:sz w:val="20"/>
                <w:szCs w:val="20"/>
              </w:rPr>
            </w:pPr>
            <w:r>
              <w:rPr>
                <w:b/>
                <w:sz w:val="20"/>
                <w:szCs w:val="20"/>
              </w:rPr>
              <w:t xml:space="preserve">Fabian </w:t>
            </w:r>
            <w:proofErr w:type="spellStart"/>
            <w:r>
              <w:rPr>
                <w:b/>
                <w:sz w:val="20"/>
                <w:szCs w:val="20"/>
              </w:rPr>
              <w:t>Vuradin</w:t>
            </w:r>
            <w:proofErr w:type="spellEnd"/>
          </w:p>
          <w:p w:rsidR="00704F01" w:rsidRDefault="00704F01" w:rsidP="00180577">
            <w:pPr>
              <w:widowControl w:val="0"/>
              <w:jc w:val="both"/>
              <w:rPr>
                <w:b/>
                <w:sz w:val="20"/>
                <w:szCs w:val="20"/>
              </w:rPr>
            </w:pPr>
          </w:p>
          <w:p w:rsidR="00180577" w:rsidRPr="00C50A5C" w:rsidRDefault="00180577" w:rsidP="00180577">
            <w:pPr>
              <w:widowControl w:val="0"/>
              <w:tabs>
                <w:tab w:val="left" w:pos="736"/>
              </w:tabs>
              <w:jc w:val="both"/>
              <w:rPr>
                <w:b/>
                <w:sz w:val="20"/>
                <w:szCs w:val="20"/>
              </w:rPr>
            </w:pPr>
            <w:r w:rsidRPr="00C50A5C">
              <w:rPr>
                <w:b/>
                <w:sz w:val="20"/>
                <w:szCs w:val="20"/>
              </w:rPr>
              <w:tab/>
              <w:t>v. (3</w:t>
            </w:r>
            <w:r>
              <w:rPr>
                <w:b/>
                <w:sz w:val="20"/>
                <w:szCs w:val="20"/>
              </w:rPr>
              <w:t>5143</w:t>
            </w:r>
            <w:r w:rsidRPr="00C50A5C">
              <w:rPr>
                <w:b/>
                <w:sz w:val="20"/>
                <w:szCs w:val="20"/>
              </w:rPr>
              <w:t>)</w:t>
            </w:r>
          </w:p>
          <w:p w:rsidR="00180577" w:rsidRPr="00C50A5C" w:rsidRDefault="00180577" w:rsidP="00180577">
            <w:pPr>
              <w:widowControl w:val="0"/>
              <w:jc w:val="both"/>
              <w:rPr>
                <w:b/>
                <w:sz w:val="20"/>
                <w:szCs w:val="20"/>
              </w:rPr>
            </w:pPr>
          </w:p>
          <w:p w:rsidR="00180577" w:rsidRPr="00180577" w:rsidRDefault="00704F01" w:rsidP="00704F01">
            <w:pPr>
              <w:widowControl w:val="0"/>
              <w:jc w:val="both"/>
              <w:rPr>
                <w:sz w:val="20"/>
                <w:szCs w:val="20"/>
              </w:rPr>
            </w:pPr>
            <w:r w:rsidRPr="00A01959">
              <w:rPr>
                <w:rFonts w:eastAsia="Calibri" w:cs="Times New Roman"/>
                <w:b/>
                <w:sz w:val="20"/>
                <w:szCs w:val="20"/>
              </w:rPr>
              <w:t>Her Majesty the Queen</w:t>
            </w:r>
            <w:r w:rsidR="00180577" w:rsidRPr="00C50A5C">
              <w:rPr>
                <w:b/>
                <w:sz w:val="20"/>
                <w:szCs w:val="20"/>
              </w:rPr>
              <w:t xml:space="preserve"> (</w:t>
            </w:r>
            <w:r>
              <w:rPr>
                <w:b/>
                <w:sz w:val="20"/>
                <w:szCs w:val="20"/>
              </w:rPr>
              <w:t>Al</w:t>
            </w:r>
            <w:r w:rsidR="00180577">
              <w:rPr>
                <w:b/>
                <w:sz w:val="20"/>
                <w:szCs w:val="20"/>
              </w:rPr>
              <w:t>t</w:t>
            </w:r>
            <w:r>
              <w:rPr>
                <w:b/>
                <w:sz w:val="20"/>
                <w:szCs w:val="20"/>
              </w:rPr>
              <w:t>a</w:t>
            </w:r>
            <w:r w:rsidR="00180577">
              <w:rPr>
                <w:b/>
                <w:sz w:val="20"/>
                <w:szCs w:val="20"/>
              </w:rPr>
              <w:t>.</w:t>
            </w:r>
            <w:r w:rsidR="00180577" w:rsidRPr="00C50A5C">
              <w:rPr>
                <w:b/>
                <w:sz w:val="20"/>
                <w:szCs w:val="20"/>
              </w:rPr>
              <w:t>) (C</w:t>
            </w:r>
            <w:r>
              <w:rPr>
                <w:b/>
                <w:sz w:val="20"/>
                <w:szCs w:val="20"/>
              </w:rPr>
              <w:t>r</w:t>
            </w:r>
            <w:r w:rsidR="00180577" w:rsidRPr="00C50A5C">
              <w:rPr>
                <w:b/>
                <w:sz w:val="20"/>
                <w:szCs w:val="20"/>
              </w:rPr>
              <w:t>i</w:t>
            </w:r>
            <w:r>
              <w:rPr>
                <w:b/>
                <w:sz w:val="20"/>
                <w:szCs w:val="20"/>
              </w:rPr>
              <w:t>m</w:t>
            </w:r>
            <w:r w:rsidR="00180577" w:rsidRPr="00C50A5C">
              <w:rPr>
                <w:b/>
                <w:sz w:val="20"/>
                <w:szCs w:val="20"/>
              </w:rPr>
              <w:t>i</w:t>
            </w:r>
            <w:r>
              <w:rPr>
                <w:b/>
                <w:sz w:val="20"/>
                <w:szCs w:val="20"/>
              </w:rPr>
              <w:t>na</w:t>
            </w:r>
            <w:r w:rsidR="00180577" w:rsidRPr="00C50A5C">
              <w:rPr>
                <w:b/>
                <w:sz w:val="20"/>
                <w:szCs w:val="20"/>
              </w:rPr>
              <w:t>l) (</w:t>
            </w:r>
            <w:r>
              <w:rPr>
                <w:b/>
                <w:sz w:val="20"/>
                <w:szCs w:val="20"/>
              </w:rPr>
              <w:t>As of Right</w:t>
            </w:r>
            <w:r w:rsidR="00180577" w:rsidRPr="00C50A5C">
              <w:rPr>
                <w:b/>
                <w:sz w:val="20"/>
                <w:szCs w:val="20"/>
              </w:rPr>
              <w:t>)</w:t>
            </w:r>
          </w:p>
        </w:tc>
        <w:tc>
          <w:tcPr>
            <w:tcW w:w="720" w:type="dxa"/>
            <w:tcMar>
              <w:left w:w="0" w:type="dxa"/>
              <w:right w:w="0" w:type="dxa"/>
            </w:tcMar>
          </w:tcPr>
          <w:p w:rsidR="00180577" w:rsidRPr="00180577" w:rsidRDefault="00180577" w:rsidP="00180577">
            <w:pPr>
              <w:widowControl w:val="0"/>
              <w:jc w:val="center"/>
              <w:rPr>
                <w:sz w:val="20"/>
                <w:szCs w:val="20"/>
              </w:rPr>
            </w:pPr>
          </w:p>
        </w:tc>
        <w:tc>
          <w:tcPr>
            <w:tcW w:w="4380" w:type="dxa"/>
            <w:tcMar>
              <w:left w:w="0" w:type="dxa"/>
              <w:right w:w="0" w:type="dxa"/>
            </w:tcMar>
          </w:tcPr>
          <w:p w:rsidR="008F19F3" w:rsidRPr="00CF106B" w:rsidRDefault="008F19F3" w:rsidP="008F19F3">
            <w:pPr>
              <w:jc w:val="both"/>
              <w:rPr>
                <w:sz w:val="20"/>
                <w:szCs w:val="20"/>
              </w:rPr>
            </w:pPr>
            <w:r w:rsidRPr="00CF106B">
              <w:rPr>
                <w:sz w:val="20"/>
                <w:szCs w:val="20"/>
              </w:rPr>
              <w:t>Peter J. Royal, Q.C.</w:t>
            </w:r>
            <w:r>
              <w:rPr>
                <w:sz w:val="20"/>
                <w:szCs w:val="20"/>
              </w:rPr>
              <w:t xml:space="preserve"> and </w:t>
            </w:r>
            <w:r w:rsidRPr="00CF106B">
              <w:rPr>
                <w:sz w:val="20"/>
                <w:szCs w:val="20"/>
              </w:rPr>
              <w:t xml:space="preserve">Tara E. Hayes </w:t>
            </w:r>
            <w:r>
              <w:rPr>
                <w:sz w:val="20"/>
                <w:szCs w:val="20"/>
              </w:rPr>
              <w:t>f</w:t>
            </w:r>
            <w:r w:rsidRPr="00CF106B">
              <w:rPr>
                <w:sz w:val="20"/>
                <w:szCs w:val="20"/>
              </w:rPr>
              <w:t xml:space="preserve">or the </w:t>
            </w:r>
            <w:r>
              <w:rPr>
                <w:sz w:val="20"/>
                <w:szCs w:val="20"/>
              </w:rPr>
              <w:t>a</w:t>
            </w:r>
            <w:r w:rsidRPr="00CF106B">
              <w:rPr>
                <w:sz w:val="20"/>
                <w:szCs w:val="20"/>
              </w:rPr>
              <w:t>ppellant.</w:t>
            </w:r>
          </w:p>
          <w:p w:rsidR="008F19F3" w:rsidRPr="00CF106B" w:rsidRDefault="008F19F3" w:rsidP="008F19F3">
            <w:pPr>
              <w:jc w:val="both"/>
              <w:rPr>
                <w:sz w:val="20"/>
                <w:szCs w:val="20"/>
              </w:rPr>
            </w:pPr>
          </w:p>
          <w:p w:rsidR="00180577" w:rsidRPr="00C50A5C" w:rsidRDefault="008F19F3" w:rsidP="008F19F3">
            <w:pPr>
              <w:widowControl w:val="0"/>
              <w:jc w:val="both"/>
              <w:rPr>
                <w:sz w:val="20"/>
                <w:szCs w:val="20"/>
              </w:rPr>
            </w:pPr>
            <w:r w:rsidRPr="00CF106B">
              <w:rPr>
                <w:sz w:val="20"/>
                <w:szCs w:val="20"/>
              </w:rPr>
              <w:t xml:space="preserve">Joanne </w:t>
            </w:r>
            <w:proofErr w:type="spellStart"/>
            <w:r w:rsidRPr="00CF106B">
              <w:rPr>
                <w:sz w:val="20"/>
                <w:szCs w:val="20"/>
              </w:rPr>
              <w:t>Dartana</w:t>
            </w:r>
            <w:proofErr w:type="spellEnd"/>
            <w:r>
              <w:rPr>
                <w:sz w:val="20"/>
                <w:szCs w:val="20"/>
              </w:rPr>
              <w:t xml:space="preserve"> f</w:t>
            </w:r>
            <w:r w:rsidRPr="00CF106B">
              <w:rPr>
                <w:sz w:val="20"/>
                <w:szCs w:val="20"/>
              </w:rPr>
              <w:t xml:space="preserve">or the </w:t>
            </w:r>
            <w:r>
              <w:rPr>
                <w:sz w:val="20"/>
                <w:szCs w:val="20"/>
              </w:rPr>
              <w:t>r</w:t>
            </w:r>
            <w:r w:rsidRPr="00CF106B">
              <w:rPr>
                <w:sz w:val="20"/>
                <w:szCs w:val="20"/>
              </w:rPr>
              <w:t>espondent.</w:t>
            </w:r>
          </w:p>
        </w:tc>
      </w:tr>
    </w:tbl>
    <w:p w:rsidR="00180577" w:rsidRDefault="00180577" w:rsidP="00180577">
      <w:pPr>
        <w:widowControl w:val="0"/>
      </w:pPr>
    </w:p>
    <w:p w:rsidR="00180577" w:rsidRPr="0085476B" w:rsidRDefault="00180577" w:rsidP="00180577">
      <w:pPr>
        <w:widowControl w:val="0"/>
        <w:rPr>
          <w:sz w:val="20"/>
          <w:szCs w:val="20"/>
        </w:rPr>
      </w:pPr>
      <w:r w:rsidRPr="0085476B">
        <w:rPr>
          <w:b/>
          <w:sz w:val="20"/>
          <w:szCs w:val="20"/>
        </w:rPr>
        <w:t xml:space="preserve">RESERVED / </w:t>
      </w:r>
      <w:r w:rsidRPr="0085476B">
        <w:rPr>
          <w:b/>
          <w:sz w:val="20"/>
          <w:szCs w:val="20"/>
          <w:lang w:val="fr-CA"/>
        </w:rPr>
        <w:t>EN DÉLIBÉRÉ</w:t>
      </w:r>
    </w:p>
    <w:p w:rsidR="00180577" w:rsidRDefault="00180577" w:rsidP="00180577"/>
    <w:tbl>
      <w:tblPr>
        <w:tblW w:w="0" w:type="auto"/>
        <w:tblLayout w:type="fixed"/>
        <w:tblCellMar>
          <w:left w:w="0" w:type="dxa"/>
          <w:right w:w="0" w:type="dxa"/>
        </w:tblCellMar>
        <w:tblLook w:val="0000"/>
      </w:tblPr>
      <w:tblGrid>
        <w:gridCol w:w="4380"/>
        <w:gridCol w:w="720"/>
        <w:gridCol w:w="4380"/>
      </w:tblGrid>
      <w:tr w:rsidR="00180577" w:rsidRPr="00B6040C" w:rsidTr="00180577">
        <w:tc>
          <w:tcPr>
            <w:tcW w:w="4380" w:type="dxa"/>
            <w:tcMar>
              <w:left w:w="0" w:type="dxa"/>
              <w:right w:w="0" w:type="dxa"/>
            </w:tcMar>
          </w:tcPr>
          <w:p w:rsidR="00180577" w:rsidRPr="00CC4D84" w:rsidRDefault="00180577" w:rsidP="00180577">
            <w:pPr>
              <w:widowControl w:val="0"/>
              <w:jc w:val="both"/>
              <w:rPr>
                <w:b/>
                <w:sz w:val="20"/>
                <w:szCs w:val="20"/>
                <w:u w:val="single"/>
              </w:rPr>
            </w:pPr>
            <w:r w:rsidRPr="00CC4D84">
              <w:rPr>
                <w:b/>
                <w:sz w:val="20"/>
                <w:szCs w:val="20"/>
                <w:u w:val="single"/>
              </w:rPr>
              <w:t>Nature of the case:</w:t>
            </w:r>
          </w:p>
          <w:p w:rsidR="00180577" w:rsidRPr="00C1697B" w:rsidRDefault="00180577" w:rsidP="00180577">
            <w:pPr>
              <w:widowControl w:val="0"/>
              <w:jc w:val="both"/>
              <w:rPr>
                <w:b/>
                <w:sz w:val="20"/>
                <w:szCs w:val="20"/>
              </w:rPr>
            </w:pPr>
          </w:p>
          <w:p w:rsidR="00704F01" w:rsidRPr="00B15267" w:rsidRDefault="00704F01" w:rsidP="00704F01">
            <w:pPr>
              <w:widowControl w:val="0"/>
              <w:jc w:val="both"/>
              <w:rPr>
                <w:smallCaps/>
                <w:sz w:val="20"/>
                <w:szCs w:val="20"/>
              </w:rPr>
            </w:pPr>
            <w:r w:rsidRPr="00B15267">
              <w:rPr>
                <w:smallCaps/>
                <w:sz w:val="20"/>
                <w:szCs w:val="20"/>
              </w:rPr>
              <w:t xml:space="preserve">(Publication </w:t>
            </w:r>
            <w:r>
              <w:rPr>
                <w:smallCaps/>
                <w:sz w:val="20"/>
                <w:szCs w:val="20"/>
              </w:rPr>
              <w:t>B</w:t>
            </w:r>
            <w:r w:rsidRPr="00B15267">
              <w:rPr>
                <w:smallCaps/>
                <w:sz w:val="20"/>
                <w:szCs w:val="20"/>
              </w:rPr>
              <w:t xml:space="preserve">an in </w:t>
            </w:r>
            <w:r>
              <w:rPr>
                <w:smallCaps/>
                <w:sz w:val="20"/>
                <w:szCs w:val="20"/>
              </w:rPr>
              <w:t>C</w:t>
            </w:r>
            <w:r w:rsidRPr="00B15267">
              <w:rPr>
                <w:smallCaps/>
                <w:sz w:val="20"/>
                <w:szCs w:val="20"/>
              </w:rPr>
              <w:t>ase)</w:t>
            </w:r>
          </w:p>
          <w:p w:rsidR="00704F01" w:rsidRDefault="00704F01" w:rsidP="00704F01">
            <w:pPr>
              <w:widowControl w:val="0"/>
              <w:jc w:val="both"/>
              <w:rPr>
                <w:sz w:val="20"/>
                <w:szCs w:val="20"/>
              </w:rPr>
            </w:pPr>
          </w:p>
          <w:p w:rsidR="00704F01" w:rsidRPr="00B15267" w:rsidRDefault="00704F01" w:rsidP="00704F01">
            <w:pPr>
              <w:widowControl w:val="0"/>
              <w:jc w:val="both"/>
              <w:rPr>
                <w:sz w:val="20"/>
                <w:szCs w:val="20"/>
              </w:rPr>
            </w:pPr>
          </w:p>
          <w:p w:rsidR="00180577" w:rsidRPr="00C1697B" w:rsidRDefault="00704F01" w:rsidP="00704F01">
            <w:pPr>
              <w:widowControl w:val="0"/>
              <w:jc w:val="both"/>
              <w:rPr>
                <w:b/>
                <w:sz w:val="20"/>
                <w:szCs w:val="20"/>
              </w:rPr>
            </w:pPr>
            <w:r w:rsidRPr="00B15267">
              <w:rPr>
                <w:sz w:val="20"/>
                <w:szCs w:val="20"/>
              </w:rPr>
              <w:t xml:space="preserve">Criminal law </w:t>
            </w:r>
            <w:r w:rsidRPr="00B15267">
              <w:rPr>
                <w:sz w:val="20"/>
                <w:szCs w:val="20"/>
              </w:rPr>
              <w:noBreakHyphen/>
              <w:t xml:space="preserve"> Evidence </w:t>
            </w:r>
            <w:r w:rsidRPr="00B15267">
              <w:rPr>
                <w:sz w:val="20"/>
                <w:szCs w:val="20"/>
              </w:rPr>
              <w:noBreakHyphen/>
              <w:t xml:space="preserve"> Similar fact evidence </w:t>
            </w:r>
            <w:r w:rsidRPr="00B15267">
              <w:rPr>
                <w:sz w:val="20"/>
                <w:szCs w:val="20"/>
              </w:rPr>
              <w:noBreakHyphen/>
              <w:t xml:space="preserve"> Application of </w:t>
            </w:r>
            <w:r w:rsidRPr="00B15267">
              <w:rPr>
                <w:i/>
                <w:sz w:val="20"/>
                <w:szCs w:val="20"/>
              </w:rPr>
              <w:t>R. v. W</w:t>
            </w:r>
            <w:proofErr w:type="gramStart"/>
            <w:r w:rsidRPr="00B15267">
              <w:rPr>
                <w:i/>
                <w:sz w:val="20"/>
                <w:szCs w:val="20"/>
              </w:rPr>
              <w:t>.(</w:t>
            </w:r>
            <w:proofErr w:type="gramEnd"/>
            <w:r w:rsidRPr="00B15267">
              <w:rPr>
                <w:i/>
                <w:sz w:val="20"/>
                <w:szCs w:val="20"/>
              </w:rPr>
              <w:t>D.)</w:t>
            </w:r>
            <w:r w:rsidRPr="00B15267">
              <w:rPr>
                <w:sz w:val="20"/>
                <w:szCs w:val="20"/>
              </w:rPr>
              <w:t xml:space="preserve">, [1991] 1 S.C.R. 742 </w:t>
            </w:r>
            <w:r w:rsidRPr="00B15267">
              <w:rPr>
                <w:sz w:val="20"/>
                <w:szCs w:val="20"/>
              </w:rPr>
              <w:noBreakHyphen/>
              <w:t xml:space="preserve"> Whether the majority of the Court of Appeal erred in concluding that the trial judge’s improper use of similar fact evidence did not affect the findings of guilt on counts 1 and 2 </w:t>
            </w:r>
            <w:r w:rsidRPr="00B15267">
              <w:rPr>
                <w:sz w:val="20"/>
                <w:szCs w:val="20"/>
              </w:rPr>
              <w:noBreakHyphen/>
              <w:t xml:space="preserve"> Whether the majority of the Court of Appeal erred in concluding that the reasons for judgment were sufficient to allow meaningful appellate review.</w:t>
            </w:r>
          </w:p>
        </w:tc>
        <w:tc>
          <w:tcPr>
            <w:tcW w:w="720" w:type="dxa"/>
            <w:tcMar>
              <w:left w:w="0" w:type="dxa"/>
              <w:right w:w="0" w:type="dxa"/>
            </w:tcMar>
          </w:tcPr>
          <w:p w:rsidR="00180577" w:rsidRPr="00C1697B" w:rsidRDefault="00180577" w:rsidP="00180577">
            <w:pPr>
              <w:widowControl w:val="0"/>
              <w:jc w:val="center"/>
              <w:rPr>
                <w:sz w:val="20"/>
                <w:szCs w:val="20"/>
              </w:rPr>
            </w:pPr>
          </w:p>
        </w:tc>
        <w:tc>
          <w:tcPr>
            <w:tcW w:w="4380" w:type="dxa"/>
            <w:tcMar>
              <w:left w:w="0" w:type="dxa"/>
              <w:right w:w="0" w:type="dxa"/>
            </w:tcMar>
          </w:tcPr>
          <w:p w:rsidR="00180577" w:rsidRPr="00CC4D84" w:rsidRDefault="00180577" w:rsidP="00180577">
            <w:pPr>
              <w:widowControl w:val="0"/>
              <w:jc w:val="both"/>
              <w:rPr>
                <w:b/>
                <w:sz w:val="20"/>
                <w:szCs w:val="20"/>
                <w:u w:val="single"/>
                <w:lang w:val="fr-CA"/>
              </w:rPr>
            </w:pPr>
            <w:r w:rsidRPr="00CC4D84">
              <w:rPr>
                <w:b/>
                <w:sz w:val="20"/>
                <w:szCs w:val="20"/>
                <w:u w:val="single"/>
                <w:lang w:val="fr-CA"/>
              </w:rPr>
              <w:t>Nature de la cause :</w:t>
            </w:r>
          </w:p>
          <w:p w:rsidR="00180577" w:rsidRPr="00C1697B" w:rsidRDefault="00180577" w:rsidP="00180577">
            <w:pPr>
              <w:widowControl w:val="0"/>
              <w:jc w:val="both"/>
              <w:rPr>
                <w:sz w:val="20"/>
                <w:szCs w:val="20"/>
                <w:lang w:val="fr-CA"/>
              </w:rPr>
            </w:pPr>
          </w:p>
          <w:p w:rsidR="00704F01" w:rsidRPr="00D57AB3" w:rsidRDefault="00704F01" w:rsidP="00704F01">
            <w:pPr>
              <w:widowControl w:val="0"/>
              <w:jc w:val="both"/>
              <w:rPr>
                <w:smallCaps/>
                <w:sz w:val="20"/>
                <w:szCs w:val="20"/>
                <w:lang w:val="fr-CA"/>
              </w:rPr>
            </w:pPr>
            <w:r w:rsidRPr="00D57AB3">
              <w:rPr>
                <w:smallCaps/>
                <w:sz w:val="20"/>
                <w:szCs w:val="20"/>
                <w:lang w:val="fr-CA"/>
              </w:rPr>
              <w:t xml:space="preserve">(Ordonnance de </w:t>
            </w:r>
            <w:proofErr w:type="spellStart"/>
            <w:r w:rsidRPr="00D57AB3">
              <w:rPr>
                <w:smallCaps/>
                <w:sz w:val="20"/>
                <w:szCs w:val="20"/>
                <w:lang w:val="fr-CA"/>
              </w:rPr>
              <w:t>non</w:t>
            </w:r>
            <w:r w:rsidRPr="00D57AB3">
              <w:rPr>
                <w:smallCaps/>
                <w:sz w:val="20"/>
                <w:szCs w:val="20"/>
                <w:lang w:val="fr-CA"/>
              </w:rPr>
              <w:noBreakHyphen/>
              <w:t>publication</w:t>
            </w:r>
            <w:proofErr w:type="spellEnd"/>
            <w:r w:rsidRPr="00D57AB3">
              <w:rPr>
                <w:smallCaps/>
                <w:sz w:val="20"/>
                <w:szCs w:val="20"/>
                <w:lang w:val="fr-CA"/>
              </w:rPr>
              <w:t xml:space="preserve"> dans le dossier)</w:t>
            </w:r>
          </w:p>
          <w:p w:rsidR="00704F01" w:rsidRPr="00D57AB3" w:rsidRDefault="00704F01" w:rsidP="00704F01">
            <w:pPr>
              <w:widowControl w:val="0"/>
              <w:jc w:val="both"/>
              <w:rPr>
                <w:sz w:val="20"/>
                <w:szCs w:val="20"/>
                <w:lang w:val="fr-CA"/>
              </w:rPr>
            </w:pPr>
          </w:p>
          <w:p w:rsidR="00180577" w:rsidRPr="00C1697B" w:rsidRDefault="00704F01" w:rsidP="00704F01">
            <w:pPr>
              <w:widowControl w:val="0"/>
              <w:jc w:val="both"/>
              <w:rPr>
                <w:sz w:val="20"/>
                <w:szCs w:val="20"/>
                <w:lang w:val="fr-CA"/>
              </w:rPr>
            </w:pPr>
            <w:r w:rsidRPr="00D57AB3">
              <w:rPr>
                <w:sz w:val="20"/>
                <w:szCs w:val="20"/>
                <w:lang w:val="fr-CA"/>
              </w:rPr>
              <w:t xml:space="preserve">Droit criminel </w:t>
            </w:r>
            <w:r w:rsidRPr="00D57AB3">
              <w:rPr>
                <w:sz w:val="20"/>
                <w:szCs w:val="20"/>
                <w:lang w:val="fr-CA"/>
              </w:rPr>
              <w:noBreakHyphen/>
              <w:t xml:space="preserve"> Preuve </w:t>
            </w:r>
            <w:r w:rsidRPr="00D57AB3">
              <w:rPr>
                <w:sz w:val="20"/>
                <w:szCs w:val="20"/>
                <w:lang w:val="fr-CA"/>
              </w:rPr>
              <w:noBreakHyphen/>
              <w:t xml:space="preserve"> Preuve de faits similaires </w:t>
            </w:r>
            <w:r w:rsidRPr="00D57AB3">
              <w:rPr>
                <w:sz w:val="20"/>
                <w:szCs w:val="20"/>
                <w:lang w:val="fr-CA"/>
              </w:rPr>
              <w:noBreakHyphen/>
              <w:t xml:space="preserve"> Application de l’arrêt </w:t>
            </w:r>
            <w:r w:rsidRPr="00D57AB3">
              <w:rPr>
                <w:i/>
                <w:sz w:val="20"/>
                <w:szCs w:val="20"/>
                <w:lang w:val="fr-CA"/>
              </w:rPr>
              <w:t>R. c. W.(D.)</w:t>
            </w:r>
            <w:r w:rsidRPr="00D57AB3">
              <w:rPr>
                <w:sz w:val="20"/>
                <w:szCs w:val="20"/>
                <w:lang w:val="fr-CA"/>
              </w:rPr>
              <w:t xml:space="preserve">, [1991] 1 R.C.S. 742 </w:t>
            </w:r>
            <w:r w:rsidRPr="00D57AB3">
              <w:rPr>
                <w:sz w:val="20"/>
                <w:szCs w:val="20"/>
                <w:lang w:val="fr-CA"/>
              </w:rPr>
              <w:noBreakHyphen/>
              <w:t xml:space="preserve"> Les juges majoritaires de la Cour d’appel </w:t>
            </w:r>
            <w:proofErr w:type="spellStart"/>
            <w:r w:rsidRPr="00D57AB3">
              <w:rPr>
                <w:sz w:val="20"/>
                <w:szCs w:val="20"/>
                <w:lang w:val="fr-CA"/>
              </w:rPr>
              <w:t>ont</w:t>
            </w:r>
            <w:r w:rsidRPr="00D57AB3">
              <w:rPr>
                <w:sz w:val="20"/>
                <w:szCs w:val="20"/>
                <w:lang w:val="fr-CA"/>
              </w:rPr>
              <w:noBreakHyphen/>
              <w:t>ils</w:t>
            </w:r>
            <w:proofErr w:type="spellEnd"/>
            <w:r w:rsidRPr="00D57AB3">
              <w:rPr>
                <w:sz w:val="20"/>
                <w:szCs w:val="20"/>
                <w:lang w:val="fr-CA"/>
              </w:rPr>
              <w:t xml:space="preserve"> eu tort de conclure que la mauvaise utilisation de la preuve de faits similaires par le juge du procès n’avait pas eu d’incidence sur les verdicts de culpabilité sous les chefs 1 et 2? </w:t>
            </w:r>
            <w:r w:rsidRPr="00D57AB3">
              <w:rPr>
                <w:sz w:val="20"/>
                <w:szCs w:val="20"/>
                <w:lang w:val="fr-CA"/>
              </w:rPr>
              <w:noBreakHyphen/>
              <w:t xml:space="preserve"> Les juges majoritaires de la Cour d’appel </w:t>
            </w:r>
            <w:proofErr w:type="spellStart"/>
            <w:r w:rsidRPr="00D57AB3">
              <w:rPr>
                <w:sz w:val="20"/>
                <w:szCs w:val="20"/>
                <w:lang w:val="fr-CA"/>
              </w:rPr>
              <w:t>ont</w:t>
            </w:r>
            <w:r w:rsidRPr="00D57AB3">
              <w:rPr>
                <w:sz w:val="20"/>
                <w:szCs w:val="20"/>
                <w:lang w:val="fr-CA"/>
              </w:rPr>
              <w:noBreakHyphen/>
              <w:t>ils</w:t>
            </w:r>
            <w:proofErr w:type="spellEnd"/>
            <w:r w:rsidRPr="00D57AB3">
              <w:rPr>
                <w:sz w:val="20"/>
                <w:szCs w:val="20"/>
                <w:lang w:val="fr-CA"/>
              </w:rPr>
              <w:t xml:space="preserve"> eu tort de conclure que les motifs du jugement étaient suffisants pour permettre un examen valable en appel?</w:t>
            </w:r>
          </w:p>
        </w:tc>
      </w:tr>
    </w:tbl>
    <w:p w:rsidR="00180577" w:rsidRDefault="00180577" w:rsidP="00180577">
      <w:pPr>
        <w:widowControl w:val="0"/>
        <w:rPr>
          <w:sz w:val="20"/>
          <w:szCs w:val="20"/>
          <w:lang w:val="fr-CA"/>
        </w:rPr>
      </w:pPr>
    </w:p>
    <w:p w:rsidR="00180577" w:rsidRDefault="0028676C" w:rsidP="00180577">
      <w:pPr>
        <w:widowControl w:val="0"/>
        <w:rPr>
          <w:sz w:val="20"/>
          <w:szCs w:val="20"/>
        </w:rPr>
      </w:pPr>
      <w:r w:rsidRPr="0028676C">
        <w:rPr>
          <w:sz w:val="20"/>
          <w:szCs w:val="20"/>
          <w:lang w:val="fr-CA"/>
        </w:rPr>
        <w:pict>
          <v:rect id="_x0000_i1113" style="width:2in;height:1pt" o:hrpct="0" o:hralign="center" o:hrstd="t" o:hrnoshade="t" o:hr="t" fillcolor="black [3213]" stroked="f"/>
        </w:pict>
      </w:r>
    </w:p>
    <w:p w:rsidR="00180577" w:rsidRDefault="00180577" w:rsidP="00180577">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B6040C"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58224C" w:rsidP="00AF1715">
      <w:pPr>
        <w:rPr>
          <w:b/>
          <w:sz w:val="20"/>
          <w:szCs w:val="20"/>
        </w:rPr>
      </w:pPr>
      <w:r>
        <w:rPr>
          <w:b/>
          <w:sz w:val="20"/>
          <w:szCs w:val="20"/>
        </w:rPr>
        <w:t>MAY 17</w:t>
      </w:r>
      <w:r w:rsidR="00AF1715" w:rsidRPr="003B3977">
        <w:rPr>
          <w:b/>
          <w:sz w:val="20"/>
          <w:szCs w:val="20"/>
        </w:rPr>
        <w:t>, 201</w:t>
      </w:r>
      <w:r>
        <w:rPr>
          <w:b/>
          <w:sz w:val="20"/>
          <w:szCs w:val="20"/>
        </w:rPr>
        <w:t>3</w:t>
      </w:r>
      <w:r w:rsidR="00AF1715" w:rsidRPr="003B3977">
        <w:rPr>
          <w:b/>
          <w:sz w:val="20"/>
          <w:szCs w:val="20"/>
        </w:rPr>
        <w:t xml:space="preserve"> / LE </w:t>
      </w:r>
      <w:r>
        <w:rPr>
          <w:b/>
          <w:sz w:val="20"/>
          <w:szCs w:val="20"/>
        </w:rPr>
        <w:t>17</w:t>
      </w:r>
      <w:r w:rsidR="00AF1715" w:rsidRPr="003B3977">
        <w:rPr>
          <w:b/>
          <w:sz w:val="20"/>
          <w:szCs w:val="20"/>
        </w:rPr>
        <w:t xml:space="preserve"> </w:t>
      </w:r>
      <w:r>
        <w:rPr>
          <w:b/>
          <w:sz w:val="20"/>
          <w:szCs w:val="20"/>
        </w:rPr>
        <w:t>MAI</w:t>
      </w:r>
      <w:r w:rsidR="00AF1715" w:rsidRPr="003B3977">
        <w:rPr>
          <w:b/>
          <w:sz w:val="20"/>
          <w:szCs w:val="20"/>
        </w:rPr>
        <w:t xml:space="preserve"> 201</w:t>
      </w:r>
      <w:r>
        <w:rPr>
          <w:b/>
          <w:sz w:val="20"/>
          <w:szCs w:val="20"/>
        </w:rPr>
        <w:t>3</w:t>
      </w:r>
    </w:p>
    <w:p w:rsidR="00AF1715" w:rsidRDefault="00AF1715" w:rsidP="00AF1715">
      <w:pPr>
        <w:rPr>
          <w:sz w:val="20"/>
          <w:szCs w:val="20"/>
        </w:rPr>
      </w:pPr>
    </w:p>
    <w:p w:rsidR="006A2BC4" w:rsidRPr="0086433D" w:rsidRDefault="0028676C" w:rsidP="006A2BC4">
      <w:pPr>
        <w:ind w:left="1440" w:hanging="1440"/>
        <w:jc w:val="both"/>
        <w:rPr>
          <w:sz w:val="20"/>
          <w:szCs w:val="20"/>
        </w:rPr>
      </w:pPr>
      <w:r w:rsidRPr="0086433D">
        <w:rPr>
          <w:b/>
          <w:sz w:val="20"/>
          <w:szCs w:val="20"/>
        </w:rPr>
        <w:fldChar w:fldCharType="begin"/>
      </w:r>
      <w:r w:rsidR="006A2BC4" w:rsidRPr="0086433D">
        <w:rPr>
          <w:b/>
          <w:sz w:val="20"/>
          <w:szCs w:val="20"/>
        </w:rPr>
        <w:instrText xml:space="preserve"> SEQ CHAPTER \h \r 1</w:instrText>
      </w:r>
      <w:r w:rsidRPr="0086433D">
        <w:rPr>
          <w:b/>
          <w:sz w:val="20"/>
          <w:szCs w:val="20"/>
        </w:rPr>
        <w:fldChar w:fldCharType="end"/>
      </w:r>
      <w:r w:rsidR="006A2BC4" w:rsidRPr="0086433D">
        <w:rPr>
          <w:b/>
          <w:sz w:val="20"/>
          <w:szCs w:val="20"/>
        </w:rPr>
        <w:t>34132</w:t>
      </w:r>
      <w:r w:rsidR="006A2BC4" w:rsidRPr="0086433D">
        <w:rPr>
          <w:sz w:val="20"/>
          <w:szCs w:val="20"/>
        </w:rPr>
        <w:tab/>
      </w:r>
      <w:r w:rsidR="006A2BC4" w:rsidRPr="0086433D">
        <w:rPr>
          <w:b/>
          <w:sz w:val="20"/>
          <w:szCs w:val="20"/>
          <w:u w:val="single"/>
        </w:rPr>
        <w:t xml:space="preserve">Her Majesty </w:t>
      </w:r>
      <w:proofErr w:type="gramStart"/>
      <w:r w:rsidR="006A2BC4" w:rsidRPr="0086433D">
        <w:rPr>
          <w:b/>
          <w:sz w:val="20"/>
          <w:szCs w:val="20"/>
          <w:u w:val="single"/>
        </w:rPr>
        <w:t>The</w:t>
      </w:r>
      <w:proofErr w:type="gramEnd"/>
      <w:r w:rsidR="006A2BC4" w:rsidRPr="0086433D">
        <w:rPr>
          <w:b/>
          <w:sz w:val="20"/>
          <w:szCs w:val="20"/>
          <w:u w:val="single"/>
        </w:rPr>
        <w:t xml:space="preserve"> Queen v. A.D.H. – and – Attorney General of Ontario</w:t>
      </w:r>
      <w:r w:rsidR="006A2BC4" w:rsidRPr="0086433D">
        <w:rPr>
          <w:b/>
          <w:sz w:val="20"/>
          <w:szCs w:val="20"/>
        </w:rPr>
        <w:t xml:space="preserve"> </w:t>
      </w:r>
      <w:r w:rsidR="006A2BC4" w:rsidRPr="0086433D">
        <w:rPr>
          <w:iCs/>
          <w:sz w:val="20"/>
          <w:szCs w:val="20"/>
        </w:rPr>
        <w:t>(Sask.)</w:t>
      </w:r>
    </w:p>
    <w:p w:rsidR="006A2BC4" w:rsidRPr="0086433D" w:rsidRDefault="006A2BC4" w:rsidP="006A2BC4">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86433D">
        <w:rPr>
          <w:b/>
          <w:sz w:val="20"/>
          <w:szCs w:val="20"/>
        </w:rPr>
        <w:t>2013 SCC 28 / 2013 CSC 28</w:t>
      </w:r>
    </w:p>
    <w:p w:rsidR="006A2BC4" w:rsidRPr="0086433D" w:rsidRDefault="006A2BC4" w:rsidP="006A2BC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6A2BC4" w:rsidRPr="0086433D" w:rsidRDefault="006A2BC4" w:rsidP="006A2BC4">
      <w:pPr>
        <w:rPr>
          <w:sz w:val="20"/>
          <w:szCs w:val="20"/>
          <w:u w:val="single"/>
        </w:rPr>
      </w:pPr>
      <w:r w:rsidRPr="0086433D">
        <w:rPr>
          <w:sz w:val="20"/>
          <w:szCs w:val="20"/>
        </w:rPr>
        <w:t>Coram:</w:t>
      </w:r>
      <w:r w:rsidRPr="0086433D">
        <w:rPr>
          <w:sz w:val="20"/>
          <w:szCs w:val="20"/>
        </w:rPr>
        <w:tab/>
      </w:r>
      <w:r w:rsidRPr="0086433D">
        <w:rPr>
          <w:sz w:val="20"/>
          <w:szCs w:val="20"/>
        </w:rPr>
        <w:tab/>
      </w:r>
      <w:r w:rsidRPr="0086433D">
        <w:rPr>
          <w:sz w:val="20"/>
          <w:szCs w:val="20"/>
          <w:u w:val="single"/>
        </w:rPr>
        <w:t xml:space="preserve">McLachlin C.J. and Fish, </w:t>
      </w:r>
      <w:proofErr w:type="spellStart"/>
      <w:r w:rsidRPr="0086433D">
        <w:rPr>
          <w:sz w:val="20"/>
          <w:szCs w:val="20"/>
          <w:u w:val="single"/>
        </w:rPr>
        <w:t>Abella</w:t>
      </w:r>
      <w:proofErr w:type="spellEnd"/>
      <w:r w:rsidRPr="0086433D">
        <w:rPr>
          <w:sz w:val="20"/>
          <w:szCs w:val="20"/>
          <w:u w:val="single"/>
        </w:rPr>
        <w:t>, Rothstein, Cromwell, Moldaver and Karakatsanis JJ.</w:t>
      </w:r>
    </w:p>
    <w:p w:rsidR="006A2BC4" w:rsidRPr="0086433D" w:rsidRDefault="006A2BC4" w:rsidP="006A2BC4">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sz w:val="20"/>
          <w:szCs w:val="20"/>
          <w:u w:val="single"/>
        </w:rPr>
      </w:pPr>
    </w:p>
    <w:p w:rsidR="006A2BC4" w:rsidRPr="0086433D" w:rsidRDefault="006A2BC4" w:rsidP="006A2BC4">
      <w:pPr>
        <w:jc w:val="both"/>
        <w:rPr>
          <w:sz w:val="20"/>
          <w:szCs w:val="20"/>
        </w:rPr>
      </w:pPr>
      <w:r w:rsidRPr="0086433D">
        <w:rPr>
          <w:sz w:val="20"/>
          <w:szCs w:val="20"/>
        </w:rPr>
        <w:t>The appeal from the judgment of the Court of Appeal for Saskatchewan, Number 1715-CR, 2011 SKCA 6, dated January 12, 2011, heard on October 11, 2012, is dismissed.</w:t>
      </w:r>
    </w:p>
    <w:p w:rsidR="006A2BC4" w:rsidRPr="0086433D" w:rsidRDefault="006A2BC4" w:rsidP="006A2BC4">
      <w:pPr>
        <w:jc w:val="both"/>
        <w:rPr>
          <w:sz w:val="20"/>
          <w:szCs w:val="20"/>
        </w:rPr>
      </w:pPr>
    </w:p>
    <w:p w:rsidR="006A2BC4" w:rsidRPr="0086433D" w:rsidRDefault="006A2BC4" w:rsidP="006A2BC4">
      <w:pPr>
        <w:jc w:val="both"/>
        <w:rPr>
          <w:sz w:val="20"/>
          <w:szCs w:val="20"/>
          <w:lang w:val="fr-CA"/>
        </w:rPr>
      </w:pPr>
      <w:r w:rsidRPr="0086433D">
        <w:rPr>
          <w:sz w:val="20"/>
          <w:szCs w:val="20"/>
          <w:lang w:val="fr-CA"/>
        </w:rPr>
        <w:t>L’appel interjeté contre l’arrêt de la Cour d’appel de la Saskatchewan, numéro 1715-CR, 2011 SKCA 6, en date du 12 janvier 2011, entendu le 11 octobre 2012, est rejeté.</w:t>
      </w:r>
    </w:p>
    <w:p w:rsidR="0058224C" w:rsidRPr="006A2BC4" w:rsidRDefault="0058224C" w:rsidP="00AF1715">
      <w:pPr>
        <w:rPr>
          <w:sz w:val="20"/>
          <w:szCs w:val="20"/>
          <w:lang w:val="fr-CA"/>
        </w:rPr>
      </w:pPr>
    </w:p>
    <w:p w:rsidR="00AF1715" w:rsidRPr="006C5F7A" w:rsidRDefault="0028676C" w:rsidP="00AF1715">
      <w:pPr>
        <w:spacing w:line="0" w:lineRule="atLeast"/>
        <w:rPr>
          <w:rFonts w:cs="Times New Roman"/>
          <w:b/>
          <w:sz w:val="20"/>
          <w:szCs w:val="20"/>
        </w:rPr>
      </w:pPr>
      <w:r w:rsidRPr="0028676C">
        <w:rPr>
          <w:rFonts w:cs="Times New Roman"/>
          <w:b/>
          <w:sz w:val="20"/>
          <w:szCs w:val="20"/>
        </w:rPr>
        <w:pict>
          <v:rect id="_x0000_i1116" style="width:144.3pt;height:1pt" o:hrpct="300" o:hralign="center" o:hrstd="t" o:hrnoshade="t" o:hr="t" fillcolor="black [3213]" stroked="f"/>
        </w:pic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60"/>
          <w:headerReference w:type="default" r:id="rId61"/>
          <w:footerReference w:type="even" r:id="rId62"/>
          <w:footerReference w:type="default" r:id="rId63"/>
          <w:headerReference w:type="first" r:id="rId64"/>
          <w:footerReference w:type="first" r:id="rId65"/>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8224C" w:rsidRDefault="0058224C" w:rsidP="005C6840">
      <w:pPr>
        <w:rPr>
          <w:sz w:val="20"/>
          <w:szCs w:val="20"/>
        </w:rPr>
      </w:pPr>
      <w:r w:rsidRPr="00267F8A">
        <w:rPr>
          <w:i/>
          <w:sz w:val="20"/>
          <w:szCs w:val="20"/>
        </w:rPr>
        <w:t xml:space="preserve">Her Majesty the Queen v. A.D.H. </w:t>
      </w:r>
      <w:r w:rsidRPr="00267F8A">
        <w:rPr>
          <w:sz w:val="20"/>
          <w:szCs w:val="20"/>
        </w:rPr>
        <w:t>(Sask.) (34132)</w:t>
      </w:r>
    </w:p>
    <w:p w:rsidR="009A52C6" w:rsidRPr="009A52C6" w:rsidRDefault="009A52C6" w:rsidP="009A52C6">
      <w:pPr>
        <w:jc w:val="both"/>
        <w:rPr>
          <w:b/>
          <w:sz w:val="20"/>
          <w:szCs w:val="20"/>
        </w:rPr>
      </w:pPr>
      <w:r w:rsidRPr="008F0773">
        <w:rPr>
          <w:b/>
          <w:sz w:val="20"/>
          <w:szCs w:val="20"/>
        </w:rPr>
        <w:t xml:space="preserve">Indexed as:  R. </w:t>
      </w:r>
      <w:r w:rsidRPr="008F0773">
        <w:rPr>
          <w:b/>
          <w:i/>
          <w:sz w:val="20"/>
          <w:szCs w:val="20"/>
        </w:rPr>
        <w:t>v.</w:t>
      </w:r>
      <w:r w:rsidRPr="008F0773">
        <w:rPr>
          <w:b/>
          <w:sz w:val="20"/>
          <w:szCs w:val="20"/>
        </w:rPr>
        <w:t xml:space="preserve"> A.D.H.</w:t>
      </w:r>
      <w:r>
        <w:rPr>
          <w:b/>
          <w:sz w:val="20"/>
          <w:szCs w:val="20"/>
        </w:rPr>
        <w:t xml:space="preserve"> / </w:t>
      </w:r>
      <w:proofErr w:type="spellStart"/>
      <w:proofErr w:type="gramStart"/>
      <w:r w:rsidRPr="009A52C6">
        <w:rPr>
          <w:b/>
          <w:sz w:val="20"/>
          <w:szCs w:val="20"/>
        </w:rPr>
        <w:t>Répertorié</w:t>
      </w:r>
      <w:proofErr w:type="spellEnd"/>
      <w:r w:rsidRPr="009A52C6">
        <w:rPr>
          <w:b/>
          <w:sz w:val="20"/>
          <w:szCs w:val="20"/>
        </w:rPr>
        <w:t> :</w:t>
      </w:r>
      <w:proofErr w:type="gramEnd"/>
      <w:r w:rsidRPr="009A52C6">
        <w:rPr>
          <w:b/>
          <w:sz w:val="20"/>
          <w:szCs w:val="20"/>
        </w:rPr>
        <w:t> </w:t>
      </w:r>
      <w:r w:rsidRPr="009A52C6">
        <w:rPr>
          <w:rStyle w:val="SCCAppellantForIndexChar"/>
          <w:rFonts w:eastAsiaTheme="minorHAnsi"/>
          <w:sz w:val="20"/>
          <w:lang w:val="en-CA"/>
        </w:rPr>
        <w:t>R.</w:t>
      </w:r>
      <w:r w:rsidRPr="009A52C6">
        <w:rPr>
          <w:b/>
          <w:sz w:val="20"/>
          <w:szCs w:val="20"/>
        </w:rPr>
        <w:t xml:space="preserve"> </w:t>
      </w:r>
      <w:r w:rsidRPr="009A52C6">
        <w:rPr>
          <w:b/>
          <w:i/>
          <w:sz w:val="20"/>
          <w:szCs w:val="20"/>
        </w:rPr>
        <w:t>c.</w:t>
      </w:r>
      <w:r w:rsidRPr="009A52C6">
        <w:rPr>
          <w:b/>
          <w:sz w:val="20"/>
          <w:szCs w:val="20"/>
        </w:rPr>
        <w:t xml:space="preserve"> </w:t>
      </w:r>
      <w:r w:rsidRPr="009A52C6">
        <w:rPr>
          <w:rStyle w:val="SCCRespondentForIndexChar"/>
          <w:rFonts w:eastAsiaTheme="minorHAnsi"/>
          <w:sz w:val="20"/>
        </w:rPr>
        <w:t>A.D.H.</w:t>
      </w:r>
    </w:p>
    <w:p w:rsidR="005C6840" w:rsidRPr="003B3977" w:rsidRDefault="005C6840" w:rsidP="005C6840">
      <w:pPr>
        <w:pStyle w:val="SCCSystemYear"/>
        <w:jc w:val="both"/>
        <w:rPr>
          <w:sz w:val="20"/>
        </w:rPr>
      </w:pPr>
      <w:proofErr w:type="spellStart"/>
      <w:r w:rsidRPr="003B3977">
        <w:rPr>
          <w:sz w:val="20"/>
        </w:rPr>
        <w:t>Neutral</w:t>
      </w:r>
      <w:proofErr w:type="spellEnd"/>
      <w:r w:rsidRPr="003B3977">
        <w:rPr>
          <w:sz w:val="20"/>
        </w:rPr>
        <w:t xml:space="preserve"> citation</w:t>
      </w:r>
      <w:proofErr w:type="gramStart"/>
      <w:r w:rsidRPr="003B3977">
        <w:rPr>
          <w:sz w:val="20"/>
        </w:rPr>
        <w:t>:  201</w:t>
      </w:r>
      <w:r w:rsidR="00F761A3">
        <w:rPr>
          <w:sz w:val="20"/>
        </w:rPr>
        <w:t>3</w:t>
      </w:r>
      <w:proofErr w:type="gramEnd"/>
      <w:r w:rsidRPr="003B3977">
        <w:rPr>
          <w:sz w:val="20"/>
        </w:rPr>
        <w:t xml:space="preserve"> SCC </w:t>
      </w:r>
      <w:r w:rsidR="0058224C">
        <w:rPr>
          <w:sz w:val="20"/>
        </w:rPr>
        <w:t>28</w:t>
      </w:r>
      <w:r w:rsidRPr="003B3977">
        <w:rPr>
          <w:sz w:val="20"/>
        </w:rPr>
        <w:t xml:space="preserve"> / Référence neutre : 201</w:t>
      </w:r>
      <w:r w:rsidR="00F761A3">
        <w:rPr>
          <w:sz w:val="20"/>
        </w:rPr>
        <w:t>3</w:t>
      </w:r>
      <w:r w:rsidRPr="003B3977">
        <w:rPr>
          <w:sz w:val="20"/>
        </w:rPr>
        <w:t xml:space="preserve"> CSC </w:t>
      </w:r>
      <w:r w:rsidR="0058224C">
        <w:rPr>
          <w:sz w:val="20"/>
        </w:rPr>
        <w:t>28</w:t>
      </w:r>
    </w:p>
    <w:p w:rsidR="005C6840" w:rsidRPr="003B3977" w:rsidRDefault="005C6840" w:rsidP="005C6840">
      <w:pPr>
        <w:rPr>
          <w:rFonts w:cs="Times New Roman"/>
          <w:sz w:val="20"/>
          <w:szCs w:val="20"/>
          <w:lang w:val="fr-CA"/>
        </w:rPr>
      </w:pPr>
      <w:proofErr w:type="spellStart"/>
      <w:r w:rsidRPr="003B3977">
        <w:rPr>
          <w:rFonts w:cs="Times New Roman"/>
          <w:sz w:val="20"/>
          <w:szCs w:val="20"/>
          <w:lang w:val="fr-CA"/>
        </w:rPr>
        <w:t>Hearing</w:t>
      </w:r>
      <w:proofErr w:type="spellEnd"/>
      <w:proofErr w:type="gramStart"/>
      <w:r w:rsidRPr="003B3977">
        <w:rPr>
          <w:rFonts w:cs="Times New Roman"/>
          <w:sz w:val="20"/>
          <w:szCs w:val="20"/>
          <w:lang w:val="fr-CA"/>
        </w:rPr>
        <w:t xml:space="preserve">:  </w:t>
      </w:r>
      <w:proofErr w:type="spellStart"/>
      <w:r w:rsidRPr="003B3977">
        <w:rPr>
          <w:rFonts w:cs="Times New Roman"/>
          <w:sz w:val="20"/>
          <w:szCs w:val="20"/>
          <w:lang w:val="fr-CA"/>
        </w:rPr>
        <w:t>October</w:t>
      </w:r>
      <w:proofErr w:type="spellEnd"/>
      <w:proofErr w:type="gramEnd"/>
      <w:r w:rsidRPr="003B3977">
        <w:rPr>
          <w:rFonts w:cs="Times New Roman"/>
          <w:sz w:val="20"/>
          <w:szCs w:val="20"/>
          <w:lang w:val="fr-CA"/>
        </w:rPr>
        <w:t xml:space="preserve"> </w:t>
      </w:r>
      <w:r w:rsidR="009A52C6">
        <w:rPr>
          <w:rFonts w:cs="Times New Roman"/>
          <w:sz w:val="20"/>
          <w:szCs w:val="20"/>
          <w:lang w:val="fr-CA"/>
        </w:rPr>
        <w:t>11</w:t>
      </w:r>
      <w:r w:rsidRPr="003B3977">
        <w:rPr>
          <w:rFonts w:cs="Times New Roman"/>
          <w:sz w:val="20"/>
          <w:szCs w:val="20"/>
          <w:lang w:val="fr-CA"/>
        </w:rPr>
        <w:t>, 201</w:t>
      </w:r>
      <w:r w:rsidR="009A52C6">
        <w:rPr>
          <w:rFonts w:cs="Times New Roman"/>
          <w:sz w:val="20"/>
          <w:szCs w:val="20"/>
          <w:lang w:val="fr-CA"/>
        </w:rPr>
        <w:t>2</w:t>
      </w:r>
      <w:r w:rsidRPr="003B3977">
        <w:rPr>
          <w:rFonts w:cs="Times New Roman"/>
          <w:sz w:val="20"/>
          <w:szCs w:val="20"/>
          <w:lang w:val="fr-CA"/>
        </w:rPr>
        <w:t xml:space="preserve"> / </w:t>
      </w:r>
      <w:proofErr w:type="spellStart"/>
      <w:r w:rsidRPr="003B3977">
        <w:rPr>
          <w:rFonts w:cs="Times New Roman"/>
          <w:sz w:val="20"/>
          <w:szCs w:val="20"/>
          <w:lang w:val="fr-CA"/>
        </w:rPr>
        <w:t>Judgment</w:t>
      </w:r>
      <w:proofErr w:type="spellEnd"/>
      <w:r w:rsidRPr="003B3977">
        <w:rPr>
          <w:rFonts w:cs="Times New Roman"/>
          <w:sz w:val="20"/>
          <w:szCs w:val="20"/>
          <w:lang w:val="fr-CA"/>
        </w:rPr>
        <w:t xml:space="preserve">:  </w:t>
      </w:r>
      <w:r w:rsidR="0058224C">
        <w:rPr>
          <w:rFonts w:cs="Times New Roman"/>
          <w:sz w:val="20"/>
          <w:szCs w:val="20"/>
          <w:lang w:val="fr-CA"/>
        </w:rPr>
        <w:t>May 1</w:t>
      </w:r>
      <w:r w:rsidRPr="003B3977">
        <w:rPr>
          <w:rFonts w:cs="Times New Roman"/>
          <w:sz w:val="20"/>
          <w:szCs w:val="20"/>
          <w:lang w:val="fr-CA"/>
        </w:rPr>
        <w:t>7, 201</w:t>
      </w:r>
      <w:r w:rsidR="0058224C">
        <w:rPr>
          <w:rFonts w:cs="Times New Roman"/>
          <w:sz w:val="20"/>
          <w:szCs w:val="20"/>
          <w:lang w:val="fr-CA"/>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9A52C6">
        <w:rPr>
          <w:rFonts w:cs="Times New Roman"/>
          <w:sz w:val="20"/>
          <w:szCs w:val="20"/>
          <w:lang w:val="fr-CA"/>
        </w:rPr>
        <w:t>11</w:t>
      </w:r>
      <w:r w:rsidRPr="003B3977">
        <w:rPr>
          <w:rFonts w:cs="Times New Roman"/>
          <w:sz w:val="20"/>
          <w:szCs w:val="20"/>
          <w:lang w:val="fr-CA"/>
        </w:rPr>
        <w:t xml:space="preserve"> octobre 201</w:t>
      </w:r>
      <w:r w:rsidR="009A52C6">
        <w:rPr>
          <w:rFonts w:cs="Times New Roman"/>
          <w:sz w:val="20"/>
          <w:szCs w:val="20"/>
          <w:lang w:val="fr-CA"/>
        </w:rPr>
        <w:t>2</w:t>
      </w:r>
      <w:r w:rsidRPr="003B3977">
        <w:rPr>
          <w:rFonts w:cs="Times New Roman"/>
          <w:sz w:val="20"/>
          <w:szCs w:val="20"/>
          <w:lang w:val="fr-CA"/>
        </w:rPr>
        <w:t xml:space="preserve"> / Jugement : Le </w:t>
      </w:r>
      <w:r w:rsidR="0058224C">
        <w:rPr>
          <w:rFonts w:cs="Times New Roman"/>
          <w:sz w:val="20"/>
          <w:szCs w:val="20"/>
          <w:lang w:val="fr-CA"/>
        </w:rPr>
        <w:t>1</w:t>
      </w:r>
      <w:r w:rsidRPr="003B3977">
        <w:rPr>
          <w:rFonts w:cs="Times New Roman"/>
          <w:sz w:val="20"/>
          <w:szCs w:val="20"/>
          <w:lang w:val="fr-CA"/>
        </w:rPr>
        <w:t xml:space="preserve">7 </w:t>
      </w:r>
      <w:r w:rsidR="0058224C">
        <w:rPr>
          <w:rFonts w:cs="Times New Roman"/>
          <w:sz w:val="20"/>
          <w:szCs w:val="20"/>
          <w:lang w:val="fr-CA"/>
        </w:rPr>
        <w:t>mai</w:t>
      </w:r>
      <w:r w:rsidRPr="003B3977">
        <w:rPr>
          <w:rFonts w:cs="Times New Roman"/>
          <w:sz w:val="20"/>
          <w:szCs w:val="20"/>
          <w:lang w:val="fr-CA"/>
        </w:rPr>
        <w:t xml:space="preserve"> 201</w:t>
      </w:r>
      <w:r w:rsidR="0058224C">
        <w:rPr>
          <w:rFonts w:cs="Times New Roman"/>
          <w:sz w:val="20"/>
          <w:szCs w:val="20"/>
          <w:lang w:val="fr-CA"/>
        </w:rPr>
        <w:t>3</w:t>
      </w:r>
    </w:p>
    <w:p w:rsidR="005C6840" w:rsidRPr="003B3977" w:rsidRDefault="0028676C" w:rsidP="005C6840">
      <w:pPr>
        <w:rPr>
          <w:rFonts w:cs="Times New Roman"/>
          <w:sz w:val="20"/>
          <w:szCs w:val="20"/>
          <w:lang w:val="fr-CA"/>
        </w:rPr>
      </w:pPr>
      <w:r w:rsidRPr="0028676C">
        <w:rPr>
          <w:rFonts w:cs="Times New Roman"/>
          <w:i/>
          <w:sz w:val="20"/>
          <w:szCs w:val="20"/>
        </w:rPr>
        <w:pict>
          <v:rect id="_x0000_i1119"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9A52C6" w:rsidRPr="008F0773" w:rsidRDefault="009A52C6" w:rsidP="009A52C6">
      <w:pPr>
        <w:jc w:val="both"/>
        <w:rPr>
          <w:sz w:val="20"/>
          <w:szCs w:val="20"/>
        </w:rPr>
      </w:pPr>
      <w:r w:rsidRPr="008F0773">
        <w:rPr>
          <w:sz w:val="20"/>
          <w:szCs w:val="20"/>
        </w:rPr>
        <w:t xml:space="preserve">Present:  McLachlin C.J. and Fish, </w:t>
      </w:r>
      <w:proofErr w:type="spellStart"/>
      <w:r w:rsidRPr="008F0773">
        <w:rPr>
          <w:sz w:val="20"/>
          <w:szCs w:val="20"/>
        </w:rPr>
        <w:t>Abella</w:t>
      </w:r>
      <w:proofErr w:type="spellEnd"/>
      <w:r w:rsidRPr="008F0773">
        <w:rPr>
          <w:sz w:val="20"/>
          <w:szCs w:val="20"/>
        </w:rPr>
        <w:t>, Rothstein, Cromwell, Moldaver and Karakatsanis JJ.</w:t>
      </w:r>
    </w:p>
    <w:p w:rsidR="009A52C6" w:rsidRDefault="009A52C6" w:rsidP="009A52C6">
      <w:pPr>
        <w:pStyle w:val="SCCLowerCourtNameLowercase"/>
        <w:spacing w:line="240" w:lineRule="auto"/>
        <w:rPr>
          <w:sz w:val="20"/>
        </w:rPr>
      </w:pPr>
    </w:p>
    <w:p w:rsidR="009A52C6" w:rsidRPr="008F0773" w:rsidRDefault="009A52C6" w:rsidP="009A52C6">
      <w:pPr>
        <w:pStyle w:val="SCCNormalDoubleSpacing"/>
        <w:spacing w:line="240" w:lineRule="auto"/>
        <w:rPr>
          <w:iCs/>
          <w:sz w:val="20"/>
        </w:rPr>
      </w:pPr>
      <w:r w:rsidRPr="008F0773">
        <w:rPr>
          <w:sz w:val="20"/>
        </w:rPr>
        <w:tab/>
      </w:r>
      <w:r w:rsidRPr="008F0773">
        <w:rPr>
          <w:i/>
          <w:sz w:val="20"/>
        </w:rPr>
        <w:t xml:space="preserve">Criminal law — Child abandonment — </w:t>
      </w:r>
      <w:proofErr w:type="spellStart"/>
      <w:r w:rsidRPr="008F0773">
        <w:rPr>
          <w:i/>
          <w:sz w:val="20"/>
        </w:rPr>
        <w:t>Mens</w:t>
      </w:r>
      <w:proofErr w:type="spellEnd"/>
      <w:r w:rsidRPr="008F0773">
        <w:rPr>
          <w:i/>
          <w:sz w:val="20"/>
        </w:rPr>
        <w:t xml:space="preserve"> </w:t>
      </w:r>
      <w:proofErr w:type="spellStart"/>
      <w:r w:rsidRPr="008F0773">
        <w:rPr>
          <w:i/>
          <w:sz w:val="20"/>
        </w:rPr>
        <w:t>rea</w:t>
      </w:r>
      <w:proofErr w:type="spellEnd"/>
      <w:r w:rsidRPr="008F0773">
        <w:rPr>
          <w:i/>
          <w:sz w:val="20"/>
        </w:rPr>
        <w:t xml:space="preserve"> — Accused gave birth in washroom at retail store and left newborn in toilet — Accused testified that she had not realized she was pregnant and that she believed child was born dead — Acquittal entered — Whether fault element is subjective or objective — Criminal Code, R.S.C. 1985, c. C</w:t>
      </w:r>
      <w:r w:rsidRPr="008F0773">
        <w:rPr>
          <w:i/>
          <w:sz w:val="20"/>
        </w:rPr>
        <w:noBreakHyphen/>
        <w:t>46, s. 214 “‘abandon’ or ‘expose’”, s. 218.</w:t>
      </w:r>
    </w:p>
    <w:p w:rsidR="009A52C6" w:rsidRDefault="009A52C6" w:rsidP="009A52C6">
      <w:pPr>
        <w:pStyle w:val="SCCNormalDoubleSpacing"/>
        <w:spacing w:line="240" w:lineRule="auto"/>
        <w:rPr>
          <w:sz w:val="20"/>
        </w:rPr>
      </w:pPr>
    </w:p>
    <w:p w:rsidR="009A52C6" w:rsidRPr="008F0773" w:rsidRDefault="009A52C6" w:rsidP="009A52C6">
      <w:pPr>
        <w:pStyle w:val="SCCNormalDoubleSpacing"/>
        <w:spacing w:line="240" w:lineRule="auto"/>
        <w:rPr>
          <w:sz w:val="20"/>
        </w:rPr>
      </w:pPr>
      <w:r w:rsidRPr="008F0773">
        <w:rPr>
          <w:sz w:val="20"/>
        </w:rPr>
        <w:tab/>
        <w:t xml:space="preserve">The accused, not previously knowing that she was pregnant, gave birth while using the toilet in a retail store.  Thinking the child was </w:t>
      </w:r>
      <w:proofErr w:type="gramStart"/>
      <w:r w:rsidRPr="008F0773">
        <w:rPr>
          <w:sz w:val="20"/>
        </w:rPr>
        <w:t>dead,</w:t>
      </w:r>
      <w:proofErr w:type="gramEnd"/>
      <w:r w:rsidRPr="008F0773">
        <w:rPr>
          <w:sz w:val="20"/>
        </w:rPr>
        <w:t xml:space="preserve"> she cleaned up as best she could and left, leaving the child in the toilet.  The child was in fact alive, was quickly attended to by others and transported to the hospital where he was successfully resuscitated and found to be completely healthy.  The accused was eventually identified as the woman seen entering and leaving the washroom at the time in question.  When contacted by police, she cooperated fully and confirmed that she was the mother of the child.  She was charged with unlawfully abandoning a child under the age of 10 years old and thereby endangering his life contrary to s. 218 of the </w:t>
      </w:r>
      <w:r w:rsidRPr="008F0773">
        <w:rPr>
          <w:i/>
          <w:sz w:val="20"/>
        </w:rPr>
        <w:t>Criminal Code</w:t>
      </w:r>
      <w:r w:rsidRPr="008F0773">
        <w:rPr>
          <w:sz w:val="20"/>
        </w:rPr>
        <w:t>.</w:t>
      </w:r>
    </w:p>
    <w:p w:rsidR="009A52C6" w:rsidRDefault="009A52C6" w:rsidP="009A52C6">
      <w:pPr>
        <w:pStyle w:val="SCCNormalDoubleSpacing"/>
        <w:spacing w:line="240" w:lineRule="auto"/>
        <w:rPr>
          <w:sz w:val="20"/>
        </w:rPr>
      </w:pPr>
    </w:p>
    <w:p w:rsidR="009A52C6" w:rsidRPr="008F0773" w:rsidRDefault="009A52C6" w:rsidP="009A52C6">
      <w:pPr>
        <w:pStyle w:val="SCCNormalDoubleSpacing"/>
        <w:spacing w:line="240" w:lineRule="auto"/>
        <w:rPr>
          <w:sz w:val="20"/>
        </w:rPr>
      </w:pPr>
      <w:r w:rsidRPr="008F0773">
        <w:rPr>
          <w:sz w:val="20"/>
        </w:rPr>
        <w:tab/>
        <w:t xml:space="preserve">The trial judge noted that the accused acknowledged that she had left her child in the toilet, thereby committing the </w:t>
      </w:r>
      <w:proofErr w:type="spellStart"/>
      <w:r w:rsidRPr="008F0773">
        <w:rPr>
          <w:i/>
          <w:sz w:val="20"/>
        </w:rPr>
        <w:t>actus</w:t>
      </w:r>
      <w:proofErr w:type="spellEnd"/>
      <w:r w:rsidRPr="008F0773">
        <w:rPr>
          <w:i/>
          <w:sz w:val="20"/>
        </w:rPr>
        <w:t xml:space="preserve"> </w:t>
      </w:r>
      <w:proofErr w:type="spellStart"/>
      <w:proofErr w:type="gramStart"/>
      <w:r w:rsidRPr="008F0773">
        <w:rPr>
          <w:i/>
          <w:sz w:val="20"/>
        </w:rPr>
        <w:t>reus</w:t>
      </w:r>
      <w:proofErr w:type="spellEnd"/>
      <w:proofErr w:type="gramEnd"/>
      <w:r w:rsidRPr="008F0773">
        <w:rPr>
          <w:sz w:val="20"/>
        </w:rPr>
        <w:t xml:space="preserve"> of the s. 218 offence.  As for the </w:t>
      </w:r>
      <w:proofErr w:type="spellStart"/>
      <w:r w:rsidRPr="008F0773">
        <w:rPr>
          <w:i/>
          <w:sz w:val="20"/>
        </w:rPr>
        <w:t>mens</w:t>
      </w:r>
      <w:proofErr w:type="spellEnd"/>
      <w:r w:rsidRPr="008F0773">
        <w:rPr>
          <w:i/>
          <w:sz w:val="20"/>
        </w:rPr>
        <w:t xml:space="preserve"> </w:t>
      </w:r>
      <w:proofErr w:type="spellStart"/>
      <w:r w:rsidRPr="008F0773">
        <w:rPr>
          <w:i/>
          <w:sz w:val="20"/>
        </w:rPr>
        <w:t>rea</w:t>
      </w:r>
      <w:proofErr w:type="spellEnd"/>
      <w:r w:rsidRPr="008F0773">
        <w:rPr>
          <w:sz w:val="20"/>
        </w:rPr>
        <w:t xml:space="preserve">, the trial judge decided that subjective fault was required and found that the Crown had not proven beyond a reasonable doubt that the accused intended to abandon her child.  She had not known she was pregnant and truly believed she had delivered a dead child.  Her fear and confusion explained her subsequent behaviour.  The trial judge accordingly found the accused not guilty and dismissed the charge.  The majority of the Court of Appeal agreed with the trial judge that s. 218 of the </w:t>
      </w:r>
      <w:r w:rsidRPr="008F0773">
        <w:rPr>
          <w:i/>
          <w:sz w:val="20"/>
        </w:rPr>
        <w:t>Criminal Code</w:t>
      </w:r>
      <w:r w:rsidRPr="008F0773">
        <w:rPr>
          <w:sz w:val="20"/>
        </w:rPr>
        <w:t xml:space="preserve"> requires subjective fault.</w:t>
      </w:r>
    </w:p>
    <w:p w:rsidR="009A52C6" w:rsidRDefault="009A52C6" w:rsidP="009A52C6">
      <w:pPr>
        <w:pStyle w:val="SCCNormalDoubleSpacing"/>
        <w:spacing w:line="240" w:lineRule="auto"/>
        <w:rPr>
          <w:sz w:val="20"/>
        </w:rPr>
      </w:pPr>
    </w:p>
    <w:p w:rsidR="009A52C6" w:rsidRPr="008F0773" w:rsidRDefault="009A52C6" w:rsidP="009A52C6">
      <w:pPr>
        <w:pStyle w:val="SCCNormalDoubleSpacing"/>
        <w:spacing w:line="240" w:lineRule="auto"/>
        <w:rPr>
          <w:sz w:val="20"/>
        </w:rPr>
      </w:pPr>
      <w:r w:rsidRPr="008F0773">
        <w:rPr>
          <w:sz w:val="20"/>
        </w:rPr>
        <w:tab/>
      </w:r>
      <w:r w:rsidRPr="008F0773">
        <w:rPr>
          <w:i/>
          <w:sz w:val="20"/>
        </w:rPr>
        <w:t>Held</w:t>
      </w:r>
      <w:r w:rsidRPr="008F0773">
        <w:rPr>
          <w:sz w:val="20"/>
        </w:rPr>
        <w:t>:  The appeal should be dismissed.</w:t>
      </w:r>
    </w:p>
    <w:p w:rsidR="009A52C6" w:rsidRDefault="009A52C6" w:rsidP="009A52C6">
      <w:pPr>
        <w:pStyle w:val="SCCNormalDoubleSpacing"/>
        <w:spacing w:line="240" w:lineRule="auto"/>
        <w:rPr>
          <w:sz w:val="20"/>
        </w:rPr>
      </w:pPr>
    </w:p>
    <w:p w:rsidR="009A52C6" w:rsidRPr="008F0773" w:rsidRDefault="009A52C6" w:rsidP="009A52C6">
      <w:pPr>
        <w:pStyle w:val="SCCNormalDoubleSpacing"/>
        <w:spacing w:line="240" w:lineRule="auto"/>
        <w:rPr>
          <w:sz w:val="20"/>
        </w:rPr>
      </w:pPr>
      <w:r w:rsidRPr="008F0773">
        <w:rPr>
          <w:sz w:val="20"/>
        </w:rPr>
        <w:tab/>
      </w:r>
      <w:r w:rsidRPr="008F0773">
        <w:rPr>
          <w:i/>
          <w:sz w:val="20"/>
        </w:rPr>
        <w:t>Per</w:t>
      </w:r>
      <w:r w:rsidRPr="008F0773">
        <w:rPr>
          <w:sz w:val="20"/>
        </w:rPr>
        <w:t xml:space="preserve"> McLachlin C.J. and Fish, </w:t>
      </w:r>
      <w:proofErr w:type="spellStart"/>
      <w:r w:rsidRPr="008F0773">
        <w:rPr>
          <w:sz w:val="20"/>
        </w:rPr>
        <w:t>Abella</w:t>
      </w:r>
      <w:proofErr w:type="spellEnd"/>
      <w:r w:rsidRPr="008F0773">
        <w:rPr>
          <w:sz w:val="20"/>
        </w:rPr>
        <w:t xml:space="preserve">, </w:t>
      </w:r>
      <w:r w:rsidRPr="008F0773">
        <w:rPr>
          <w:b/>
          <w:sz w:val="20"/>
        </w:rPr>
        <w:t>Cromwell</w:t>
      </w:r>
      <w:r w:rsidRPr="008F0773">
        <w:rPr>
          <w:sz w:val="20"/>
        </w:rPr>
        <w:t xml:space="preserve"> and Karakatsanis JJ.: The text of s. 218 of the </w:t>
      </w:r>
      <w:r w:rsidRPr="008F0773">
        <w:rPr>
          <w:i/>
          <w:sz w:val="20"/>
        </w:rPr>
        <w:t>Criminal Code</w:t>
      </w:r>
      <w:r w:rsidRPr="008F0773">
        <w:rPr>
          <w:sz w:val="20"/>
        </w:rPr>
        <w:t xml:space="preserve"> does not expressly set out a fault requirement, but when read in light of its full context , it supports the conclusion that subjective fault is required.  An important part of the context in which we must interpret s. 218 is the presumption that Parliament intends crimes to have a subjective fault element.  There is nothing in the text or context of the child abandonment offence to suggest that Parliament intended to depart from requiring subjective fault.  The text, scheme and purpose of the provision support this conclusion, and to the extent that the Parliament’s intent is unclear, the presumption of subjective fault ought to have its full operation in this case.  The legislative evolution of the child abandonment offence is, if anything, more supportive than not of this conclusion.</w:t>
      </w:r>
    </w:p>
    <w:p w:rsidR="009A52C6" w:rsidRDefault="009A52C6" w:rsidP="009A52C6">
      <w:pPr>
        <w:pStyle w:val="SCCNormalDoubleSpacing"/>
        <w:spacing w:line="240" w:lineRule="auto"/>
        <w:rPr>
          <w:sz w:val="20"/>
        </w:rPr>
      </w:pPr>
    </w:p>
    <w:p w:rsidR="009A52C6" w:rsidRPr="008F0773" w:rsidRDefault="009A52C6" w:rsidP="009A52C6">
      <w:pPr>
        <w:pStyle w:val="SCCNormalDoubleSpacing"/>
        <w:spacing w:line="240" w:lineRule="auto"/>
        <w:rPr>
          <w:sz w:val="20"/>
        </w:rPr>
      </w:pPr>
      <w:r w:rsidRPr="008F0773">
        <w:rPr>
          <w:sz w:val="20"/>
        </w:rPr>
        <w:tab/>
        <w:t xml:space="preserve">There is no doubt that the purpose of the abandonment offence is the protection of children from risk even when no harm occurs.  Viewed in the light of the broad scope of potential liability under s. 218 of the </w:t>
      </w:r>
      <w:r w:rsidRPr="008F0773">
        <w:rPr>
          <w:i/>
          <w:sz w:val="20"/>
        </w:rPr>
        <w:t>Criminal Code</w:t>
      </w:r>
      <w:r w:rsidRPr="008F0773">
        <w:rPr>
          <w:sz w:val="20"/>
        </w:rPr>
        <w:t>, the requirement for subjective fault serves an important purpose of ensuring that the reach of the criminal law does not extend too far.  While the conduct and people that fall within s. 218 are broadly defined, the requirement for subjective fault ensures that only those with a guilty mind are punished.</w:t>
      </w:r>
    </w:p>
    <w:p w:rsidR="009A52C6" w:rsidRDefault="009A52C6" w:rsidP="009A52C6">
      <w:pPr>
        <w:pStyle w:val="SCCNormalDoubleSpacing"/>
        <w:spacing w:line="240" w:lineRule="auto"/>
        <w:rPr>
          <w:sz w:val="20"/>
        </w:rPr>
      </w:pPr>
    </w:p>
    <w:p w:rsidR="009A52C6" w:rsidRPr="008F0773" w:rsidRDefault="009A52C6" w:rsidP="009A52C6">
      <w:pPr>
        <w:pStyle w:val="SCCNormalDoubleSpacing"/>
        <w:spacing w:line="240" w:lineRule="auto"/>
        <w:rPr>
          <w:sz w:val="20"/>
        </w:rPr>
      </w:pPr>
      <w:r w:rsidRPr="008F0773">
        <w:rPr>
          <w:sz w:val="20"/>
        </w:rPr>
        <w:tab/>
        <w:t xml:space="preserve">The words “abandon”, “expose” and “wilful” all suggest a subjective fault requirement.  The first two of these words involve more than just leaving a child alone or failing to take care of it: they denote awareness of the risk involved and, as defined in s. 214 of the </w:t>
      </w:r>
      <w:r w:rsidRPr="008F0773">
        <w:rPr>
          <w:i/>
          <w:sz w:val="20"/>
        </w:rPr>
        <w:t>Criminal Code</w:t>
      </w:r>
      <w:r w:rsidRPr="008F0773">
        <w:rPr>
          <w:sz w:val="20"/>
        </w:rPr>
        <w:t>, they suggest a requirement for knowledge of the consequences flowing from the prohibited acts of abandonment or exposure.  As for the word “wilful”, it is used only in the non</w:t>
      </w:r>
      <w:r w:rsidRPr="008F0773">
        <w:rPr>
          <w:sz w:val="20"/>
        </w:rPr>
        <w:noBreakHyphen/>
      </w:r>
      <w:proofErr w:type="spellStart"/>
      <w:r w:rsidRPr="008F0773">
        <w:rPr>
          <w:sz w:val="20"/>
        </w:rPr>
        <w:t>exhaustive</w:t>
      </w:r>
      <w:proofErr w:type="spellEnd"/>
      <w:r w:rsidRPr="008F0773">
        <w:rPr>
          <w:sz w:val="20"/>
        </w:rPr>
        <w:t xml:space="preserve"> definition of the words “abandon” and “expose” in relation to omissions, and a wilful omission is the antithesis of a crime involving a mere failure to act in accordance with some minimum level of behaviour.  Likewise, the use of the word “likely” in both ss. 214 and 218 does not suggest an objective fault requirement given that it is simply aimed at criminalizing the creation of risk.</w:t>
      </w:r>
    </w:p>
    <w:p w:rsidR="009A52C6" w:rsidRDefault="009A52C6" w:rsidP="009A52C6">
      <w:pPr>
        <w:pStyle w:val="SCCNormalDoubleSpacing"/>
        <w:spacing w:line="240" w:lineRule="auto"/>
        <w:rPr>
          <w:sz w:val="20"/>
        </w:rPr>
      </w:pPr>
    </w:p>
    <w:p w:rsidR="009A52C6" w:rsidRPr="008F0773" w:rsidRDefault="009A52C6" w:rsidP="009A52C6">
      <w:pPr>
        <w:pStyle w:val="SCCNormalDoubleSpacing"/>
        <w:spacing w:line="240" w:lineRule="auto"/>
        <w:rPr>
          <w:sz w:val="20"/>
        </w:rPr>
      </w:pPr>
      <w:r w:rsidRPr="008F0773">
        <w:rPr>
          <w:sz w:val="20"/>
        </w:rPr>
        <w:tab/>
        <w:t xml:space="preserve">Conversely, what is absent from the text of s. 218 of the </w:t>
      </w:r>
      <w:r w:rsidRPr="008F0773">
        <w:rPr>
          <w:i/>
          <w:sz w:val="20"/>
        </w:rPr>
        <w:t>Criminal Code</w:t>
      </w:r>
      <w:r w:rsidRPr="008F0773">
        <w:rPr>
          <w:sz w:val="20"/>
        </w:rPr>
        <w:t xml:space="preserve"> and the broader scheme in which it appears strongly suggest that subjective fault is required.  The text of the child abandonment provision does not contain any of the language typically employed by Parliament when it intends to create an offence of objective fault.  The prohibition applies to everyone, not just to a particular group engaged in a regulated activity or standing in a particular, defined relationship with the alleged victim.  Nothing in the text suggests an intention to impose a minimum and uniform standard of care.  There are no references in the text to “dangerous”, “careless” or “reasonable” conduct or any requirement to take “reasonable precautions”.  There is no predicate offence and no actual harm is required by the provision, and it does not create, define or impose a duty to do anything other than in the sense that all criminal offences could be considered to create a duty not to commit them.  While failure to perform a duty imposed by law on persons in particular relationships is the essence of the necessaries of life offence created by s. 215, this is not at all the case with respect to the child abandonment offence under s. 218.</w:t>
      </w:r>
    </w:p>
    <w:p w:rsidR="009A52C6" w:rsidRDefault="009A52C6" w:rsidP="009A52C6">
      <w:pPr>
        <w:pStyle w:val="SCCNormalDoubleSpacing"/>
        <w:spacing w:line="240" w:lineRule="auto"/>
        <w:rPr>
          <w:sz w:val="20"/>
        </w:rPr>
      </w:pPr>
    </w:p>
    <w:p w:rsidR="009A52C6" w:rsidRPr="008F0773" w:rsidRDefault="009A52C6" w:rsidP="009A52C6">
      <w:pPr>
        <w:pStyle w:val="SCCNormalDoubleSpacing"/>
        <w:spacing w:line="240" w:lineRule="auto"/>
        <w:rPr>
          <w:sz w:val="20"/>
        </w:rPr>
      </w:pPr>
      <w:r w:rsidRPr="008F0773">
        <w:rPr>
          <w:sz w:val="20"/>
        </w:rPr>
        <w:tab/>
        <w:t xml:space="preserve">The text, context and purpose of s. 218 of the </w:t>
      </w:r>
      <w:r w:rsidRPr="008F0773">
        <w:rPr>
          <w:i/>
          <w:sz w:val="20"/>
        </w:rPr>
        <w:t>Code</w:t>
      </w:r>
      <w:r w:rsidRPr="008F0773">
        <w:rPr>
          <w:sz w:val="20"/>
        </w:rPr>
        <w:t xml:space="preserve"> show that subjective fault is required. It follows that the trial judge did not err in acquitting the respondent on the basis that this subjective fault requirement had not been proved.  The Court of Appeal was correct to uphold the acquittal.</w:t>
      </w:r>
    </w:p>
    <w:p w:rsidR="009A52C6" w:rsidRDefault="009A52C6" w:rsidP="009A52C6">
      <w:pPr>
        <w:pStyle w:val="SCCNormalDoubleSpacing"/>
        <w:spacing w:line="240" w:lineRule="auto"/>
        <w:rPr>
          <w:sz w:val="20"/>
        </w:rPr>
      </w:pPr>
    </w:p>
    <w:p w:rsidR="009A52C6" w:rsidRPr="008F0773" w:rsidRDefault="009A52C6" w:rsidP="009A52C6">
      <w:pPr>
        <w:pStyle w:val="SCCNormalDoubleSpacing"/>
        <w:spacing w:line="240" w:lineRule="auto"/>
        <w:rPr>
          <w:sz w:val="20"/>
        </w:rPr>
      </w:pPr>
      <w:r w:rsidRPr="008F0773">
        <w:rPr>
          <w:sz w:val="20"/>
        </w:rPr>
        <w:tab/>
      </w:r>
      <w:r w:rsidRPr="008F0773">
        <w:rPr>
          <w:i/>
          <w:sz w:val="20"/>
        </w:rPr>
        <w:t>Per</w:t>
      </w:r>
      <w:r w:rsidRPr="008F0773">
        <w:rPr>
          <w:sz w:val="20"/>
        </w:rPr>
        <w:t xml:space="preserve"> Rothstein and </w:t>
      </w:r>
      <w:r w:rsidRPr="008F0773">
        <w:rPr>
          <w:b/>
          <w:sz w:val="20"/>
        </w:rPr>
        <w:t>Moldaver</w:t>
      </w:r>
      <w:r w:rsidRPr="008F0773">
        <w:rPr>
          <w:sz w:val="20"/>
        </w:rPr>
        <w:t> </w:t>
      </w:r>
      <w:proofErr w:type="gramStart"/>
      <w:r w:rsidRPr="008F0773">
        <w:rPr>
          <w:sz w:val="20"/>
        </w:rPr>
        <w:t>JJ.:</w:t>
      </w:r>
      <w:proofErr w:type="gramEnd"/>
      <w:r w:rsidRPr="008F0773">
        <w:rPr>
          <w:sz w:val="20"/>
        </w:rPr>
        <w:t xml:space="preserve">  Section 218 is child protection legislation.  It targets three limited classes of people faced with a situation where a child under 10 is or is likely to be at risk of death or permanent injury.  A common sense approach dictates that the offence is duty</w:t>
      </w:r>
      <w:r w:rsidRPr="008F0773">
        <w:rPr>
          <w:sz w:val="20"/>
        </w:rPr>
        <w:noBreakHyphen/>
      </w:r>
      <w:proofErr w:type="spellStart"/>
      <w:r w:rsidRPr="008F0773">
        <w:rPr>
          <w:sz w:val="20"/>
        </w:rPr>
        <w:t>based</w:t>
      </w:r>
      <w:proofErr w:type="spellEnd"/>
      <w:r w:rsidRPr="008F0773">
        <w:rPr>
          <w:sz w:val="20"/>
        </w:rPr>
        <w:t xml:space="preserve"> and that penal negligence is the level of fault required to establish guilt as regards the proscribed consequences.  Further support for this view is found in a review of the provision’s language, its placement in the </w:t>
      </w:r>
      <w:r w:rsidRPr="008F0773">
        <w:rPr>
          <w:i/>
          <w:sz w:val="20"/>
        </w:rPr>
        <w:t>Criminal Code</w:t>
      </w:r>
      <w:r w:rsidRPr="008F0773">
        <w:rPr>
          <w:sz w:val="20"/>
        </w:rPr>
        <w:t>, relevant scholarly opinion, its legislative evolution and history and the gravity and social stigma associated with the offence.</w:t>
      </w:r>
    </w:p>
    <w:p w:rsidR="009A52C6" w:rsidRDefault="009A52C6" w:rsidP="009A52C6">
      <w:pPr>
        <w:pStyle w:val="SCCNormalDoubleSpacing"/>
        <w:spacing w:line="240" w:lineRule="auto"/>
        <w:rPr>
          <w:sz w:val="20"/>
        </w:rPr>
      </w:pPr>
    </w:p>
    <w:p w:rsidR="009A52C6" w:rsidRPr="008F0773" w:rsidRDefault="009A52C6" w:rsidP="009A52C6">
      <w:pPr>
        <w:pStyle w:val="SCCNormalDoubleSpacing"/>
        <w:spacing w:line="240" w:lineRule="auto"/>
        <w:rPr>
          <w:sz w:val="20"/>
        </w:rPr>
      </w:pPr>
      <w:r w:rsidRPr="008F0773">
        <w:rPr>
          <w:sz w:val="20"/>
        </w:rPr>
        <w:tab/>
        <w:t>Once it is accepted that in enacting s. 218 Parliament intended to guard against dangerous conduct that any reasonable person would foresee is likely to endanger a child’s life or expose it to permanent injury, common sense suggests that Parliament would not provide accused persons with a host of defences based on their individual characteristics.  Doing so would effectively defeat the provision’s purpose of imposing a societal minimum standard of conduct, since crimes of subjective fault require an assessment of personal characteristics to the extent that they tend to prove or disprove an element of the offence.</w:t>
      </w:r>
    </w:p>
    <w:p w:rsidR="009A52C6" w:rsidRDefault="009A52C6" w:rsidP="009A52C6">
      <w:pPr>
        <w:pStyle w:val="SCCNormalDoubleSpacing"/>
        <w:spacing w:line="240" w:lineRule="auto"/>
        <w:rPr>
          <w:sz w:val="20"/>
        </w:rPr>
      </w:pPr>
    </w:p>
    <w:p w:rsidR="009A52C6" w:rsidRPr="008F0773" w:rsidRDefault="009A52C6" w:rsidP="009A52C6">
      <w:pPr>
        <w:pStyle w:val="SCCNormalDoubleSpacing"/>
        <w:spacing w:line="240" w:lineRule="auto"/>
        <w:rPr>
          <w:sz w:val="20"/>
        </w:rPr>
      </w:pPr>
      <w:r w:rsidRPr="008F0773">
        <w:rPr>
          <w:sz w:val="20"/>
        </w:rPr>
        <w:tab/>
        <w:t>The recognition that s. 218 sweeps within its ambit persons who are already duty</w:t>
      </w:r>
      <w:r w:rsidRPr="008F0773">
        <w:rPr>
          <w:sz w:val="20"/>
        </w:rPr>
        <w:noBreakHyphen/>
      </w:r>
      <w:proofErr w:type="spellStart"/>
      <w:r w:rsidRPr="008F0773">
        <w:rPr>
          <w:sz w:val="20"/>
        </w:rPr>
        <w:t>bound</w:t>
      </w:r>
      <w:proofErr w:type="spellEnd"/>
      <w:r w:rsidRPr="008F0773">
        <w:rPr>
          <w:sz w:val="20"/>
        </w:rPr>
        <w:t xml:space="preserve"> to protect a child leads to the central difficulty with holding that s. 218 is, in its entirety, a subjective </w:t>
      </w:r>
      <w:proofErr w:type="spellStart"/>
      <w:r w:rsidRPr="008F0773">
        <w:rPr>
          <w:i/>
          <w:sz w:val="20"/>
        </w:rPr>
        <w:t>mens</w:t>
      </w:r>
      <w:proofErr w:type="spellEnd"/>
      <w:r w:rsidRPr="008F0773">
        <w:rPr>
          <w:i/>
          <w:sz w:val="20"/>
        </w:rPr>
        <w:t xml:space="preserve"> </w:t>
      </w:r>
      <w:proofErr w:type="spellStart"/>
      <w:r w:rsidRPr="008F0773">
        <w:rPr>
          <w:i/>
          <w:sz w:val="20"/>
        </w:rPr>
        <w:t>rea</w:t>
      </w:r>
      <w:proofErr w:type="spellEnd"/>
      <w:r w:rsidRPr="008F0773">
        <w:rPr>
          <w:i/>
          <w:sz w:val="20"/>
        </w:rPr>
        <w:t xml:space="preserve"> </w:t>
      </w:r>
      <w:r w:rsidRPr="008F0773">
        <w:rPr>
          <w:sz w:val="20"/>
        </w:rPr>
        <w:t>offence.  If the great bulk of people to whom the provision applies have a pre</w:t>
      </w:r>
      <w:r w:rsidRPr="008F0773">
        <w:rPr>
          <w:sz w:val="20"/>
        </w:rPr>
        <w:noBreakHyphen/>
        <w:t xml:space="preserve">existing and ongoing legal duty to take charge of children who fall below the age of 10, it hardly seems reasonable that they should be judged against a subjective </w:t>
      </w:r>
      <w:proofErr w:type="spellStart"/>
      <w:r w:rsidRPr="008F0773">
        <w:rPr>
          <w:i/>
          <w:sz w:val="20"/>
        </w:rPr>
        <w:t>mens</w:t>
      </w:r>
      <w:proofErr w:type="spellEnd"/>
      <w:r w:rsidRPr="008F0773">
        <w:rPr>
          <w:i/>
          <w:sz w:val="20"/>
        </w:rPr>
        <w:t xml:space="preserve"> </w:t>
      </w:r>
      <w:proofErr w:type="spellStart"/>
      <w:r w:rsidRPr="008F0773">
        <w:rPr>
          <w:i/>
          <w:sz w:val="20"/>
        </w:rPr>
        <w:t>rea</w:t>
      </w:r>
      <w:proofErr w:type="spellEnd"/>
      <w:r w:rsidRPr="008F0773">
        <w:rPr>
          <w:sz w:val="20"/>
        </w:rPr>
        <w:t xml:space="preserve"> standard when the very same people who run afoul of the duty</w:t>
      </w:r>
      <w:r w:rsidRPr="008F0773">
        <w:rPr>
          <w:sz w:val="20"/>
        </w:rPr>
        <w:noBreakHyphen/>
      </w:r>
      <w:proofErr w:type="spellStart"/>
      <w:r w:rsidRPr="008F0773">
        <w:rPr>
          <w:sz w:val="20"/>
        </w:rPr>
        <w:t>based</w:t>
      </w:r>
      <w:proofErr w:type="spellEnd"/>
      <w:r w:rsidRPr="008F0773">
        <w:rPr>
          <w:sz w:val="20"/>
        </w:rPr>
        <w:t xml:space="preserve"> provision next door (s. 215 (failure to provide necessaries)) are judged on a penal negligence standard in light of this Court’s decision in </w:t>
      </w:r>
      <w:r w:rsidRPr="008F0773">
        <w:rPr>
          <w:i/>
          <w:sz w:val="20"/>
        </w:rPr>
        <w:t xml:space="preserve">R. v. </w:t>
      </w:r>
      <w:proofErr w:type="spellStart"/>
      <w:r w:rsidRPr="008F0773">
        <w:rPr>
          <w:i/>
          <w:sz w:val="20"/>
        </w:rPr>
        <w:t>Naglik</w:t>
      </w:r>
      <w:proofErr w:type="spellEnd"/>
      <w:r w:rsidRPr="008F0773">
        <w:rPr>
          <w:sz w:val="20"/>
        </w:rPr>
        <w:t>, [1993] 3 S.C.R. 122.  The result would be a double standard — an objective standard under s. 215 and a subjective standard under s. 218 — for provisions that serve similar, if not identical, purposes.</w:t>
      </w:r>
    </w:p>
    <w:p w:rsidR="009A52C6" w:rsidRDefault="009A52C6" w:rsidP="009A52C6">
      <w:pPr>
        <w:pStyle w:val="SCCNormalDoubleSpacing"/>
        <w:spacing w:line="240" w:lineRule="auto"/>
        <w:rPr>
          <w:sz w:val="20"/>
        </w:rPr>
      </w:pPr>
    </w:p>
    <w:p w:rsidR="009A52C6" w:rsidRPr="008F0773" w:rsidRDefault="009A52C6" w:rsidP="009A52C6">
      <w:pPr>
        <w:pStyle w:val="SCCNormalDoubleSpacing"/>
        <w:spacing w:line="240" w:lineRule="auto"/>
        <w:rPr>
          <w:sz w:val="20"/>
        </w:rPr>
      </w:pPr>
      <w:r w:rsidRPr="008F0773">
        <w:rPr>
          <w:sz w:val="20"/>
        </w:rPr>
        <w:tab/>
        <w:t>Section 218 can be read purposefully and harmoniously, such that it applies only to persons who are cloaked with a duty, whether pre</w:t>
      </w:r>
      <w:r w:rsidRPr="008F0773">
        <w:rPr>
          <w:sz w:val="20"/>
        </w:rPr>
        <w:noBreakHyphen/>
        <w:t>existing and ongoing or situational, to protect a particular child under the age of 10 from death or permanent injury, all of whom</w:t>
      </w:r>
      <w:r w:rsidRPr="008F0773">
        <w:rPr>
          <w:i/>
          <w:sz w:val="20"/>
        </w:rPr>
        <w:t xml:space="preserve"> </w:t>
      </w:r>
      <w:r w:rsidRPr="008F0773">
        <w:rPr>
          <w:sz w:val="20"/>
        </w:rPr>
        <w:t>are properly subject to an objective standard with respect to the consequences element of s. 218.  The s. 214 definition should be restricted in scope as applying only to persons falling into the following three categories: (1) those with a pre</w:t>
      </w:r>
      <w:r w:rsidRPr="008F0773">
        <w:rPr>
          <w:sz w:val="20"/>
        </w:rPr>
        <w:noBreakHyphen/>
        <w:t>existing and ongoing legal duty to the child; (2) those who come to the aid of the child who is or is likely to be at risk of death or permanent injury, and; (3) those who actually place the child in that situation.  Interpreting the scope of s. 218 in this way goes a long way toward addressing concerns about the broad scope of potential liability under the provision.</w:t>
      </w:r>
    </w:p>
    <w:p w:rsidR="009A52C6" w:rsidRDefault="009A52C6" w:rsidP="009A52C6">
      <w:pPr>
        <w:pStyle w:val="SCCNormalDoubleSpacing"/>
        <w:spacing w:line="240" w:lineRule="auto"/>
        <w:rPr>
          <w:sz w:val="20"/>
        </w:rPr>
      </w:pPr>
    </w:p>
    <w:p w:rsidR="009A52C6" w:rsidRPr="008F0773" w:rsidRDefault="009A52C6" w:rsidP="009A52C6">
      <w:pPr>
        <w:pStyle w:val="SCCNormalDoubleSpacing"/>
        <w:spacing w:line="240" w:lineRule="auto"/>
        <w:rPr>
          <w:sz w:val="20"/>
        </w:rPr>
      </w:pPr>
      <w:r w:rsidRPr="008F0773">
        <w:rPr>
          <w:sz w:val="20"/>
        </w:rPr>
        <w:tab/>
        <w:t xml:space="preserve">Section 218 finds its place in Part VIII of the </w:t>
      </w:r>
      <w:r w:rsidRPr="008F0773">
        <w:rPr>
          <w:i/>
          <w:sz w:val="20"/>
        </w:rPr>
        <w:t>Criminal Code</w:t>
      </w:r>
      <w:r w:rsidRPr="008F0773">
        <w:rPr>
          <w:sz w:val="20"/>
        </w:rPr>
        <w:t xml:space="preserve"> under the heading “Duties Tending to Preservation of Life”.  It is one of two offences located under that heading — the other being s. 215.  This provides some indication that Parliament intended that s. 218 be construed as a duty</w:t>
      </w:r>
      <w:r w:rsidRPr="008F0773">
        <w:rPr>
          <w:sz w:val="20"/>
        </w:rPr>
        <w:noBreakHyphen/>
      </w:r>
      <w:proofErr w:type="spellStart"/>
      <w:r w:rsidRPr="008F0773">
        <w:rPr>
          <w:sz w:val="20"/>
        </w:rPr>
        <w:t>based</w:t>
      </w:r>
      <w:proofErr w:type="spellEnd"/>
      <w:r w:rsidRPr="008F0773">
        <w:rPr>
          <w:sz w:val="20"/>
        </w:rPr>
        <w:t xml:space="preserve"> offence.  It seems anomalous that Parliament would insert a non</w:t>
      </w:r>
      <w:r w:rsidRPr="008F0773">
        <w:rPr>
          <w:sz w:val="20"/>
        </w:rPr>
        <w:noBreakHyphen/>
      </w:r>
      <w:proofErr w:type="spellStart"/>
      <w:r w:rsidRPr="008F0773">
        <w:rPr>
          <w:sz w:val="20"/>
        </w:rPr>
        <w:t>duty</w:t>
      </w:r>
      <w:proofErr w:type="spellEnd"/>
      <w:r w:rsidRPr="008F0773">
        <w:rPr>
          <w:sz w:val="20"/>
        </w:rPr>
        <w:noBreakHyphen/>
      </w:r>
      <w:proofErr w:type="spellStart"/>
      <w:r w:rsidRPr="008F0773">
        <w:rPr>
          <w:sz w:val="20"/>
        </w:rPr>
        <w:t>based</w:t>
      </w:r>
      <w:proofErr w:type="spellEnd"/>
      <w:r w:rsidRPr="008F0773">
        <w:rPr>
          <w:sz w:val="20"/>
        </w:rPr>
        <w:t xml:space="preserve"> offence into a thicket of duty</w:t>
      </w:r>
      <w:r w:rsidRPr="008F0773">
        <w:rPr>
          <w:sz w:val="20"/>
        </w:rPr>
        <w:noBreakHyphen/>
      </w:r>
      <w:proofErr w:type="spellStart"/>
      <w:r w:rsidRPr="008F0773">
        <w:rPr>
          <w:sz w:val="20"/>
        </w:rPr>
        <w:t>related</w:t>
      </w:r>
      <w:proofErr w:type="spellEnd"/>
      <w:r w:rsidRPr="008F0773">
        <w:rPr>
          <w:sz w:val="20"/>
        </w:rPr>
        <w:t xml:space="preserve"> provisions.  The scenario becomes even more remarkable when one appreciates that s. 218 is concerned with inherently dangerous conduct that places or is likely to place the lives and safety of helpless young children at risk.  This is the very type of situation which requires a societal minimum standard of conduct and calls out for a standard of fault based on objective </w:t>
      </w:r>
      <w:proofErr w:type="spellStart"/>
      <w:r w:rsidRPr="008F0773">
        <w:rPr>
          <w:sz w:val="20"/>
        </w:rPr>
        <w:t>foreseeability</w:t>
      </w:r>
      <w:proofErr w:type="spellEnd"/>
      <w:r w:rsidRPr="008F0773">
        <w:rPr>
          <w:sz w:val="20"/>
        </w:rPr>
        <w:t>.  Likewise, the plain language of s. 218 — supported by the place of situational duties in Canadian criminal law, the offence’s placement among other duty</w:t>
      </w:r>
      <w:r w:rsidRPr="008F0773">
        <w:rPr>
          <w:sz w:val="20"/>
        </w:rPr>
        <w:noBreakHyphen/>
      </w:r>
      <w:proofErr w:type="spellStart"/>
      <w:r w:rsidRPr="008F0773">
        <w:rPr>
          <w:sz w:val="20"/>
        </w:rPr>
        <w:t>based</w:t>
      </w:r>
      <w:proofErr w:type="spellEnd"/>
      <w:r w:rsidRPr="008F0773">
        <w:rPr>
          <w:sz w:val="20"/>
        </w:rPr>
        <w:t xml:space="preserve"> provisions in the </w:t>
      </w:r>
      <w:r w:rsidRPr="008F0773">
        <w:rPr>
          <w:i/>
          <w:sz w:val="20"/>
        </w:rPr>
        <w:t>Criminal Code</w:t>
      </w:r>
      <w:r w:rsidRPr="008F0773">
        <w:rPr>
          <w:sz w:val="20"/>
        </w:rPr>
        <w:t xml:space="preserve"> and the scholarship on s. 218 — leads to the conclusion that the offence of child abandonment is duty</w:t>
      </w:r>
      <w:r w:rsidRPr="008F0773">
        <w:rPr>
          <w:sz w:val="20"/>
        </w:rPr>
        <w:noBreakHyphen/>
      </w:r>
      <w:proofErr w:type="spellStart"/>
      <w:r w:rsidRPr="008F0773">
        <w:rPr>
          <w:sz w:val="20"/>
        </w:rPr>
        <w:t>based</w:t>
      </w:r>
      <w:proofErr w:type="spellEnd"/>
      <w:r w:rsidRPr="008F0773">
        <w:rPr>
          <w:sz w:val="20"/>
        </w:rPr>
        <w:t>.</w:t>
      </w:r>
    </w:p>
    <w:p w:rsidR="009A52C6" w:rsidRDefault="009A52C6" w:rsidP="009A52C6">
      <w:pPr>
        <w:pStyle w:val="SCCNormalDoubleSpacing"/>
        <w:spacing w:line="240" w:lineRule="auto"/>
        <w:rPr>
          <w:sz w:val="20"/>
        </w:rPr>
      </w:pPr>
    </w:p>
    <w:p w:rsidR="009A52C6" w:rsidRPr="008F0773" w:rsidRDefault="009A52C6" w:rsidP="009A52C6">
      <w:pPr>
        <w:pStyle w:val="SCCNormalDoubleSpacing"/>
        <w:spacing w:line="240" w:lineRule="auto"/>
        <w:rPr>
          <w:sz w:val="20"/>
        </w:rPr>
      </w:pPr>
      <w:r w:rsidRPr="008F0773">
        <w:rPr>
          <w:sz w:val="20"/>
        </w:rPr>
        <w:tab/>
        <w:t>The legislative history of s. 218 further supports the conclusion that the fault element for s. 218 is penal negligence.  The provision has never included words of subjective intention, as confirmed by the early English interpretation of the offence.  Furthermore, neither the social stigma associated with it nor the gravity of the offence of child abandonment require it to be treated differently than its sister provision s. 215 (failure to provide necessaries), where penal negligence was found to be the requisite fault element.</w:t>
      </w:r>
    </w:p>
    <w:p w:rsidR="009A52C6" w:rsidRDefault="009A52C6" w:rsidP="009A52C6">
      <w:pPr>
        <w:pStyle w:val="SCCNormalDoubleSpacing"/>
        <w:spacing w:line="240" w:lineRule="auto"/>
        <w:rPr>
          <w:sz w:val="20"/>
        </w:rPr>
      </w:pPr>
    </w:p>
    <w:p w:rsidR="009A52C6" w:rsidRDefault="009A52C6" w:rsidP="009A52C6">
      <w:pPr>
        <w:pStyle w:val="SCCNormalDoubleSpacing"/>
        <w:spacing w:line="240" w:lineRule="auto"/>
        <w:rPr>
          <w:sz w:val="20"/>
        </w:rPr>
      </w:pPr>
      <w:r w:rsidRPr="008F0773">
        <w:rPr>
          <w:sz w:val="20"/>
        </w:rPr>
        <w:tab/>
        <w:t xml:space="preserve">Under a penal negligence standard, a mistake of fact that is both honest and reasonable affords a complete defence.  Thus, an objective </w:t>
      </w:r>
      <w:proofErr w:type="spellStart"/>
      <w:r w:rsidRPr="008F0773">
        <w:rPr>
          <w:i/>
          <w:sz w:val="20"/>
        </w:rPr>
        <w:t>mens</w:t>
      </w:r>
      <w:proofErr w:type="spellEnd"/>
      <w:r w:rsidRPr="008F0773">
        <w:rPr>
          <w:i/>
          <w:sz w:val="20"/>
        </w:rPr>
        <w:t xml:space="preserve"> </w:t>
      </w:r>
      <w:proofErr w:type="spellStart"/>
      <w:r w:rsidRPr="008F0773">
        <w:rPr>
          <w:i/>
          <w:sz w:val="20"/>
        </w:rPr>
        <w:t>rea</w:t>
      </w:r>
      <w:proofErr w:type="spellEnd"/>
      <w:r w:rsidRPr="008F0773">
        <w:rPr>
          <w:sz w:val="20"/>
        </w:rPr>
        <w:t xml:space="preserve"> standard does not punish the morally blameless.  In the present circumstances, the trial judge found that the respondent honestly believed that her child was dead at birth and that this belief was objectively reasonable.  As such, she was entitled to be acquitted based on the defence of honest and reasonable mistake of fact. </w:t>
      </w:r>
    </w:p>
    <w:p w:rsidR="009A52C6" w:rsidRDefault="009A52C6" w:rsidP="009A52C6">
      <w:pPr>
        <w:pStyle w:val="SCCNormalDoubleSpacing"/>
        <w:spacing w:line="240" w:lineRule="auto"/>
        <w:rPr>
          <w:sz w:val="20"/>
        </w:rPr>
      </w:pPr>
    </w:p>
    <w:p w:rsidR="009A52C6" w:rsidRPr="008F0773" w:rsidRDefault="009A52C6" w:rsidP="009A52C6">
      <w:pPr>
        <w:pStyle w:val="SCCNormalDoubleSpacing"/>
        <w:spacing w:line="240" w:lineRule="auto"/>
        <w:rPr>
          <w:sz w:val="20"/>
        </w:rPr>
      </w:pPr>
      <w:r w:rsidRPr="008F0773">
        <w:rPr>
          <w:sz w:val="20"/>
        </w:rPr>
        <w:tab/>
        <w:t xml:space="preserve">APPEAL from a judgment of the Saskatchewan Court of Appeal (Richards, Smith and </w:t>
      </w:r>
      <w:proofErr w:type="spellStart"/>
      <w:r w:rsidRPr="008F0773">
        <w:rPr>
          <w:sz w:val="20"/>
        </w:rPr>
        <w:t>Ottenbreit</w:t>
      </w:r>
      <w:proofErr w:type="spellEnd"/>
      <w:r w:rsidRPr="008F0773">
        <w:rPr>
          <w:sz w:val="20"/>
        </w:rPr>
        <w:t xml:space="preserve"> JJ.A.), </w:t>
      </w:r>
      <w:bookmarkStart w:id="2" w:name="OLE_LINK2"/>
      <w:r w:rsidRPr="008F0773">
        <w:rPr>
          <w:sz w:val="20"/>
        </w:rPr>
        <w:t>2011 SKCA 6</w:t>
      </w:r>
      <w:bookmarkEnd w:id="2"/>
      <w:r w:rsidRPr="008F0773">
        <w:rPr>
          <w:sz w:val="20"/>
        </w:rPr>
        <w:t xml:space="preserve">, 366 Sask. R. 123, 266 C.C.C. (3d) 101, 81 C.R. (6th) 303, [2011] 6 W.W.R. 10, 506 W.A.C. 123, [2011] S.J. No. 5 (QL), 2011 </w:t>
      </w:r>
      <w:proofErr w:type="spellStart"/>
      <w:r w:rsidRPr="008F0773">
        <w:rPr>
          <w:sz w:val="20"/>
        </w:rPr>
        <w:t>CarswellSask</w:t>
      </w:r>
      <w:proofErr w:type="spellEnd"/>
      <w:r w:rsidRPr="008F0773">
        <w:rPr>
          <w:sz w:val="20"/>
        </w:rPr>
        <w:t xml:space="preserve"> 10, affirming the acquittal entered by </w:t>
      </w:r>
      <w:proofErr w:type="spellStart"/>
      <w:r w:rsidRPr="008F0773">
        <w:rPr>
          <w:sz w:val="20"/>
        </w:rPr>
        <w:t>Gabrielson</w:t>
      </w:r>
      <w:proofErr w:type="spellEnd"/>
      <w:r w:rsidRPr="008F0773">
        <w:rPr>
          <w:sz w:val="20"/>
        </w:rPr>
        <w:t xml:space="preserve"> J., 2009 SKQB 261, 335 Sask. R. 173, 68 C.R. (6th) 74, [2009] S.J. No. 362 (QL), 2009 </w:t>
      </w:r>
      <w:proofErr w:type="spellStart"/>
      <w:r w:rsidRPr="008F0773">
        <w:rPr>
          <w:sz w:val="20"/>
        </w:rPr>
        <w:t>CarswellSask</w:t>
      </w:r>
      <w:proofErr w:type="spellEnd"/>
      <w:r w:rsidRPr="008F0773">
        <w:rPr>
          <w:sz w:val="20"/>
        </w:rPr>
        <w:t xml:space="preserve"> 388.  Appeal dismissed.</w:t>
      </w:r>
    </w:p>
    <w:p w:rsidR="009A52C6" w:rsidRDefault="009A52C6" w:rsidP="009A52C6">
      <w:pPr>
        <w:pStyle w:val="SCCNormalDoubleSpacing"/>
        <w:spacing w:line="240" w:lineRule="auto"/>
        <w:rPr>
          <w:i/>
          <w:sz w:val="20"/>
        </w:rPr>
      </w:pPr>
    </w:p>
    <w:p w:rsidR="009A52C6" w:rsidRPr="008F0773" w:rsidRDefault="009A52C6" w:rsidP="009A52C6">
      <w:pPr>
        <w:pStyle w:val="SCCNormalDoubleSpacing"/>
        <w:spacing w:line="240" w:lineRule="auto"/>
        <w:rPr>
          <w:sz w:val="20"/>
        </w:rPr>
      </w:pPr>
      <w:r w:rsidRPr="008F0773">
        <w:rPr>
          <w:i/>
          <w:sz w:val="20"/>
        </w:rPr>
        <w:tab/>
      </w:r>
      <w:proofErr w:type="gramStart"/>
      <w:r w:rsidRPr="008F0773">
        <w:rPr>
          <w:i/>
          <w:sz w:val="20"/>
        </w:rPr>
        <w:t xml:space="preserve">Beverly L. </w:t>
      </w:r>
      <w:proofErr w:type="spellStart"/>
      <w:r w:rsidRPr="008F0773">
        <w:rPr>
          <w:i/>
          <w:sz w:val="20"/>
        </w:rPr>
        <w:t>Klatt</w:t>
      </w:r>
      <w:proofErr w:type="spellEnd"/>
      <w:r w:rsidRPr="008F0773">
        <w:rPr>
          <w:sz w:val="20"/>
        </w:rPr>
        <w:t xml:space="preserve"> and </w:t>
      </w:r>
      <w:r w:rsidRPr="008F0773">
        <w:rPr>
          <w:i/>
          <w:sz w:val="20"/>
        </w:rPr>
        <w:t>W. Dean Sinclair</w:t>
      </w:r>
      <w:r w:rsidRPr="008F0773">
        <w:rPr>
          <w:sz w:val="20"/>
        </w:rPr>
        <w:t>, for the appellant.</w:t>
      </w:r>
      <w:proofErr w:type="gramEnd"/>
    </w:p>
    <w:p w:rsidR="009A52C6" w:rsidRDefault="009A52C6" w:rsidP="009A52C6">
      <w:pPr>
        <w:pStyle w:val="SCCNormalDoubleSpacing"/>
        <w:spacing w:line="240" w:lineRule="auto"/>
        <w:rPr>
          <w:i/>
          <w:sz w:val="20"/>
        </w:rPr>
      </w:pPr>
    </w:p>
    <w:p w:rsidR="009A52C6" w:rsidRPr="008F0773" w:rsidRDefault="009A52C6" w:rsidP="009A52C6">
      <w:pPr>
        <w:pStyle w:val="SCCNormalDoubleSpacing"/>
        <w:spacing w:line="240" w:lineRule="auto"/>
        <w:rPr>
          <w:sz w:val="20"/>
        </w:rPr>
      </w:pPr>
      <w:r w:rsidRPr="008F0773">
        <w:rPr>
          <w:i/>
          <w:sz w:val="20"/>
        </w:rPr>
        <w:tab/>
      </w:r>
      <w:proofErr w:type="gramStart"/>
      <w:r w:rsidRPr="008F0773">
        <w:rPr>
          <w:i/>
          <w:sz w:val="20"/>
        </w:rPr>
        <w:t>Valerie N. Harvey</w:t>
      </w:r>
      <w:r w:rsidRPr="008F0773">
        <w:rPr>
          <w:sz w:val="20"/>
        </w:rPr>
        <w:t>, for the respondent.</w:t>
      </w:r>
      <w:proofErr w:type="gramEnd"/>
    </w:p>
    <w:p w:rsidR="009A52C6" w:rsidRDefault="009A52C6" w:rsidP="009A52C6">
      <w:pPr>
        <w:pStyle w:val="SCCNormalDoubleSpacing"/>
        <w:spacing w:line="240" w:lineRule="auto"/>
        <w:rPr>
          <w:i/>
          <w:sz w:val="20"/>
        </w:rPr>
      </w:pPr>
    </w:p>
    <w:p w:rsidR="009A52C6" w:rsidRPr="008F0773" w:rsidRDefault="009A52C6" w:rsidP="009A52C6">
      <w:pPr>
        <w:pStyle w:val="SCCNormalDoubleSpacing"/>
        <w:spacing w:line="240" w:lineRule="auto"/>
        <w:rPr>
          <w:sz w:val="20"/>
        </w:rPr>
      </w:pPr>
      <w:r w:rsidRPr="008F0773">
        <w:rPr>
          <w:i/>
          <w:sz w:val="20"/>
        </w:rPr>
        <w:tab/>
      </w:r>
      <w:proofErr w:type="gramStart"/>
      <w:r w:rsidRPr="008F0773">
        <w:rPr>
          <w:i/>
          <w:sz w:val="20"/>
        </w:rPr>
        <w:t>Gillian Roberts</w:t>
      </w:r>
      <w:r w:rsidRPr="008F0773">
        <w:rPr>
          <w:sz w:val="20"/>
        </w:rPr>
        <w:t xml:space="preserve"> and </w:t>
      </w:r>
      <w:r w:rsidRPr="008F0773">
        <w:rPr>
          <w:i/>
          <w:sz w:val="20"/>
        </w:rPr>
        <w:t xml:space="preserve">Jamie </w:t>
      </w:r>
      <w:proofErr w:type="spellStart"/>
      <w:r w:rsidRPr="008F0773">
        <w:rPr>
          <w:i/>
          <w:sz w:val="20"/>
        </w:rPr>
        <w:t>Klukach</w:t>
      </w:r>
      <w:proofErr w:type="spellEnd"/>
      <w:r w:rsidRPr="008F0773">
        <w:rPr>
          <w:sz w:val="20"/>
        </w:rPr>
        <w:t>, for the intervener.</w:t>
      </w:r>
      <w:proofErr w:type="gramEnd"/>
    </w:p>
    <w:p w:rsidR="009A52C6" w:rsidRDefault="009A52C6" w:rsidP="009A52C6">
      <w:pPr>
        <w:pStyle w:val="SCCLawFirm"/>
        <w:spacing w:line="240" w:lineRule="auto"/>
        <w:rPr>
          <w:sz w:val="20"/>
        </w:rPr>
      </w:pPr>
    </w:p>
    <w:p w:rsidR="009A52C6" w:rsidRPr="008F0773" w:rsidRDefault="009A52C6" w:rsidP="009A52C6">
      <w:pPr>
        <w:pStyle w:val="SCCLawFirm"/>
        <w:spacing w:line="240" w:lineRule="auto"/>
        <w:rPr>
          <w:sz w:val="20"/>
        </w:rPr>
      </w:pPr>
      <w:r w:rsidRPr="008F0773">
        <w:rPr>
          <w:sz w:val="20"/>
        </w:rPr>
        <w:tab/>
        <w:t>Solicitor for the appellant:  Attorney General for Saskatchewan, Regina.</w:t>
      </w:r>
    </w:p>
    <w:p w:rsidR="009A52C6" w:rsidRDefault="009A52C6" w:rsidP="009A52C6">
      <w:pPr>
        <w:pStyle w:val="SCCLawFirm"/>
        <w:spacing w:line="240" w:lineRule="auto"/>
        <w:rPr>
          <w:sz w:val="20"/>
        </w:rPr>
      </w:pPr>
    </w:p>
    <w:p w:rsidR="009A52C6" w:rsidRPr="008F0773" w:rsidRDefault="009A52C6" w:rsidP="009A52C6">
      <w:pPr>
        <w:pStyle w:val="SCCLawFirm"/>
        <w:spacing w:line="240" w:lineRule="auto"/>
        <w:rPr>
          <w:sz w:val="20"/>
        </w:rPr>
      </w:pPr>
      <w:r w:rsidRPr="008F0773">
        <w:rPr>
          <w:sz w:val="20"/>
        </w:rPr>
        <w:tab/>
        <w:t>Solicitor for the respondent:  Saskatchewan Legal Aid Commission, Prince Albert.</w:t>
      </w:r>
    </w:p>
    <w:p w:rsidR="009A52C6" w:rsidRDefault="009A52C6" w:rsidP="009A52C6">
      <w:pPr>
        <w:pStyle w:val="SCCLawFirm"/>
        <w:spacing w:line="240" w:lineRule="auto"/>
        <w:rPr>
          <w:sz w:val="20"/>
        </w:rPr>
      </w:pPr>
    </w:p>
    <w:p w:rsidR="009A52C6" w:rsidRDefault="009A52C6" w:rsidP="009A52C6">
      <w:pPr>
        <w:pStyle w:val="SCCLawFirm"/>
        <w:spacing w:line="240" w:lineRule="auto"/>
        <w:rPr>
          <w:sz w:val="20"/>
        </w:rPr>
      </w:pPr>
      <w:r w:rsidRPr="008F0773">
        <w:rPr>
          <w:sz w:val="20"/>
        </w:rPr>
        <w:tab/>
        <w:t>Solicitor for the intervener:  Attorney General of Ontario,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9A52C6" w:rsidRPr="00DC352F" w:rsidRDefault="009A52C6" w:rsidP="009A52C6">
      <w:pPr>
        <w:jc w:val="both"/>
        <w:rPr>
          <w:sz w:val="20"/>
          <w:szCs w:val="20"/>
          <w:lang w:val="fr-CA"/>
        </w:rPr>
      </w:pPr>
      <w:r w:rsidRPr="00DC352F">
        <w:rPr>
          <w:sz w:val="20"/>
          <w:szCs w:val="20"/>
          <w:lang w:val="fr-CA"/>
        </w:rPr>
        <w:t xml:space="preserve">Présents : La juge en chef McLachlin et les juges Fish, Abella, </w:t>
      </w:r>
      <w:proofErr w:type="spellStart"/>
      <w:r w:rsidRPr="00DC352F">
        <w:rPr>
          <w:sz w:val="20"/>
          <w:szCs w:val="20"/>
          <w:lang w:val="fr-CA"/>
        </w:rPr>
        <w:t>Rothstein</w:t>
      </w:r>
      <w:proofErr w:type="spellEnd"/>
      <w:r w:rsidRPr="00DC352F">
        <w:rPr>
          <w:sz w:val="20"/>
          <w:szCs w:val="20"/>
          <w:lang w:val="fr-CA"/>
        </w:rPr>
        <w:t>, Cromwell, Moldaver et Karakatsanis.</w:t>
      </w:r>
    </w:p>
    <w:p w:rsidR="009A52C6" w:rsidRDefault="009A52C6" w:rsidP="009A52C6">
      <w:pPr>
        <w:jc w:val="both"/>
        <w:rPr>
          <w:smallCaps/>
          <w:sz w:val="20"/>
          <w:lang w:val="fr-CA"/>
        </w:rPr>
      </w:pPr>
    </w:p>
    <w:p w:rsidR="009A52C6" w:rsidRPr="00DC352F" w:rsidRDefault="009A52C6" w:rsidP="009A52C6">
      <w:pPr>
        <w:pStyle w:val="SCCNormalDoubleSpacing"/>
        <w:spacing w:line="240" w:lineRule="auto"/>
        <w:rPr>
          <w:sz w:val="20"/>
          <w:lang w:val="fr-CA"/>
        </w:rPr>
      </w:pPr>
      <w:r w:rsidRPr="00DC352F">
        <w:rPr>
          <w:sz w:val="20"/>
          <w:lang w:val="fr-CA"/>
        </w:rPr>
        <w:tab/>
      </w:r>
      <w:r w:rsidRPr="00DC352F">
        <w:rPr>
          <w:i/>
          <w:sz w:val="20"/>
          <w:lang w:val="fr-CA"/>
        </w:rPr>
        <w:t xml:space="preserve">Droit criminel — Abandon d’enfant — Mens </w:t>
      </w:r>
      <w:proofErr w:type="spellStart"/>
      <w:r w:rsidRPr="00DC352F">
        <w:rPr>
          <w:i/>
          <w:sz w:val="20"/>
          <w:lang w:val="fr-CA"/>
        </w:rPr>
        <w:t>rea</w:t>
      </w:r>
      <w:proofErr w:type="spellEnd"/>
      <w:r w:rsidRPr="00DC352F">
        <w:rPr>
          <w:i/>
          <w:sz w:val="20"/>
          <w:lang w:val="fr-CA"/>
        </w:rPr>
        <w:t xml:space="preserve"> — Accouchement dans les toilettes d’un magasin à rayons et </w:t>
      </w:r>
      <w:proofErr w:type="spellStart"/>
      <w:r w:rsidRPr="00DC352F">
        <w:rPr>
          <w:i/>
          <w:sz w:val="20"/>
          <w:lang w:val="fr-CA"/>
        </w:rPr>
        <w:t>nouveau</w:t>
      </w:r>
      <w:r w:rsidRPr="00DC352F">
        <w:rPr>
          <w:i/>
          <w:sz w:val="20"/>
          <w:lang w:val="fr-CA"/>
        </w:rPr>
        <w:noBreakHyphen/>
        <w:t>né</w:t>
      </w:r>
      <w:proofErr w:type="spellEnd"/>
      <w:r w:rsidRPr="00DC352F">
        <w:rPr>
          <w:i/>
          <w:sz w:val="20"/>
          <w:lang w:val="fr-CA"/>
        </w:rPr>
        <w:t xml:space="preserve"> laissé dans la cuvette — Témoignage de l’accusée selon lequel elle ignorait être enceinte et elle avait cru l’enfant </w:t>
      </w:r>
      <w:proofErr w:type="spellStart"/>
      <w:r w:rsidRPr="00DC352F">
        <w:rPr>
          <w:i/>
          <w:sz w:val="20"/>
          <w:lang w:val="fr-CA"/>
        </w:rPr>
        <w:t>mort</w:t>
      </w:r>
      <w:r w:rsidRPr="00DC352F">
        <w:rPr>
          <w:i/>
          <w:sz w:val="20"/>
          <w:lang w:val="fr-CA"/>
        </w:rPr>
        <w:noBreakHyphen/>
        <w:t>né</w:t>
      </w:r>
      <w:proofErr w:type="spellEnd"/>
      <w:r w:rsidRPr="00DC352F">
        <w:rPr>
          <w:i/>
          <w:sz w:val="20"/>
          <w:lang w:val="fr-CA"/>
        </w:rPr>
        <w:t xml:space="preserve"> — Acquittement de l’accusée — L’existence de l’élément de faute </w:t>
      </w:r>
      <w:proofErr w:type="spellStart"/>
      <w:r w:rsidRPr="00DC352F">
        <w:rPr>
          <w:i/>
          <w:sz w:val="20"/>
          <w:lang w:val="fr-CA"/>
        </w:rPr>
        <w:t>doit</w:t>
      </w:r>
      <w:r w:rsidRPr="00DC352F">
        <w:rPr>
          <w:i/>
          <w:sz w:val="20"/>
          <w:lang w:val="fr-CA"/>
        </w:rPr>
        <w:noBreakHyphen/>
        <w:t>elle</w:t>
      </w:r>
      <w:proofErr w:type="spellEnd"/>
      <w:r w:rsidRPr="00DC352F">
        <w:rPr>
          <w:i/>
          <w:sz w:val="20"/>
          <w:lang w:val="fr-CA"/>
        </w:rPr>
        <w:t xml:space="preserve"> être déterminée subjectivement ou objectivement? — Code criminel, L.R.C. 1985, ch. 46, art. 214 « abandonner » ou « exposer », art. 218.</w:t>
      </w:r>
    </w:p>
    <w:p w:rsidR="009A52C6" w:rsidRDefault="009A52C6" w:rsidP="009A52C6">
      <w:pPr>
        <w:pStyle w:val="SCCNormalDoubleSpacing"/>
        <w:spacing w:line="240" w:lineRule="auto"/>
        <w:rPr>
          <w:sz w:val="20"/>
          <w:lang w:val="fr-CA"/>
        </w:rPr>
      </w:pPr>
    </w:p>
    <w:p w:rsidR="009A52C6" w:rsidRPr="00DC352F" w:rsidRDefault="009A52C6" w:rsidP="009A52C6">
      <w:pPr>
        <w:pStyle w:val="SCCNormalDoubleSpacing"/>
        <w:spacing w:line="240" w:lineRule="auto"/>
        <w:rPr>
          <w:sz w:val="20"/>
          <w:lang w:val="fr-CA"/>
        </w:rPr>
      </w:pPr>
      <w:r w:rsidRPr="00DC352F">
        <w:rPr>
          <w:sz w:val="20"/>
          <w:lang w:val="fr-CA"/>
        </w:rPr>
        <w:tab/>
        <w:t xml:space="preserve">L’accusée, qui ignorait auparavant être enceinte, a accouché pendant qu’elle utilisait les toilettes d’un magasin à rayons.  Croyant l’enfant </w:t>
      </w:r>
      <w:proofErr w:type="spellStart"/>
      <w:r w:rsidRPr="00DC352F">
        <w:rPr>
          <w:sz w:val="20"/>
          <w:lang w:val="fr-CA"/>
        </w:rPr>
        <w:t>mort</w:t>
      </w:r>
      <w:r w:rsidRPr="00DC352F">
        <w:rPr>
          <w:sz w:val="20"/>
          <w:lang w:val="fr-CA"/>
        </w:rPr>
        <w:noBreakHyphen/>
        <w:t>né</w:t>
      </w:r>
      <w:proofErr w:type="spellEnd"/>
      <w:r w:rsidRPr="00DC352F">
        <w:rPr>
          <w:sz w:val="20"/>
          <w:lang w:val="fr-CA"/>
        </w:rPr>
        <w:t xml:space="preserve">, elle a nettoyé la cabine de son mieux, puis elle est partie en laissant l’enfant dans la cuvette.  Or, ce dernier était vivant, et des gens se sont rapidement occupés de lui.  Conduit à l’hôpital, il a été réanimé et déclaré en bonne santé.  On a ultérieurement déterminé que l’accusée était la femme qu’on avait vue entrer aux toilettes puis en sortir au moment des faits.  Jointe par les policiers, l’accusée a collaboré sans réserve et a confirmé être la mère de l’enfant.  Elle a été accusée d’avoir illicitement abandonné un enfant de moins de 10 ans et d’avoir ainsi mis sa vie en danger, contrairement à l’art. 218 du </w:t>
      </w:r>
      <w:r w:rsidRPr="00DC352F">
        <w:rPr>
          <w:i/>
          <w:sz w:val="20"/>
          <w:lang w:val="fr-CA"/>
        </w:rPr>
        <w:t>Code criminel</w:t>
      </w:r>
      <w:r w:rsidRPr="00DC352F">
        <w:rPr>
          <w:sz w:val="20"/>
          <w:lang w:val="fr-CA"/>
        </w:rPr>
        <w:t>.</w:t>
      </w:r>
    </w:p>
    <w:p w:rsidR="009A52C6" w:rsidRDefault="009A52C6" w:rsidP="009A52C6">
      <w:pPr>
        <w:pStyle w:val="SCCNormalDoubleSpacing"/>
        <w:spacing w:line="240" w:lineRule="auto"/>
        <w:rPr>
          <w:sz w:val="20"/>
          <w:lang w:val="fr-CA"/>
        </w:rPr>
      </w:pPr>
    </w:p>
    <w:p w:rsidR="009A52C6" w:rsidRPr="00DC352F" w:rsidRDefault="009A52C6" w:rsidP="009A52C6">
      <w:pPr>
        <w:pStyle w:val="SCCNormalDoubleSpacing"/>
        <w:spacing w:line="240" w:lineRule="auto"/>
        <w:rPr>
          <w:sz w:val="20"/>
          <w:lang w:val="fr-CA"/>
        </w:rPr>
      </w:pPr>
      <w:r w:rsidRPr="00DC352F">
        <w:rPr>
          <w:sz w:val="20"/>
          <w:lang w:val="fr-CA"/>
        </w:rPr>
        <w:tab/>
        <w:t xml:space="preserve">Le juge du procès a relevé que l’accusée avait reconnu avoir laissé l’enfant aux toilettes, de sorte qu’elle avait ainsi commis </w:t>
      </w:r>
      <w:proofErr w:type="gramStart"/>
      <w:r w:rsidRPr="00DC352F">
        <w:rPr>
          <w:sz w:val="20"/>
          <w:lang w:val="fr-CA"/>
        </w:rPr>
        <w:t>l’</w:t>
      </w:r>
      <w:r w:rsidRPr="00DC352F">
        <w:rPr>
          <w:i/>
          <w:sz w:val="20"/>
          <w:lang w:val="fr-CA"/>
        </w:rPr>
        <w:t>actus</w:t>
      </w:r>
      <w:proofErr w:type="gramEnd"/>
      <w:r w:rsidRPr="00DC352F">
        <w:rPr>
          <w:i/>
          <w:sz w:val="20"/>
          <w:lang w:val="fr-CA"/>
        </w:rPr>
        <w:t xml:space="preserve"> </w:t>
      </w:r>
      <w:proofErr w:type="spellStart"/>
      <w:r w:rsidRPr="00DC352F">
        <w:rPr>
          <w:i/>
          <w:sz w:val="20"/>
          <w:lang w:val="fr-CA"/>
        </w:rPr>
        <w:t>reus</w:t>
      </w:r>
      <w:proofErr w:type="spellEnd"/>
      <w:r w:rsidRPr="00DC352F">
        <w:rPr>
          <w:sz w:val="20"/>
          <w:lang w:val="fr-CA"/>
        </w:rPr>
        <w:t xml:space="preserve"> de l’infraction prévue à l’art. 218.  Quant à la </w:t>
      </w:r>
      <w:r w:rsidRPr="00DC352F">
        <w:rPr>
          <w:i/>
          <w:sz w:val="20"/>
          <w:lang w:val="fr-CA"/>
        </w:rPr>
        <w:t xml:space="preserve">mens </w:t>
      </w:r>
      <w:proofErr w:type="spellStart"/>
      <w:r w:rsidRPr="00DC352F">
        <w:rPr>
          <w:i/>
          <w:sz w:val="20"/>
          <w:lang w:val="fr-CA"/>
        </w:rPr>
        <w:t>rea</w:t>
      </w:r>
      <w:proofErr w:type="spellEnd"/>
      <w:r w:rsidRPr="00DC352F">
        <w:rPr>
          <w:sz w:val="20"/>
          <w:lang w:val="fr-CA"/>
        </w:rPr>
        <w:t xml:space="preserve">, il a déterminé que la faute devait être subjective et a statué que le ministère public n’avait pas prouvé hors de tout doute raisonnable que l’accusée avait eu l’intention d’abandonner son enfant.  Elle ne se savait pas enceinte et avait sincèrement cru avoir donné naissance à un enfant </w:t>
      </w:r>
      <w:proofErr w:type="spellStart"/>
      <w:r w:rsidRPr="00DC352F">
        <w:rPr>
          <w:sz w:val="20"/>
          <w:lang w:val="fr-CA"/>
        </w:rPr>
        <w:t>mort</w:t>
      </w:r>
      <w:r w:rsidRPr="00DC352F">
        <w:rPr>
          <w:sz w:val="20"/>
          <w:lang w:val="fr-CA"/>
        </w:rPr>
        <w:noBreakHyphen/>
        <w:t>né</w:t>
      </w:r>
      <w:proofErr w:type="spellEnd"/>
      <w:r w:rsidRPr="00DC352F">
        <w:rPr>
          <w:sz w:val="20"/>
          <w:lang w:val="fr-CA"/>
        </w:rPr>
        <w:t xml:space="preserve">.  Sa frayeur et son effarement expliquaient son comportement après l’accouchement.  Le juge du procès a donc déclaré l’accusée non coupable et rejeté l’accusation pesant contre elle.  Les juges majoritaires de la Cour d’appel ont convenu avec lui que la faute devait être subjective pour l’application de l’art. 218 du </w:t>
      </w:r>
      <w:r w:rsidRPr="00DC352F">
        <w:rPr>
          <w:i/>
          <w:sz w:val="20"/>
          <w:lang w:val="fr-CA"/>
        </w:rPr>
        <w:t>Code criminel</w:t>
      </w:r>
      <w:r w:rsidRPr="00DC352F">
        <w:rPr>
          <w:sz w:val="20"/>
          <w:lang w:val="fr-CA"/>
        </w:rPr>
        <w:t>.</w:t>
      </w:r>
    </w:p>
    <w:p w:rsidR="009A52C6" w:rsidRDefault="009A52C6" w:rsidP="009A52C6">
      <w:pPr>
        <w:pStyle w:val="SCCNormalDoubleSpacing"/>
        <w:spacing w:line="240" w:lineRule="auto"/>
        <w:rPr>
          <w:sz w:val="20"/>
          <w:lang w:val="fr-CA"/>
        </w:rPr>
      </w:pPr>
    </w:p>
    <w:p w:rsidR="009A52C6" w:rsidRPr="00DC352F" w:rsidRDefault="009A52C6" w:rsidP="009A52C6">
      <w:pPr>
        <w:pStyle w:val="SCCNormalDoubleSpacing"/>
        <w:spacing w:line="240" w:lineRule="auto"/>
        <w:rPr>
          <w:sz w:val="20"/>
          <w:lang w:val="fr-CA"/>
        </w:rPr>
      </w:pPr>
      <w:r w:rsidRPr="00DC352F">
        <w:rPr>
          <w:sz w:val="20"/>
          <w:lang w:val="fr-CA"/>
        </w:rPr>
        <w:tab/>
      </w:r>
      <w:r w:rsidRPr="00DC352F">
        <w:rPr>
          <w:i/>
          <w:sz w:val="20"/>
          <w:lang w:val="fr-CA"/>
        </w:rPr>
        <w:t>Arrêt</w:t>
      </w:r>
      <w:r w:rsidRPr="00DC352F">
        <w:rPr>
          <w:sz w:val="20"/>
          <w:lang w:val="fr-CA"/>
        </w:rPr>
        <w:t> : Le pourvoi est rejeté.</w:t>
      </w:r>
    </w:p>
    <w:p w:rsidR="009A52C6" w:rsidRDefault="009A52C6" w:rsidP="009A52C6">
      <w:pPr>
        <w:pStyle w:val="SCCNormalDoubleSpacing"/>
        <w:spacing w:line="240" w:lineRule="auto"/>
        <w:rPr>
          <w:sz w:val="20"/>
          <w:lang w:val="fr-CA"/>
        </w:rPr>
      </w:pPr>
    </w:p>
    <w:p w:rsidR="009A52C6" w:rsidRPr="00DC352F" w:rsidRDefault="009A52C6" w:rsidP="009A52C6">
      <w:pPr>
        <w:pStyle w:val="SCCNormalDoubleSpacing"/>
        <w:spacing w:line="240" w:lineRule="auto"/>
        <w:rPr>
          <w:sz w:val="20"/>
          <w:lang w:val="fr-CA"/>
        </w:rPr>
      </w:pPr>
      <w:r w:rsidRPr="00DC352F">
        <w:rPr>
          <w:sz w:val="20"/>
          <w:lang w:val="fr-CA"/>
        </w:rPr>
        <w:tab/>
      </w:r>
      <w:r w:rsidRPr="00DC352F">
        <w:rPr>
          <w:i/>
          <w:sz w:val="20"/>
          <w:lang w:val="fr-CA"/>
        </w:rPr>
        <w:t xml:space="preserve">La </w:t>
      </w:r>
      <w:r w:rsidRPr="00DC352F">
        <w:rPr>
          <w:sz w:val="20"/>
          <w:lang w:val="fr-CA"/>
        </w:rPr>
        <w:t xml:space="preserve">juge en chef McLachlin et les juges Fish, Abella, </w:t>
      </w:r>
      <w:r w:rsidRPr="00DC352F">
        <w:rPr>
          <w:b/>
          <w:sz w:val="20"/>
          <w:lang w:val="fr-CA"/>
        </w:rPr>
        <w:t>Cromwell</w:t>
      </w:r>
      <w:r w:rsidRPr="00DC352F">
        <w:rPr>
          <w:sz w:val="20"/>
          <w:lang w:val="fr-CA"/>
        </w:rPr>
        <w:t xml:space="preserve"> et Karakatsanis : Le texte de l’art. 218 du </w:t>
      </w:r>
      <w:r w:rsidRPr="00DC352F">
        <w:rPr>
          <w:i/>
          <w:sz w:val="20"/>
          <w:lang w:val="fr-CA"/>
        </w:rPr>
        <w:t>Code criminel</w:t>
      </w:r>
      <w:r w:rsidRPr="00DC352F">
        <w:rPr>
          <w:sz w:val="20"/>
          <w:lang w:val="fr-CA"/>
        </w:rPr>
        <w:t xml:space="preserve"> ne précise pas la nature de la faute requise, mais interprété dans son contexte global, il permet de conclure que la faute doit être subjective.  L’un des volets importants du contexte dans lequel il faut interpréter l’art. 218 consiste dans le </w:t>
      </w:r>
      <w:proofErr w:type="spellStart"/>
      <w:r w:rsidRPr="00DC352F">
        <w:rPr>
          <w:sz w:val="20"/>
          <w:lang w:val="fr-CA"/>
        </w:rPr>
        <w:t>voeu</w:t>
      </w:r>
      <w:proofErr w:type="spellEnd"/>
      <w:r w:rsidRPr="00DC352F">
        <w:rPr>
          <w:sz w:val="20"/>
          <w:lang w:val="fr-CA"/>
        </w:rPr>
        <w:t xml:space="preserve"> présumé du législateur qu’un crime s’accompagne d’une faute subjective.  Nul élément du texte ou du contexte de la disposition relative à l’abandon d’enfant ne permet de conclure que le législateur a voulu écarter cette présomption, ce que confirment le libellé et l’objectif de la disposition, ainsi que le régime législatif dans lequel elle s’inscrit.  Dans la mesure où l’intention du législateur n’est pas claire, la présomption selon laquelle la faute doit être subjective doit s’appliquer sans réserve en l’espèce.  À la limite, l’évolution de la disposition qui crée l’infraction d’abandon d’enfant étaye plutôt cette conclusion.</w:t>
      </w:r>
    </w:p>
    <w:p w:rsidR="009A52C6" w:rsidRDefault="009A52C6" w:rsidP="009A52C6">
      <w:pPr>
        <w:pStyle w:val="SCCNormalDoubleSpacing"/>
        <w:spacing w:line="240" w:lineRule="auto"/>
        <w:rPr>
          <w:sz w:val="20"/>
          <w:lang w:val="fr-CA"/>
        </w:rPr>
      </w:pPr>
    </w:p>
    <w:p w:rsidR="009A52C6" w:rsidRPr="00DC352F" w:rsidRDefault="009A52C6" w:rsidP="009A52C6">
      <w:pPr>
        <w:pStyle w:val="SCCNormalDoubleSpacing"/>
        <w:spacing w:line="240" w:lineRule="auto"/>
        <w:rPr>
          <w:sz w:val="20"/>
          <w:lang w:val="fr-CA"/>
        </w:rPr>
      </w:pPr>
      <w:r w:rsidRPr="00DC352F">
        <w:rPr>
          <w:sz w:val="20"/>
          <w:lang w:val="fr-CA"/>
        </w:rPr>
        <w:tab/>
        <w:t xml:space="preserve">Il ne fait aucun doute que le législateur a créé l’infraction d’abandon afin de protéger les enfants contre le risque de préjudice, que ce risque se réalise ou non.  Vu la grande portée de la responsabilité susceptible de découler de l’art. 218 du </w:t>
      </w:r>
      <w:r w:rsidRPr="00DC352F">
        <w:rPr>
          <w:i/>
          <w:sz w:val="20"/>
          <w:lang w:val="fr-CA"/>
        </w:rPr>
        <w:t>Code criminel</w:t>
      </w:r>
      <w:r w:rsidRPr="00DC352F">
        <w:rPr>
          <w:sz w:val="20"/>
          <w:lang w:val="fr-CA"/>
        </w:rPr>
        <w:t xml:space="preserve">, l’exigence d’une faute subjective joue un rôle important en faisant en sorte que le droit criminel n’ait pas une portée excessive.  Bien que les actes et les personnes visés par cet article soient définis de manière générale, l’application d’une norme subjective fait en sorte que seule soit punie la personne ayant un état d’esprit coupable. </w:t>
      </w:r>
    </w:p>
    <w:p w:rsidR="009A52C6" w:rsidRDefault="009A52C6" w:rsidP="009A52C6">
      <w:pPr>
        <w:pStyle w:val="SCCNormalDoubleSpacing"/>
        <w:spacing w:line="240" w:lineRule="auto"/>
        <w:rPr>
          <w:sz w:val="20"/>
          <w:lang w:val="fr-CA"/>
        </w:rPr>
      </w:pPr>
    </w:p>
    <w:p w:rsidR="009A52C6" w:rsidRPr="00DC352F" w:rsidRDefault="009A52C6" w:rsidP="009A52C6">
      <w:pPr>
        <w:pStyle w:val="SCCNormalDoubleSpacing"/>
        <w:spacing w:line="240" w:lineRule="auto"/>
        <w:rPr>
          <w:sz w:val="20"/>
          <w:lang w:val="fr-CA"/>
        </w:rPr>
      </w:pPr>
      <w:r w:rsidRPr="00DC352F">
        <w:rPr>
          <w:sz w:val="20"/>
          <w:lang w:val="fr-CA"/>
        </w:rPr>
        <w:tab/>
        <w:t xml:space="preserve">Les termes « abandonner », « exposer » et « volontaire » supposent tous que la faute doit être appréciée subjectivement.  Les deux premiers ne s’entendent pas seulement du fait qu’une personne laisse un enfant seul ou n’en prend pas soin, mais supposent qu’elle a aussi conscience du risque couru et, suivant la définition qui figure à l’art. 214 du </w:t>
      </w:r>
      <w:r w:rsidRPr="00DC352F">
        <w:rPr>
          <w:i/>
          <w:sz w:val="20"/>
          <w:lang w:val="fr-CA"/>
        </w:rPr>
        <w:t>Code criminel</w:t>
      </w:r>
      <w:r w:rsidRPr="00DC352F">
        <w:rPr>
          <w:sz w:val="20"/>
          <w:lang w:val="fr-CA"/>
        </w:rPr>
        <w:t>, qu’elle agit en étant consciente des conséquences de l’acte d’abandon ou d’exposition prohibé.  En ce qui concerne le mot « </w:t>
      </w:r>
      <w:proofErr w:type="spellStart"/>
      <w:r w:rsidRPr="00DC352F">
        <w:rPr>
          <w:i/>
          <w:sz w:val="20"/>
          <w:lang w:val="fr-CA"/>
        </w:rPr>
        <w:t>wilful</w:t>
      </w:r>
      <w:proofErr w:type="spellEnd"/>
      <w:r w:rsidRPr="00DC352F">
        <w:rPr>
          <w:sz w:val="20"/>
          <w:lang w:val="fr-CA"/>
        </w:rPr>
        <w:t> » employé dans la version anglaise, il ne figure que dans la définition non exhaustive des verbes « abandonner » et « exposer » pour qualifier l’omission, et l’omission qui peut être qualifiée de « </w:t>
      </w:r>
      <w:proofErr w:type="spellStart"/>
      <w:r w:rsidRPr="00DC352F">
        <w:rPr>
          <w:i/>
          <w:sz w:val="20"/>
          <w:lang w:val="fr-CA"/>
        </w:rPr>
        <w:t>wilful</w:t>
      </w:r>
      <w:proofErr w:type="spellEnd"/>
      <w:r w:rsidRPr="00DC352F">
        <w:rPr>
          <w:i/>
          <w:sz w:val="20"/>
          <w:lang w:val="fr-CA"/>
        </w:rPr>
        <w:t> »</w:t>
      </w:r>
      <w:r w:rsidRPr="00DC352F">
        <w:rPr>
          <w:sz w:val="20"/>
          <w:lang w:val="fr-CA"/>
        </w:rPr>
        <w:t xml:space="preserve"> est à l’antithèse du crime qui consiste seulement dans l’inobservation d’une norme de comportement minimale.  De même, l’emploi des mots « pouvant l’exposer » à l’art. 214 et « exposée à l’être » à l’art. 218 n’emporte pas l’application d’une norme objective pour établir l’élément de faute, son but étant seulement de criminaliser la création d’un risque.</w:t>
      </w:r>
    </w:p>
    <w:p w:rsidR="009A52C6" w:rsidRDefault="009A52C6" w:rsidP="009A52C6">
      <w:pPr>
        <w:pStyle w:val="SCCNormalDoubleSpacing"/>
        <w:spacing w:line="240" w:lineRule="auto"/>
        <w:rPr>
          <w:sz w:val="20"/>
          <w:lang w:val="fr-CA"/>
        </w:rPr>
      </w:pPr>
    </w:p>
    <w:p w:rsidR="009A52C6" w:rsidRPr="00DC352F" w:rsidRDefault="009A52C6" w:rsidP="009A52C6">
      <w:pPr>
        <w:pStyle w:val="SCCNormalDoubleSpacing"/>
        <w:spacing w:line="240" w:lineRule="auto"/>
        <w:rPr>
          <w:sz w:val="20"/>
          <w:lang w:val="fr-CA"/>
        </w:rPr>
      </w:pPr>
      <w:r w:rsidRPr="00DC352F">
        <w:rPr>
          <w:sz w:val="20"/>
          <w:lang w:val="fr-CA"/>
        </w:rPr>
        <w:tab/>
        <w:t xml:space="preserve">À l’inverse, l’absence de certains termes dans le libellé de l’art. 218 du </w:t>
      </w:r>
      <w:r w:rsidRPr="00DC352F">
        <w:rPr>
          <w:i/>
          <w:sz w:val="20"/>
          <w:lang w:val="fr-CA"/>
        </w:rPr>
        <w:t>Code</w:t>
      </w:r>
      <w:r w:rsidRPr="00DC352F">
        <w:rPr>
          <w:sz w:val="20"/>
          <w:lang w:val="fr-CA"/>
        </w:rPr>
        <w:t xml:space="preserve"> </w:t>
      </w:r>
      <w:r w:rsidRPr="00DC352F">
        <w:rPr>
          <w:i/>
          <w:sz w:val="20"/>
          <w:lang w:val="fr-CA"/>
        </w:rPr>
        <w:t>criminel</w:t>
      </w:r>
      <w:r w:rsidRPr="00DC352F">
        <w:rPr>
          <w:sz w:val="20"/>
          <w:lang w:val="fr-CA"/>
        </w:rPr>
        <w:t xml:space="preserve"> et dans le régime législatif auquel il appartient tend sérieusement à indiquer que la faute doit être prouvée selon une norme subjective.  Le libellé de la disposition relative à l’abandon d’enfant ne renferme aucun des termes dont se sert habituellement le législateur pour créer une infraction dont la perpétration exige une faute objective.  L’interdiction est faite à quiconque, et non seulement à un groupe donné se livrant à une activité réglementée ou ayant un lien précis et défini avec la victime alléguée.  Aucun élément du libellé ne donne à penser que le législateur a voulu imposer une norme de diligence minimale d’application uniforme.  Nulle mention n’est faite d’un comportement « dangereux », « négligent » ou « raisonnable », ou de l’obligation de prendre des « précautions raisonnables ».  Il n’y a pas d’infraction </w:t>
      </w:r>
      <w:proofErr w:type="spellStart"/>
      <w:r w:rsidRPr="00DC352F">
        <w:rPr>
          <w:sz w:val="20"/>
          <w:lang w:val="fr-CA"/>
        </w:rPr>
        <w:t>sous</w:t>
      </w:r>
      <w:r w:rsidRPr="00DC352F">
        <w:rPr>
          <w:sz w:val="20"/>
          <w:lang w:val="fr-CA"/>
        </w:rPr>
        <w:noBreakHyphen/>
        <w:t>jacente</w:t>
      </w:r>
      <w:proofErr w:type="spellEnd"/>
      <w:r w:rsidRPr="00DC352F">
        <w:rPr>
          <w:sz w:val="20"/>
          <w:lang w:val="fr-CA"/>
        </w:rPr>
        <w:t xml:space="preserve">, et nul préjudice réel n’est requis.  La disposition ne crée, ne définit et n’impose rien </w:t>
      </w:r>
      <w:proofErr w:type="spellStart"/>
      <w:r w:rsidRPr="00DC352F">
        <w:rPr>
          <w:sz w:val="20"/>
          <w:lang w:val="fr-CA"/>
        </w:rPr>
        <w:t>au</w:t>
      </w:r>
      <w:r w:rsidRPr="00DC352F">
        <w:rPr>
          <w:sz w:val="20"/>
          <w:lang w:val="fr-CA"/>
        </w:rPr>
        <w:noBreakHyphen/>
        <w:t>delà</w:t>
      </w:r>
      <w:proofErr w:type="spellEnd"/>
      <w:r w:rsidRPr="00DC352F">
        <w:rPr>
          <w:sz w:val="20"/>
          <w:lang w:val="fr-CA"/>
        </w:rPr>
        <w:t xml:space="preserve"> de l’obligation, commune à toutes les infractions criminelles, de ne pas commettre l’acte prohibé.  Si l’essence même de l’infraction créée à l’art. 215 réside dans l’omission d’une personne de remplir l’obligation qui lui incombe légalement </w:t>
      </w:r>
      <w:proofErr w:type="spellStart"/>
      <w:r w:rsidRPr="00DC352F">
        <w:rPr>
          <w:sz w:val="20"/>
          <w:lang w:val="fr-CA"/>
        </w:rPr>
        <w:t>vis</w:t>
      </w:r>
      <w:r w:rsidRPr="00DC352F">
        <w:rPr>
          <w:sz w:val="20"/>
          <w:lang w:val="fr-CA"/>
        </w:rPr>
        <w:noBreakHyphen/>
        <w:t>à</w:t>
      </w:r>
      <w:r w:rsidRPr="00DC352F">
        <w:rPr>
          <w:sz w:val="20"/>
          <w:lang w:val="fr-CA"/>
        </w:rPr>
        <w:noBreakHyphen/>
        <w:t>vis</w:t>
      </w:r>
      <w:proofErr w:type="spellEnd"/>
      <w:r w:rsidRPr="00DC352F">
        <w:rPr>
          <w:sz w:val="20"/>
          <w:lang w:val="fr-CA"/>
        </w:rPr>
        <w:t xml:space="preserve"> d’une personne ayant un lien particulier avec elle, ce n’est pas du tout le cas de l’infraction d’abandon d’enfant que prévoit l’art. 218. </w:t>
      </w:r>
    </w:p>
    <w:p w:rsidR="009A52C6" w:rsidRDefault="009A52C6" w:rsidP="009A52C6">
      <w:pPr>
        <w:pStyle w:val="SCCNormalDoubleSpacing"/>
        <w:spacing w:line="240" w:lineRule="auto"/>
        <w:rPr>
          <w:sz w:val="20"/>
          <w:lang w:val="fr-CA"/>
        </w:rPr>
      </w:pPr>
    </w:p>
    <w:p w:rsidR="009A52C6" w:rsidRPr="00DC352F" w:rsidRDefault="009A52C6" w:rsidP="009A52C6">
      <w:pPr>
        <w:pStyle w:val="SCCNormalDoubleSpacing"/>
        <w:spacing w:line="240" w:lineRule="auto"/>
        <w:rPr>
          <w:sz w:val="20"/>
          <w:lang w:val="fr-CA"/>
        </w:rPr>
      </w:pPr>
      <w:r w:rsidRPr="00DC352F">
        <w:rPr>
          <w:sz w:val="20"/>
          <w:lang w:val="fr-CA"/>
        </w:rPr>
        <w:tab/>
        <w:t xml:space="preserve">Le libellé, le contexte et l’objet de l’art. 218 du </w:t>
      </w:r>
      <w:r w:rsidRPr="00DC352F">
        <w:rPr>
          <w:i/>
          <w:sz w:val="20"/>
          <w:lang w:val="fr-CA"/>
        </w:rPr>
        <w:t xml:space="preserve">Code criminel </w:t>
      </w:r>
      <w:r w:rsidRPr="00DC352F">
        <w:rPr>
          <w:sz w:val="20"/>
          <w:lang w:val="fr-CA"/>
        </w:rPr>
        <w:t xml:space="preserve">militent en faveur du caractère subjectif de la faute requise, de sorte que le juge du procès n’a pas eu tort d’acquitter l’intimée au motif qu’une telle faute n’avait pas été prouvée.  La Cour d’appel a eu raison de confirmer l’acquittement.  </w:t>
      </w:r>
    </w:p>
    <w:p w:rsidR="009A52C6" w:rsidRDefault="009A52C6" w:rsidP="009A52C6">
      <w:pPr>
        <w:pStyle w:val="SCCNormalDoubleSpacing"/>
        <w:spacing w:line="240" w:lineRule="auto"/>
        <w:rPr>
          <w:sz w:val="20"/>
          <w:lang w:val="fr-CA"/>
        </w:rPr>
      </w:pPr>
    </w:p>
    <w:p w:rsidR="009A52C6" w:rsidRPr="00DC352F" w:rsidRDefault="009A52C6" w:rsidP="009A52C6">
      <w:pPr>
        <w:pStyle w:val="SCCNormalDoubleSpacing"/>
        <w:spacing w:line="240" w:lineRule="auto"/>
        <w:rPr>
          <w:sz w:val="20"/>
          <w:lang w:val="fr-FR"/>
        </w:rPr>
      </w:pPr>
      <w:r w:rsidRPr="00DC352F">
        <w:rPr>
          <w:sz w:val="20"/>
          <w:lang w:val="fr-CA"/>
        </w:rPr>
        <w:tab/>
      </w:r>
      <w:r w:rsidRPr="00DC352F">
        <w:rPr>
          <w:i/>
          <w:sz w:val="20"/>
          <w:lang w:val="fr-CA"/>
        </w:rPr>
        <w:t>Les</w:t>
      </w:r>
      <w:r w:rsidRPr="00DC352F">
        <w:rPr>
          <w:sz w:val="20"/>
          <w:lang w:val="fr-CA"/>
        </w:rPr>
        <w:t xml:space="preserve"> juges </w:t>
      </w:r>
      <w:proofErr w:type="spellStart"/>
      <w:r w:rsidRPr="00DC352F">
        <w:rPr>
          <w:sz w:val="20"/>
          <w:lang w:val="fr-CA"/>
        </w:rPr>
        <w:t>Rothstein</w:t>
      </w:r>
      <w:proofErr w:type="spellEnd"/>
      <w:r w:rsidRPr="00DC352F">
        <w:rPr>
          <w:sz w:val="20"/>
          <w:lang w:val="fr-CA"/>
        </w:rPr>
        <w:t xml:space="preserve"> et </w:t>
      </w:r>
      <w:r w:rsidRPr="00DC352F">
        <w:rPr>
          <w:b/>
          <w:sz w:val="20"/>
          <w:lang w:val="fr-CA"/>
        </w:rPr>
        <w:t>Moldaver</w:t>
      </w:r>
      <w:r w:rsidRPr="00DC352F">
        <w:rPr>
          <w:sz w:val="20"/>
          <w:lang w:val="fr-CA"/>
        </w:rPr>
        <w:t xml:space="preserve"> : </w:t>
      </w:r>
      <w:r w:rsidRPr="00DC352F">
        <w:rPr>
          <w:sz w:val="20"/>
          <w:lang w:val="fr-FR"/>
        </w:rPr>
        <w:t xml:space="preserve">L’article 218 a pour objet la protection des enfants.  Il vise trois catégories de personnes dans la situation où un enfant de moins de 10 ans court ou est susceptible de courir le risque de mourir ou de subir un préjudice permanent.  Il appert d’une démarche axée sur le bon sens que l’infraction est fondée sur une obligation et que la négligence pénale correspond au degré de faute requis pour établir la culpabilité à l’égard des conséquences prohibées.  Le libellé de la disposition, son emplacement dans le </w:t>
      </w:r>
      <w:r w:rsidRPr="00DC352F">
        <w:rPr>
          <w:i/>
          <w:sz w:val="20"/>
          <w:lang w:val="fr-FR"/>
        </w:rPr>
        <w:t>Code criminel</w:t>
      </w:r>
      <w:r w:rsidRPr="00DC352F">
        <w:rPr>
          <w:sz w:val="20"/>
          <w:lang w:val="fr-FR"/>
        </w:rPr>
        <w:t>, les articles de doctrine s’y rapportant, son évolution et son historique, ainsi que la gravité du crime qu’elle prévoit et la stigmatisation sociale qui y est associée appuient cette conclusion.</w:t>
      </w:r>
    </w:p>
    <w:p w:rsidR="009A52C6" w:rsidRDefault="009A52C6" w:rsidP="009A52C6">
      <w:pPr>
        <w:pStyle w:val="SCCNormalDoubleSpacing"/>
        <w:spacing w:line="240" w:lineRule="auto"/>
        <w:rPr>
          <w:sz w:val="20"/>
          <w:lang w:val="fr-CA"/>
        </w:rPr>
      </w:pPr>
    </w:p>
    <w:p w:rsidR="009A52C6" w:rsidRPr="00DC352F" w:rsidRDefault="009A52C6" w:rsidP="009A52C6">
      <w:pPr>
        <w:pStyle w:val="SCCNormalDoubleSpacing"/>
        <w:spacing w:line="240" w:lineRule="auto"/>
        <w:rPr>
          <w:sz w:val="20"/>
          <w:lang w:val="fr-FR"/>
        </w:rPr>
      </w:pPr>
      <w:r w:rsidRPr="00DC352F">
        <w:rPr>
          <w:sz w:val="20"/>
          <w:lang w:val="fr-CA"/>
        </w:rPr>
        <w:tab/>
        <w:t>Une fois qu’on reconnaît que, en adoptant l’art. 218, le législateur a voulu</w:t>
      </w:r>
      <w:r w:rsidRPr="00DC352F">
        <w:rPr>
          <w:sz w:val="20"/>
          <w:lang w:val="fr-FR"/>
        </w:rPr>
        <w:t xml:space="preserve"> prévenir le comportement dangereux qui, aux yeux de toute personne raisonnable, est susceptible de mettre la vie d’un enfant en danger ou d’exposer l’enfant à un préjudice permanent, le bon sens veut que le législateur n’ait pas voulu mettre à la disposition de l’accusé une multitude de moyens de défense fondés sur ses caractéristiques personnelles.  En effet, une telle mesure irait à l’encontre de l’objectif de la disposition qui consiste à établir une norme de conduite minimale applicable à tous, étant donné qu’une infraction pour laquelle la faute doit être prouvée subjectivement emporte la prise en compte des caractéristiques personnelles qui sont de nature à établir l’existence ou l’inexistence d’un élément de l’infraction.</w:t>
      </w:r>
    </w:p>
    <w:p w:rsidR="009A52C6" w:rsidRDefault="009A52C6" w:rsidP="009A52C6">
      <w:pPr>
        <w:pStyle w:val="SCCNormalDoubleSpacing"/>
        <w:spacing w:line="240" w:lineRule="auto"/>
        <w:rPr>
          <w:sz w:val="20"/>
          <w:lang w:val="fr-FR"/>
        </w:rPr>
      </w:pPr>
    </w:p>
    <w:p w:rsidR="009A52C6" w:rsidRPr="00DC352F" w:rsidRDefault="009A52C6" w:rsidP="009A52C6">
      <w:pPr>
        <w:pStyle w:val="SCCNormalDoubleSpacing"/>
        <w:spacing w:line="240" w:lineRule="auto"/>
        <w:rPr>
          <w:sz w:val="20"/>
          <w:lang w:val="fr-FR"/>
        </w:rPr>
      </w:pPr>
      <w:r w:rsidRPr="00DC352F">
        <w:rPr>
          <w:sz w:val="20"/>
          <w:lang w:val="fr-FR"/>
        </w:rPr>
        <w:tab/>
        <w:t xml:space="preserve">Reconnaître que des personnes déjà tenues de protéger l’enfant tombent sous le coup de l’art. 218 fait ressortir la principale faille de la conclusion selon laquelle chacun des éléments constitutifs de l’infraction requiert une </w:t>
      </w:r>
      <w:r w:rsidRPr="00DC352F">
        <w:rPr>
          <w:i/>
          <w:sz w:val="20"/>
          <w:lang w:val="fr-FR"/>
        </w:rPr>
        <w:t xml:space="preserve">mens </w:t>
      </w:r>
      <w:proofErr w:type="spellStart"/>
      <w:r w:rsidRPr="00DC352F">
        <w:rPr>
          <w:i/>
          <w:sz w:val="20"/>
          <w:lang w:val="fr-FR"/>
        </w:rPr>
        <w:t>rea</w:t>
      </w:r>
      <w:proofErr w:type="spellEnd"/>
      <w:r w:rsidRPr="00DC352F">
        <w:rPr>
          <w:i/>
          <w:sz w:val="20"/>
          <w:lang w:val="fr-FR"/>
        </w:rPr>
        <w:t xml:space="preserve"> </w:t>
      </w:r>
      <w:r w:rsidRPr="00DC352F">
        <w:rPr>
          <w:sz w:val="20"/>
          <w:lang w:val="fr-FR"/>
        </w:rPr>
        <w:t>subjective.  Si la plupart des personnes ciblées par la disposition ont l’obligation légale, à la fois préexistante et permanente, de prendre soin d’un enfant de moins de 10 ans, il ne semble guère raisonnable d’apprécier leur intention (</w:t>
      </w:r>
      <w:r w:rsidRPr="00DC352F">
        <w:rPr>
          <w:i/>
          <w:sz w:val="20"/>
          <w:lang w:val="fr-FR"/>
        </w:rPr>
        <w:t xml:space="preserve">mens </w:t>
      </w:r>
      <w:proofErr w:type="spellStart"/>
      <w:r w:rsidRPr="00DC352F">
        <w:rPr>
          <w:i/>
          <w:sz w:val="20"/>
          <w:lang w:val="fr-FR"/>
        </w:rPr>
        <w:t>rea</w:t>
      </w:r>
      <w:proofErr w:type="spellEnd"/>
      <w:r w:rsidRPr="00DC352F">
        <w:rPr>
          <w:sz w:val="20"/>
          <w:lang w:val="fr-FR"/>
        </w:rPr>
        <w:t>) au regard d’une norme de preuve</w:t>
      </w:r>
      <w:r w:rsidRPr="00DC352F">
        <w:rPr>
          <w:i/>
          <w:sz w:val="20"/>
          <w:lang w:val="fr-FR"/>
        </w:rPr>
        <w:t xml:space="preserve"> </w:t>
      </w:r>
      <w:r w:rsidRPr="00DC352F">
        <w:rPr>
          <w:sz w:val="20"/>
          <w:lang w:val="fr-FR"/>
        </w:rPr>
        <w:t xml:space="preserve">subjective alors que, pour les besoins d’une disposition voisine créant une infraction fondée sur une obligation (l’art. 215, omission de fournir les choses nécessaires à l’existence), elles sont soumises à la norme de la négligence pénale suivant l’arrêt </w:t>
      </w:r>
      <w:r w:rsidRPr="00DC352F">
        <w:rPr>
          <w:i/>
          <w:sz w:val="20"/>
          <w:lang w:val="fr-FR"/>
        </w:rPr>
        <w:t>R. c.</w:t>
      </w:r>
      <w:r w:rsidRPr="00DC352F">
        <w:rPr>
          <w:sz w:val="20"/>
          <w:lang w:val="fr-FR"/>
        </w:rPr>
        <w:t xml:space="preserve"> </w:t>
      </w:r>
      <w:proofErr w:type="spellStart"/>
      <w:r w:rsidRPr="00DC352F">
        <w:rPr>
          <w:i/>
          <w:sz w:val="20"/>
          <w:lang w:val="fr-FR"/>
        </w:rPr>
        <w:t>Naglik</w:t>
      </w:r>
      <w:proofErr w:type="spellEnd"/>
      <w:r w:rsidRPr="00DC352F">
        <w:rPr>
          <w:sz w:val="20"/>
          <w:lang w:val="fr-FR"/>
        </w:rPr>
        <w:t>, [1993] 3 R.C.S. 122.  Deux normes s’appliqueraient dès lors, l’une objective sous le régime de l’art. 215, et l’autre subjective sous le régime de l’art. 218, deux dispositions dont l’objet est similaire, voire identique.</w:t>
      </w:r>
    </w:p>
    <w:p w:rsidR="009A52C6" w:rsidRDefault="009A52C6" w:rsidP="009A52C6">
      <w:pPr>
        <w:pStyle w:val="SCCNormalDoubleSpacing"/>
        <w:spacing w:line="240" w:lineRule="auto"/>
        <w:rPr>
          <w:sz w:val="20"/>
          <w:lang w:val="fr-FR"/>
        </w:rPr>
      </w:pPr>
    </w:p>
    <w:p w:rsidR="009A52C6" w:rsidRPr="00DC352F" w:rsidRDefault="009A52C6" w:rsidP="009A52C6">
      <w:pPr>
        <w:pStyle w:val="SCCNormalDoubleSpacing"/>
        <w:spacing w:line="240" w:lineRule="auto"/>
        <w:rPr>
          <w:sz w:val="20"/>
          <w:lang w:val="fr-FR"/>
        </w:rPr>
      </w:pPr>
      <w:r w:rsidRPr="00DC352F">
        <w:rPr>
          <w:sz w:val="20"/>
          <w:lang w:val="fr-FR"/>
        </w:rPr>
        <w:tab/>
        <w:t xml:space="preserve">L’article 218 peut recevoir une interprétation téléologique et harmonieuse de manière à ne s’appliquer qu’aux personnes ayant une obligation, qu’elle soit préexistante et permanente ou qu’elle découle de certaines situations, de protéger un enfant de moins de 10 ans contre le risque de décès ou de préjudice permanent.  Toutes ces personnes sont alors dûment soumises à une norme objective en ce qui concerne les conséquences prohibées à l’art. 218.  La définition de l’art. 214 ne devrait viser que trois catégories de personnes : (1) celle qui a l’obligation légale, à la fois préexistante et permanente, de prendre soin de l’enfant, (2) celle qui décide de venir en aide à l’enfant qui court ou qui est susceptible de courir le risque de mourir ou de subir un préjudice permanent et (3) celle qui est à l’origine de cette situation.  Pareille interprétation de l’art. 218 répond en bonne partie aux craintes liées à la grande portée de la responsabilité criminelle susceptible de découler de cette disposition. </w:t>
      </w:r>
    </w:p>
    <w:p w:rsidR="009A52C6" w:rsidRDefault="009A52C6" w:rsidP="009A52C6">
      <w:pPr>
        <w:pStyle w:val="SCCNormalDoubleSpacing"/>
        <w:spacing w:line="240" w:lineRule="auto"/>
        <w:rPr>
          <w:sz w:val="20"/>
          <w:lang w:val="fr-FR"/>
        </w:rPr>
      </w:pPr>
    </w:p>
    <w:p w:rsidR="009A52C6" w:rsidRPr="00DC352F" w:rsidRDefault="009A52C6" w:rsidP="009A52C6">
      <w:pPr>
        <w:pStyle w:val="SCCNormalDoubleSpacing"/>
        <w:spacing w:line="240" w:lineRule="auto"/>
        <w:rPr>
          <w:sz w:val="20"/>
          <w:lang w:val="fr-FR"/>
        </w:rPr>
      </w:pPr>
      <w:r w:rsidRPr="00DC352F">
        <w:rPr>
          <w:sz w:val="20"/>
          <w:lang w:val="fr-FR"/>
        </w:rPr>
        <w:tab/>
        <w:t xml:space="preserve">L’article 218 se trouve à la partie VIII du </w:t>
      </w:r>
      <w:r w:rsidRPr="00DC352F">
        <w:rPr>
          <w:i/>
          <w:sz w:val="20"/>
          <w:lang w:val="fr-FR"/>
        </w:rPr>
        <w:t>Code criminel</w:t>
      </w:r>
      <w:r w:rsidRPr="00DC352F">
        <w:rPr>
          <w:sz w:val="20"/>
          <w:lang w:val="fr-FR"/>
        </w:rPr>
        <w:t xml:space="preserve"> sous la rubrique « Devoirs tendant à la conservation de la vie ».  Il prévoit l’une des deux infractions figurant sous cette rubrique, l’autre étant celle créée à l’art. 215.  L’emplacement de l’art. 218 milite jusqu’à un certain point en faveur de l’intention du législateur d’y créer une infraction fondée sur une obligation.  Il paraît donc inhabituel que le législateur insère une infraction non fondée sur une obligation à la suite de dispositions qui se rapportent toutes à des obligations.  L’idée paraît d’autant plus insolite que l’art. 218 vise la conduite intrinsèquement dangereuse qui met en danger la vie et la sécurité de jeunes enfants sans défense, ou les expose à un tel risque, le genre même de situation qui exige l’établissement d’une norme de conduite minimale applicable à tous et appelle le recours à une norme de faute fondée sur la prévisibilité objective.  Aussi, le texte même de l’art. 218, étayé par le rôle des obligations découlant de certaines situations en droit criminel canadien, la présence de cet article parmi d’autres dispositions du </w:t>
      </w:r>
      <w:r w:rsidRPr="00DC352F">
        <w:rPr>
          <w:i/>
          <w:sz w:val="20"/>
          <w:lang w:val="fr-FR"/>
        </w:rPr>
        <w:t xml:space="preserve">Code criminel </w:t>
      </w:r>
      <w:r w:rsidRPr="00DC352F">
        <w:rPr>
          <w:sz w:val="20"/>
          <w:lang w:val="fr-FR"/>
        </w:rPr>
        <w:t>qui créent des infractions fondées sur une obligation et les articles de doctrine portant sur l’art. 218, mène à la conclusion que l’infraction d’abandon d’enfant est fondée sur une obligation.</w:t>
      </w:r>
    </w:p>
    <w:p w:rsidR="009A52C6" w:rsidRDefault="009A52C6" w:rsidP="009A52C6">
      <w:pPr>
        <w:pStyle w:val="SCCNormalDoubleSpacing"/>
        <w:spacing w:line="240" w:lineRule="auto"/>
        <w:rPr>
          <w:sz w:val="20"/>
          <w:lang w:val="fr-FR"/>
        </w:rPr>
      </w:pPr>
    </w:p>
    <w:p w:rsidR="009A52C6" w:rsidRPr="00DC352F" w:rsidRDefault="009A52C6" w:rsidP="009A52C6">
      <w:pPr>
        <w:pStyle w:val="SCCNormalDoubleSpacing"/>
        <w:spacing w:line="240" w:lineRule="auto"/>
        <w:rPr>
          <w:sz w:val="20"/>
          <w:lang w:val="fr-FR"/>
        </w:rPr>
      </w:pPr>
      <w:r w:rsidRPr="00DC352F">
        <w:rPr>
          <w:sz w:val="20"/>
          <w:lang w:val="fr-FR"/>
        </w:rPr>
        <w:tab/>
        <w:t xml:space="preserve">L’historique de l’art. 218 étaye la conclusion que la négligence pénale correspond à l’élément de faute requis pour la perpétration de l’infraction.  La disposition n’a jamais renfermé de termes propres à une intention subjective, comme le confirment les premières interprétations anglaises de la disposition créant l’infraction.  En outre, ni la stigmatisation sociale liée à l’infraction d’abandon d’enfant, ni la gravité de </w:t>
      </w:r>
      <w:proofErr w:type="spellStart"/>
      <w:r w:rsidRPr="00DC352F">
        <w:rPr>
          <w:sz w:val="20"/>
          <w:lang w:val="fr-FR"/>
        </w:rPr>
        <w:t>celle</w:t>
      </w:r>
      <w:r w:rsidRPr="00DC352F">
        <w:rPr>
          <w:sz w:val="20"/>
          <w:lang w:val="fr-FR"/>
        </w:rPr>
        <w:noBreakHyphen/>
        <w:t>ci</w:t>
      </w:r>
      <w:proofErr w:type="spellEnd"/>
      <w:r w:rsidRPr="00DC352F">
        <w:rPr>
          <w:sz w:val="20"/>
          <w:lang w:val="fr-FR"/>
        </w:rPr>
        <w:t xml:space="preserve"> ne justifient de considérer différemment l’art. 218 de sa disposition apparentée, l’art. 215 (omission de fournir les choses nécessaires à l’existence) lorsque la négligence pénale est tenue pour l’élément de faute requis. </w:t>
      </w:r>
    </w:p>
    <w:p w:rsidR="009A52C6" w:rsidRDefault="009A52C6" w:rsidP="009A52C6">
      <w:pPr>
        <w:pStyle w:val="SCCNormalDoubleSpacing"/>
        <w:spacing w:line="240" w:lineRule="auto"/>
        <w:rPr>
          <w:sz w:val="20"/>
          <w:lang w:val="fr-FR"/>
        </w:rPr>
      </w:pPr>
    </w:p>
    <w:p w:rsidR="009A52C6" w:rsidRDefault="009A52C6" w:rsidP="009A52C6">
      <w:pPr>
        <w:pStyle w:val="SCCNormalDoubleSpacing"/>
        <w:spacing w:line="240" w:lineRule="auto"/>
        <w:rPr>
          <w:sz w:val="20"/>
          <w:lang w:val="fr-CA"/>
        </w:rPr>
      </w:pPr>
      <w:r w:rsidRPr="00DC352F">
        <w:rPr>
          <w:sz w:val="20"/>
          <w:lang w:val="fr-FR"/>
        </w:rPr>
        <w:tab/>
        <w:t xml:space="preserve">Suivant la norme de la négligence pénale, une </w:t>
      </w:r>
      <w:r w:rsidRPr="00DC352F">
        <w:rPr>
          <w:sz w:val="20"/>
          <w:lang w:val="fr-CA"/>
        </w:rPr>
        <w:t xml:space="preserve">erreur de fait commise de bonne foi et de manière raisonnable peut constituer un moyen de défense suffisant.  Dès lors, l’application d’une </w:t>
      </w:r>
      <w:r w:rsidRPr="00DC352F">
        <w:rPr>
          <w:i/>
          <w:sz w:val="20"/>
          <w:lang w:val="fr-CA"/>
        </w:rPr>
        <w:t xml:space="preserve">mens </w:t>
      </w:r>
      <w:proofErr w:type="spellStart"/>
      <w:r w:rsidRPr="00DC352F">
        <w:rPr>
          <w:i/>
          <w:sz w:val="20"/>
          <w:lang w:val="fr-CA"/>
        </w:rPr>
        <w:t>rea</w:t>
      </w:r>
      <w:proofErr w:type="spellEnd"/>
      <w:r w:rsidRPr="00DC352F">
        <w:rPr>
          <w:i/>
          <w:sz w:val="20"/>
          <w:lang w:val="fr-CA"/>
        </w:rPr>
        <w:t xml:space="preserve"> </w:t>
      </w:r>
      <w:r w:rsidRPr="00DC352F">
        <w:rPr>
          <w:sz w:val="20"/>
          <w:lang w:val="fr-CA"/>
        </w:rPr>
        <w:t xml:space="preserve">objective n’a pas pour effet de punir la personne moralement innocente.  Dans la présente affaire, le juge du procès a estimé que l’intimée avait sincèrement cru son enfant </w:t>
      </w:r>
      <w:proofErr w:type="spellStart"/>
      <w:r w:rsidRPr="00DC352F">
        <w:rPr>
          <w:sz w:val="20"/>
          <w:lang w:val="fr-CA"/>
        </w:rPr>
        <w:t>mort</w:t>
      </w:r>
      <w:r w:rsidRPr="00DC352F">
        <w:rPr>
          <w:sz w:val="20"/>
          <w:lang w:val="fr-CA"/>
        </w:rPr>
        <w:noBreakHyphen/>
        <w:t>né</w:t>
      </w:r>
      <w:proofErr w:type="spellEnd"/>
      <w:r w:rsidRPr="00DC352F">
        <w:rPr>
          <w:sz w:val="20"/>
          <w:lang w:val="fr-CA"/>
        </w:rPr>
        <w:t xml:space="preserve"> et que cette croyance était raisonnable sur le plan objectif.  Il l’a donc acquittée sur le fondement d’une erreur commise de bonne foi et de manière raisonnable.</w:t>
      </w:r>
    </w:p>
    <w:p w:rsidR="009A52C6" w:rsidRDefault="009A52C6" w:rsidP="009A52C6">
      <w:pPr>
        <w:pStyle w:val="SCCNormalDoubleSpacing"/>
        <w:spacing w:line="240" w:lineRule="auto"/>
        <w:rPr>
          <w:sz w:val="20"/>
          <w:lang w:val="fr-CA"/>
        </w:rPr>
      </w:pPr>
    </w:p>
    <w:p w:rsidR="009A52C6" w:rsidRPr="00DC352F" w:rsidRDefault="009A52C6" w:rsidP="009A52C6">
      <w:pPr>
        <w:pStyle w:val="SCCNormalDoubleSpacing"/>
        <w:spacing w:line="240" w:lineRule="auto"/>
        <w:rPr>
          <w:sz w:val="20"/>
          <w:lang w:val="fr-CA"/>
        </w:rPr>
      </w:pPr>
      <w:r w:rsidRPr="009A52C6">
        <w:rPr>
          <w:sz w:val="20"/>
          <w:lang w:val="fr-CA"/>
        </w:rPr>
        <w:tab/>
        <w:t xml:space="preserve">POURVOI contre un arrêt de la Cour d’appel de la Saskatchewan (les juges Richards, Smith et </w:t>
      </w:r>
      <w:proofErr w:type="spellStart"/>
      <w:r w:rsidRPr="009A52C6">
        <w:rPr>
          <w:sz w:val="20"/>
          <w:lang w:val="fr-CA"/>
        </w:rPr>
        <w:t>Ottenbreit</w:t>
      </w:r>
      <w:proofErr w:type="spellEnd"/>
      <w:r w:rsidRPr="009A52C6">
        <w:rPr>
          <w:sz w:val="20"/>
          <w:lang w:val="fr-CA"/>
        </w:rPr>
        <w:t xml:space="preserve">), 2011 SKCA 6, 366 </w:t>
      </w:r>
      <w:proofErr w:type="spellStart"/>
      <w:r w:rsidRPr="009A52C6">
        <w:rPr>
          <w:sz w:val="20"/>
          <w:lang w:val="fr-CA"/>
        </w:rPr>
        <w:t>Sask</w:t>
      </w:r>
      <w:proofErr w:type="spellEnd"/>
      <w:r w:rsidRPr="009A52C6">
        <w:rPr>
          <w:sz w:val="20"/>
          <w:lang w:val="fr-CA"/>
        </w:rPr>
        <w:t xml:space="preserve">. R. 123, 266 C.C.C. (3d) 101, 81 C.R. (6th) 303, [2011] 6 W.W.R. 10, 506 W.A.C. 123, [2011] S.J. No. 5 (QL), 2011 </w:t>
      </w:r>
      <w:proofErr w:type="spellStart"/>
      <w:r w:rsidRPr="009A52C6">
        <w:rPr>
          <w:sz w:val="20"/>
          <w:lang w:val="fr-CA"/>
        </w:rPr>
        <w:t>CarswellSask</w:t>
      </w:r>
      <w:proofErr w:type="spellEnd"/>
      <w:r w:rsidRPr="009A52C6">
        <w:rPr>
          <w:sz w:val="20"/>
          <w:lang w:val="fr-CA"/>
        </w:rPr>
        <w:t xml:space="preserve"> 10, qui a confirmé l’acquittement prononcé par le juge </w:t>
      </w:r>
      <w:proofErr w:type="spellStart"/>
      <w:r w:rsidRPr="009A52C6">
        <w:rPr>
          <w:sz w:val="20"/>
          <w:lang w:val="fr-CA"/>
        </w:rPr>
        <w:t>Gabrielson</w:t>
      </w:r>
      <w:proofErr w:type="spellEnd"/>
      <w:r w:rsidRPr="009A52C6">
        <w:rPr>
          <w:sz w:val="20"/>
          <w:lang w:val="fr-CA"/>
        </w:rPr>
        <w:t xml:space="preserve">, 2009 SKQB 261, 335 </w:t>
      </w:r>
      <w:proofErr w:type="spellStart"/>
      <w:r w:rsidRPr="009A52C6">
        <w:rPr>
          <w:sz w:val="20"/>
          <w:lang w:val="fr-CA"/>
        </w:rPr>
        <w:t>Sask</w:t>
      </w:r>
      <w:proofErr w:type="spellEnd"/>
      <w:r w:rsidRPr="009A52C6">
        <w:rPr>
          <w:sz w:val="20"/>
          <w:lang w:val="fr-CA"/>
        </w:rPr>
        <w:t xml:space="preserve">. R. 173, 68 C.R. (6th) 74, [2009] S.J. No. 362 (QL), 2009 </w:t>
      </w:r>
      <w:proofErr w:type="spellStart"/>
      <w:r w:rsidRPr="009A52C6">
        <w:rPr>
          <w:sz w:val="20"/>
          <w:lang w:val="fr-CA"/>
        </w:rPr>
        <w:t>CarswellSask</w:t>
      </w:r>
      <w:proofErr w:type="spellEnd"/>
      <w:r w:rsidRPr="009A52C6">
        <w:rPr>
          <w:sz w:val="20"/>
          <w:lang w:val="fr-CA"/>
        </w:rPr>
        <w:t xml:space="preserve"> 388.  </w:t>
      </w:r>
      <w:r w:rsidRPr="00DC352F">
        <w:rPr>
          <w:sz w:val="20"/>
          <w:lang w:val="fr-CA"/>
        </w:rPr>
        <w:t>Pourvoi rejeté.</w:t>
      </w:r>
    </w:p>
    <w:p w:rsidR="009A52C6" w:rsidRDefault="009A52C6" w:rsidP="009A52C6">
      <w:pPr>
        <w:pStyle w:val="SCCNormalDoubleSpacing"/>
        <w:spacing w:line="240" w:lineRule="auto"/>
        <w:rPr>
          <w:rStyle w:val="SCCCounselNameChar"/>
          <w:i w:val="0"/>
          <w:sz w:val="20"/>
          <w:lang w:val="fr-CA"/>
        </w:rPr>
      </w:pPr>
    </w:p>
    <w:p w:rsidR="009A52C6" w:rsidRPr="00DC352F" w:rsidRDefault="009A52C6" w:rsidP="009A52C6">
      <w:pPr>
        <w:pStyle w:val="SCCNormalDoubleSpacing"/>
        <w:spacing w:line="240" w:lineRule="auto"/>
        <w:rPr>
          <w:sz w:val="20"/>
          <w:lang w:val="fr-CA"/>
        </w:rPr>
      </w:pPr>
      <w:r w:rsidRPr="00DC352F">
        <w:rPr>
          <w:rStyle w:val="SCCCounselNameChar"/>
          <w:sz w:val="20"/>
          <w:lang w:val="fr-CA"/>
        </w:rPr>
        <w:tab/>
        <w:t>Beverly L. Klatt</w:t>
      </w:r>
      <w:r w:rsidRPr="00DC352F">
        <w:rPr>
          <w:rStyle w:val="SCCCounselSeparatorChar"/>
          <w:sz w:val="20"/>
        </w:rPr>
        <w:t xml:space="preserve"> et </w:t>
      </w:r>
      <w:r w:rsidRPr="00DC352F">
        <w:rPr>
          <w:rStyle w:val="SCCCounselNameChar"/>
          <w:sz w:val="20"/>
          <w:lang w:val="fr-CA"/>
        </w:rPr>
        <w:t>W. Dean Sinclair</w:t>
      </w:r>
      <w:r w:rsidRPr="00DC352F">
        <w:rPr>
          <w:rStyle w:val="SCCCounselPartyRoleChar"/>
          <w:sz w:val="20"/>
          <w:lang w:val="fr-CA"/>
        </w:rPr>
        <w:t>, pour l’appelante.</w:t>
      </w:r>
    </w:p>
    <w:p w:rsidR="009A52C6" w:rsidRDefault="009A52C6" w:rsidP="009A52C6">
      <w:pPr>
        <w:pStyle w:val="SCCNormalDoubleSpacing"/>
        <w:spacing w:line="240" w:lineRule="auto"/>
        <w:rPr>
          <w:rStyle w:val="SCCCounselNameChar"/>
          <w:i w:val="0"/>
          <w:sz w:val="20"/>
          <w:lang w:val="fr-CA"/>
        </w:rPr>
      </w:pPr>
    </w:p>
    <w:p w:rsidR="009A52C6" w:rsidRPr="00DC352F" w:rsidRDefault="009A52C6" w:rsidP="009A52C6">
      <w:pPr>
        <w:pStyle w:val="SCCNormalDoubleSpacing"/>
        <w:spacing w:line="240" w:lineRule="auto"/>
        <w:rPr>
          <w:sz w:val="20"/>
          <w:lang w:val="fr-CA"/>
        </w:rPr>
      </w:pPr>
      <w:r w:rsidRPr="00DC352F">
        <w:rPr>
          <w:rStyle w:val="SCCCounselNameChar"/>
          <w:sz w:val="20"/>
          <w:lang w:val="fr-CA"/>
        </w:rPr>
        <w:tab/>
        <w:t>Valerie N. Harvey</w:t>
      </w:r>
      <w:r w:rsidRPr="00DC352F">
        <w:rPr>
          <w:rStyle w:val="SCCCounselPartyRoleChar"/>
          <w:sz w:val="20"/>
          <w:lang w:val="fr-CA"/>
        </w:rPr>
        <w:t>, pour l’intimée.</w:t>
      </w:r>
    </w:p>
    <w:p w:rsidR="009A52C6" w:rsidRDefault="009A52C6" w:rsidP="009A52C6">
      <w:pPr>
        <w:pStyle w:val="SCCNormalDoubleSpacing"/>
        <w:spacing w:line="240" w:lineRule="auto"/>
        <w:rPr>
          <w:rStyle w:val="SCCCounselNameChar"/>
          <w:i w:val="0"/>
          <w:sz w:val="20"/>
          <w:lang w:val="fr-CA"/>
        </w:rPr>
      </w:pPr>
    </w:p>
    <w:p w:rsidR="009A52C6" w:rsidRPr="00DC352F" w:rsidRDefault="009A52C6" w:rsidP="009A52C6">
      <w:pPr>
        <w:pStyle w:val="SCCNormalDoubleSpacing"/>
        <w:spacing w:line="240" w:lineRule="auto"/>
        <w:rPr>
          <w:sz w:val="20"/>
          <w:lang w:val="fr-CA"/>
        </w:rPr>
      </w:pPr>
      <w:r w:rsidRPr="00DC352F">
        <w:rPr>
          <w:rStyle w:val="SCCCounselNameChar"/>
          <w:sz w:val="20"/>
          <w:lang w:val="fr-CA"/>
        </w:rPr>
        <w:tab/>
        <w:t>Gillian Roberts</w:t>
      </w:r>
      <w:r w:rsidRPr="00DC352F">
        <w:rPr>
          <w:rStyle w:val="SCCCounselSeparatorChar"/>
          <w:sz w:val="20"/>
        </w:rPr>
        <w:t xml:space="preserve"> et </w:t>
      </w:r>
      <w:r w:rsidRPr="00DC352F">
        <w:rPr>
          <w:rStyle w:val="SCCCounselNameChar"/>
          <w:sz w:val="20"/>
          <w:lang w:val="fr-CA"/>
        </w:rPr>
        <w:t xml:space="preserve">Jamie </w:t>
      </w:r>
      <w:proofErr w:type="spellStart"/>
      <w:r w:rsidRPr="00DC352F">
        <w:rPr>
          <w:rStyle w:val="SCCCounselNameChar"/>
          <w:sz w:val="20"/>
          <w:lang w:val="fr-CA"/>
        </w:rPr>
        <w:t>Klukach</w:t>
      </w:r>
      <w:proofErr w:type="spellEnd"/>
      <w:r w:rsidRPr="00DC352F">
        <w:rPr>
          <w:rStyle w:val="SCCCounselPartyRoleChar"/>
          <w:sz w:val="20"/>
          <w:lang w:val="fr-CA"/>
        </w:rPr>
        <w:t>, pour l’intervenant.</w:t>
      </w:r>
    </w:p>
    <w:p w:rsidR="009A52C6" w:rsidRDefault="009A52C6" w:rsidP="009A52C6">
      <w:pPr>
        <w:pStyle w:val="SCCLawFirm"/>
        <w:spacing w:line="240" w:lineRule="auto"/>
        <w:rPr>
          <w:sz w:val="20"/>
          <w:lang w:val="fr-CA"/>
        </w:rPr>
      </w:pPr>
    </w:p>
    <w:p w:rsidR="009A52C6" w:rsidRPr="00DC352F" w:rsidRDefault="009A52C6" w:rsidP="009A52C6">
      <w:pPr>
        <w:pStyle w:val="SCCLawFirm"/>
        <w:spacing w:line="240" w:lineRule="auto"/>
        <w:rPr>
          <w:sz w:val="20"/>
          <w:lang w:val="fr-CA"/>
        </w:rPr>
      </w:pPr>
      <w:r w:rsidRPr="00DC352F">
        <w:rPr>
          <w:sz w:val="20"/>
          <w:lang w:val="fr-CA"/>
        </w:rPr>
        <w:tab/>
        <w:t>Procureur de l’appelante : Procureur général de la Saskatchewan, Regina.</w:t>
      </w:r>
    </w:p>
    <w:p w:rsidR="009A52C6" w:rsidRDefault="009A52C6" w:rsidP="009A52C6">
      <w:pPr>
        <w:pStyle w:val="SCCLawFirm"/>
        <w:spacing w:line="240" w:lineRule="auto"/>
        <w:rPr>
          <w:sz w:val="20"/>
          <w:lang w:val="fr-CA"/>
        </w:rPr>
      </w:pPr>
    </w:p>
    <w:p w:rsidR="009A52C6" w:rsidRPr="00DC352F" w:rsidRDefault="009A52C6" w:rsidP="009A52C6">
      <w:pPr>
        <w:pStyle w:val="SCCLawFirm"/>
        <w:spacing w:line="240" w:lineRule="auto"/>
        <w:rPr>
          <w:sz w:val="20"/>
          <w:lang w:val="fr-CA"/>
        </w:rPr>
      </w:pPr>
      <w:r w:rsidRPr="00DC352F">
        <w:rPr>
          <w:sz w:val="20"/>
          <w:lang w:val="fr-CA"/>
        </w:rPr>
        <w:tab/>
        <w:t xml:space="preserve">Procureur de l’intimée : Saskatchewan </w:t>
      </w:r>
      <w:proofErr w:type="spellStart"/>
      <w:r w:rsidRPr="00DC352F">
        <w:rPr>
          <w:sz w:val="20"/>
          <w:lang w:val="fr-CA"/>
        </w:rPr>
        <w:t>Legal</w:t>
      </w:r>
      <w:proofErr w:type="spellEnd"/>
      <w:r w:rsidRPr="00DC352F">
        <w:rPr>
          <w:sz w:val="20"/>
          <w:lang w:val="fr-CA"/>
        </w:rPr>
        <w:t xml:space="preserve"> </w:t>
      </w:r>
      <w:proofErr w:type="spellStart"/>
      <w:r w:rsidRPr="00DC352F">
        <w:rPr>
          <w:sz w:val="20"/>
          <w:lang w:val="fr-CA"/>
        </w:rPr>
        <w:t>Aid</w:t>
      </w:r>
      <w:proofErr w:type="spellEnd"/>
      <w:r w:rsidRPr="00DC352F">
        <w:rPr>
          <w:sz w:val="20"/>
          <w:lang w:val="fr-CA"/>
        </w:rPr>
        <w:t xml:space="preserve"> Commission, Prince Albert.</w:t>
      </w:r>
    </w:p>
    <w:p w:rsidR="009A52C6" w:rsidRDefault="009A52C6" w:rsidP="009A52C6">
      <w:pPr>
        <w:pStyle w:val="SCCLawFirm"/>
        <w:spacing w:line="240" w:lineRule="auto"/>
        <w:rPr>
          <w:sz w:val="20"/>
          <w:lang w:val="fr-CA"/>
        </w:rPr>
      </w:pPr>
    </w:p>
    <w:p w:rsidR="009A52C6" w:rsidRDefault="009A52C6" w:rsidP="009A52C6">
      <w:pPr>
        <w:pStyle w:val="SCCLawFirm"/>
        <w:spacing w:line="240" w:lineRule="auto"/>
        <w:rPr>
          <w:sz w:val="20"/>
          <w:lang w:val="fr-CA"/>
        </w:rPr>
      </w:pPr>
      <w:r w:rsidRPr="00DC352F">
        <w:rPr>
          <w:sz w:val="20"/>
          <w:lang w:val="fr-CA"/>
        </w:rPr>
        <w:tab/>
        <w:t>Procureur de l’intervenant : Procureur général de l’Ontario, Toronto.</w:t>
      </w:r>
    </w:p>
    <w:p w:rsidR="003B3977" w:rsidRDefault="003B3977" w:rsidP="005C6840">
      <w:pPr>
        <w:rPr>
          <w:rFonts w:cs="Times New Roman"/>
          <w:sz w:val="20"/>
          <w:szCs w:val="20"/>
          <w:lang w:val="fr-CA"/>
        </w:rPr>
      </w:pPr>
    </w:p>
    <w:p w:rsidR="003B3977" w:rsidRDefault="0028676C" w:rsidP="005E60B4">
      <w:pPr>
        <w:rPr>
          <w:sz w:val="20"/>
          <w:szCs w:val="20"/>
        </w:rPr>
      </w:pPr>
      <w:r w:rsidRPr="0028676C">
        <w:rPr>
          <w:rFonts w:cs="Times New Roman"/>
          <w:sz w:val="20"/>
          <w:szCs w:val="20"/>
          <w:lang w:val="fr-CA"/>
        </w:rPr>
        <w:pict>
          <v:rect id="_x0000_i1120"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66"/>
          <w:headerReference w:type="default" r:id="rId67"/>
          <w:footerReference w:type="even" r:id="rId68"/>
          <w:footerReference w:type="default" r:id="rId69"/>
          <w:headerReference w:type="first" r:id="rId70"/>
          <w:footerReference w:type="first" r:id="rId71"/>
          <w:pgSz w:w="12240" w:h="15840"/>
          <w:pgMar w:top="720" w:right="965" w:bottom="1080" w:left="1656" w:header="576" w:footer="960" w:gutter="0"/>
          <w:cols w:space="720"/>
          <w:titlePg/>
          <w:docGrid w:linePitch="272"/>
        </w:sectPr>
      </w:pPr>
    </w:p>
    <w:p w:rsidR="00091FA6" w:rsidRPr="002E0C7E" w:rsidRDefault="0028676C"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180577">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80577">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80577">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80577">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80577">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180577">
            <w:pPr>
              <w:widowControl w:val="0"/>
              <w:jc w:val="center"/>
              <w:rPr>
                <w:rFonts w:ascii="Arial" w:hAnsi="Arial"/>
                <w:sz w:val="14"/>
              </w:rPr>
            </w:pPr>
            <w:r w:rsidRPr="002E0C7E">
              <w:rPr>
                <w:rFonts w:ascii="Arial" w:hAnsi="Arial"/>
                <w:b/>
                <w:sz w:val="14"/>
              </w:rPr>
              <w:t>DECEMBER - DÉCEMBRE</w:t>
            </w:r>
          </w:p>
        </w:tc>
      </w:tr>
      <w:tr w:rsidR="00091FA6" w:rsidRPr="002E0C7E" w:rsidTr="00180577">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S</w:t>
            </w:r>
          </w:p>
          <w:p w:rsidR="00091FA6" w:rsidRPr="002E0C7E" w:rsidRDefault="00091FA6" w:rsidP="00180577">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M</w:t>
            </w:r>
          </w:p>
          <w:p w:rsidR="00091FA6" w:rsidRPr="002E0C7E" w:rsidRDefault="00091FA6" w:rsidP="00180577">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T</w:t>
            </w:r>
          </w:p>
          <w:p w:rsidR="00091FA6" w:rsidRPr="002E0C7E" w:rsidRDefault="00091FA6" w:rsidP="0018057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W</w:t>
            </w:r>
          </w:p>
          <w:p w:rsidR="00091FA6" w:rsidRPr="002E0C7E" w:rsidRDefault="00091FA6" w:rsidP="00180577">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T</w:t>
            </w:r>
          </w:p>
          <w:p w:rsidR="00091FA6" w:rsidRPr="002E0C7E" w:rsidRDefault="00091FA6" w:rsidP="00180577">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F</w:t>
            </w:r>
          </w:p>
          <w:p w:rsidR="00091FA6" w:rsidRPr="002E0C7E" w:rsidRDefault="00091FA6" w:rsidP="00180577">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S</w:t>
            </w:r>
          </w:p>
          <w:p w:rsidR="00091FA6" w:rsidRPr="002E0C7E" w:rsidRDefault="00091FA6" w:rsidP="00180577">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S</w:t>
            </w:r>
          </w:p>
          <w:p w:rsidR="00091FA6" w:rsidRPr="002E0C7E" w:rsidRDefault="00091FA6" w:rsidP="00180577">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M</w:t>
            </w:r>
          </w:p>
          <w:p w:rsidR="00091FA6" w:rsidRPr="002E0C7E" w:rsidRDefault="00091FA6" w:rsidP="00180577">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T</w:t>
            </w:r>
          </w:p>
          <w:p w:rsidR="00091FA6" w:rsidRPr="002E0C7E" w:rsidRDefault="00091FA6" w:rsidP="00180577">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W</w:t>
            </w:r>
          </w:p>
          <w:p w:rsidR="00091FA6" w:rsidRPr="002E0C7E" w:rsidRDefault="00091FA6" w:rsidP="00180577">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T</w:t>
            </w:r>
          </w:p>
          <w:p w:rsidR="00091FA6" w:rsidRPr="002E0C7E" w:rsidRDefault="00091FA6" w:rsidP="00180577">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F</w:t>
            </w:r>
          </w:p>
          <w:p w:rsidR="00091FA6" w:rsidRPr="002E0C7E" w:rsidRDefault="00091FA6" w:rsidP="00180577">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S</w:t>
            </w:r>
          </w:p>
          <w:p w:rsidR="00091FA6" w:rsidRPr="002E0C7E" w:rsidRDefault="00091FA6" w:rsidP="00180577">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S</w:t>
            </w:r>
          </w:p>
          <w:p w:rsidR="00091FA6" w:rsidRPr="002E0C7E" w:rsidRDefault="00091FA6" w:rsidP="00180577">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M</w:t>
            </w:r>
          </w:p>
          <w:p w:rsidR="00091FA6" w:rsidRPr="002E0C7E" w:rsidRDefault="00091FA6" w:rsidP="00180577">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T</w:t>
            </w:r>
          </w:p>
          <w:p w:rsidR="00091FA6" w:rsidRPr="002E0C7E" w:rsidRDefault="00091FA6" w:rsidP="00180577">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W</w:t>
            </w:r>
          </w:p>
          <w:p w:rsidR="00091FA6" w:rsidRPr="002E0C7E" w:rsidRDefault="00091FA6" w:rsidP="00180577">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T</w:t>
            </w:r>
          </w:p>
          <w:p w:rsidR="00091FA6" w:rsidRPr="002E0C7E" w:rsidRDefault="00091FA6" w:rsidP="00180577">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F</w:t>
            </w:r>
          </w:p>
          <w:p w:rsidR="00091FA6" w:rsidRPr="002E0C7E" w:rsidRDefault="00091FA6" w:rsidP="0018057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S</w:t>
            </w:r>
          </w:p>
          <w:p w:rsidR="00091FA6" w:rsidRPr="002E0C7E" w:rsidRDefault="00091FA6" w:rsidP="00180577">
            <w:pPr>
              <w:widowControl w:val="0"/>
              <w:jc w:val="center"/>
              <w:rPr>
                <w:rFonts w:ascii="Arial" w:hAnsi="Arial"/>
                <w:sz w:val="14"/>
              </w:rPr>
            </w:pPr>
            <w:r w:rsidRPr="002E0C7E">
              <w:rPr>
                <w:rFonts w:ascii="Arial" w:hAnsi="Arial"/>
                <w:sz w:val="14"/>
              </w:rPr>
              <w:t>S</w:t>
            </w:r>
          </w:p>
        </w:tc>
      </w:tr>
      <w:tr w:rsidR="00091FA6" w:rsidRPr="002E0C7E" w:rsidTr="00180577">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1</w:t>
            </w:r>
          </w:p>
        </w:tc>
      </w:tr>
      <w:tr w:rsidR="00091FA6" w:rsidRPr="002E0C7E" w:rsidTr="00180577">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180577">
            <w:pPr>
              <w:widowControl w:val="0"/>
              <w:jc w:val="center"/>
              <w:rPr>
                <w:rFonts w:ascii="Arial" w:hAnsi="Arial"/>
                <w:b/>
                <w:sz w:val="14"/>
              </w:rPr>
            </w:pPr>
            <w:r w:rsidRPr="000C583B">
              <w:rPr>
                <w:rFonts w:ascii="Arial" w:hAnsi="Arial"/>
                <w:b/>
                <w:sz w:val="14"/>
              </w:rPr>
              <w:t>H</w:t>
            </w:r>
          </w:p>
          <w:p w:rsidR="00091FA6" w:rsidRPr="002E0C7E" w:rsidRDefault="00091FA6" w:rsidP="00180577">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180577">
            <w:pPr>
              <w:widowControl w:val="0"/>
              <w:jc w:val="center"/>
              <w:rPr>
                <w:rFonts w:ascii="Arial" w:hAnsi="Arial"/>
                <w:b/>
                <w:sz w:val="14"/>
              </w:rPr>
            </w:pPr>
            <w:r w:rsidRPr="000C583B">
              <w:rPr>
                <w:rFonts w:ascii="Arial" w:hAnsi="Arial"/>
                <w:b/>
                <w:sz w:val="14"/>
              </w:rPr>
              <w:t>M</w:t>
            </w:r>
          </w:p>
          <w:p w:rsidR="00091FA6" w:rsidRPr="002E0C7E" w:rsidRDefault="00091FA6" w:rsidP="00180577">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b/>
                <w:sz w:val="14"/>
              </w:rPr>
              <w:t>M</w:t>
            </w:r>
          </w:p>
          <w:p w:rsidR="00091FA6" w:rsidRPr="002E0C7E" w:rsidRDefault="00091FA6" w:rsidP="00180577">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b/>
                <w:sz w:val="14"/>
              </w:rPr>
              <w:t>M</w:t>
            </w:r>
          </w:p>
          <w:p w:rsidR="00091FA6" w:rsidRPr="002E0C7E" w:rsidRDefault="00091FA6" w:rsidP="00180577">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8</w:t>
            </w:r>
          </w:p>
        </w:tc>
      </w:tr>
      <w:tr w:rsidR="00091FA6" w:rsidRPr="002E0C7E" w:rsidTr="00180577">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180577">
            <w:pPr>
              <w:widowControl w:val="0"/>
              <w:jc w:val="center"/>
              <w:rPr>
                <w:rFonts w:ascii="Arial" w:hAnsi="Arial"/>
                <w:b/>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180577">
            <w:pPr>
              <w:widowControl w:val="0"/>
              <w:jc w:val="center"/>
              <w:rPr>
                <w:rFonts w:ascii="Arial" w:hAnsi="Arial"/>
                <w:sz w:val="14"/>
              </w:rPr>
            </w:pPr>
            <w:r>
              <w:rPr>
                <w:rFonts w:ascii="Arial" w:hAnsi="Arial"/>
                <w:b/>
                <w:sz w:val="14"/>
              </w:rPr>
              <w:t>H</w:t>
            </w: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180577">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180577">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Pr>
                <w:rFonts w:ascii="Arial" w:hAnsi="Arial"/>
                <w:sz w:val="14"/>
              </w:rPr>
              <w:t>23</w:t>
            </w:r>
          </w:p>
          <w:p w:rsidR="00091FA6" w:rsidRPr="002E0C7E" w:rsidRDefault="00091FA6" w:rsidP="00180577">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Pr>
                <w:rFonts w:ascii="Arial" w:hAnsi="Arial"/>
                <w:sz w:val="14"/>
              </w:rPr>
              <w:t>24</w:t>
            </w:r>
          </w:p>
          <w:p w:rsidR="00091FA6" w:rsidRPr="002E0C7E" w:rsidRDefault="00091FA6" w:rsidP="00180577">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b/>
                <w:sz w:val="14"/>
              </w:rPr>
              <w:t>H</w:t>
            </w: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180577">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80577">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80577">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80577">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80577">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180577">
            <w:pPr>
              <w:widowControl w:val="0"/>
              <w:jc w:val="center"/>
              <w:rPr>
                <w:rFonts w:ascii="Arial" w:hAnsi="Arial"/>
                <w:sz w:val="14"/>
              </w:rPr>
            </w:pPr>
            <w:r w:rsidRPr="002E0C7E">
              <w:rPr>
                <w:rFonts w:ascii="Arial" w:hAnsi="Arial"/>
                <w:b/>
                <w:sz w:val="14"/>
              </w:rPr>
              <w:t>MARCH - MARS</w:t>
            </w:r>
          </w:p>
        </w:tc>
      </w:tr>
      <w:tr w:rsidR="00091FA6" w:rsidRPr="002E0C7E" w:rsidTr="00180577">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S</w:t>
            </w:r>
          </w:p>
          <w:p w:rsidR="00091FA6" w:rsidRPr="002E0C7E" w:rsidRDefault="00091FA6" w:rsidP="00180577">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M</w:t>
            </w:r>
          </w:p>
          <w:p w:rsidR="00091FA6" w:rsidRPr="002E0C7E" w:rsidRDefault="00091FA6" w:rsidP="00180577">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T</w:t>
            </w:r>
          </w:p>
          <w:p w:rsidR="00091FA6" w:rsidRPr="002E0C7E" w:rsidRDefault="00091FA6" w:rsidP="00180577">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W</w:t>
            </w:r>
          </w:p>
          <w:p w:rsidR="00091FA6" w:rsidRPr="002E0C7E" w:rsidRDefault="00091FA6" w:rsidP="0018057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T</w:t>
            </w:r>
          </w:p>
          <w:p w:rsidR="00091FA6" w:rsidRPr="002E0C7E" w:rsidRDefault="00091FA6" w:rsidP="0018057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F</w:t>
            </w:r>
          </w:p>
          <w:p w:rsidR="00091FA6" w:rsidRPr="002E0C7E" w:rsidRDefault="00091FA6" w:rsidP="00180577">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S</w:t>
            </w:r>
          </w:p>
          <w:p w:rsidR="00091FA6" w:rsidRPr="002E0C7E" w:rsidRDefault="00091FA6" w:rsidP="00180577">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S</w:t>
            </w:r>
          </w:p>
          <w:p w:rsidR="00091FA6" w:rsidRPr="002E0C7E" w:rsidRDefault="00091FA6" w:rsidP="00180577">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M</w:t>
            </w:r>
          </w:p>
          <w:p w:rsidR="00091FA6" w:rsidRPr="002E0C7E" w:rsidRDefault="00091FA6" w:rsidP="00180577">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T</w:t>
            </w:r>
          </w:p>
          <w:p w:rsidR="00091FA6" w:rsidRPr="002E0C7E" w:rsidRDefault="00091FA6" w:rsidP="0018057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W</w:t>
            </w:r>
          </w:p>
          <w:p w:rsidR="00091FA6" w:rsidRPr="002E0C7E" w:rsidRDefault="00091FA6" w:rsidP="00180577">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T</w:t>
            </w:r>
          </w:p>
          <w:p w:rsidR="00091FA6" w:rsidRPr="002E0C7E" w:rsidRDefault="00091FA6" w:rsidP="00180577">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F</w:t>
            </w:r>
          </w:p>
          <w:p w:rsidR="00091FA6" w:rsidRPr="002E0C7E" w:rsidRDefault="00091FA6" w:rsidP="00180577">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S</w:t>
            </w:r>
          </w:p>
          <w:p w:rsidR="00091FA6" w:rsidRPr="002E0C7E" w:rsidRDefault="00091FA6" w:rsidP="00180577">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S</w:t>
            </w:r>
          </w:p>
          <w:p w:rsidR="00091FA6" w:rsidRPr="002E0C7E" w:rsidRDefault="00091FA6" w:rsidP="00180577">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M</w:t>
            </w:r>
          </w:p>
          <w:p w:rsidR="00091FA6" w:rsidRPr="002E0C7E" w:rsidRDefault="00091FA6" w:rsidP="00180577">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T</w:t>
            </w:r>
          </w:p>
          <w:p w:rsidR="00091FA6" w:rsidRPr="002E0C7E" w:rsidRDefault="00091FA6" w:rsidP="00180577">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W</w:t>
            </w:r>
          </w:p>
          <w:p w:rsidR="00091FA6" w:rsidRPr="002E0C7E" w:rsidRDefault="00091FA6" w:rsidP="00180577">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T</w:t>
            </w:r>
          </w:p>
          <w:p w:rsidR="00091FA6" w:rsidRPr="002E0C7E" w:rsidRDefault="00091FA6" w:rsidP="00180577">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F</w:t>
            </w:r>
          </w:p>
          <w:p w:rsidR="00091FA6" w:rsidRPr="002E0C7E" w:rsidRDefault="00091FA6" w:rsidP="0018057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S</w:t>
            </w:r>
          </w:p>
          <w:p w:rsidR="00091FA6" w:rsidRPr="002E0C7E" w:rsidRDefault="00091FA6" w:rsidP="00180577">
            <w:pPr>
              <w:widowControl w:val="0"/>
              <w:jc w:val="center"/>
              <w:rPr>
                <w:rFonts w:ascii="Arial" w:hAnsi="Arial"/>
                <w:sz w:val="14"/>
              </w:rPr>
            </w:pPr>
            <w:r w:rsidRPr="002E0C7E">
              <w:rPr>
                <w:rFonts w:ascii="Arial" w:hAnsi="Arial"/>
                <w:sz w:val="14"/>
              </w:rPr>
              <w:t>S</w:t>
            </w:r>
          </w:p>
        </w:tc>
      </w:tr>
      <w:tr w:rsidR="00091FA6" w:rsidRPr="002E0C7E" w:rsidTr="001805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180577">
            <w:pPr>
              <w:widowControl w:val="0"/>
              <w:jc w:val="center"/>
              <w:rPr>
                <w:rFonts w:ascii="Arial" w:hAnsi="Arial"/>
                <w:b/>
                <w:sz w:val="14"/>
              </w:rPr>
            </w:pPr>
            <w:r>
              <w:rPr>
                <w:rFonts w:ascii="Arial" w:hAnsi="Arial"/>
                <w:b/>
                <w:sz w:val="14"/>
              </w:rPr>
              <w:t>H</w:t>
            </w:r>
          </w:p>
          <w:p w:rsidR="00091FA6" w:rsidRPr="002E0C7E" w:rsidRDefault="00091FA6" w:rsidP="00180577">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w:t>
            </w:r>
          </w:p>
        </w:tc>
      </w:tr>
      <w:tr w:rsidR="00091FA6" w:rsidRPr="002E0C7E" w:rsidTr="001805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9</w:t>
            </w:r>
          </w:p>
        </w:tc>
      </w:tr>
      <w:tr w:rsidR="00091FA6" w:rsidRPr="002E0C7E" w:rsidTr="00180577">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180577">
            <w:pPr>
              <w:widowControl w:val="0"/>
              <w:jc w:val="center"/>
              <w:rPr>
                <w:rFonts w:ascii="Arial" w:hAnsi="Arial"/>
                <w:b/>
                <w:sz w:val="14"/>
              </w:rPr>
            </w:pPr>
            <w:r>
              <w:rPr>
                <w:rFonts w:ascii="Arial" w:hAnsi="Arial"/>
                <w:b/>
                <w:sz w:val="14"/>
              </w:rPr>
              <w:t>M</w:t>
            </w: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180577">
            <w:pPr>
              <w:widowControl w:val="0"/>
              <w:jc w:val="center"/>
              <w:rPr>
                <w:rFonts w:ascii="Arial" w:hAnsi="Arial"/>
                <w:b/>
                <w:sz w:val="14"/>
              </w:rPr>
            </w:pPr>
            <w:r>
              <w:rPr>
                <w:rFonts w:ascii="Arial" w:hAnsi="Arial"/>
                <w:b/>
                <w:sz w:val="14"/>
              </w:rPr>
              <w:t>M</w:t>
            </w: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1805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180577">
            <w:pPr>
              <w:widowControl w:val="0"/>
              <w:jc w:val="center"/>
              <w:rPr>
                <w:rFonts w:ascii="Arial" w:hAnsi="Arial"/>
                <w:b/>
                <w:sz w:val="14"/>
              </w:rPr>
            </w:pPr>
            <w:r>
              <w:rPr>
                <w:rFonts w:ascii="Arial" w:hAnsi="Arial"/>
                <w:b/>
                <w:sz w:val="14"/>
              </w:rPr>
              <w:t>M</w:t>
            </w: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180577">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Pr>
                <w:rFonts w:ascii="Arial" w:hAnsi="Arial"/>
                <w:sz w:val="14"/>
              </w:rPr>
              <w:t>24</w:t>
            </w:r>
          </w:p>
          <w:p w:rsidR="00091FA6" w:rsidRPr="002E0C7E" w:rsidRDefault="00091FA6" w:rsidP="00180577">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180577">
            <w:pPr>
              <w:widowControl w:val="0"/>
              <w:jc w:val="center"/>
              <w:rPr>
                <w:rFonts w:ascii="Arial" w:hAnsi="Arial"/>
                <w:b/>
                <w:sz w:val="14"/>
              </w:rPr>
            </w:pPr>
            <w:r w:rsidRPr="00261B35">
              <w:rPr>
                <w:rFonts w:ascii="Arial" w:hAnsi="Arial"/>
                <w:b/>
                <w:sz w:val="14"/>
              </w:rPr>
              <w:t>H</w:t>
            </w:r>
          </w:p>
          <w:p w:rsidR="00091FA6" w:rsidRPr="002E0C7E" w:rsidRDefault="00091FA6" w:rsidP="00180577">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180577">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80577">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80577">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80577">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80577">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180577">
            <w:pPr>
              <w:widowControl w:val="0"/>
              <w:jc w:val="center"/>
              <w:rPr>
                <w:rFonts w:ascii="Arial" w:hAnsi="Arial"/>
                <w:sz w:val="14"/>
              </w:rPr>
            </w:pPr>
            <w:r w:rsidRPr="002E0C7E">
              <w:rPr>
                <w:rFonts w:ascii="Arial" w:hAnsi="Arial"/>
                <w:b/>
                <w:sz w:val="14"/>
              </w:rPr>
              <w:t>JUNE - JUIN</w:t>
            </w:r>
          </w:p>
        </w:tc>
      </w:tr>
      <w:tr w:rsidR="00091FA6" w:rsidRPr="002E0C7E" w:rsidTr="00180577">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S</w:t>
            </w:r>
          </w:p>
          <w:p w:rsidR="00091FA6" w:rsidRPr="002E0C7E" w:rsidRDefault="00091FA6" w:rsidP="00180577">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M</w:t>
            </w:r>
          </w:p>
          <w:p w:rsidR="00091FA6" w:rsidRPr="002E0C7E" w:rsidRDefault="00091FA6" w:rsidP="00180577">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T</w:t>
            </w:r>
          </w:p>
          <w:p w:rsidR="00091FA6" w:rsidRPr="002E0C7E" w:rsidRDefault="00091FA6" w:rsidP="0018057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W</w:t>
            </w:r>
          </w:p>
          <w:p w:rsidR="00091FA6" w:rsidRPr="002E0C7E" w:rsidRDefault="00091FA6" w:rsidP="0018057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T</w:t>
            </w:r>
          </w:p>
          <w:p w:rsidR="00091FA6" w:rsidRPr="002E0C7E" w:rsidRDefault="00091FA6" w:rsidP="0018057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F</w:t>
            </w:r>
          </w:p>
          <w:p w:rsidR="00091FA6" w:rsidRPr="002E0C7E" w:rsidRDefault="00091FA6" w:rsidP="00180577">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S</w:t>
            </w:r>
          </w:p>
          <w:p w:rsidR="00091FA6" w:rsidRPr="002E0C7E" w:rsidRDefault="00091FA6" w:rsidP="00180577">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S</w:t>
            </w:r>
          </w:p>
          <w:p w:rsidR="00091FA6" w:rsidRPr="002E0C7E" w:rsidRDefault="00091FA6" w:rsidP="00180577">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M</w:t>
            </w:r>
          </w:p>
          <w:p w:rsidR="00091FA6" w:rsidRPr="002E0C7E" w:rsidRDefault="00091FA6" w:rsidP="00180577">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T</w:t>
            </w:r>
          </w:p>
          <w:p w:rsidR="00091FA6" w:rsidRPr="002E0C7E" w:rsidRDefault="00091FA6" w:rsidP="0018057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W</w:t>
            </w:r>
          </w:p>
          <w:p w:rsidR="00091FA6" w:rsidRPr="002E0C7E" w:rsidRDefault="00091FA6" w:rsidP="00180577">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T</w:t>
            </w:r>
          </w:p>
          <w:p w:rsidR="00091FA6" w:rsidRPr="002E0C7E" w:rsidRDefault="00091FA6" w:rsidP="00180577">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F</w:t>
            </w:r>
          </w:p>
          <w:p w:rsidR="00091FA6" w:rsidRPr="002E0C7E" w:rsidRDefault="00091FA6" w:rsidP="00180577">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S</w:t>
            </w:r>
          </w:p>
          <w:p w:rsidR="00091FA6" w:rsidRPr="002E0C7E" w:rsidRDefault="00091FA6" w:rsidP="00180577">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S</w:t>
            </w:r>
          </w:p>
          <w:p w:rsidR="00091FA6" w:rsidRPr="002E0C7E" w:rsidRDefault="00091FA6" w:rsidP="00180577">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M</w:t>
            </w:r>
          </w:p>
          <w:p w:rsidR="00091FA6" w:rsidRPr="002E0C7E" w:rsidRDefault="00091FA6" w:rsidP="00180577">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T</w:t>
            </w:r>
          </w:p>
          <w:p w:rsidR="00091FA6" w:rsidRPr="002E0C7E" w:rsidRDefault="00091FA6" w:rsidP="0018057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W</w:t>
            </w:r>
          </w:p>
          <w:p w:rsidR="00091FA6" w:rsidRPr="002E0C7E" w:rsidRDefault="00091FA6" w:rsidP="0018057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T</w:t>
            </w:r>
          </w:p>
          <w:p w:rsidR="00091FA6" w:rsidRPr="002E0C7E" w:rsidRDefault="00091FA6" w:rsidP="0018057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F</w:t>
            </w:r>
          </w:p>
          <w:p w:rsidR="00091FA6" w:rsidRPr="002E0C7E" w:rsidRDefault="00091FA6" w:rsidP="0018057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sidRPr="002E0C7E">
              <w:rPr>
                <w:rFonts w:ascii="Arial" w:hAnsi="Arial"/>
                <w:sz w:val="14"/>
              </w:rPr>
              <w:t>s</w:t>
            </w:r>
          </w:p>
          <w:p w:rsidR="00091FA6" w:rsidRPr="002E0C7E" w:rsidRDefault="00091FA6" w:rsidP="00180577">
            <w:pPr>
              <w:widowControl w:val="0"/>
              <w:jc w:val="center"/>
              <w:rPr>
                <w:rFonts w:ascii="Arial" w:hAnsi="Arial"/>
                <w:sz w:val="14"/>
              </w:rPr>
            </w:pPr>
            <w:r w:rsidRPr="002E0C7E">
              <w:rPr>
                <w:rFonts w:ascii="Arial" w:hAnsi="Arial"/>
                <w:sz w:val="14"/>
              </w:rPr>
              <w:t>s</w:t>
            </w:r>
          </w:p>
        </w:tc>
      </w:tr>
      <w:tr w:rsidR="00091FA6" w:rsidRPr="002E0C7E" w:rsidTr="00180577">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180577">
            <w:pPr>
              <w:widowControl w:val="0"/>
              <w:jc w:val="center"/>
              <w:rPr>
                <w:rFonts w:ascii="Arial" w:hAnsi="Arial"/>
                <w:b/>
                <w:sz w:val="14"/>
              </w:rPr>
            </w:pPr>
            <w:r w:rsidRPr="002453E3">
              <w:rPr>
                <w:rFonts w:ascii="Arial" w:hAnsi="Arial"/>
                <w:b/>
                <w:sz w:val="14"/>
              </w:rPr>
              <w:t>H</w:t>
            </w:r>
          </w:p>
          <w:p w:rsidR="00091FA6" w:rsidRPr="002E0C7E" w:rsidRDefault="00091FA6" w:rsidP="00180577">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b/>
                <w:sz w:val="14"/>
              </w:rPr>
            </w:pPr>
          </w:p>
          <w:p w:rsidR="00091FA6" w:rsidRPr="002E0C7E" w:rsidRDefault="00091FA6" w:rsidP="00180577">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1</w:t>
            </w:r>
          </w:p>
        </w:tc>
      </w:tr>
      <w:tr w:rsidR="00091FA6" w:rsidRPr="002E0C7E" w:rsidTr="00180577">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180577">
            <w:pPr>
              <w:widowControl w:val="0"/>
              <w:jc w:val="center"/>
              <w:rPr>
                <w:rFonts w:ascii="Arial" w:hAnsi="Arial"/>
                <w:b/>
                <w:sz w:val="14"/>
              </w:rPr>
            </w:pPr>
          </w:p>
          <w:p w:rsidR="00091FA6" w:rsidRPr="002E0C7E" w:rsidRDefault="00091FA6" w:rsidP="0018057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8</w:t>
            </w:r>
          </w:p>
        </w:tc>
      </w:tr>
      <w:tr w:rsidR="00091FA6" w:rsidRPr="002E0C7E" w:rsidTr="00180577">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180577">
            <w:pPr>
              <w:widowControl w:val="0"/>
              <w:jc w:val="center"/>
              <w:rPr>
                <w:rFonts w:ascii="Arial" w:hAnsi="Arial"/>
                <w:b/>
                <w:sz w:val="14"/>
              </w:rPr>
            </w:pPr>
            <w:r w:rsidRPr="00DB5777">
              <w:rPr>
                <w:rFonts w:ascii="Arial" w:hAnsi="Arial"/>
                <w:b/>
                <w:sz w:val="14"/>
              </w:rPr>
              <w:t>M</w:t>
            </w: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180577">
            <w:pPr>
              <w:widowControl w:val="0"/>
              <w:jc w:val="center"/>
              <w:rPr>
                <w:rFonts w:ascii="Arial" w:hAnsi="Arial"/>
                <w:b/>
                <w:sz w:val="14"/>
              </w:rPr>
            </w:pPr>
            <w:r w:rsidRPr="002453E3">
              <w:rPr>
                <w:rFonts w:ascii="Arial" w:hAnsi="Arial"/>
                <w:b/>
                <w:sz w:val="14"/>
              </w:rPr>
              <w:t>M</w:t>
            </w: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180577">
            <w:pPr>
              <w:widowControl w:val="0"/>
              <w:jc w:val="center"/>
              <w:rPr>
                <w:rFonts w:ascii="Arial" w:hAnsi="Arial"/>
                <w:b/>
                <w:sz w:val="14"/>
              </w:rPr>
            </w:pPr>
            <w:r w:rsidRPr="006A1E8D">
              <w:rPr>
                <w:rFonts w:ascii="Arial" w:hAnsi="Arial"/>
                <w:b/>
                <w:sz w:val="14"/>
              </w:rPr>
              <w:t>M</w:t>
            </w: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180577">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180577">
            <w:pPr>
              <w:widowControl w:val="0"/>
              <w:jc w:val="center"/>
              <w:rPr>
                <w:rFonts w:ascii="Arial" w:hAnsi="Arial"/>
                <w:b/>
                <w:sz w:val="14"/>
              </w:rPr>
            </w:pPr>
            <w:r>
              <w:rPr>
                <w:rFonts w:ascii="Arial" w:hAnsi="Arial"/>
                <w:b/>
                <w:sz w:val="14"/>
              </w:rPr>
              <w:t>H</w:t>
            </w: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180577">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r>
              <w:rPr>
                <w:rFonts w:ascii="Arial" w:hAnsi="Arial"/>
                <w:sz w:val="14"/>
              </w:rPr>
              <w:t>23</w:t>
            </w:r>
          </w:p>
          <w:p w:rsidR="00091FA6" w:rsidRPr="002E0C7E" w:rsidRDefault="00091FA6" w:rsidP="00180577">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80577">
            <w:pPr>
              <w:widowControl w:val="0"/>
              <w:jc w:val="center"/>
              <w:rPr>
                <w:rFonts w:ascii="Arial" w:hAnsi="Arial"/>
                <w:sz w:val="14"/>
              </w:rPr>
            </w:pPr>
          </w:p>
          <w:p w:rsidR="00091FA6" w:rsidRPr="002E0C7E" w:rsidRDefault="00091FA6" w:rsidP="00180577">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180577">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180577">
            <w:pPr>
              <w:widowControl w:val="0"/>
              <w:rPr>
                <w:rFonts w:ascii="Arial" w:hAnsi="Arial"/>
                <w:sz w:val="16"/>
              </w:rPr>
            </w:pPr>
            <w:r w:rsidRPr="002E0C7E">
              <w:rPr>
                <w:rFonts w:ascii="Arial" w:hAnsi="Arial"/>
                <w:sz w:val="16"/>
              </w:rPr>
              <w:t>Sittings of the court:</w:t>
            </w:r>
          </w:p>
          <w:p w:rsidR="00091FA6" w:rsidRPr="002E0C7E" w:rsidRDefault="00091FA6" w:rsidP="00180577">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180577">
            <w:pPr>
              <w:widowControl w:val="0"/>
              <w:rPr>
                <w:rFonts w:ascii="Arial" w:hAnsi="Arial"/>
                <w:sz w:val="16"/>
              </w:rPr>
            </w:pPr>
          </w:p>
          <w:p w:rsidR="00091FA6" w:rsidRPr="002E0C7E" w:rsidRDefault="00091FA6" w:rsidP="00180577">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1805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1805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1805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1805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1805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18057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1805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1805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1805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1805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18057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1805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1805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180577">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1805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72"/>
      <w:footerReference w:type="default" r:id="rId73"/>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52E" w:rsidRDefault="0071552E" w:rsidP="00A87207">
      <w:r>
        <w:separator/>
      </w:r>
    </w:p>
  </w:endnote>
  <w:endnote w:type="continuationSeparator" w:id="0">
    <w:p w:rsidR="0071552E" w:rsidRDefault="0071552E"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28676C">
    <w:pPr>
      <w:pStyle w:val="Footer"/>
    </w:pPr>
    <w:r>
      <w:pict>
        <v:rect id="_x0000_i1044" style="width:480.95pt;height:1pt" o:hralign="center" o:hrstd="t" o:hrnoshade="t" o:hr="t" fillcolor="black [3213]" stroked="f"/>
      </w:pict>
    </w:r>
  </w:p>
  <w:p w:rsidR="0071552E" w:rsidRPr="00D7601D" w:rsidRDefault="0071552E" w:rsidP="00432989">
    <w:pPr>
      <w:tabs>
        <w:tab w:val="center" w:pos="4680"/>
      </w:tabs>
    </w:pPr>
    <w:r>
      <w:tab/>
      <w:t xml:space="preserve">- </w:t>
    </w:r>
    <w:fldSimple w:instr=" PAGE   \* MERGEFORMAT ">
      <w:r w:rsidR="00B6040C">
        <w:rPr>
          <w:noProof/>
        </w:rPr>
        <w:t>876</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1552E" w:rsidRDefault="0071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1552E" w:rsidRDefault="0071552E">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2867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8676C">
      <w:rPr>
        <w:lang w:val="fr-CA"/>
      </w:rPr>
      <w:pict>
        <v:rect id="_x0000_i1083" style="width:480.95pt;height:1pt" o:hralign="center" o:hrstd="t" o:hrnoshade="t" o:hr="t" fillcolor="black [3213]" stroked="f"/>
      </w:pict>
    </w:r>
  </w:p>
  <w:p w:rsidR="0071552E" w:rsidRPr="0009648D" w:rsidRDefault="0071552E" w:rsidP="00ED7E83">
    <w:pPr>
      <w:tabs>
        <w:tab w:val="center" w:pos="4680"/>
      </w:tabs>
    </w:pPr>
    <w:r>
      <w:tab/>
    </w:r>
    <w:r w:rsidRPr="0009648D">
      <w:t xml:space="preserve">- </w:t>
    </w:r>
    <w:fldSimple w:instr=" PAGE   \* MERGEFORMAT ">
      <w:r w:rsidR="00B6040C">
        <w:rPr>
          <w:noProof/>
        </w:rPr>
        <w:t>901</w:t>
      </w:r>
    </w:fldSimple>
    <w:r w:rsidRPr="0009648D">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28676C">
    <w:pPr>
      <w:pStyle w:val="Footer"/>
      <w:rPr>
        <w:lang w:val="fr-CA"/>
      </w:rPr>
    </w:pPr>
    <w:r w:rsidRPr="0028676C">
      <w:rPr>
        <w:lang w:val="fr-CA"/>
      </w:rPr>
      <w:pict>
        <v:rect id="_x0000_i1084" style="width:480.95pt;height:1pt" o:hralign="center" o:hrstd="t" o:hrnoshade="t" o:hr="t" fillcolor="black [3213]" stroked="f"/>
      </w:pict>
    </w:r>
  </w:p>
  <w:p w:rsidR="0071552E" w:rsidRDefault="0071552E" w:rsidP="00245129">
    <w:pPr>
      <w:tabs>
        <w:tab w:val="center" w:pos="4680"/>
      </w:tabs>
    </w:pPr>
    <w:r>
      <w:tab/>
    </w:r>
    <w:r w:rsidRPr="0009648D">
      <w:t xml:space="preserve">- </w:t>
    </w:r>
    <w:fldSimple w:instr=" PAGE   \* MERGEFORMAT ">
      <w:r w:rsidR="00B6040C">
        <w:rPr>
          <w:noProof/>
        </w:rPr>
        <w:t>878</w:t>
      </w:r>
    </w:fldSimple>
    <w:r w:rsidRPr="0009648D">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1552E" w:rsidRDefault="0071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1552E" w:rsidRDefault="0071552E">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28676C" w:rsidP="00755F22">
    <w:pPr>
      <w:tabs>
        <w:tab w:val="left" w:pos="-1440"/>
        <w:tab w:val="left" w:pos="-720"/>
      </w:tabs>
    </w:pPr>
    <w:r>
      <w:pict>
        <v:rect id="_x0000_i1092" style="width:480.95pt;height:1pt" o:hralign="center" o:hrstd="t" o:hrnoshade="t" o:hr="t" fillcolor="black [3213]" stroked="f"/>
      </w:pict>
    </w:r>
  </w:p>
  <w:p w:rsidR="0071552E" w:rsidRDefault="0071552E" w:rsidP="00EB2B90">
    <w:pPr>
      <w:tabs>
        <w:tab w:val="center" w:pos="4680"/>
      </w:tabs>
    </w:pPr>
    <w:r>
      <w:tab/>
      <w:t xml:space="preserve">- </w:t>
    </w:r>
    <w:fldSimple w:instr=" PAGE   \* MERGEFORMAT ">
      <w:r w:rsidR="00B6040C">
        <w:rPr>
          <w:noProof/>
        </w:rPr>
        <w:t>914</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28676C" w:rsidP="00EB2B90">
    <w:pPr>
      <w:tabs>
        <w:tab w:val="center" w:pos="4680"/>
      </w:tabs>
    </w:pPr>
    <w:r>
      <w:pict>
        <v:rect id="_x0000_i1093" style="width:480.95pt;height:1pt" o:hralign="center" o:hrstd="t" o:hrnoshade="t" o:hr="t" fillcolor="black [3213]" stroked="f"/>
      </w:pict>
    </w:r>
  </w:p>
  <w:p w:rsidR="0071552E" w:rsidRPr="0031432F" w:rsidRDefault="0071552E" w:rsidP="00EB2B90">
    <w:pPr>
      <w:tabs>
        <w:tab w:val="center" w:pos="4680"/>
      </w:tabs>
    </w:pPr>
    <w:r>
      <w:tab/>
      <w:t xml:space="preserve">- </w:t>
    </w:r>
    <w:fldSimple w:instr=" PAGE   \* MERGEFORMAT ">
      <w:r w:rsidR="00B6040C">
        <w:rPr>
          <w:noProof/>
        </w:rPr>
        <w:t>910</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1552E" w:rsidRDefault="0071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1552E" w:rsidRDefault="0071552E">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2867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8676C">
      <w:rPr>
        <w:lang w:val="fr-CA"/>
      </w:rPr>
      <w:pict>
        <v:rect id="_x0000_i1104" style="width:480.95pt;height:1pt" o:hralign="center" o:hrstd="t" o:hrnoshade="t" o:hr="t" fillcolor="black [3213]" stroked="f"/>
      </w:pict>
    </w:r>
  </w:p>
  <w:p w:rsidR="0071552E" w:rsidRDefault="0071552E" w:rsidP="00EB2B90">
    <w:pPr>
      <w:tabs>
        <w:tab w:val="center" w:pos="4680"/>
      </w:tabs>
    </w:pPr>
    <w:r>
      <w:tab/>
      <w:t xml:space="preserve">- </w:t>
    </w:r>
    <w:fldSimple w:instr=" PAGE   \* MERGEFORMAT ">
      <w:r w:rsidR="00B6040C">
        <w:rPr>
          <w:noProof/>
        </w:rPr>
        <w:t>916</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28676C">
    <w:pPr>
      <w:pStyle w:val="Footer"/>
      <w:rPr>
        <w:lang w:val="fr-CA"/>
      </w:rPr>
    </w:pPr>
    <w:r w:rsidRPr="0028676C">
      <w:rPr>
        <w:lang w:val="fr-CA"/>
      </w:rPr>
      <w:pict>
        <v:rect id="_x0000_i1105" style="width:480.95pt;height:1pt" o:hralign="center" o:hrstd="t" o:hrnoshade="t" o:hr="t" fillcolor="black [3213]" stroked="f"/>
      </w:pict>
    </w:r>
  </w:p>
  <w:p w:rsidR="0071552E" w:rsidRDefault="0071552E" w:rsidP="00EB2B90">
    <w:pPr>
      <w:tabs>
        <w:tab w:val="center" w:pos="4680"/>
      </w:tabs>
    </w:pPr>
    <w:r>
      <w:tab/>
      <w:t xml:space="preserve">- </w:t>
    </w:r>
    <w:fldSimple w:instr=" PAGE   \* MERGEFORMAT ">
      <w:r w:rsidR="00B6040C">
        <w:rPr>
          <w:noProof/>
        </w:rPr>
        <w:t>915</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1552E" w:rsidRDefault="0071552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1552E" w:rsidRDefault="0071552E">
    <w:pPr>
      <w:widowControl w:val="0"/>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2867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8676C">
      <w:rPr>
        <w:lang w:val="fr-CA"/>
      </w:rPr>
      <w:pict>
        <v:rect id="_x0000_i1108" style="width:480.95pt;height:1pt" o:hralign="center" o:hrstd="t" o:hrnoshade="t" o:hr="t" fillcolor="black [3213]" stroked="f"/>
      </w:pict>
    </w:r>
  </w:p>
  <w:p w:rsidR="0071552E" w:rsidRDefault="0071552E" w:rsidP="00697C62">
    <w:pPr>
      <w:tabs>
        <w:tab w:val="center" w:pos="4680"/>
      </w:tabs>
    </w:pPr>
    <w:r>
      <w:tab/>
      <w:t xml:space="preserve">- </w:t>
    </w:r>
    <w:r w:rsidR="0028676C" w:rsidRPr="00B74FED">
      <w:rPr>
        <w:szCs w:val="24"/>
      </w:rPr>
      <w:fldChar w:fldCharType="begin"/>
    </w:r>
    <w:r w:rsidRPr="00B74FED">
      <w:rPr>
        <w:szCs w:val="24"/>
      </w:rPr>
      <w:instrText xml:space="preserve"> PAGE   \* MERGEFORMAT </w:instrText>
    </w:r>
    <w:r w:rsidR="0028676C" w:rsidRPr="00B74FED">
      <w:rPr>
        <w:szCs w:val="24"/>
      </w:rPr>
      <w:fldChar w:fldCharType="separate"/>
    </w:r>
    <w:r>
      <w:rPr>
        <w:noProof/>
        <w:szCs w:val="24"/>
      </w:rPr>
      <w:t>860</w:t>
    </w:r>
    <w:r w:rsidR="0028676C" w:rsidRPr="00B74FED">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28676C" w:rsidP="00802863">
    <w:pPr>
      <w:widowControl w:val="0"/>
      <w:tabs>
        <w:tab w:val="left" w:pos="-1440"/>
        <w:tab w:val="left" w:pos="-720"/>
      </w:tabs>
    </w:pPr>
    <w:r w:rsidRPr="0028676C">
      <w:rPr>
        <w:lang w:val="fr-CA"/>
      </w:rPr>
      <w:pict>
        <v:rect id="_x0000_i1109" style="width:480.95pt;height:1pt" o:hralign="center" o:hrstd="t" o:hrnoshade="t" o:hr="t" fillcolor="black [3213]" stroked="f"/>
      </w:pict>
    </w:r>
  </w:p>
  <w:p w:rsidR="0071552E" w:rsidRPr="00180897" w:rsidRDefault="0071552E" w:rsidP="00697C62">
    <w:pPr>
      <w:tabs>
        <w:tab w:val="center" w:pos="4680"/>
      </w:tabs>
    </w:pPr>
    <w:r>
      <w:tab/>
      <w:t xml:space="preserve">- </w:t>
    </w:r>
    <w:r w:rsidR="0028676C" w:rsidRPr="00B74FED">
      <w:rPr>
        <w:szCs w:val="24"/>
      </w:rPr>
      <w:fldChar w:fldCharType="begin"/>
    </w:r>
    <w:r w:rsidRPr="00B74FED">
      <w:rPr>
        <w:szCs w:val="24"/>
      </w:rPr>
      <w:instrText xml:space="preserve"> PAGE   \* MERGEFORMAT </w:instrText>
    </w:r>
    <w:r w:rsidR="0028676C" w:rsidRPr="00B74FED">
      <w:rPr>
        <w:szCs w:val="24"/>
      </w:rPr>
      <w:fldChar w:fldCharType="separate"/>
    </w:r>
    <w:r w:rsidR="00B6040C">
      <w:rPr>
        <w:noProof/>
        <w:szCs w:val="24"/>
      </w:rPr>
      <w:t>917</w:t>
    </w:r>
    <w:r w:rsidR="0028676C" w:rsidRPr="00B74FED">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1552E" w:rsidRDefault="0071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1552E" w:rsidRDefault="0071552E">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28676C" w:rsidP="00732DB7">
    <w:r>
      <w:pict>
        <v:rect id="_x0000_i1114" style="width:480.95pt;height:1pt" o:hralign="center" o:hrstd="t" o:hrnoshade="t" o:hr="t" fillcolor="black" stroked="f"/>
      </w:pict>
    </w:r>
  </w:p>
  <w:p w:rsidR="0071552E" w:rsidRDefault="0071552E">
    <w:pPr>
      <w:tabs>
        <w:tab w:val="center" w:pos="4740"/>
      </w:tabs>
      <w:spacing w:line="0" w:lineRule="atLeast"/>
    </w:pPr>
    <w:r>
      <w:tab/>
      <w:t xml:space="preserve">- </w:t>
    </w:r>
    <w:r>
      <w:pgNum/>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28676C">
    <w:pPr>
      <w:pStyle w:val="Footer"/>
    </w:pPr>
    <w:r>
      <w:pict>
        <v:rect id="_x0000_i1115" style="width:480.95pt;height:1pt" o:hralign="center" o:hrstd="t" o:hrnoshade="t" o:hr="t" fillcolor="black" stroked="f"/>
      </w:pict>
    </w:r>
  </w:p>
  <w:p w:rsidR="0071552E" w:rsidRPr="00283C52" w:rsidRDefault="0071552E">
    <w:pPr>
      <w:pStyle w:val="Footer"/>
    </w:pPr>
    <w:r>
      <w:tab/>
    </w:r>
    <w:r w:rsidRPr="00283C52">
      <w:t xml:space="preserve">- </w:t>
    </w:r>
    <w:r w:rsidRPr="00283C52">
      <w:pgNum/>
    </w:r>
    <w:r w:rsidRPr="00283C52">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1552E" w:rsidRDefault="0071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1552E" w:rsidRDefault="0071552E">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28676C" w:rsidP="00732DB7">
    <w:r>
      <w:pict>
        <v:rect id="_x0000_i1117" style="width:480.95pt;height:1pt" o:hralign="center" o:hrstd="t" o:hrnoshade="t" o:hr="t" fillcolor="black" stroked="f"/>
      </w:pict>
    </w:r>
  </w:p>
  <w:p w:rsidR="0071552E" w:rsidRDefault="0071552E">
    <w:pPr>
      <w:tabs>
        <w:tab w:val="center" w:pos="4740"/>
      </w:tabs>
      <w:spacing w:line="0" w:lineRule="atLeast"/>
    </w:pPr>
    <w:r>
      <w:tab/>
      <w:t xml:space="preserve">- </w:t>
    </w:r>
    <w:r>
      <w:pgNum/>
    </w:r>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28676C">
    <w:pPr>
      <w:pStyle w:val="Footer"/>
    </w:pPr>
    <w:r>
      <w:pict>
        <v:rect id="_x0000_i1118" style="width:480.95pt;height:1pt" o:hralign="center" o:hrstd="t" o:hrnoshade="t" o:hr="t" fillcolor="black [3213]" stroked="f"/>
      </w:pict>
    </w:r>
  </w:p>
  <w:p w:rsidR="0071552E" w:rsidRPr="003C2C0F" w:rsidRDefault="0071552E" w:rsidP="00697C62">
    <w:pPr>
      <w:tabs>
        <w:tab w:val="center" w:pos="4680"/>
      </w:tabs>
    </w:pPr>
    <w:r>
      <w:tab/>
      <w:t xml:space="preserve">- </w:t>
    </w:r>
    <w:fldSimple w:instr=" PAGE   \* MERGEFORMAT ">
      <w:r w:rsidR="00B6040C">
        <w:rPr>
          <w:noProof/>
        </w:rPr>
        <w:t>921</w:t>
      </w:r>
    </w:fldSimple>
    <w:r>
      <w:t xml:space="preserve">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1552E" w:rsidRDefault="0071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1552E" w:rsidRDefault="0071552E">
    <w:pPr>
      <w:tabs>
        <w:tab w:val="center" w:pos="4740"/>
      </w:tabs>
    </w:pPr>
    <w:r>
      <w:tab/>
      <w:t xml:space="preserve">- </w:t>
    </w:r>
    <w:r>
      <w:pgNum/>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1552E" w:rsidRDefault="002867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21" style="width:480.95pt;height:1pt" o:hralign="center" o:hrstd="t" o:hrnoshade="t" o:hr="t" fillcolor="black [3213]" stroked="f"/>
      </w:pict>
    </w:r>
  </w:p>
  <w:p w:rsidR="0071552E" w:rsidRDefault="0071552E" w:rsidP="00782AE4">
    <w:pPr>
      <w:tabs>
        <w:tab w:val="center" w:pos="4680"/>
      </w:tabs>
    </w:pPr>
    <w:r>
      <w:tab/>
      <w:t xml:space="preserve">- </w:t>
    </w:r>
    <w:r w:rsidR="0028676C" w:rsidRPr="001775C1">
      <w:rPr>
        <w:szCs w:val="24"/>
      </w:rPr>
      <w:fldChar w:fldCharType="begin"/>
    </w:r>
    <w:r w:rsidRPr="001775C1">
      <w:rPr>
        <w:szCs w:val="24"/>
      </w:rPr>
      <w:instrText xml:space="preserve"> PAGE   \* MERGEFORMAT </w:instrText>
    </w:r>
    <w:r w:rsidR="0028676C" w:rsidRPr="001775C1">
      <w:rPr>
        <w:szCs w:val="24"/>
      </w:rPr>
      <w:fldChar w:fldCharType="separate"/>
    </w:r>
    <w:r w:rsidR="00B6040C">
      <w:rPr>
        <w:noProof/>
        <w:szCs w:val="24"/>
      </w:rPr>
      <w:t>927</w:t>
    </w:r>
    <w:r w:rsidR="0028676C" w:rsidRPr="001775C1">
      <w:rPr>
        <w:szCs w:val="24"/>
      </w:rPr>
      <w:fldChar w:fldCharType="end"/>
    </w:r>
    <w:r>
      <w:t xml:space="preserve"> -</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28676C" w:rsidP="00782AE4">
    <w:pPr>
      <w:tabs>
        <w:tab w:val="center" w:pos="4680"/>
      </w:tabs>
    </w:pPr>
    <w:r>
      <w:pict>
        <v:rect id="_x0000_i1122" style="width:480.95pt;height:1pt" o:hralign="center" o:hrstd="t" o:hrnoshade="t" o:hr="t" fillcolor="black [3213]" stroked="f"/>
      </w:pict>
    </w:r>
  </w:p>
  <w:p w:rsidR="0071552E" w:rsidRDefault="0071552E" w:rsidP="00782AE4">
    <w:pPr>
      <w:tabs>
        <w:tab w:val="center" w:pos="4680"/>
      </w:tabs>
    </w:pPr>
    <w:r>
      <w:tab/>
      <w:t xml:space="preserve">- </w:t>
    </w:r>
    <w:r w:rsidR="0028676C" w:rsidRPr="001775C1">
      <w:rPr>
        <w:szCs w:val="24"/>
      </w:rPr>
      <w:fldChar w:fldCharType="begin"/>
    </w:r>
    <w:r w:rsidRPr="001775C1">
      <w:rPr>
        <w:szCs w:val="24"/>
      </w:rPr>
      <w:instrText xml:space="preserve"> PAGE   \* MERGEFORMAT </w:instrText>
    </w:r>
    <w:r w:rsidR="0028676C" w:rsidRPr="001775C1">
      <w:rPr>
        <w:szCs w:val="24"/>
      </w:rPr>
      <w:fldChar w:fldCharType="separate"/>
    </w:r>
    <w:r w:rsidR="00B6040C">
      <w:rPr>
        <w:noProof/>
        <w:szCs w:val="24"/>
      </w:rPr>
      <w:t>922</w:t>
    </w:r>
    <w:r w:rsidR="0028676C" w:rsidRPr="001775C1">
      <w:rPr>
        <w:szCs w:val="24"/>
      </w:rPr>
      <w:fldChar w:fldCharType="end"/>
    </w:r>
    <w:r>
      <w:t xml:space="preserve"> -</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Pr="00924065" w:rsidRDefault="0071552E" w:rsidP="00924065">
    <w:pPr>
      <w:pStyle w:val="Footer"/>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28676C" w:rsidP="00A87207">
    <w:pPr>
      <w:pStyle w:val="Footer"/>
    </w:pPr>
    <w:r>
      <w:pict>
        <v:rect id="_x0000_i1036" style="width:480.95pt;height:1pt" o:hralign="center" o:hrstd="t" o:hrnoshade="t" o:hr="t" fillcolor="black [3213]" stroked="f"/>
      </w:pict>
    </w:r>
  </w:p>
  <w:p w:rsidR="0071552E" w:rsidRPr="00B7374B" w:rsidRDefault="0071552E" w:rsidP="00B7374B">
    <w:pPr>
      <w:tabs>
        <w:tab w:val="center" w:pos="4680"/>
      </w:tabs>
      <w:rPr>
        <w:szCs w:val="24"/>
      </w:rPr>
    </w:pPr>
    <w:r w:rsidRPr="00954D22">
      <w:rPr>
        <w:szCs w:val="24"/>
      </w:rPr>
      <w:tab/>
      <w:t xml:space="preserve">- </w:t>
    </w:r>
    <w:r w:rsidR="0028676C" w:rsidRPr="00954D22">
      <w:rPr>
        <w:szCs w:val="24"/>
      </w:rPr>
      <w:fldChar w:fldCharType="begin"/>
    </w:r>
    <w:r w:rsidRPr="00954D22">
      <w:rPr>
        <w:szCs w:val="24"/>
      </w:rPr>
      <w:instrText xml:space="preserve"> PAGE   \* MERGEFORMAT </w:instrText>
    </w:r>
    <w:r w:rsidR="0028676C" w:rsidRPr="00954D22">
      <w:rPr>
        <w:szCs w:val="24"/>
      </w:rPr>
      <w:fldChar w:fldCharType="separate"/>
    </w:r>
    <w:r w:rsidR="00B6040C">
      <w:rPr>
        <w:noProof/>
        <w:szCs w:val="24"/>
      </w:rPr>
      <w:t>874</w:t>
    </w:r>
    <w:r w:rsidR="0028676C"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28676C" w:rsidP="00755F22">
    <w:pPr>
      <w:tabs>
        <w:tab w:val="left" w:pos="-1440"/>
        <w:tab w:val="left" w:pos="-720"/>
      </w:tabs>
    </w:pPr>
    <w:r>
      <w:pict>
        <v:rect id="_x0000_i1037" style="width:480.95pt;height:1pt" o:hralign="center" o:hrstd="t" o:hrnoshade="t" o:hr="t" fillcolor="black [3213]" stroked="f"/>
      </w:pict>
    </w:r>
  </w:p>
  <w:p w:rsidR="0071552E" w:rsidRPr="00954D22" w:rsidRDefault="0071552E" w:rsidP="00B7374B">
    <w:pPr>
      <w:tabs>
        <w:tab w:val="center" w:pos="4680"/>
      </w:tabs>
      <w:rPr>
        <w:szCs w:val="24"/>
      </w:rPr>
    </w:pPr>
    <w:r w:rsidRPr="00954D22">
      <w:rPr>
        <w:szCs w:val="24"/>
      </w:rPr>
      <w:tab/>
      <w:t xml:space="preserve">- </w:t>
    </w:r>
    <w:r w:rsidR="0028676C">
      <w:rPr>
        <w:szCs w:val="24"/>
      </w:rPr>
      <w:fldChar w:fldCharType="begin"/>
    </w:r>
    <w:r>
      <w:rPr>
        <w:szCs w:val="24"/>
      </w:rPr>
      <w:instrText xml:space="preserve"> PAGE   \* MERGEFORMAT </w:instrText>
    </w:r>
    <w:r w:rsidR="0028676C">
      <w:rPr>
        <w:szCs w:val="24"/>
      </w:rPr>
      <w:fldChar w:fldCharType="separate"/>
    </w:r>
    <w:r w:rsidR="00B6040C">
      <w:rPr>
        <w:noProof/>
        <w:szCs w:val="24"/>
      </w:rPr>
      <w:t>873</w:t>
    </w:r>
    <w:r w:rsidR="0028676C">
      <w:rPr>
        <w:szCs w:val="24"/>
      </w:rPr>
      <w:fldChar w:fldCharType="end"/>
    </w:r>
    <w:r w:rsidRPr="00954D22">
      <w:rPr>
        <w:szCs w:val="24"/>
      </w:rPr>
      <w:t xml:space="preserve"> -</w:t>
    </w:r>
  </w:p>
  <w:p w:rsidR="0071552E" w:rsidRDefault="0071552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28676C" w:rsidP="00A87207">
    <w:pPr>
      <w:pStyle w:val="Footer"/>
    </w:pPr>
    <w:r>
      <w:pict>
        <v:rect id="_x0000_i1039" style="width:480.95pt;height:1pt" o:hralign="center" o:hrstd="t" o:hrnoshade="t" o:hr="t" fillcolor="black [3213]" stroked="f"/>
      </w:pict>
    </w:r>
  </w:p>
  <w:p w:rsidR="0071552E" w:rsidRPr="00B7374B" w:rsidRDefault="0071552E" w:rsidP="00B7374B">
    <w:pPr>
      <w:tabs>
        <w:tab w:val="center" w:pos="4680"/>
      </w:tabs>
      <w:rPr>
        <w:szCs w:val="24"/>
      </w:rPr>
    </w:pPr>
    <w:r w:rsidRPr="00954D22">
      <w:rPr>
        <w:szCs w:val="24"/>
      </w:rPr>
      <w:tab/>
      <w:t xml:space="preserve">- </w:t>
    </w:r>
    <w:r w:rsidR="0028676C" w:rsidRPr="00954D22">
      <w:rPr>
        <w:szCs w:val="24"/>
      </w:rPr>
      <w:fldChar w:fldCharType="begin"/>
    </w:r>
    <w:r w:rsidRPr="00954D22">
      <w:rPr>
        <w:szCs w:val="24"/>
      </w:rPr>
      <w:instrText xml:space="preserve"> PAGE   \* MERGEFORMAT </w:instrText>
    </w:r>
    <w:r w:rsidR="0028676C" w:rsidRPr="00954D22">
      <w:rPr>
        <w:szCs w:val="24"/>
      </w:rPr>
      <w:fldChar w:fldCharType="separate"/>
    </w:r>
    <w:r>
      <w:rPr>
        <w:noProof/>
        <w:szCs w:val="24"/>
      </w:rPr>
      <w:t>876</w:t>
    </w:r>
    <w:r w:rsidR="0028676C"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28676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0" style="width:480.95pt;height:1pt" o:hralign="center" o:hrstd="t" o:hrnoshade="t" o:hr="t" fillcolor="black [3213]" stroked="f"/>
      </w:pict>
    </w:r>
  </w:p>
  <w:p w:rsidR="0071552E" w:rsidRPr="00954D22" w:rsidRDefault="0071552E" w:rsidP="00B7374B">
    <w:pPr>
      <w:tabs>
        <w:tab w:val="center" w:pos="4680"/>
      </w:tabs>
      <w:rPr>
        <w:szCs w:val="24"/>
      </w:rPr>
    </w:pPr>
    <w:r w:rsidRPr="00954D22">
      <w:rPr>
        <w:szCs w:val="24"/>
      </w:rPr>
      <w:tab/>
      <w:t xml:space="preserve">- </w:t>
    </w:r>
    <w:r w:rsidR="0028676C" w:rsidRPr="00954D22">
      <w:rPr>
        <w:szCs w:val="24"/>
      </w:rPr>
      <w:fldChar w:fldCharType="begin"/>
    </w:r>
    <w:r w:rsidRPr="00954D22">
      <w:rPr>
        <w:szCs w:val="24"/>
      </w:rPr>
      <w:instrText xml:space="preserve"> PAGE   \* MERGEFORMAT </w:instrText>
    </w:r>
    <w:r w:rsidR="0028676C" w:rsidRPr="00954D22">
      <w:rPr>
        <w:szCs w:val="24"/>
      </w:rPr>
      <w:fldChar w:fldCharType="separate"/>
    </w:r>
    <w:r w:rsidR="00B6040C">
      <w:rPr>
        <w:noProof/>
        <w:szCs w:val="24"/>
      </w:rPr>
      <w:t>875</w:t>
    </w:r>
    <w:r w:rsidR="0028676C"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71552E" w:rsidRDefault="0071552E">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pPr>
  </w:p>
  <w:p w:rsidR="0071552E" w:rsidRDefault="0071552E">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71552E" w:rsidRDefault="0028676C">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pPr>
    <w:r>
      <w:pict>
        <v:rect id="_x0000_i1043" style="width:480.95pt;height:1pt" o:hralign="center" o:hrstd="t" o:hrnoshade="t" o:hr="t" fillcolor="black [3213]" stroked="f"/>
      </w:pict>
    </w:r>
  </w:p>
  <w:p w:rsidR="0071552E" w:rsidRDefault="0071552E" w:rsidP="00432989">
    <w:pPr>
      <w:tabs>
        <w:tab w:val="center" w:pos="4680"/>
      </w:tabs>
    </w:pPr>
    <w:r>
      <w:tab/>
      <w:t xml:space="preserve">- </w:t>
    </w:r>
    <w:fldSimple w:instr=" PAGE   \* MERGEFORMAT ">
      <w:r w:rsidR="00B6040C">
        <w:rPr>
          <w:noProof/>
        </w:rPr>
        <w:t>877</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52E" w:rsidRDefault="0071552E" w:rsidP="00A87207">
      <w:r>
        <w:separator/>
      </w:r>
    </w:p>
  </w:footnote>
  <w:footnote w:type="continuationSeparator" w:id="0">
    <w:p w:rsidR="0071552E" w:rsidRDefault="0071552E"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1552E" w:rsidRPr="00B6040C">
      <w:tc>
        <w:tcPr>
          <w:tcW w:w="4200" w:type="dxa"/>
          <w:tcMar>
            <w:left w:w="0" w:type="dxa"/>
            <w:right w:w="0" w:type="dxa"/>
          </w:tcMar>
        </w:tcPr>
        <w:p w:rsidR="0071552E" w:rsidRDefault="0071552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1552E" w:rsidRDefault="0071552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1552E" w:rsidRDefault="0071552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1552E" w:rsidRPr="00FF6BA5" w:rsidRDefault="0071552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1552E" w:rsidRPr="00FF6BA5" w:rsidRDefault="0071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1552E" w:rsidRPr="00FF6BA5" w:rsidRDefault="0071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1552E" w:rsidRPr="00FF6BA5" w:rsidRDefault="0071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1552E" w:rsidRPr="00B6040C" w:rsidTr="00245129">
      <w:tc>
        <w:tcPr>
          <w:tcW w:w="4200" w:type="dxa"/>
          <w:tcMar>
            <w:left w:w="0" w:type="dxa"/>
            <w:right w:w="0" w:type="dxa"/>
          </w:tcMar>
        </w:tcPr>
        <w:p w:rsidR="0071552E" w:rsidRPr="00755F22" w:rsidRDefault="0071552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1552E" w:rsidRPr="00755F22" w:rsidRDefault="0071552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1552E" w:rsidRPr="00755F22" w:rsidRDefault="0071552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1552E" w:rsidRPr="00755F22" w:rsidRDefault="0071552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1552E" w:rsidRPr="00755F22" w:rsidRDefault="0071552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1552E" w:rsidRPr="00755F22" w:rsidRDefault="0071552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1552E" w:rsidRPr="00FF6BA5" w:rsidRDefault="0071552E" w:rsidP="00755F22">
    <w:pPr>
      <w:tabs>
        <w:tab w:val="left" w:pos="-1440"/>
        <w:tab w:val="left" w:pos="-720"/>
      </w:tabs>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71552E">
      <w:tc>
        <w:tcPr>
          <w:tcW w:w="4230" w:type="dxa"/>
          <w:tcMar>
            <w:left w:w="0" w:type="dxa"/>
            <w:right w:w="0" w:type="dxa"/>
          </w:tcMar>
        </w:tcPr>
        <w:p w:rsidR="0071552E" w:rsidRDefault="0071552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1552E" w:rsidRDefault="0071552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1552E" w:rsidRDefault="0071552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1552E">
      <w:trPr>
        <w:gridAfter w:val="2"/>
        <w:wAfter w:w="5250" w:type="dxa"/>
      </w:trPr>
      <w:tc>
        <w:tcPr>
          <w:tcW w:w="4230" w:type="dxa"/>
          <w:tcMar>
            <w:left w:w="0" w:type="dxa"/>
            <w:right w:w="0" w:type="dxa"/>
          </w:tcMar>
        </w:tcPr>
        <w:p w:rsidR="0071552E" w:rsidRDefault="0071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1552E" w:rsidRDefault="0071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71552E" w:rsidRPr="00755F22" w:rsidTr="00245129">
      <w:tc>
        <w:tcPr>
          <w:tcW w:w="4230" w:type="dxa"/>
          <w:tcMar>
            <w:left w:w="0" w:type="dxa"/>
            <w:right w:w="0" w:type="dxa"/>
          </w:tcMar>
        </w:tcPr>
        <w:p w:rsidR="0071552E" w:rsidRPr="00755F22" w:rsidRDefault="0071552E" w:rsidP="00831CA9">
          <w:pPr>
            <w:keepNext/>
            <w:keepLines/>
            <w:rPr>
              <w:sz w:val="20"/>
              <w:szCs w:val="20"/>
            </w:rPr>
          </w:pPr>
          <w:r w:rsidRPr="00755F22">
            <w:rPr>
              <w:sz w:val="20"/>
              <w:szCs w:val="20"/>
            </w:rPr>
            <w:t>MOTIONS</w:t>
          </w:r>
        </w:p>
      </w:tc>
      <w:tc>
        <w:tcPr>
          <w:tcW w:w="1170" w:type="dxa"/>
          <w:tcMar>
            <w:left w:w="0" w:type="dxa"/>
            <w:right w:w="0" w:type="dxa"/>
          </w:tcMar>
        </w:tcPr>
        <w:p w:rsidR="0071552E" w:rsidRPr="00755F22" w:rsidRDefault="0071552E" w:rsidP="00831CA9">
          <w:pPr>
            <w:keepLines/>
            <w:jc w:val="center"/>
            <w:rPr>
              <w:sz w:val="20"/>
              <w:szCs w:val="20"/>
            </w:rPr>
          </w:pPr>
        </w:p>
        <w:p w:rsidR="0071552E" w:rsidRPr="00755F22" w:rsidRDefault="0071552E" w:rsidP="00831CA9">
          <w:pPr>
            <w:keepLines/>
            <w:tabs>
              <w:tab w:val="left" w:pos="-1440"/>
              <w:tab w:val="left" w:pos="-720"/>
            </w:tabs>
            <w:jc w:val="center"/>
            <w:rPr>
              <w:sz w:val="20"/>
              <w:szCs w:val="20"/>
            </w:rPr>
          </w:pPr>
        </w:p>
      </w:tc>
      <w:tc>
        <w:tcPr>
          <w:tcW w:w="4080" w:type="dxa"/>
          <w:tcMar>
            <w:left w:w="0" w:type="dxa"/>
            <w:right w:w="0" w:type="dxa"/>
          </w:tcMar>
        </w:tcPr>
        <w:p w:rsidR="0071552E" w:rsidRPr="00BA6468" w:rsidRDefault="0071552E" w:rsidP="00BA6468">
          <w:pPr>
            <w:keepLines/>
            <w:rPr>
              <w:sz w:val="20"/>
              <w:szCs w:val="20"/>
              <w:lang w:val="fr-CA"/>
            </w:rPr>
          </w:pPr>
          <w:r w:rsidRPr="00BA6468">
            <w:rPr>
              <w:sz w:val="20"/>
              <w:szCs w:val="20"/>
              <w:lang w:val="fr-CA"/>
            </w:rPr>
            <w:t>REQUÊTES</w:t>
          </w:r>
        </w:p>
      </w:tc>
    </w:tr>
  </w:tbl>
  <w:p w:rsidR="0071552E" w:rsidRDefault="0071552E" w:rsidP="00831CA9">
    <w:pPr>
      <w:jc w:val="both"/>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1552E" w:rsidRPr="00B6040C">
      <w:tc>
        <w:tcPr>
          <w:tcW w:w="4200" w:type="dxa"/>
          <w:tcMar>
            <w:left w:w="0" w:type="dxa"/>
            <w:right w:w="0" w:type="dxa"/>
          </w:tcMar>
        </w:tcPr>
        <w:p w:rsidR="0071552E" w:rsidRDefault="0071552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71552E" w:rsidRDefault="0071552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1552E" w:rsidRPr="00B01A03" w:rsidRDefault="0071552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71552E" w:rsidRPr="00B01A03" w:rsidRDefault="0071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1552E" w:rsidRPr="00B01A03" w:rsidRDefault="0071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71552E" w:rsidRPr="00B6040C" w:rsidTr="00245129">
      <w:tc>
        <w:tcPr>
          <w:tcW w:w="4200" w:type="dxa"/>
          <w:tcMar>
            <w:left w:w="0" w:type="dxa"/>
            <w:right w:w="0" w:type="dxa"/>
          </w:tcMar>
        </w:tcPr>
        <w:p w:rsidR="0071552E" w:rsidRPr="00F40249" w:rsidRDefault="0071552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71552E" w:rsidRDefault="0071552E" w:rsidP="00102926">
          <w:pPr>
            <w:keepNext/>
            <w:keepLines/>
            <w:tabs>
              <w:tab w:val="left" w:pos="-1440"/>
              <w:tab w:val="left" w:pos="-720"/>
            </w:tabs>
            <w:jc w:val="center"/>
            <w:rPr>
              <w:sz w:val="20"/>
              <w:szCs w:val="20"/>
            </w:rPr>
          </w:pPr>
        </w:p>
        <w:p w:rsidR="0071552E" w:rsidRDefault="0071552E" w:rsidP="00102926">
          <w:pPr>
            <w:keepNext/>
            <w:keepLines/>
            <w:tabs>
              <w:tab w:val="left" w:pos="-1440"/>
              <w:tab w:val="left" w:pos="-720"/>
            </w:tabs>
            <w:jc w:val="center"/>
            <w:rPr>
              <w:sz w:val="20"/>
              <w:szCs w:val="20"/>
            </w:rPr>
          </w:pPr>
        </w:p>
        <w:p w:rsidR="0071552E" w:rsidRPr="00F40249" w:rsidRDefault="0071552E" w:rsidP="00102926">
          <w:pPr>
            <w:keepNext/>
            <w:keepLines/>
            <w:tabs>
              <w:tab w:val="left" w:pos="-1440"/>
              <w:tab w:val="left" w:pos="-720"/>
            </w:tabs>
            <w:jc w:val="center"/>
            <w:rPr>
              <w:sz w:val="20"/>
              <w:szCs w:val="20"/>
            </w:rPr>
          </w:pPr>
        </w:p>
      </w:tc>
      <w:tc>
        <w:tcPr>
          <w:tcW w:w="4230" w:type="dxa"/>
          <w:tcMar>
            <w:left w:w="0" w:type="dxa"/>
            <w:right w:w="0" w:type="dxa"/>
          </w:tcMar>
        </w:tcPr>
        <w:p w:rsidR="0071552E" w:rsidRPr="00F40249" w:rsidRDefault="0071552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71552E" w:rsidRPr="00B01A03" w:rsidRDefault="0071552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1552E" w:rsidRPr="00B6040C">
      <w:tc>
        <w:tcPr>
          <w:tcW w:w="4200" w:type="dxa"/>
          <w:tcMar>
            <w:left w:w="0" w:type="dxa"/>
            <w:right w:w="0" w:type="dxa"/>
          </w:tcMar>
        </w:tcPr>
        <w:p w:rsidR="0071552E" w:rsidRDefault="0071552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71552E" w:rsidRDefault="0071552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71552E" w:rsidRDefault="0071552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1552E" w:rsidRPr="009256DC" w:rsidRDefault="0071552E">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71552E" w:rsidRPr="009256DC" w:rsidRDefault="0071552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1552E" w:rsidRPr="009256DC" w:rsidRDefault="0071552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1552E" w:rsidRPr="00B6040C" w:rsidTr="00245129">
      <w:tc>
        <w:tcPr>
          <w:tcW w:w="4200" w:type="dxa"/>
          <w:tcMar>
            <w:left w:w="0" w:type="dxa"/>
            <w:right w:w="0" w:type="dxa"/>
          </w:tcMar>
        </w:tcPr>
        <w:p w:rsidR="0071552E" w:rsidRPr="00802863" w:rsidRDefault="0071552E"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71552E" w:rsidRPr="00802863" w:rsidRDefault="0071552E" w:rsidP="00802863">
          <w:pPr>
            <w:keepNext/>
            <w:keepLines/>
            <w:widowControl w:val="0"/>
            <w:tabs>
              <w:tab w:val="left" w:pos="-1440"/>
              <w:tab w:val="left" w:pos="-720"/>
            </w:tabs>
            <w:jc w:val="center"/>
            <w:rPr>
              <w:sz w:val="20"/>
              <w:szCs w:val="20"/>
            </w:rPr>
          </w:pPr>
        </w:p>
        <w:p w:rsidR="0071552E" w:rsidRPr="00802863" w:rsidRDefault="0071552E" w:rsidP="00802863">
          <w:pPr>
            <w:keepNext/>
            <w:keepLines/>
            <w:widowControl w:val="0"/>
            <w:tabs>
              <w:tab w:val="left" w:pos="-1440"/>
              <w:tab w:val="left" w:pos="-720"/>
            </w:tabs>
            <w:jc w:val="center"/>
            <w:rPr>
              <w:sz w:val="20"/>
              <w:szCs w:val="20"/>
            </w:rPr>
          </w:pPr>
        </w:p>
        <w:p w:rsidR="0071552E" w:rsidRPr="00802863" w:rsidRDefault="0071552E"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71552E" w:rsidRPr="00802863" w:rsidRDefault="0071552E"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71552E" w:rsidRPr="009256DC" w:rsidRDefault="0071552E"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1552E" w:rsidRPr="00B6040C">
      <w:tc>
        <w:tcPr>
          <w:tcW w:w="4200" w:type="dxa"/>
          <w:tcMar>
            <w:left w:w="0" w:type="dxa"/>
            <w:right w:w="0" w:type="dxa"/>
          </w:tcMar>
        </w:tcPr>
        <w:p w:rsidR="0071552E" w:rsidRDefault="0071552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71552E" w:rsidRDefault="0071552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1552E" w:rsidRPr="00283C52" w:rsidRDefault="0071552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71552E" w:rsidRPr="00283C52" w:rsidRDefault="0071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1552E" w:rsidRPr="00283C52" w:rsidRDefault="0071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1552E" w:rsidRPr="00B6040C" w:rsidTr="00245129">
      <w:tc>
        <w:tcPr>
          <w:tcW w:w="4200" w:type="dxa"/>
          <w:tcMar>
            <w:left w:w="0" w:type="dxa"/>
            <w:right w:w="0" w:type="dxa"/>
          </w:tcMar>
        </w:tcPr>
        <w:p w:rsidR="0071552E" w:rsidRPr="00732DB7" w:rsidRDefault="0071552E"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71552E" w:rsidRPr="00732DB7" w:rsidRDefault="0071552E" w:rsidP="00732DB7">
          <w:pPr>
            <w:keepNext/>
            <w:keepLines/>
            <w:tabs>
              <w:tab w:val="left" w:pos="-1440"/>
              <w:tab w:val="left" w:pos="-720"/>
            </w:tabs>
            <w:jc w:val="center"/>
            <w:rPr>
              <w:sz w:val="20"/>
              <w:szCs w:val="20"/>
            </w:rPr>
          </w:pPr>
        </w:p>
        <w:p w:rsidR="0071552E" w:rsidRPr="00732DB7" w:rsidRDefault="0071552E" w:rsidP="00732DB7">
          <w:pPr>
            <w:keepNext/>
            <w:keepLines/>
            <w:tabs>
              <w:tab w:val="left" w:pos="-1440"/>
              <w:tab w:val="left" w:pos="-720"/>
            </w:tabs>
            <w:jc w:val="center"/>
            <w:rPr>
              <w:sz w:val="20"/>
              <w:szCs w:val="20"/>
            </w:rPr>
          </w:pPr>
        </w:p>
        <w:p w:rsidR="0071552E" w:rsidRPr="00732DB7" w:rsidRDefault="0071552E" w:rsidP="00732DB7">
          <w:pPr>
            <w:keepNext/>
            <w:keepLines/>
            <w:tabs>
              <w:tab w:val="left" w:pos="-1440"/>
              <w:tab w:val="left" w:pos="-720"/>
            </w:tabs>
            <w:jc w:val="center"/>
            <w:rPr>
              <w:sz w:val="20"/>
              <w:szCs w:val="20"/>
            </w:rPr>
          </w:pPr>
        </w:p>
      </w:tc>
      <w:tc>
        <w:tcPr>
          <w:tcW w:w="4080" w:type="dxa"/>
          <w:tcMar>
            <w:left w:w="0" w:type="dxa"/>
            <w:right w:w="0" w:type="dxa"/>
          </w:tcMar>
        </w:tcPr>
        <w:p w:rsidR="0071552E" w:rsidRPr="00732DB7" w:rsidRDefault="0071552E"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71552E" w:rsidRPr="00283C52" w:rsidRDefault="0071552E"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1552E" w:rsidRPr="00B6040C">
      <w:tc>
        <w:tcPr>
          <w:tcW w:w="4200" w:type="dxa"/>
          <w:tcMar>
            <w:left w:w="0" w:type="dxa"/>
            <w:right w:w="0" w:type="dxa"/>
          </w:tcMar>
        </w:tcPr>
        <w:p w:rsidR="0071552E" w:rsidRDefault="0071552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1552E" w:rsidRDefault="0071552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1552E" w:rsidRDefault="0071552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1552E" w:rsidRPr="003C2C0F" w:rsidRDefault="0071552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71552E" w:rsidRPr="003C2C0F" w:rsidRDefault="0071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1552E" w:rsidRPr="003C2C0F" w:rsidRDefault="0071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1552E" w:rsidRPr="00B6040C" w:rsidTr="00245129">
      <w:tc>
        <w:tcPr>
          <w:tcW w:w="4200" w:type="dxa"/>
          <w:tcMar>
            <w:left w:w="0" w:type="dxa"/>
            <w:right w:w="0" w:type="dxa"/>
          </w:tcMar>
        </w:tcPr>
        <w:p w:rsidR="0071552E" w:rsidRPr="00FF6EEC" w:rsidRDefault="0071552E" w:rsidP="00FF6EEC">
          <w:pPr>
            <w:rPr>
              <w:sz w:val="20"/>
              <w:szCs w:val="20"/>
            </w:rPr>
          </w:pPr>
          <w:r w:rsidRPr="00FF6EEC">
            <w:rPr>
              <w:sz w:val="20"/>
              <w:szCs w:val="20"/>
            </w:rPr>
            <w:t>PRONOUNCEMENTS OF APPEALS RESERVED</w:t>
          </w:r>
        </w:p>
      </w:tc>
      <w:tc>
        <w:tcPr>
          <w:tcW w:w="1200" w:type="dxa"/>
          <w:tcMar>
            <w:left w:w="0" w:type="dxa"/>
            <w:right w:w="0" w:type="dxa"/>
          </w:tcMar>
        </w:tcPr>
        <w:p w:rsidR="0071552E" w:rsidRPr="00FF6EEC" w:rsidRDefault="0071552E" w:rsidP="00FF6EEC">
          <w:pPr>
            <w:jc w:val="center"/>
            <w:rPr>
              <w:sz w:val="20"/>
              <w:szCs w:val="20"/>
            </w:rPr>
          </w:pPr>
        </w:p>
        <w:p w:rsidR="0071552E" w:rsidRPr="00FF6EEC" w:rsidRDefault="0071552E" w:rsidP="00FF6EEC">
          <w:pPr>
            <w:jc w:val="center"/>
            <w:rPr>
              <w:sz w:val="20"/>
              <w:szCs w:val="20"/>
            </w:rPr>
          </w:pPr>
        </w:p>
        <w:p w:rsidR="0071552E" w:rsidRPr="00FF6EEC" w:rsidRDefault="0071552E" w:rsidP="00FF6EEC">
          <w:pPr>
            <w:jc w:val="center"/>
            <w:rPr>
              <w:sz w:val="20"/>
              <w:szCs w:val="20"/>
            </w:rPr>
          </w:pPr>
        </w:p>
      </w:tc>
      <w:tc>
        <w:tcPr>
          <w:tcW w:w="4080" w:type="dxa"/>
          <w:tcMar>
            <w:left w:w="0" w:type="dxa"/>
            <w:right w:w="0" w:type="dxa"/>
          </w:tcMar>
        </w:tcPr>
        <w:p w:rsidR="0071552E" w:rsidRPr="00FF6EEC" w:rsidRDefault="0071552E" w:rsidP="00FF6EEC">
          <w:pPr>
            <w:rPr>
              <w:sz w:val="20"/>
              <w:szCs w:val="20"/>
              <w:lang w:val="fr-CA"/>
            </w:rPr>
          </w:pPr>
          <w:r w:rsidRPr="00FF6EEC">
            <w:rPr>
              <w:sz w:val="20"/>
              <w:szCs w:val="20"/>
              <w:lang w:val="fr-CA"/>
            </w:rPr>
            <w:t>JUGEMENTS RENDUS SUR LES APPELS EN DÉLIBÉRÉ</w:t>
          </w:r>
        </w:p>
      </w:tc>
    </w:tr>
  </w:tbl>
  <w:p w:rsidR="0071552E" w:rsidRPr="003C2C0F" w:rsidRDefault="0071552E"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71552E">
      <w:tc>
        <w:tcPr>
          <w:tcW w:w="4230" w:type="dxa"/>
          <w:tcMar>
            <w:left w:w="0" w:type="dxa"/>
            <w:right w:w="0" w:type="dxa"/>
          </w:tcMar>
        </w:tcPr>
        <w:p w:rsidR="0071552E" w:rsidRDefault="0071552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1552E" w:rsidRDefault="0071552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1552E" w:rsidRDefault="0071552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1552E" w:rsidRDefault="0071552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1552E" w:rsidRDefault="0071552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1552E" w:rsidRDefault="0071552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1552E" w:rsidRDefault="0071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1552E" w:rsidRDefault="0071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71552E" w:rsidRPr="00782AE4" w:rsidTr="00245129">
      <w:tc>
        <w:tcPr>
          <w:tcW w:w="4230" w:type="dxa"/>
          <w:tcMar>
            <w:left w:w="0" w:type="dxa"/>
            <w:right w:w="0" w:type="dxa"/>
          </w:tcMar>
        </w:tcPr>
        <w:p w:rsidR="0071552E" w:rsidRPr="00782AE4" w:rsidRDefault="0071552E" w:rsidP="00102926">
          <w:pPr>
            <w:keepNext/>
            <w:keepLines/>
            <w:tabs>
              <w:tab w:val="left" w:pos="-1440"/>
              <w:tab w:val="left" w:pos="-720"/>
            </w:tabs>
            <w:rPr>
              <w:sz w:val="20"/>
              <w:szCs w:val="20"/>
            </w:rPr>
          </w:pPr>
          <w:r w:rsidRPr="00782AE4">
            <w:rPr>
              <w:sz w:val="20"/>
              <w:szCs w:val="20"/>
            </w:rPr>
            <w:t xml:space="preserve">HEADNOTES OF RECENT </w:t>
          </w:r>
        </w:p>
        <w:p w:rsidR="0071552E" w:rsidRPr="00782AE4" w:rsidRDefault="0071552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1552E" w:rsidRDefault="0071552E" w:rsidP="00102926">
          <w:pPr>
            <w:keepNext/>
            <w:keepLines/>
            <w:tabs>
              <w:tab w:val="left" w:pos="-1440"/>
              <w:tab w:val="left" w:pos="-720"/>
            </w:tabs>
            <w:jc w:val="center"/>
            <w:rPr>
              <w:sz w:val="20"/>
              <w:szCs w:val="20"/>
            </w:rPr>
          </w:pPr>
        </w:p>
        <w:p w:rsidR="0071552E" w:rsidRDefault="0071552E" w:rsidP="00102926">
          <w:pPr>
            <w:keepNext/>
            <w:keepLines/>
            <w:tabs>
              <w:tab w:val="left" w:pos="-1440"/>
              <w:tab w:val="left" w:pos="-720"/>
            </w:tabs>
            <w:jc w:val="center"/>
            <w:rPr>
              <w:sz w:val="20"/>
              <w:szCs w:val="20"/>
            </w:rPr>
          </w:pPr>
        </w:p>
        <w:p w:rsidR="0071552E" w:rsidRPr="00782AE4" w:rsidRDefault="0071552E" w:rsidP="00102926">
          <w:pPr>
            <w:keepNext/>
            <w:keepLines/>
            <w:tabs>
              <w:tab w:val="left" w:pos="-1440"/>
              <w:tab w:val="left" w:pos="-720"/>
            </w:tabs>
            <w:jc w:val="center"/>
            <w:rPr>
              <w:sz w:val="20"/>
              <w:szCs w:val="20"/>
            </w:rPr>
          </w:pPr>
        </w:p>
      </w:tc>
      <w:tc>
        <w:tcPr>
          <w:tcW w:w="4080" w:type="dxa"/>
          <w:tcMar>
            <w:left w:w="0" w:type="dxa"/>
            <w:right w:w="0" w:type="dxa"/>
          </w:tcMar>
        </w:tcPr>
        <w:p w:rsidR="0071552E" w:rsidRPr="00102926" w:rsidRDefault="0071552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1552E" w:rsidRPr="00782AE4" w:rsidRDefault="0071552E" w:rsidP="00102926">
          <w:pPr>
            <w:keepLines/>
            <w:tabs>
              <w:tab w:val="left" w:pos="-1440"/>
              <w:tab w:val="left" w:pos="-720"/>
            </w:tabs>
            <w:rPr>
              <w:sz w:val="20"/>
              <w:szCs w:val="20"/>
            </w:rPr>
          </w:pPr>
          <w:r w:rsidRPr="00102926">
            <w:rPr>
              <w:sz w:val="20"/>
              <w:szCs w:val="20"/>
              <w:lang w:val="fr-CA"/>
            </w:rPr>
            <w:t>RÉCENTS</w:t>
          </w:r>
        </w:p>
      </w:tc>
    </w:tr>
  </w:tbl>
  <w:p w:rsidR="0071552E" w:rsidRDefault="0071552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71552E" w:rsidRPr="0044776A" w:rsidTr="00245129">
      <w:tc>
        <w:tcPr>
          <w:tcW w:w="4290" w:type="dxa"/>
          <w:tcMar>
            <w:left w:w="0" w:type="dxa"/>
            <w:right w:w="0" w:type="dxa"/>
          </w:tcMar>
        </w:tcPr>
        <w:p w:rsidR="0071552E" w:rsidRPr="0044776A" w:rsidRDefault="0071552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1552E" w:rsidRPr="0044776A" w:rsidRDefault="0071552E" w:rsidP="002E2327">
          <w:pPr>
            <w:keepNext/>
            <w:keepLines/>
            <w:tabs>
              <w:tab w:val="left" w:pos="-1440"/>
              <w:tab w:val="left" w:pos="-720"/>
            </w:tabs>
            <w:jc w:val="center"/>
            <w:rPr>
              <w:sz w:val="20"/>
              <w:szCs w:val="20"/>
            </w:rPr>
          </w:pPr>
        </w:p>
        <w:p w:rsidR="0071552E" w:rsidRPr="0044776A" w:rsidRDefault="0071552E" w:rsidP="002E2327">
          <w:pPr>
            <w:keepNext/>
            <w:keepLines/>
            <w:tabs>
              <w:tab w:val="left" w:pos="-1440"/>
              <w:tab w:val="left" w:pos="-720"/>
            </w:tabs>
            <w:jc w:val="center"/>
            <w:rPr>
              <w:sz w:val="20"/>
              <w:szCs w:val="20"/>
            </w:rPr>
          </w:pPr>
        </w:p>
        <w:p w:rsidR="0071552E" w:rsidRPr="0044776A" w:rsidRDefault="0071552E" w:rsidP="002E2327">
          <w:pPr>
            <w:keepNext/>
            <w:keepLines/>
            <w:tabs>
              <w:tab w:val="left" w:pos="-1440"/>
              <w:tab w:val="left" w:pos="-720"/>
            </w:tabs>
            <w:jc w:val="center"/>
            <w:rPr>
              <w:sz w:val="20"/>
              <w:szCs w:val="20"/>
            </w:rPr>
          </w:pPr>
        </w:p>
      </w:tc>
      <w:tc>
        <w:tcPr>
          <w:tcW w:w="4320" w:type="dxa"/>
          <w:tcMar>
            <w:left w:w="0" w:type="dxa"/>
            <w:right w:w="0" w:type="dxa"/>
          </w:tcMar>
        </w:tcPr>
        <w:p w:rsidR="0071552E" w:rsidRPr="0044776A" w:rsidRDefault="0071552E" w:rsidP="002E2327">
          <w:pPr>
            <w:keepLines/>
            <w:rPr>
              <w:sz w:val="20"/>
              <w:szCs w:val="20"/>
              <w:lang w:val="fr-CA"/>
            </w:rPr>
          </w:pPr>
          <w:r w:rsidRPr="0044776A">
            <w:rPr>
              <w:sz w:val="20"/>
              <w:szCs w:val="20"/>
              <w:lang w:val="fr-CA"/>
            </w:rPr>
            <w:t>DEMANDES D'AUTORISATION D'APPEL DÉPOSÉES</w:t>
          </w:r>
        </w:p>
      </w:tc>
    </w:tr>
  </w:tbl>
  <w:p w:rsidR="0071552E" w:rsidRDefault="0071552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1552E" w:rsidRPr="00B6040C" w:rsidTr="00245129">
      <w:tc>
        <w:tcPr>
          <w:tcW w:w="4200" w:type="dxa"/>
          <w:tcMar>
            <w:left w:w="0" w:type="dxa"/>
            <w:right w:w="0" w:type="dxa"/>
          </w:tcMar>
        </w:tcPr>
        <w:p w:rsidR="0071552E" w:rsidRPr="0044776A" w:rsidRDefault="0071552E" w:rsidP="0044776A">
          <w:pPr>
            <w:keepNext/>
            <w:keepLines/>
            <w:widowControl w:val="0"/>
            <w:rPr>
              <w:sz w:val="20"/>
              <w:szCs w:val="20"/>
            </w:rPr>
          </w:pPr>
          <w:r>
            <w:rPr>
              <w:sz w:val="20"/>
              <w:szCs w:val="20"/>
            </w:rPr>
            <w:t>APPLICATIONS FOR LEAVE</w:t>
          </w:r>
        </w:p>
        <w:p w:rsidR="0071552E" w:rsidRPr="0044776A" w:rsidRDefault="0071552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1552E" w:rsidRPr="0044776A" w:rsidRDefault="0071552E" w:rsidP="0044776A">
          <w:pPr>
            <w:keepNext/>
            <w:keepLines/>
            <w:widowControl w:val="0"/>
            <w:jc w:val="center"/>
            <w:rPr>
              <w:sz w:val="20"/>
              <w:szCs w:val="20"/>
            </w:rPr>
          </w:pPr>
        </w:p>
        <w:p w:rsidR="0071552E" w:rsidRPr="0044776A" w:rsidRDefault="0071552E" w:rsidP="0044776A">
          <w:pPr>
            <w:keepNext/>
            <w:keepLines/>
            <w:widowControl w:val="0"/>
            <w:jc w:val="center"/>
            <w:rPr>
              <w:sz w:val="20"/>
              <w:szCs w:val="20"/>
            </w:rPr>
          </w:pPr>
        </w:p>
        <w:p w:rsidR="0071552E" w:rsidRPr="0044776A" w:rsidRDefault="0071552E" w:rsidP="0044776A">
          <w:pPr>
            <w:keepNext/>
            <w:keepLines/>
            <w:widowControl w:val="0"/>
            <w:jc w:val="center"/>
            <w:rPr>
              <w:sz w:val="20"/>
              <w:szCs w:val="20"/>
            </w:rPr>
          </w:pPr>
        </w:p>
      </w:tc>
      <w:tc>
        <w:tcPr>
          <w:tcW w:w="4080" w:type="dxa"/>
          <w:tcMar>
            <w:left w:w="0" w:type="dxa"/>
            <w:right w:w="0" w:type="dxa"/>
          </w:tcMar>
        </w:tcPr>
        <w:p w:rsidR="0071552E" w:rsidRPr="0044776A" w:rsidRDefault="0071552E" w:rsidP="0044776A">
          <w:pPr>
            <w:keepLines/>
            <w:widowControl w:val="0"/>
            <w:rPr>
              <w:sz w:val="20"/>
              <w:szCs w:val="20"/>
              <w:lang w:val="fr-CA"/>
            </w:rPr>
          </w:pPr>
          <w:r w:rsidRPr="0044776A">
            <w:rPr>
              <w:sz w:val="20"/>
              <w:szCs w:val="20"/>
              <w:lang w:val="fr-CA"/>
            </w:rPr>
            <w:t>DEMANDES SOUMISES À LA COUR DEPUIS LA DERNIÈRE PARUTION</w:t>
          </w:r>
        </w:p>
        <w:p w:rsidR="0071552E" w:rsidRPr="0044776A" w:rsidRDefault="0071552E" w:rsidP="0044776A">
          <w:pPr>
            <w:widowControl w:val="0"/>
            <w:rPr>
              <w:sz w:val="20"/>
              <w:szCs w:val="20"/>
              <w:lang w:val="fr-CA"/>
            </w:rPr>
          </w:pPr>
        </w:p>
      </w:tc>
    </w:tr>
  </w:tbl>
  <w:p w:rsidR="0071552E" w:rsidRPr="002E2327" w:rsidRDefault="0071552E">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2E" w:rsidRDefault="0071552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1552E" w:rsidRPr="00B6040C">
      <w:tc>
        <w:tcPr>
          <w:tcW w:w="4200" w:type="dxa"/>
          <w:tcMar>
            <w:left w:w="0" w:type="dxa"/>
            <w:right w:w="0" w:type="dxa"/>
          </w:tcMar>
        </w:tcPr>
        <w:p w:rsidR="0071552E" w:rsidRDefault="0071552E">
          <w:pPr>
            <w:keepNext/>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r>
            <w:rPr>
              <w:rFonts w:ascii="Times New" w:hAnsi="Times New"/>
            </w:rPr>
            <w:t>ORAL HEARING ON APPLICATIONS FOR LEAVE</w:t>
          </w:r>
        </w:p>
      </w:tc>
      <w:tc>
        <w:tcPr>
          <w:tcW w:w="1200" w:type="dxa"/>
          <w:tcMar>
            <w:left w:w="0" w:type="dxa"/>
            <w:right w:w="0" w:type="dxa"/>
          </w:tcMar>
        </w:tcPr>
        <w:p w:rsidR="0071552E" w:rsidRDefault="0071552E">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p>
      </w:tc>
      <w:tc>
        <w:tcPr>
          <w:tcW w:w="4080" w:type="dxa"/>
          <w:tcMar>
            <w:left w:w="0" w:type="dxa"/>
            <w:right w:w="0" w:type="dxa"/>
          </w:tcMar>
        </w:tcPr>
        <w:p w:rsidR="0071552E" w:rsidRPr="008D6812" w:rsidRDefault="0071552E">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lang w:val="fr-CA"/>
            </w:rPr>
          </w:pPr>
          <w:r w:rsidRPr="008D6812">
            <w:rPr>
              <w:rFonts w:ascii="Times New" w:hAnsi="Times New"/>
              <w:lang w:val="fr-CA"/>
            </w:rPr>
            <w:t xml:space="preserve">AUDIENCE SUR LES DEMANDES D’AUTORISATION </w:t>
          </w:r>
        </w:p>
      </w:tc>
    </w:tr>
  </w:tbl>
  <w:p w:rsidR="0071552E" w:rsidRPr="008D6812" w:rsidRDefault="0071552E">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71552E" w:rsidRPr="008D6812" w:rsidRDefault="0071552E">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1552E" w:rsidRPr="00B6040C" w:rsidTr="00245129">
      <w:tc>
        <w:tcPr>
          <w:tcW w:w="4200" w:type="dxa"/>
          <w:tcMar>
            <w:left w:w="0" w:type="dxa"/>
            <w:right w:w="0" w:type="dxa"/>
          </w:tcMar>
        </w:tcPr>
        <w:p w:rsidR="0071552E" w:rsidRPr="00755F22" w:rsidRDefault="0071552E" w:rsidP="00432989">
          <w:pPr>
            <w:rPr>
              <w:sz w:val="20"/>
              <w:szCs w:val="20"/>
            </w:rPr>
          </w:pPr>
          <w:r w:rsidRPr="00755F22">
            <w:rPr>
              <w:sz w:val="20"/>
              <w:szCs w:val="20"/>
            </w:rPr>
            <w:t>ORAL HEARING ON APPLICATIONS FOR LEAVE</w:t>
          </w:r>
        </w:p>
      </w:tc>
      <w:tc>
        <w:tcPr>
          <w:tcW w:w="1200" w:type="dxa"/>
          <w:tcMar>
            <w:left w:w="0" w:type="dxa"/>
            <w:right w:w="0" w:type="dxa"/>
          </w:tcMar>
        </w:tcPr>
        <w:p w:rsidR="0071552E" w:rsidRDefault="0071552E" w:rsidP="008D292F">
          <w:pPr>
            <w:jc w:val="center"/>
            <w:rPr>
              <w:sz w:val="20"/>
              <w:szCs w:val="20"/>
            </w:rPr>
          </w:pPr>
        </w:p>
        <w:p w:rsidR="0071552E" w:rsidRDefault="0071552E" w:rsidP="008D292F">
          <w:pPr>
            <w:jc w:val="center"/>
            <w:rPr>
              <w:sz w:val="20"/>
              <w:szCs w:val="20"/>
            </w:rPr>
          </w:pPr>
        </w:p>
        <w:p w:rsidR="0071552E" w:rsidRPr="00755F22" w:rsidRDefault="0071552E" w:rsidP="008D292F">
          <w:pPr>
            <w:jc w:val="center"/>
            <w:rPr>
              <w:sz w:val="20"/>
              <w:szCs w:val="20"/>
            </w:rPr>
          </w:pPr>
        </w:p>
      </w:tc>
      <w:tc>
        <w:tcPr>
          <w:tcW w:w="4080" w:type="dxa"/>
          <w:tcMar>
            <w:left w:w="0" w:type="dxa"/>
            <w:right w:w="0" w:type="dxa"/>
          </w:tcMar>
        </w:tcPr>
        <w:p w:rsidR="0071552E" w:rsidRPr="00755F22" w:rsidRDefault="0071552E" w:rsidP="00432989">
          <w:pPr>
            <w:rPr>
              <w:sz w:val="20"/>
              <w:szCs w:val="20"/>
              <w:lang w:val="fr-CA"/>
            </w:rPr>
          </w:pPr>
          <w:r w:rsidRPr="00755F22">
            <w:rPr>
              <w:sz w:val="20"/>
              <w:szCs w:val="20"/>
              <w:lang w:val="fr-CA"/>
            </w:rPr>
            <w:t xml:space="preserve">AUDIENCE SUR LES DEMANDES D’AUTORISATION </w:t>
          </w:r>
        </w:p>
      </w:tc>
    </w:tr>
  </w:tbl>
  <w:p w:rsidR="0071552E" w:rsidRPr="008D6812" w:rsidRDefault="0071552E">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71552E" w:rsidRPr="008D6812" w:rsidRDefault="0071552E">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6341"/>
  </w:hdrShapeDefaults>
  <w:footnotePr>
    <w:footnote w:id="-1"/>
    <w:footnote w:id="0"/>
  </w:footnotePr>
  <w:endnotePr>
    <w:endnote w:id="-1"/>
    <w:endnote w:id="0"/>
  </w:endnotePr>
  <w:compat/>
  <w:rsids>
    <w:rsidRoot w:val="00771FD0"/>
    <w:rsid w:val="0003223B"/>
    <w:rsid w:val="000327B2"/>
    <w:rsid w:val="00034D56"/>
    <w:rsid w:val="00041F8E"/>
    <w:rsid w:val="00090CA7"/>
    <w:rsid w:val="00091FA6"/>
    <w:rsid w:val="00096BD9"/>
    <w:rsid w:val="000A7308"/>
    <w:rsid w:val="000B3C9A"/>
    <w:rsid w:val="000B40A2"/>
    <w:rsid w:val="000B4624"/>
    <w:rsid w:val="000C0ACD"/>
    <w:rsid w:val="00102926"/>
    <w:rsid w:val="00105251"/>
    <w:rsid w:val="0010587F"/>
    <w:rsid w:val="00111C6B"/>
    <w:rsid w:val="00120F8A"/>
    <w:rsid w:val="0012102B"/>
    <w:rsid w:val="001277D5"/>
    <w:rsid w:val="0013369E"/>
    <w:rsid w:val="00152233"/>
    <w:rsid w:val="00156A3A"/>
    <w:rsid w:val="00164E6D"/>
    <w:rsid w:val="00180577"/>
    <w:rsid w:val="001A42A9"/>
    <w:rsid w:val="001B157C"/>
    <w:rsid w:val="001B5C23"/>
    <w:rsid w:val="001C5D48"/>
    <w:rsid w:val="001D0D5F"/>
    <w:rsid w:val="001D6B8C"/>
    <w:rsid w:val="001F1F83"/>
    <w:rsid w:val="002021A9"/>
    <w:rsid w:val="00207133"/>
    <w:rsid w:val="002139A7"/>
    <w:rsid w:val="00215F7C"/>
    <w:rsid w:val="00216231"/>
    <w:rsid w:val="0022323B"/>
    <w:rsid w:val="002410B8"/>
    <w:rsid w:val="00242AEE"/>
    <w:rsid w:val="00245129"/>
    <w:rsid w:val="00245879"/>
    <w:rsid w:val="00267FD5"/>
    <w:rsid w:val="00271473"/>
    <w:rsid w:val="00274D34"/>
    <w:rsid w:val="002829E5"/>
    <w:rsid w:val="0028676C"/>
    <w:rsid w:val="002868D0"/>
    <w:rsid w:val="002A27D1"/>
    <w:rsid w:val="002A4AFA"/>
    <w:rsid w:val="002B516C"/>
    <w:rsid w:val="002D72EB"/>
    <w:rsid w:val="002E2327"/>
    <w:rsid w:val="002E3583"/>
    <w:rsid w:val="002E5576"/>
    <w:rsid w:val="00331B52"/>
    <w:rsid w:val="003359D3"/>
    <w:rsid w:val="003551A6"/>
    <w:rsid w:val="00355967"/>
    <w:rsid w:val="00382C47"/>
    <w:rsid w:val="00384384"/>
    <w:rsid w:val="003866AE"/>
    <w:rsid w:val="003A0638"/>
    <w:rsid w:val="003A5772"/>
    <w:rsid w:val="003B3977"/>
    <w:rsid w:val="003C39DB"/>
    <w:rsid w:val="003F6E1F"/>
    <w:rsid w:val="00417B01"/>
    <w:rsid w:val="00432989"/>
    <w:rsid w:val="00440E24"/>
    <w:rsid w:val="0044776A"/>
    <w:rsid w:val="00460AFC"/>
    <w:rsid w:val="0047471F"/>
    <w:rsid w:val="004B195E"/>
    <w:rsid w:val="004B2CEB"/>
    <w:rsid w:val="004B66B4"/>
    <w:rsid w:val="004B7F60"/>
    <w:rsid w:val="004C1AAC"/>
    <w:rsid w:val="004C479E"/>
    <w:rsid w:val="004C57A3"/>
    <w:rsid w:val="004D0746"/>
    <w:rsid w:val="004D37D0"/>
    <w:rsid w:val="004E1E0A"/>
    <w:rsid w:val="004E4F0E"/>
    <w:rsid w:val="004F090E"/>
    <w:rsid w:val="00527CC7"/>
    <w:rsid w:val="00531E90"/>
    <w:rsid w:val="00571CA4"/>
    <w:rsid w:val="00582136"/>
    <w:rsid w:val="0058224C"/>
    <w:rsid w:val="005B6BD0"/>
    <w:rsid w:val="005C6840"/>
    <w:rsid w:val="005E60B4"/>
    <w:rsid w:val="005F263E"/>
    <w:rsid w:val="00600252"/>
    <w:rsid w:val="00611030"/>
    <w:rsid w:val="00612A40"/>
    <w:rsid w:val="006229CC"/>
    <w:rsid w:val="0062714A"/>
    <w:rsid w:val="00644375"/>
    <w:rsid w:val="00644684"/>
    <w:rsid w:val="00675479"/>
    <w:rsid w:val="00680709"/>
    <w:rsid w:val="00696BF9"/>
    <w:rsid w:val="00697C62"/>
    <w:rsid w:val="006A2BC4"/>
    <w:rsid w:val="006A329B"/>
    <w:rsid w:val="006A7EB8"/>
    <w:rsid w:val="006B0EA7"/>
    <w:rsid w:val="006B3FA1"/>
    <w:rsid w:val="006B6926"/>
    <w:rsid w:val="006C3CC2"/>
    <w:rsid w:val="006C3F47"/>
    <w:rsid w:val="006C5F7A"/>
    <w:rsid w:val="006E06AF"/>
    <w:rsid w:val="006E5D7C"/>
    <w:rsid w:val="006F350F"/>
    <w:rsid w:val="007005EC"/>
    <w:rsid w:val="00704F01"/>
    <w:rsid w:val="0071552E"/>
    <w:rsid w:val="00720634"/>
    <w:rsid w:val="00732DB7"/>
    <w:rsid w:val="0074238B"/>
    <w:rsid w:val="00745EF7"/>
    <w:rsid w:val="00755F22"/>
    <w:rsid w:val="00766E4A"/>
    <w:rsid w:val="00771E7B"/>
    <w:rsid w:val="00771FD0"/>
    <w:rsid w:val="0077694A"/>
    <w:rsid w:val="00780B94"/>
    <w:rsid w:val="007820CE"/>
    <w:rsid w:val="00782AE4"/>
    <w:rsid w:val="00790D88"/>
    <w:rsid w:val="0079724F"/>
    <w:rsid w:val="007A3EAE"/>
    <w:rsid w:val="007B42A4"/>
    <w:rsid w:val="007C04FC"/>
    <w:rsid w:val="007D3E0F"/>
    <w:rsid w:val="007E34CE"/>
    <w:rsid w:val="007E4282"/>
    <w:rsid w:val="007F387B"/>
    <w:rsid w:val="00802863"/>
    <w:rsid w:val="0080649D"/>
    <w:rsid w:val="00815B3C"/>
    <w:rsid w:val="008250A2"/>
    <w:rsid w:val="0082783A"/>
    <w:rsid w:val="00831CA9"/>
    <w:rsid w:val="00835FBA"/>
    <w:rsid w:val="00850E1F"/>
    <w:rsid w:val="0085476B"/>
    <w:rsid w:val="00856F72"/>
    <w:rsid w:val="00890FEB"/>
    <w:rsid w:val="00896702"/>
    <w:rsid w:val="008B658D"/>
    <w:rsid w:val="008D292F"/>
    <w:rsid w:val="008D3430"/>
    <w:rsid w:val="008E03DC"/>
    <w:rsid w:val="008F19F3"/>
    <w:rsid w:val="0091358E"/>
    <w:rsid w:val="00924065"/>
    <w:rsid w:val="00930D68"/>
    <w:rsid w:val="00932DB4"/>
    <w:rsid w:val="00941A4B"/>
    <w:rsid w:val="00946242"/>
    <w:rsid w:val="0095096B"/>
    <w:rsid w:val="00970CD3"/>
    <w:rsid w:val="009723FA"/>
    <w:rsid w:val="00984546"/>
    <w:rsid w:val="00996510"/>
    <w:rsid w:val="009A52C6"/>
    <w:rsid w:val="009C7243"/>
    <w:rsid w:val="009D1F15"/>
    <w:rsid w:val="009D555E"/>
    <w:rsid w:val="009F3024"/>
    <w:rsid w:val="00A0355E"/>
    <w:rsid w:val="00A12C62"/>
    <w:rsid w:val="00A375D1"/>
    <w:rsid w:val="00A44805"/>
    <w:rsid w:val="00A51D10"/>
    <w:rsid w:val="00A52A83"/>
    <w:rsid w:val="00A6552C"/>
    <w:rsid w:val="00A7514B"/>
    <w:rsid w:val="00A87207"/>
    <w:rsid w:val="00A935AA"/>
    <w:rsid w:val="00AA4F37"/>
    <w:rsid w:val="00AB2201"/>
    <w:rsid w:val="00AD1DE6"/>
    <w:rsid w:val="00AD3259"/>
    <w:rsid w:val="00AF1715"/>
    <w:rsid w:val="00AF3904"/>
    <w:rsid w:val="00B010C0"/>
    <w:rsid w:val="00B42610"/>
    <w:rsid w:val="00B4740D"/>
    <w:rsid w:val="00B47FC7"/>
    <w:rsid w:val="00B6040C"/>
    <w:rsid w:val="00B61629"/>
    <w:rsid w:val="00B63A48"/>
    <w:rsid w:val="00B7374B"/>
    <w:rsid w:val="00B76B3D"/>
    <w:rsid w:val="00B90DC0"/>
    <w:rsid w:val="00B9513B"/>
    <w:rsid w:val="00BA116A"/>
    <w:rsid w:val="00BA5582"/>
    <w:rsid w:val="00BA6468"/>
    <w:rsid w:val="00BB1D44"/>
    <w:rsid w:val="00BC4B21"/>
    <w:rsid w:val="00BD06DA"/>
    <w:rsid w:val="00BD4217"/>
    <w:rsid w:val="00BE0CFF"/>
    <w:rsid w:val="00BE61F1"/>
    <w:rsid w:val="00BF25F3"/>
    <w:rsid w:val="00C1697B"/>
    <w:rsid w:val="00C21CB5"/>
    <w:rsid w:val="00C50A5C"/>
    <w:rsid w:val="00C50FDF"/>
    <w:rsid w:val="00C63381"/>
    <w:rsid w:val="00C66744"/>
    <w:rsid w:val="00C73D06"/>
    <w:rsid w:val="00C73E1B"/>
    <w:rsid w:val="00C759B4"/>
    <w:rsid w:val="00C77713"/>
    <w:rsid w:val="00C85BB7"/>
    <w:rsid w:val="00CB43D5"/>
    <w:rsid w:val="00CC4D84"/>
    <w:rsid w:val="00CE198A"/>
    <w:rsid w:val="00D40839"/>
    <w:rsid w:val="00D64224"/>
    <w:rsid w:val="00D64901"/>
    <w:rsid w:val="00D76BDF"/>
    <w:rsid w:val="00D862C1"/>
    <w:rsid w:val="00D93174"/>
    <w:rsid w:val="00D93B50"/>
    <w:rsid w:val="00D94670"/>
    <w:rsid w:val="00D94824"/>
    <w:rsid w:val="00DA46F6"/>
    <w:rsid w:val="00DD0B49"/>
    <w:rsid w:val="00DE0502"/>
    <w:rsid w:val="00DE1DD2"/>
    <w:rsid w:val="00E00E04"/>
    <w:rsid w:val="00E06DFA"/>
    <w:rsid w:val="00E20A0A"/>
    <w:rsid w:val="00E32CC0"/>
    <w:rsid w:val="00E356C7"/>
    <w:rsid w:val="00E402A7"/>
    <w:rsid w:val="00E409F7"/>
    <w:rsid w:val="00E45FE4"/>
    <w:rsid w:val="00E64FA7"/>
    <w:rsid w:val="00E770CB"/>
    <w:rsid w:val="00E903A1"/>
    <w:rsid w:val="00E940EB"/>
    <w:rsid w:val="00E9703F"/>
    <w:rsid w:val="00EA65C4"/>
    <w:rsid w:val="00EB2B90"/>
    <w:rsid w:val="00EB3081"/>
    <w:rsid w:val="00ED7E83"/>
    <w:rsid w:val="00EE091F"/>
    <w:rsid w:val="00EE5697"/>
    <w:rsid w:val="00EF47F2"/>
    <w:rsid w:val="00EF4B63"/>
    <w:rsid w:val="00F0068D"/>
    <w:rsid w:val="00F0576D"/>
    <w:rsid w:val="00F14E6D"/>
    <w:rsid w:val="00F15EA8"/>
    <w:rsid w:val="00F16C8D"/>
    <w:rsid w:val="00F26C61"/>
    <w:rsid w:val="00F33CCE"/>
    <w:rsid w:val="00F40249"/>
    <w:rsid w:val="00F44F3A"/>
    <w:rsid w:val="00F526C8"/>
    <w:rsid w:val="00F74142"/>
    <w:rsid w:val="00F761A3"/>
    <w:rsid w:val="00F86B6A"/>
    <w:rsid w:val="00F9272D"/>
    <w:rsid w:val="00F9518C"/>
    <w:rsid w:val="00FA316E"/>
    <w:rsid w:val="00FA4CDE"/>
    <w:rsid w:val="00FA59EF"/>
    <w:rsid w:val="00FB19A2"/>
    <w:rsid w:val="00FD3F8F"/>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63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table" w:customStyle="1" w:styleId="TableGrid1">
    <w:name w:val="Table Grid1"/>
    <w:basedOn w:val="TableNormal"/>
    <w:next w:val="TableGrid"/>
    <w:uiPriority w:val="59"/>
    <w:rsid w:val="006E5D7C"/>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owerCourtNameLowercase">
    <w:name w:val="SCC.LowerCourtNameLowercase"/>
    <w:basedOn w:val="SCCNormalDoubleSpacing"/>
    <w:next w:val="SCCNormalDoubleSpacing"/>
    <w:rsid w:val="009A52C6"/>
    <w:pPr>
      <w:tabs>
        <w:tab w:val="left" w:pos="1168"/>
      </w:tabs>
    </w:pPr>
    <w:rPr>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footer" Target="footer27.xml"/><Relationship Id="rId68" Type="http://schemas.openxmlformats.org/officeDocument/2006/relationships/footer" Target="footer29.xml"/><Relationship Id="rId7" Type="http://schemas.openxmlformats.org/officeDocument/2006/relationships/image" Target="media/image1.wmf"/><Relationship Id="rId71" Type="http://schemas.openxmlformats.org/officeDocument/2006/relationships/footer" Target="footer3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footer" Target="footer10.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header" Target="header29.xm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4.xml"/><Relationship Id="rId61" Type="http://schemas.openxmlformats.org/officeDocument/2006/relationships/header" Target="header2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8.xml"/><Relationship Id="rId73" Type="http://schemas.openxmlformats.org/officeDocument/2006/relationships/footer" Target="footer32.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header" Target="header28.xml"/><Relationship Id="rId69" Type="http://schemas.openxmlformats.org/officeDocument/2006/relationships/footer" Target="footer30.xml"/><Relationship Id="rId8" Type="http://schemas.openxmlformats.org/officeDocument/2006/relationships/hyperlink" Target="http://www.scc-csc.gc.ca" TargetMode="External"/><Relationship Id="rId51" Type="http://schemas.openxmlformats.org/officeDocument/2006/relationships/footer" Target="footer21.xml"/><Relationship Id="rId72" Type="http://schemas.openxmlformats.org/officeDocument/2006/relationships/header" Target="header32.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5.xml"/><Relationship Id="rId67" Type="http://schemas.openxmlformats.org/officeDocument/2006/relationships/header" Target="header30.xml"/><Relationship Id="rId20" Type="http://schemas.openxmlformats.org/officeDocument/2006/relationships/header" Target="header6.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footer" Target="footer26.xml"/><Relationship Id="rId70" Type="http://schemas.openxmlformats.org/officeDocument/2006/relationships/header" Target="header3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22124</Words>
  <Characters>126110</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2013-05-17T18:54:00Z</dcterms:created>
  <dcterms:modified xsi:type="dcterms:W3CDTF">2014-06-27T14:14:00Z</dcterms:modified>
</cp:coreProperties>
</file>