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695043"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69504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95043"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69504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95043" w:rsidTr="002E5576">
        <w:tc>
          <w:tcPr>
            <w:tcW w:w="4518" w:type="dxa"/>
          </w:tcPr>
          <w:p w:rsidR="00BF25F3" w:rsidRPr="002E2327" w:rsidRDefault="00B35B9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35B9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695043"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695043"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821D0" w:rsidP="00F0068D">
      <w:pPr>
        <w:pBdr>
          <w:bottom w:val="single" w:sz="6" w:space="1" w:color="auto"/>
        </w:pBdr>
        <w:tabs>
          <w:tab w:val="center" w:pos="4680"/>
          <w:tab w:val="right" w:pos="9360"/>
        </w:tabs>
        <w:rPr>
          <w:lang w:val="fr-CA"/>
        </w:rPr>
      </w:pPr>
      <w:r>
        <w:rPr>
          <w:lang w:val="fr-CA"/>
        </w:rPr>
        <w:t>M</w:t>
      </w:r>
      <w:r w:rsidR="00C73D06">
        <w:rPr>
          <w:lang w:val="fr-CA"/>
        </w:rPr>
        <w:t>ay</w:t>
      </w:r>
      <w:r w:rsidR="00440E24" w:rsidRPr="00675479">
        <w:rPr>
          <w:lang w:val="fr-CA"/>
        </w:rPr>
        <w:t xml:space="preserve"> </w:t>
      </w:r>
      <w:r>
        <w:rPr>
          <w:lang w:val="fr-CA"/>
        </w:rPr>
        <w:t>2</w:t>
      </w:r>
      <w:r w:rsidR="00F761A3">
        <w:rPr>
          <w:lang w:val="fr-CA"/>
        </w:rPr>
        <w:t>4</w:t>
      </w:r>
      <w:r w:rsidR="00440E24" w:rsidRPr="00675479">
        <w:rPr>
          <w:lang w:val="fr-CA"/>
        </w:rPr>
        <w:t>, 201</w:t>
      </w:r>
      <w:r w:rsidR="00F761A3">
        <w:rPr>
          <w:lang w:val="fr-CA"/>
        </w:rPr>
        <w:t>3</w:t>
      </w:r>
      <w:r w:rsidR="00F0068D" w:rsidRPr="00675479">
        <w:rPr>
          <w:lang w:val="fr-CA"/>
        </w:rPr>
        <w:tab/>
      </w:r>
      <w:r>
        <w:rPr>
          <w:lang w:val="fr-CA"/>
        </w:rPr>
        <w:t>928</w:t>
      </w:r>
      <w:r w:rsidR="00F0068D" w:rsidRPr="00675479">
        <w:rPr>
          <w:lang w:val="fr-CA"/>
        </w:rPr>
        <w:t xml:space="preserve"> - </w:t>
      </w:r>
      <w:r>
        <w:rPr>
          <w:lang w:val="fr-CA"/>
        </w:rPr>
        <w:t>97</w:t>
      </w:r>
      <w:r w:rsidR="009275E5">
        <w:rPr>
          <w:lang w:val="fr-CA"/>
        </w:rPr>
        <w:t>5</w:t>
      </w:r>
      <w:r w:rsidR="00440E24" w:rsidRPr="00675479">
        <w:rPr>
          <w:lang w:val="fr-CA"/>
        </w:rPr>
        <w:tab/>
      </w:r>
      <w:r w:rsidR="00440E24" w:rsidRPr="002E2327">
        <w:rPr>
          <w:lang w:val="fr-CA"/>
        </w:rPr>
        <w:t>Le</w:t>
      </w:r>
      <w:r w:rsidR="00C73D06">
        <w:rPr>
          <w:lang w:val="fr-CA"/>
        </w:rPr>
        <w:t xml:space="preserve"> </w:t>
      </w:r>
      <w:r>
        <w:rPr>
          <w:lang w:val="fr-CA"/>
        </w:rPr>
        <w:t>2</w:t>
      </w:r>
      <w:r w:rsidR="00F761A3">
        <w:rPr>
          <w:lang w:val="fr-CA"/>
        </w:rPr>
        <w:t>4</w:t>
      </w:r>
      <w:r w:rsidR="00C73D06">
        <w:rPr>
          <w:lang w:val="fr-CA"/>
        </w:rPr>
        <w:t xml:space="preserve"> </w:t>
      </w:r>
      <w:r>
        <w:rPr>
          <w:lang w:val="fr-CA"/>
        </w:rPr>
        <w:t>m</w:t>
      </w:r>
      <w:r w:rsidR="00440E24" w:rsidRPr="002E2327">
        <w:rPr>
          <w:lang w:val="fr-CA"/>
        </w:rPr>
        <w:t>ai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C821D0" w:rsidRDefault="00440E24" w:rsidP="00440E24">
      <w:pPr>
        <w:pBdr>
          <w:bottom w:val="single" w:sz="6" w:space="1" w:color="auto"/>
        </w:pBdr>
        <w:tabs>
          <w:tab w:val="right" w:pos="9360"/>
        </w:tabs>
        <w:rPr>
          <w:sz w:val="18"/>
          <w:szCs w:val="18"/>
          <w:lang w:val="fr-CA"/>
        </w:rPr>
      </w:pPr>
      <w:r w:rsidRPr="00C821D0">
        <w:rPr>
          <w:sz w:val="18"/>
          <w:szCs w:val="18"/>
          <w:lang w:val="fr-CA"/>
        </w:rPr>
        <w:t xml:space="preserve">© </w:t>
      </w:r>
      <w:proofErr w:type="spellStart"/>
      <w:r w:rsidRPr="00C821D0">
        <w:rPr>
          <w:sz w:val="18"/>
          <w:szCs w:val="18"/>
          <w:lang w:val="fr-CA"/>
        </w:rPr>
        <w:t>Supreme</w:t>
      </w:r>
      <w:proofErr w:type="spellEnd"/>
      <w:r w:rsidRPr="00C821D0">
        <w:rPr>
          <w:sz w:val="18"/>
          <w:szCs w:val="18"/>
          <w:lang w:val="fr-CA"/>
        </w:rPr>
        <w:t xml:space="preserve"> Court of Canada (201</w:t>
      </w:r>
      <w:r w:rsidR="00F761A3" w:rsidRPr="00C821D0">
        <w:rPr>
          <w:sz w:val="18"/>
          <w:szCs w:val="18"/>
          <w:lang w:val="fr-CA"/>
        </w:rPr>
        <w:t>3</w:t>
      </w:r>
      <w:r w:rsidRPr="00C821D0">
        <w:rPr>
          <w:sz w:val="18"/>
          <w:szCs w:val="18"/>
          <w:lang w:val="fr-CA"/>
        </w:rPr>
        <w:t>)</w:t>
      </w:r>
      <w:r w:rsidRPr="00C821D0">
        <w:rPr>
          <w:sz w:val="18"/>
          <w:szCs w:val="18"/>
          <w:lang w:val="fr-CA"/>
        </w:rPr>
        <w:tab/>
        <w:t>© Cour suprême du Canada (201</w:t>
      </w:r>
      <w:r w:rsidR="00F761A3" w:rsidRPr="00C821D0">
        <w:rPr>
          <w:sz w:val="18"/>
          <w:szCs w:val="18"/>
          <w:lang w:val="fr-CA"/>
        </w:rPr>
        <w:t>3</w:t>
      </w:r>
      <w:r w:rsidRPr="00C821D0">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Oral hearing ordered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p w:rsidR="00A87207" w:rsidRPr="002E2327" w:rsidRDefault="00A87207" w:rsidP="00C821D0">
            <w:pPr>
              <w:tabs>
                <w:tab w:val="right" w:pos="9360"/>
              </w:tabs>
              <w:rPr>
                <w:rFonts w:cs="Times New Roman"/>
                <w:sz w:val="20"/>
                <w:szCs w:val="20"/>
              </w:rPr>
            </w:pPr>
          </w:p>
        </w:tc>
        <w:tc>
          <w:tcPr>
            <w:tcW w:w="1980" w:type="dxa"/>
          </w:tcPr>
          <w:p w:rsidR="0095096B" w:rsidRPr="002E2327" w:rsidRDefault="00BB046C" w:rsidP="0095096B">
            <w:pPr>
              <w:jc w:val="center"/>
              <w:rPr>
                <w:rFonts w:cs="Times New Roman"/>
                <w:sz w:val="20"/>
                <w:szCs w:val="20"/>
              </w:rPr>
            </w:pPr>
            <w:r>
              <w:rPr>
                <w:rFonts w:cs="Times New Roman"/>
                <w:sz w:val="20"/>
                <w:szCs w:val="20"/>
              </w:rPr>
              <w:t xml:space="preserve">928 </w:t>
            </w:r>
            <w:r w:rsidR="00B35B95" w:rsidRPr="002E2327">
              <w:rPr>
                <w:rFonts w:cs="Times New Roman"/>
                <w:sz w:val="20"/>
                <w:szCs w:val="20"/>
              </w:rPr>
              <w:fldChar w:fldCharType="begin"/>
            </w:r>
            <w:r w:rsidR="0095096B" w:rsidRPr="002E2327">
              <w:rPr>
                <w:rFonts w:cs="Times New Roman"/>
                <w:sz w:val="20"/>
                <w:szCs w:val="20"/>
              </w:rPr>
              <w:instrText xml:space="preserve"> SEQ CHAPTER \h \r 1</w:instrText>
            </w:r>
            <w:r w:rsidR="00B35B95"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930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B046C" w:rsidP="0095096B">
            <w:pPr>
              <w:jc w:val="center"/>
              <w:rPr>
                <w:rFonts w:cs="Times New Roman"/>
                <w:sz w:val="20"/>
                <w:szCs w:val="20"/>
              </w:rPr>
            </w:pPr>
            <w:r>
              <w:rPr>
                <w:rFonts w:cs="Times New Roman"/>
                <w:sz w:val="20"/>
                <w:szCs w:val="20"/>
              </w:rPr>
              <w:t>931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B046C" w:rsidP="0095096B">
            <w:pPr>
              <w:jc w:val="center"/>
              <w:rPr>
                <w:rFonts w:cs="Times New Roman"/>
                <w:sz w:val="20"/>
                <w:szCs w:val="20"/>
              </w:rPr>
            </w:pPr>
            <w:r>
              <w:rPr>
                <w:rFonts w:cs="Times New Roman"/>
                <w:sz w:val="20"/>
                <w:szCs w:val="20"/>
              </w:rPr>
              <w:t xml:space="preserve">932 - </w:t>
            </w:r>
            <w:r w:rsidR="009275E5">
              <w:rPr>
                <w:rFonts w:cs="Times New Roman"/>
                <w:sz w:val="20"/>
                <w:szCs w:val="20"/>
              </w:rPr>
              <w:t>933</w:t>
            </w:r>
          </w:p>
          <w:p w:rsidR="0095096B" w:rsidRPr="002E2327" w:rsidRDefault="0095096B" w:rsidP="0095096B">
            <w:pPr>
              <w:jc w:val="center"/>
              <w:rPr>
                <w:rFonts w:cs="Times New Roman"/>
                <w:sz w:val="20"/>
                <w:szCs w:val="20"/>
              </w:rPr>
            </w:pPr>
          </w:p>
          <w:p w:rsidR="0095096B" w:rsidRPr="002E2327" w:rsidRDefault="009275E5" w:rsidP="0095096B">
            <w:pPr>
              <w:jc w:val="center"/>
              <w:rPr>
                <w:rFonts w:cs="Times New Roman"/>
                <w:sz w:val="20"/>
                <w:szCs w:val="20"/>
              </w:rPr>
            </w:pPr>
            <w:r>
              <w:rPr>
                <w:rFonts w:cs="Times New Roman"/>
                <w:sz w:val="20"/>
                <w:szCs w:val="20"/>
              </w:rPr>
              <w:t xml:space="preserve">934 </w:t>
            </w:r>
            <w:r w:rsidR="0095096B" w:rsidRPr="002E2327">
              <w:rPr>
                <w:rFonts w:cs="Times New Roman"/>
                <w:sz w:val="20"/>
                <w:szCs w:val="20"/>
              </w:rPr>
              <w:t>-</w:t>
            </w:r>
            <w:r>
              <w:rPr>
                <w:rFonts w:cs="Times New Roman"/>
                <w:sz w:val="20"/>
                <w:szCs w:val="20"/>
              </w:rPr>
              <w:t xml:space="preserve"> 955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275E5" w:rsidP="0095096B">
            <w:pPr>
              <w:jc w:val="center"/>
              <w:rPr>
                <w:rFonts w:cs="Times New Roman"/>
                <w:sz w:val="20"/>
                <w:szCs w:val="20"/>
              </w:rPr>
            </w:pPr>
            <w:r>
              <w:rPr>
                <w:rFonts w:cs="Times New Roman"/>
                <w:sz w:val="20"/>
                <w:szCs w:val="20"/>
              </w:rPr>
              <w:t xml:space="preserve">956 </w:t>
            </w:r>
            <w:r w:rsidR="0095096B" w:rsidRPr="002E2327">
              <w:rPr>
                <w:rFonts w:cs="Times New Roman"/>
                <w:sz w:val="20"/>
                <w:szCs w:val="20"/>
              </w:rPr>
              <w:t>-</w:t>
            </w:r>
            <w:r>
              <w:rPr>
                <w:rFonts w:cs="Times New Roman"/>
                <w:sz w:val="20"/>
                <w:szCs w:val="20"/>
              </w:rPr>
              <w:t xml:space="preserve"> 959</w:t>
            </w:r>
          </w:p>
          <w:p w:rsidR="0095096B" w:rsidRPr="002E2327" w:rsidRDefault="0095096B" w:rsidP="0095096B">
            <w:pPr>
              <w:jc w:val="center"/>
              <w:rPr>
                <w:rFonts w:cs="Times New Roman"/>
                <w:sz w:val="20"/>
                <w:szCs w:val="20"/>
              </w:rPr>
            </w:pPr>
          </w:p>
          <w:p w:rsidR="009275E5" w:rsidRDefault="009275E5" w:rsidP="0095096B">
            <w:pPr>
              <w:jc w:val="center"/>
              <w:rPr>
                <w:rFonts w:cs="Times New Roman"/>
                <w:sz w:val="20"/>
                <w:szCs w:val="20"/>
              </w:rPr>
            </w:pPr>
            <w:r>
              <w:rPr>
                <w:rFonts w:cs="Times New Roman"/>
                <w:sz w:val="20"/>
                <w:szCs w:val="20"/>
              </w:rPr>
              <w:t>960</w:t>
            </w:r>
          </w:p>
          <w:p w:rsidR="009275E5" w:rsidRDefault="009275E5" w:rsidP="0095096B">
            <w:pPr>
              <w:jc w:val="center"/>
              <w:rPr>
                <w:rFonts w:cs="Times New Roman"/>
                <w:sz w:val="20"/>
                <w:szCs w:val="20"/>
              </w:rPr>
            </w:pPr>
          </w:p>
          <w:p w:rsidR="009275E5" w:rsidRDefault="009275E5" w:rsidP="0095096B">
            <w:pPr>
              <w:jc w:val="center"/>
              <w:rPr>
                <w:rFonts w:cs="Times New Roman"/>
                <w:sz w:val="20"/>
                <w:szCs w:val="20"/>
              </w:rPr>
            </w:pPr>
          </w:p>
          <w:p w:rsidR="0095096B" w:rsidRPr="002E2327" w:rsidRDefault="009275E5" w:rsidP="0095096B">
            <w:pPr>
              <w:jc w:val="center"/>
              <w:rPr>
                <w:rFonts w:cs="Times New Roman"/>
                <w:sz w:val="20"/>
                <w:szCs w:val="20"/>
              </w:rPr>
            </w:pPr>
            <w:r>
              <w:rPr>
                <w:rFonts w:cs="Times New Roman"/>
                <w:sz w:val="20"/>
                <w:szCs w:val="20"/>
              </w:rPr>
              <w:t xml:space="preserve">961 </w:t>
            </w:r>
            <w:r w:rsidR="0095096B" w:rsidRPr="002E2327">
              <w:rPr>
                <w:rFonts w:cs="Times New Roman"/>
                <w:sz w:val="20"/>
                <w:szCs w:val="20"/>
              </w:rPr>
              <w:t>-</w:t>
            </w:r>
            <w:r>
              <w:rPr>
                <w:rFonts w:cs="Times New Roman"/>
                <w:sz w:val="20"/>
                <w:szCs w:val="20"/>
              </w:rPr>
              <w:t xml:space="preserve"> 963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275E5" w:rsidP="0095096B">
            <w:pPr>
              <w:jc w:val="center"/>
              <w:rPr>
                <w:rFonts w:cs="Times New Roman"/>
                <w:sz w:val="20"/>
                <w:szCs w:val="20"/>
              </w:rPr>
            </w:pPr>
            <w:r>
              <w:rPr>
                <w:rFonts w:cs="Times New Roman"/>
                <w:sz w:val="20"/>
                <w:szCs w:val="20"/>
              </w:rPr>
              <w:t xml:space="preserve">964 </w:t>
            </w:r>
            <w:r w:rsidR="0095096B" w:rsidRPr="002E2327">
              <w:rPr>
                <w:rFonts w:cs="Times New Roman"/>
                <w:sz w:val="20"/>
                <w:szCs w:val="20"/>
              </w:rPr>
              <w:t>-</w:t>
            </w:r>
            <w:r>
              <w:rPr>
                <w:rFonts w:cs="Times New Roman"/>
                <w:sz w:val="20"/>
                <w:szCs w:val="20"/>
              </w:rPr>
              <w:t xml:space="preserve"> 965</w:t>
            </w:r>
          </w:p>
          <w:p w:rsidR="0095096B" w:rsidRPr="002E2327" w:rsidRDefault="0095096B" w:rsidP="0095096B">
            <w:pPr>
              <w:jc w:val="center"/>
              <w:rPr>
                <w:rFonts w:cs="Times New Roman"/>
                <w:sz w:val="20"/>
                <w:szCs w:val="20"/>
              </w:rPr>
            </w:pPr>
          </w:p>
          <w:p w:rsidR="009275E5" w:rsidRDefault="009275E5" w:rsidP="0095096B">
            <w:pPr>
              <w:jc w:val="center"/>
              <w:rPr>
                <w:rFonts w:cs="Times New Roman"/>
                <w:sz w:val="20"/>
                <w:szCs w:val="20"/>
              </w:rPr>
            </w:pPr>
          </w:p>
          <w:p w:rsidR="0095096B" w:rsidRPr="002E2327" w:rsidRDefault="009275E5" w:rsidP="0095096B">
            <w:pPr>
              <w:jc w:val="center"/>
              <w:rPr>
                <w:rFonts w:cs="Times New Roman"/>
                <w:sz w:val="20"/>
                <w:szCs w:val="20"/>
              </w:rPr>
            </w:pPr>
            <w:r>
              <w:rPr>
                <w:rFonts w:cs="Times New Roman"/>
                <w:sz w:val="20"/>
                <w:szCs w:val="20"/>
              </w:rPr>
              <w:t xml:space="preserve">966 </w:t>
            </w:r>
            <w:r w:rsidR="0095096B" w:rsidRPr="002E2327">
              <w:rPr>
                <w:rFonts w:cs="Times New Roman"/>
                <w:sz w:val="20"/>
                <w:szCs w:val="20"/>
              </w:rPr>
              <w:t>-</w:t>
            </w:r>
            <w:r>
              <w:rPr>
                <w:rFonts w:cs="Times New Roman"/>
                <w:sz w:val="20"/>
                <w:szCs w:val="20"/>
              </w:rPr>
              <w:t xml:space="preserve"> 975</w:t>
            </w:r>
          </w:p>
          <w:p w:rsidR="00A87207" w:rsidRPr="002E2327" w:rsidRDefault="00A87207" w:rsidP="00C821D0">
            <w:pPr>
              <w:tabs>
                <w:tab w:val="right" w:pos="9360"/>
              </w:tabs>
              <w:jc w:val="center"/>
              <w:rPr>
                <w:rFonts w:cs="Times New Roman"/>
                <w:sz w:val="20"/>
                <w:szCs w:val="20"/>
              </w:rPr>
            </w:pPr>
          </w:p>
        </w:tc>
        <w:tc>
          <w:tcPr>
            <w:tcW w:w="3888" w:type="dxa"/>
          </w:tcPr>
          <w:p w:rsidR="0095096B" w:rsidRPr="002E2327" w:rsidRDefault="00B35B9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Audience ordonnée</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C821D0">
            <w:pPr>
              <w:tabs>
                <w:tab w:val="right" w:pos="9360"/>
              </w:tabs>
              <w:rPr>
                <w:rFonts w:cs="Times New Roman"/>
                <w:sz w:val="20"/>
                <w:szCs w:val="20"/>
                <w:lang w:val="fr-CA"/>
              </w:rPr>
            </w:pPr>
          </w:p>
        </w:tc>
      </w:tr>
    </w:tbl>
    <w:p w:rsidR="0095096B" w:rsidRDefault="0095096B" w:rsidP="0095096B">
      <w:pPr>
        <w:tabs>
          <w:tab w:val="right" w:pos="9360"/>
        </w:tabs>
      </w:pPr>
    </w:p>
    <w:p w:rsidR="00C821D0" w:rsidRDefault="00C821D0" w:rsidP="0095096B">
      <w:pPr>
        <w:tabs>
          <w:tab w:val="right" w:pos="9360"/>
        </w:tabs>
      </w:pPr>
    </w:p>
    <w:p w:rsidR="00C821D0" w:rsidRDefault="00C821D0" w:rsidP="0095096B">
      <w:pPr>
        <w:tabs>
          <w:tab w:val="right" w:pos="9360"/>
        </w:tabs>
      </w:pPr>
    </w:p>
    <w:p w:rsidR="00C821D0" w:rsidRDefault="00C821D0" w:rsidP="0095096B">
      <w:pPr>
        <w:tabs>
          <w:tab w:val="right" w:pos="9360"/>
        </w:tabs>
      </w:pPr>
    </w:p>
    <w:p w:rsidR="00C821D0" w:rsidRPr="002E2327" w:rsidRDefault="00C821D0" w:rsidP="0095096B">
      <w:pPr>
        <w:tabs>
          <w:tab w:val="right" w:pos="9360"/>
        </w:tabs>
      </w:pPr>
    </w:p>
    <w:tbl>
      <w:tblPr>
        <w:tblStyle w:val="TableGrid"/>
        <w:tblW w:w="0" w:type="auto"/>
        <w:tblLook w:val="04A0"/>
      </w:tblPr>
      <w:tblGrid>
        <w:gridCol w:w="9576"/>
      </w:tblGrid>
      <w:tr w:rsidR="0079724F" w:rsidRPr="00695043"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E73486" w:rsidRPr="00A935AA" w:rsidTr="00370584">
        <w:tc>
          <w:tcPr>
            <w:tcW w:w="4320" w:type="dxa"/>
            <w:shd w:val="clear" w:color="auto" w:fill="auto"/>
          </w:tcPr>
          <w:p w:rsidR="00E73486" w:rsidRPr="001D1C2E" w:rsidRDefault="00E73486" w:rsidP="00370584">
            <w:pPr>
              <w:rPr>
                <w:b/>
                <w:sz w:val="20"/>
                <w:szCs w:val="20"/>
                <w:lang w:val="fr-CA"/>
              </w:rPr>
            </w:pPr>
            <w:r w:rsidRPr="001D1C2E">
              <w:rPr>
                <w:b/>
                <w:sz w:val="20"/>
                <w:szCs w:val="20"/>
                <w:lang w:val="fr-CA"/>
              </w:rPr>
              <w:t>Association pour la protection des automobilistes (APA)</w:t>
            </w:r>
            <w:r>
              <w:rPr>
                <w:b/>
                <w:sz w:val="20"/>
                <w:szCs w:val="20"/>
                <w:lang w:val="fr-CA"/>
              </w:rPr>
              <w:t xml:space="preserve"> et autres</w:t>
            </w:r>
          </w:p>
          <w:p w:rsidR="00E73486" w:rsidRPr="001D1C2E" w:rsidRDefault="00E73486" w:rsidP="00370584">
            <w:pPr>
              <w:tabs>
                <w:tab w:val="left" w:pos="-1440"/>
                <w:tab w:val="left" w:pos="-720"/>
              </w:tabs>
              <w:rPr>
                <w:sz w:val="20"/>
                <w:szCs w:val="20"/>
              </w:rPr>
            </w:pPr>
            <w:r w:rsidRPr="001D1C2E">
              <w:rPr>
                <w:sz w:val="20"/>
                <w:szCs w:val="20"/>
                <w:lang w:val="fr-CA"/>
              </w:rPr>
              <w:tab/>
            </w:r>
            <w:r w:rsidRPr="001D1C2E">
              <w:rPr>
                <w:sz w:val="20"/>
                <w:szCs w:val="20"/>
              </w:rPr>
              <w:t>Christopher Richter</w:t>
            </w:r>
          </w:p>
          <w:p w:rsidR="00E73486" w:rsidRPr="001D1C2E" w:rsidRDefault="00E73486" w:rsidP="00370584">
            <w:pPr>
              <w:tabs>
                <w:tab w:val="left" w:pos="-1440"/>
                <w:tab w:val="left" w:pos="-720"/>
              </w:tabs>
              <w:rPr>
                <w:sz w:val="20"/>
                <w:szCs w:val="20"/>
              </w:rPr>
            </w:pPr>
            <w:r w:rsidRPr="001D1C2E">
              <w:rPr>
                <w:sz w:val="20"/>
                <w:szCs w:val="20"/>
              </w:rPr>
              <w:tab/>
              <w:t xml:space="preserve">Woods, </w:t>
            </w:r>
            <w:proofErr w:type="spellStart"/>
            <w:r w:rsidRPr="001D1C2E">
              <w:rPr>
                <w:sz w:val="20"/>
                <w:szCs w:val="20"/>
              </w:rPr>
              <w:t>s.e.n.c.r.l</w:t>
            </w:r>
            <w:proofErr w:type="spellEnd"/>
            <w:r>
              <w:rPr>
                <w:sz w:val="20"/>
                <w:szCs w:val="20"/>
              </w:rPr>
              <w:t>.</w:t>
            </w:r>
          </w:p>
          <w:p w:rsidR="00E73486" w:rsidRPr="001D1C2E" w:rsidRDefault="00E73486" w:rsidP="00370584">
            <w:pPr>
              <w:tabs>
                <w:tab w:val="left" w:pos="-1440"/>
                <w:tab w:val="left" w:pos="-720"/>
              </w:tabs>
              <w:rPr>
                <w:sz w:val="20"/>
                <w:szCs w:val="20"/>
              </w:rPr>
            </w:pPr>
          </w:p>
          <w:p w:rsidR="00E73486" w:rsidRPr="001D1C2E" w:rsidRDefault="00E73486" w:rsidP="00370584">
            <w:pPr>
              <w:tabs>
                <w:tab w:val="left" w:pos="-1440"/>
                <w:tab w:val="left" w:pos="-720"/>
              </w:tabs>
              <w:rPr>
                <w:sz w:val="20"/>
                <w:szCs w:val="20"/>
                <w:lang w:val="fr-CA"/>
              </w:rPr>
            </w:pPr>
            <w:r w:rsidRPr="001D1C2E">
              <w:rPr>
                <w:sz w:val="20"/>
                <w:szCs w:val="20"/>
              </w:rPr>
              <w:tab/>
            </w:r>
            <w:r w:rsidRPr="001D1C2E">
              <w:rPr>
                <w:sz w:val="20"/>
                <w:szCs w:val="20"/>
                <w:lang w:val="fr-CA"/>
              </w:rPr>
              <w:t>c. (35335)</w:t>
            </w:r>
          </w:p>
          <w:p w:rsidR="00E73486" w:rsidRPr="001D1C2E" w:rsidRDefault="00E73486" w:rsidP="00370584">
            <w:pPr>
              <w:tabs>
                <w:tab w:val="left" w:pos="-1440"/>
                <w:tab w:val="left" w:pos="-720"/>
              </w:tabs>
              <w:rPr>
                <w:sz w:val="20"/>
                <w:szCs w:val="20"/>
                <w:lang w:val="fr-CA"/>
              </w:rPr>
            </w:pPr>
          </w:p>
          <w:p w:rsidR="00E73486" w:rsidRPr="001D1C2E" w:rsidRDefault="00E73486" w:rsidP="00370584">
            <w:pPr>
              <w:tabs>
                <w:tab w:val="left" w:pos="-1440"/>
                <w:tab w:val="left" w:pos="-720"/>
              </w:tabs>
              <w:rPr>
                <w:b/>
                <w:sz w:val="20"/>
                <w:szCs w:val="20"/>
                <w:lang w:val="fr-CA"/>
              </w:rPr>
            </w:pPr>
            <w:r w:rsidRPr="001D1C2E">
              <w:rPr>
                <w:b/>
                <w:sz w:val="20"/>
                <w:szCs w:val="20"/>
                <w:lang w:val="fr-CA"/>
              </w:rPr>
              <w:t>Pétro-Canada et autres (</w:t>
            </w:r>
            <w:proofErr w:type="spellStart"/>
            <w:r w:rsidRPr="001D1C2E">
              <w:rPr>
                <w:b/>
                <w:sz w:val="20"/>
                <w:szCs w:val="20"/>
                <w:lang w:val="fr-CA"/>
              </w:rPr>
              <w:t>Qc</w:t>
            </w:r>
            <w:proofErr w:type="spellEnd"/>
            <w:r w:rsidRPr="001D1C2E">
              <w:rPr>
                <w:b/>
                <w:sz w:val="20"/>
                <w:szCs w:val="20"/>
                <w:lang w:val="fr-CA"/>
              </w:rPr>
              <w:t>)</w:t>
            </w:r>
          </w:p>
          <w:p w:rsidR="00E73486" w:rsidRPr="001D1C2E" w:rsidRDefault="00E73486" w:rsidP="00370584">
            <w:pPr>
              <w:tabs>
                <w:tab w:val="left" w:pos="-1440"/>
                <w:tab w:val="left" w:pos="-720"/>
              </w:tabs>
              <w:rPr>
                <w:sz w:val="20"/>
                <w:szCs w:val="20"/>
              </w:rPr>
            </w:pPr>
            <w:r w:rsidRPr="001D1C2E">
              <w:rPr>
                <w:sz w:val="20"/>
                <w:szCs w:val="20"/>
                <w:lang w:val="fr-CA"/>
              </w:rPr>
              <w:tab/>
            </w:r>
            <w:r w:rsidRPr="001D1C2E">
              <w:rPr>
                <w:sz w:val="20"/>
                <w:szCs w:val="20"/>
              </w:rPr>
              <w:t xml:space="preserve">Éric </w:t>
            </w:r>
            <w:proofErr w:type="spellStart"/>
            <w:r w:rsidRPr="001D1C2E">
              <w:rPr>
                <w:sz w:val="20"/>
                <w:szCs w:val="20"/>
              </w:rPr>
              <w:t>Dunberry</w:t>
            </w:r>
            <w:proofErr w:type="spellEnd"/>
          </w:p>
          <w:p w:rsidR="00E73486" w:rsidRPr="001D1C2E" w:rsidRDefault="00E73486" w:rsidP="00370584">
            <w:pPr>
              <w:tabs>
                <w:tab w:val="left" w:pos="-1440"/>
                <w:tab w:val="left" w:pos="-720"/>
              </w:tabs>
              <w:rPr>
                <w:sz w:val="20"/>
                <w:szCs w:val="20"/>
              </w:rPr>
            </w:pPr>
            <w:r w:rsidRPr="001D1C2E">
              <w:rPr>
                <w:sz w:val="20"/>
                <w:szCs w:val="20"/>
              </w:rPr>
              <w:tab/>
              <w:t xml:space="preserve">Norton Rose Canada, </w:t>
            </w:r>
            <w:proofErr w:type="spellStart"/>
            <w:r w:rsidRPr="001D1C2E">
              <w:rPr>
                <w:sz w:val="20"/>
                <w:szCs w:val="20"/>
              </w:rPr>
              <w:t>s.e.n.c.r.l</w:t>
            </w:r>
            <w:proofErr w:type="spellEnd"/>
            <w:r w:rsidRPr="001D1C2E">
              <w:rPr>
                <w:sz w:val="20"/>
                <w:szCs w:val="20"/>
              </w:rPr>
              <w:t>.,</w:t>
            </w:r>
            <w:r>
              <w:rPr>
                <w:sz w:val="20"/>
                <w:szCs w:val="20"/>
              </w:rPr>
              <w:t xml:space="preserve"> </w:t>
            </w:r>
            <w:proofErr w:type="spellStart"/>
            <w:r>
              <w:rPr>
                <w:sz w:val="20"/>
                <w:szCs w:val="20"/>
              </w:rPr>
              <w:t>s.r.l</w:t>
            </w:r>
            <w:proofErr w:type="spellEnd"/>
            <w:r>
              <w:rPr>
                <w:sz w:val="20"/>
                <w:szCs w:val="20"/>
              </w:rPr>
              <w:t>.</w:t>
            </w:r>
          </w:p>
          <w:p w:rsidR="00E73486" w:rsidRPr="001D1C2E" w:rsidRDefault="00E73486" w:rsidP="00370584">
            <w:pPr>
              <w:tabs>
                <w:tab w:val="left" w:pos="-1440"/>
                <w:tab w:val="left" w:pos="-720"/>
              </w:tabs>
              <w:rPr>
                <w:sz w:val="20"/>
                <w:szCs w:val="20"/>
              </w:rPr>
            </w:pPr>
          </w:p>
          <w:p w:rsidR="00E73486" w:rsidRPr="00A935AA" w:rsidRDefault="00E73486" w:rsidP="00370584">
            <w:pPr>
              <w:rPr>
                <w:sz w:val="20"/>
                <w:szCs w:val="20"/>
              </w:rPr>
            </w:pPr>
            <w:r w:rsidRPr="00A935AA">
              <w:rPr>
                <w:sz w:val="20"/>
                <w:szCs w:val="20"/>
              </w:rPr>
              <w:t>DATE</w:t>
            </w:r>
            <w:r>
              <w:rPr>
                <w:sz w:val="20"/>
                <w:szCs w:val="20"/>
              </w:rPr>
              <w:t xml:space="preserve"> DE PRODUCTION </w:t>
            </w:r>
            <w:r w:rsidRPr="00A935AA">
              <w:rPr>
                <w:sz w:val="20"/>
                <w:szCs w:val="20"/>
              </w:rPr>
              <w:t xml:space="preserve">: </w:t>
            </w:r>
            <w:r>
              <w:rPr>
                <w:sz w:val="20"/>
                <w:szCs w:val="20"/>
              </w:rPr>
              <w:t>22</w:t>
            </w:r>
            <w:r w:rsidRPr="00A935AA">
              <w:rPr>
                <w:sz w:val="20"/>
                <w:szCs w:val="20"/>
              </w:rPr>
              <w:t>.0</w:t>
            </w:r>
            <w:r>
              <w:rPr>
                <w:sz w:val="20"/>
                <w:szCs w:val="20"/>
              </w:rPr>
              <w:t>4</w:t>
            </w:r>
            <w:r w:rsidRPr="00A935AA">
              <w:rPr>
                <w:sz w:val="20"/>
                <w:szCs w:val="20"/>
              </w:rPr>
              <w:t>.201</w:t>
            </w:r>
            <w:r>
              <w:rPr>
                <w:sz w:val="20"/>
                <w:szCs w:val="20"/>
              </w:rPr>
              <w:t>3</w:t>
            </w:r>
          </w:p>
          <w:p w:rsidR="00E73486" w:rsidRPr="00A935AA" w:rsidRDefault="00B35B95" w:rsidP="00370584">
            <w:pPr>
              <w:rPr>
                <w:sz w:val="20"/>
                <w:szCs w:val="20"/>
              </w:rPr>
            </w:pPr>
            <w:r w:rsidRPr="00B35B95">
              <w:rPr>
                <w:sz w:val="20"/>
                <w:szCs w:val="20"/>
                <w:lang w:val="fr-CA"/>
              </w:rPr>
              <w:pict>
                <v:rect id="_x0000_i1025" style="width:108pt;height:1pt" o:hrpct="0" o:hralign="center" o:hrstd="t" o:hrnoshade="t" o:hr="t" fillcolor="black [3213]" stroked="f"/>
              </w:pict>
            </w:r>
          </w:p>
        </w:tc>
        <w:tc>
          <w:tcPr>
            <w:tcW w:w="1181" w:type="dxa"/>
            <w:shd w:val="clear" w:color="auto" w:fill="auto"/>
          </w:tcPr>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tc>
        <w:tc>
          <w:tcPr>
            <w:tcW w:w="4320" w:type="dxa"/>
            <w:shd w:val="clear" w:color="auto" w:fill="auto"/>
          </w:tcPr>
          <w:p w:rsidR="00E73486" w:rsidRPr="00A935AA" w:rsidRDefault="00E73486" w:rsidP="00370584">
            <w:pPr>
              <w:keepNext/>
              <w:keepLines/>
              <w:tabs>
                <w:tab w:val="left" w:pos="-1440"/>
                <w:tab w:val="left" w:pos="-720"/>
              </w:tabs>
              <w:rPr>
                <w:b/>
                <w:sz w:val="20"/>
                <w:szCs w:val="20"/>
              </w:rPr>
            </w:pPr>
            <w:r>
              <w:rPr>
                <w:b/>
                <w:sz w:val="20"/>
                <w:szCs w:val="20"/>
              </w:rPr>
              <w:t>David Carl Sunshine</w:t>
            </w:r>
          </w:p>
          <w:p w:rsidR="00E73486" w:rsidRDefault="00E73486" w:rsidP="00370584">
            <w:pPr>
              <w:keepNext/>
              <w:keepLines/>
              <w:tabs>
                <w:tab w:val="left" w:pos="-1440"/>
                <w:tab w:val="left" w:pos="-720"/>
              </w:tabs>
              <w:rPr>
                <w:sz w:val="20"/>
                <w:szCs w:val="20"/>
              </w:rPr>
            </w:pPr>
            <w:r>
              <w:rPr>
                <w:sz w:val="20"/>
                <w:szCs w:val="20"/>
              </w:rPr>
              <w:tab/>
              <w:t>Joseph J. Blazina</w:t>
            </w:r>
          </w:p>
          <w:p w:rsidR="00E73486" w:rsidRPr="00A935AA" w:rsidRDefault="00E73486" w:rsidP="00370584">
            <w:pPr>
              <w:keepNext/>
              <w:keepLines/>
              <w:tabs>
                <w:tab w:val="left" w:pos="-1440"/>
                <w:tab w:val="left" w:pos="-720"/>
              </w:tabs>
              <w:rPr>
                <w:sz w:val="20"/>
                <w:szCs w:val="20"/>
              </w:rPr>
            </w:pPr>
            <w:r w:rsidRPr="00A935AA">
              <w:rPr>
                <w:sz w:val="20"/>
                <w:szCs w:val="20"/>
              </w:rPr>
              <w:tab/>
            </w:r>
            <w:r>
              <w:rPr>
                <w:sz w:val="20"/>
                <w:szCs w:val="20"/>
              </w:rPr>
              <w:t xml:space="preserve">McCullough Blazina Dieno Gustafson &amp; </w:t>
            </w:r>
            <w:r>
              <w:rPr>
                <w:sz w:val="20"/>
                <w:szCs w:val="20"/>
              </w:rPr>
              <w:tab/>
              <w:t>Watt</w:t>
            </w:r>
          </w:p>
          <w:p w:rsidR="00E73486" w:rsidRPr="00A935AA" w:rsidRDefault="00E73486" w:rsidP="00370584">
            <w:pPr>
              <w:keepNext/>
              <w:keepLines/>
              <w:tabs>
                <w:tab w:val="left" w:pos="-1440"/>
                <w:tab w:val="left" w:pos="-720"/>
              </w:tabs>
              <w:rPr>
                <w:sz w:val="20"/>
                <w:szCs w:val="20"/>
              </w:rPr>
            </w:pPr>
          </w:p>
          <w:p w:rsidR="00E73486" w:rsidRPr="001D1C2E" w:rsidRDefault="00E73486" w:rsidP="00370584">
            <w:pPr>
              <w:keepNext/>
              <w:keepLines/>
              <w:tabs>
                <w:tab w:val="left" w:pos="-1440"/>
                <w:tab w:val="left" w:pos="-720"/>
              </w:tabs>
              <w:rPr>
                <w:sz w:val="20"/>
                <w:szCs w:val="20"/>
              </w:rPr>
            </w:pPr>
            <w:r w:rsidRPr="00A935AA">
              <w:rPr>
                <w:sz w:val="20"/>
                <w:szCs w:val="20"/>
              </w:rPr>
              <w:tab/>
            </w:r>
            <w:r w:rsidRPr="001D1C2E">
              <w:rPr>
                <w:sz w:val="20"/>
                <w:szCs w:val="20"/>
              </w:rPr>
              <w:t>v. (35</w:t>
            </w:r>
            <w:r>
              <w:rPr>
                <w:sz w:val="20"/>
                <w:szCs w:val="20"/>
              </w:rPr>
              <w:t>336</w:t>
            </w:r>
            <w:r w:rsidRPr="001D1C2E">
              <w:rPr>
                <w:sz w:val="20"/>
                <w:szCs w:val="20"/>
              </w:rPr>
              <w:t>)</w:t>
            </w:r>
          </w:p>
          <w:p w:rsidR="00E73486" w:rsidRPr="001D1C2E" w:rsidRDefault="00E73486" w:rsidP="00370584">
            <w:pPr>
              <w:keepNext/>
              <w:keepLines/>
              <w:tabs>
                <w:tab w:val="left" w:pos="-1440"/>
                <w:tab w:val="left" w:pos="-720"/>
              </w:tabs>
              <w:rPr>
                <w:sz w:val="20"/>
                <w:szCs w:val="20"/>
              </w:rPr>
            </w:pPr>
          </w:p>
          <w:p w:rsidR="00E73486" w:rsidRPr="001D1C2E" w:rsidRDefault="00E73486" w:rsidP="00370584">
            <w:pPr>
              <w:keepNext/>
              <w:keepLines/>
              <w:tabs>
                <w:tab w:val="left" w:pos="-1440"/>
                <w:tab w:val="left" w:pos="-720"/>
              </w:tabs>
              <w:rPr>
                <w:b/>
                <w:sz w:val="20"/>
                <w:szCs w:val="20"/>
              </w:rPr>
            </w:pPr>
            <w:r>
              <w:rPr>
                <w:b/>
                <w:sz w:val="20"/>
                <w:szCs w:val="20"/>
              </w:rPr>
              <w:t xml:space="preserve">Her Majesty the Queen </w:t>
            </w:r>
            <w:r w:rsidRPr="001D1C2E">
              <w:rPr>
                <w:b/>
                <w:sz w:val="20"/>
                <w:szCs w:val="20"/>
              </w:rPr>
              <w:t>(</w:t>
            </w:r>
            <w:r>
              <w:rPr>
                <w:b/>
                <w:sz w:val="20"/>
                <w:szCs w:val="20"/>
              </w:rPr>
              <w:t>B.C</w:t>
            </w:r>
            <w:r w:rsidRPr="001D1C2E">
              <w:rPr>
                <w:b/>
                <w:sz w:val="20"/>
                <w:szCs w:val="20"/>
              </w:rPr>
              <w:t>.)</w:t>
            </w:r>
          </w:p>
          <w:p w:rsidR="00E73486" w:rsidRPr="001D1C2E" w:rsidRDefault="00E73486" w:rsidP="00370584">
            <w:pPr>
              <w:keepNext/>
              <w:keepLines/>
              <w:tabs>
                <w:tab w:val="left" w:pos="-1440"/>
                <w:tab w:val="left" w:pos="-720"/>
              </w:tabs>
              <w:rPr>
                <w:sz w:val="20"/>
                <w:szCs w:val="20"/>
              </w:rPr>
            </w:pPr>
            <w:r w:rsidRPr="001D1C2E">
              <w:rPr>
                <w:sz w:val="20"/>
                <w:szCs w:val="20"/>
              </w:rPr>
              <w:tab/>
            </w:r>
            <w:r>
              <w:rPr>
                <w:sz w:val="20"/>
                <w:szCs w:val="20"/>
              </w:rPr>
              <w:t>Richard C.C. Peck, Q.C.</w:t>
            </w:r>
          </w:p>
          <w:p w:rsidR="00E73486" w:rsidRPr="001D1C2E" w:rsidRDefault="00E73486" w:rsidP="00370584">
            <w:pPr>
              <w:keepNext/>
              <w:keepLines/>
              <w:tabs>
                <w:tab w:val="left" w:pos="-1440"/>
                <w:tab w:val="left" w:pos="-720"/>
              </w:tabs>
              <w:rPr>
                <w:sz w:val="20"/>
                <w:szCs w:val="20"/>
              </w:rPr>
            </w:pPr>
            <w:r w:rsidRPr="001D1C2E">
              <w:rPr>
                <w:sz w:val="20"/>
                <w:szCs w:val="20"/>
              </w:rPr>
              <w:tab/>
            </w:r>
            <w:r>
              <w:rPr>
                <w:sz w:val="20"/>
                <w:szCs w:val="20"/>
              </w:rPr>
              <w:t>Peck and Company</w:t>
            </w:r>
          </w:p>
          <w:p w:rsidR="00E73486" w:rsidRPr="001D1C2E" w:rsidRDefault="00E73486" w:rsidP="00370584">
            <w:pPr>
              <w:keepNext/>
              <w:keepLines/>
              <w:tabs>
                <w:tab w:val="left" w:pos="-1440"/>
                <w:tab w:val="left" w:pos="-720"/>
              </w:tabs>
              <w:rPr>
                <w:sz w:val="20"/>
                <w:szCs w:val="20"/>
              </w:rPr>
            </w:pPr>
          </w:p>
          <w:p w:rsidR="00E73486" w:rsidRPr="00A935AA" w:rsidRDefault="00E73486" w:rsidP="00370584">
            <w:pPr>
              <w:rPr>
                <w:sz w:val="20"/>
                <w:szCs w:val="20"/>
              </w:rPr>
            </w:pPr>
            <w:r w:rsidRPr="00A935AA">
              <w:rPr>
                <w:sz w:val="20"/>
                <w:szCs w:val="20"/>
              </w:rPr>
              <w:t xml:space="preserve">FILING DATE: </w:t>
            </w:r>
            <w:r>
              <w:rPr>
                <w:sz w:val="20"/>
                <w:szCs w:val="20"/>
              </w:rPr>
              <w:t>25</w:t>
            </w:r>
            <w:r w:rsidRPr="00A935AA">
              <w:rPr>
                <w:sz w:val="20"/>
                <w:szCs w:val="20"/>
              </w:rPr>
              <w:t>.0</w:t>
            </w:r>
            <w:r>
              <w:rPr>
                <w:sz w:val="20"/>
                <w:szCs w:val="20"/>
              </w:rPr>
              <w:t>4</w:t>
            </w:r>
            <w:r w:rsidRPr="00A935AA">
              <w:rPr>
                <w:sz w:val="20"/>
                <w:szCs w:val="20"/>
              </w:rPr>
              <w:t>.201</w:t>
            </w:r>
            <w:r>
              <w:rPr>
                <w:sz w:val="20"/>
                <w:szCs w:val="20"/>
              </w:rPr>
              <w:t>3</w:t>
            </w:r>
            <w:r w:rsidR="00B35B95" w:rsidRPr="00B35B95">
              <w:rPr>
                <w:sz w:val="20"/>
                <w:szCs w:val="20"/>
                <w:lang w:val="fr-CA"/>
              </w:rPr>
              <w:pict>
                <v:rect id="_x0000_i1026" style="width:108pt;height:1pt" o:hrpct="0" o:hralign="center" o:hrstd="t" o:hrnoshade="t" o:hr="t" fillcolor="black [3213]" stroked="f"/>
              </w:pict>
            </w:r>
          </w:p>
        </w:tc>
      </w:tr>
      <w:tr w:rsidR="00E73486" w:rsidRPr="00A935AA" w:rsidTr="00370584">
        <w:tc>
          <w:tcPr>
            <w:tcW w:w="4320" w:type="dxa"/>
            <w:shd w:val="clear" w:color="auto" w:fill="auto"/>
          </w:tcPr>
          <w:p w:rsidR="00E73486" w:rsidRPr="00A935AA" w:rsidRDefault="00E73486" w:rsidP="00370584">
            <w:pPr>
              <w:rPr>
                <w:b/>
                <w:sz w:val="20"/>
                <w:szCs w:val="20"/>
              </w:rPr>
            </w:pPr>
            <w:r>
              <w:rPr>
                <w:b/>
                <w:sz w:val="20"/>
                <w:szCs w:val="20"/>
              </w:rPr>
              <w:t>Her Majesty the Queen</w:t>
            </w:r>
          </w:p>
          <w:p w:rsidR="00E73486" w:rsidRPr="00A935AA" w:rsidRDefault="00E73486" w:rsidP="00370584">
            <w:pPr>
              <w:tabs>
                <w:tab w:val="left" w:pos="-1440"/>
                <w:tab w:val="left" w:pos="-720"/>
              </w:tabs>
              <w:rPr>
                <w:sz w:val="20"/>
                <w:szCs w:val="20"/>
              </w:rPr>
            </w:pPr>
            <w:r w:rsidRPr="00A935AA">
              <w:rPr>
                <w:sz w:val="20"/>
                <w:szCs w:val="20"/>
              </w:rPr>
              <w:tab/>
            </w:r>
            <w:r>
              <w:rPr>
                <w:sz w:val="20"/>
                <w:szCs w:val="20"/>
              </w:rPr>
              <w:t>Gregory J. Tweney</w:t>
            </w:r>
          </w:p>
          <w:p w:rsidR="00E73486" w:rsidRPr="00A935AA" w:rsidRDefault="00E73486" w:rsidP="00370584">
            <w:pPr>
              <w:tabs>
                <w:tab w:val="left" w:pos="-1440"/>
                <w:tab w:val="left" w:pos="-720"/>
              </w:tabs>
              <w:rPr>
                <w:sz w:val="20"/>
                <w:szCs w:val="20"/>
              </w:rPr>
            </w:pPr>
            <w:r w:rsidRPr="00A935AA">
              <w:rPr>
                <w:sz w:val="20"/>
                <w:szCs w:val="20"/>
              </w:rPr>
              <w:tab/>
            </w:r>
            <w:r>
              <w:rPr>
                <w:sz w:val="20"/>
                <w:szCs w:val="20"/>
              </w:rPr>
              <w:t>A.G. of Ontario</w:t>
            </w:r>
          </w:p>
          <w:p w:rsidR="00E73486" w:rsidRPr="00A935AA" w:rsidRDefault="00E73486" w:rsidP="00370584">
            <w:pPr>
              <w:tabs>
                <w:tab w:val="left" w:pos="-1440"/>
                <w:tab w:val="left" w:pos="-720"/>
              </w:tabs>
              <w:rPr>
                <w:sz w:val="20"/>
                <w:szCs w:val="20"/>
              </w:rPr>
            </w:pPr>
          </w:p>
          <w:p w:rsidR="00E73486" w:rsidRPr="00A935AA" w:rsidRDefault="00E73486" w:rsidP="00370584">
            <w:pPr>
              <w:tabs>
                <w:tab w:val="left" w:pos="-1440"/>
                <w:tab w:val="left" w:pos="-720"/>
              </w:tabs>
              <w:rPr>
                <w:sz w:val="20"/>
                <w:szCs w:val="20"/>
              </w:rPr>
            </w:pPr>
            <w:r w:rsidRPr="00A935AA">
              <w:rPr>
                <w:sz w:val="20"/>
                <w:szCs w:val="20"/>
              </w:rPr>
              <w:tab/>
              <w:t>v. (3</w:t>
            </w:r>
            <w:r>
              <w:rPr>
                <w:sz w:val="20"/>
                <w:szCs w:val="20"/>
              </w:rPr>
              <w:t>5339</w:t>
            </w:r>
            <w:r w:rsidRPr="00A935AA">
              <w:rPr>
                <w:sz w:val="20"/>
                <w:szCs w:val="20"/>
              </w:rPr>
              <w:t>)</w:t>
            </w:r>
          </w:p>
          <w:p w:rsidR="00E73486" w:rsidRPr="00A935AA" w:rsidRDefault="00E73486" w:rsidP="00370584">
            <w:pPr>
              <w:tabs>
                <w:tab w:val="left" w:pos="-1440"/>
                <w:tab w:val="left" w:pos="-720"/>
              </w:tabs>
              <w:rPr>
                <w:sz w:val="20"/>
                <w:szCs w:val="20"/>
              </w:rPr>
            </w:pPr>
          </w:p>
          <w:p w:rsidR="00E73486" w:rsidRPr="00A935AA" w:rsidRDefault="00E73486" w:rsidP="00370584">
            <w:pPr>
              <w:tabs>
                <w:tab w:val="left" w:pos="-1440"/>
                <w:tab w:val="left" w:pos="-720"/>
              </w:tabs>
              <w:rPr>
                <w:b/>
                <w:sz w:val="20"/>
                <w:szCs w:val="20"/>
              </w:rPr>
            </w:pPr>
            <w:r>
              <w:rPr>
                <w:b/>
                <w:sz w:val="20"/>
                <w:szCs w:val="20"/>
              </w:rPr>
              <w:t xml:space="preserve">Sean Summers </w:t>
            </w:r>
            <w:r w:rsidRPr="00A935AA">
              <w:rPr>
                <w:b/>
                <w:sz w:val="20"/>
                <w:szCs w:val="20"/>
              </w:rPr>
              <w:t>(</w:t>
            </w:r>
            <w:r>
              <w:rPr>
                <w:b/>
                <w:sz w:val="20"/>
                <w:szCs w:val="20"/>
              </w:rPr>
              <w:t>Ont</w:t>
            </w:r>
            <w:r w:rsidRPr="00A935AA">
              <w:rPr>
                <w:b/>
                <w:sz w:val="20"/>
                <w:szCs w:val="20"/>
              </w:rPr>
              <w:t>.)</w:t>
            </w:r>
          </w:p>
          <w:p w:rsidR="00E73486" w:rsidRPr="00A935AA" w:rsidRDefault="00E73486" w:rsidP="00370584">
            <w:pPr>
              <w:tabs>
                <w:tab w:val="left" w:pos="-1440"/>
                <w:tab w:val="left" w:pos="-720"/>
              </w:tabs>
              <w:rPr>
                <w:sz w:val="20"/>
                <w:szCs w:val="20"/>
              </w:rPr>
            </w:pPr>
            <w:r w:rsidRPr="00A935AA">
              <w:rPr>
                <w:sz w:val="20"/>
                <w:szCs w:val="20"/>
              </w:rPr>
              <w:tab/>
            </w:r>
            <w:r>
              <w:rPr>
                <w:sz w:val="20"/>
                <w:szCs w:val="20"/>
              </w:rPr>
              <w:t>Timothy E. Breen</w:t>
            </w:r>
          </w:p>
          <w:p w:rsidR="00E73486" w:rsidRPr="00A935AA" w:rsidRDefault="00E73486" w:rsidP="00370584">
            <w:pPr>
              <w:tabs>
                <w:tab w:val="left" w:pos="-1440"/>
                <w:tab w:val="left" w:pos="-720"/>
              </w:tabs>
              <w:rPr>
                <w:sz w:val="20"/>
                <w:szCs w:val="20"/>
              </w:rPr>
            </w:pPr>
            <w:r w:rsidRPr="00A935AA">
              <w:rPr>
                <w:sz w:val="20"/>
                <w:szCs w:val="20"/>
              </w:rPr>
              <w:tab/>
            </w:r>
            <w:r>
              <w:rPr>
                <w:sz w:val="20"/>
                <w:szCs w:val="20"/>
              </w:rPr>
              <w:t>Fleming, Breen</w:t>
            </w:r>
          </w:p>
          <w:p w:rsidR="00E73486" w:rsidRPr="00A935AA" w:rsidRDefault="00E73486" w:rsidP="00370584">
            <w:pPr>
              <w:tabs>
                <w:tab w:val="left" w:pos="-1440"/>
                <w:tab w:val="left" w:pos="-720"/>
              </w:tabs>
              <w:rPr>
                <w:sz w:val="20"/>
                <w:szCs w:val="20"/>
              </w:rPr>
            </w:pPr>
          </w:p>
          <w:p w:rsidR="00E73486" w:rsidRPr="00A935AA" w:rsidRDefault="00E73486" w:rsidP="00370584">
            <w:pPr>
              <w:rPr>
                <w:sz w:val="20"/>
                <w:szCs w:val="20"/>
              </w:rPr>
            </w:pPr>
            <w:r w:rsidRPr="00A935AA">
              <w:rPr>
                <w:sz w:val="20"/>
                <w:szCs w:val="20"/>
              </w:rPr>
              <w:t xml:space="preserve">FILING DATE: </w:t>
            </w:r>
            <w:r>
              <w:rPr>
                <w:sz w:val="20"/>
                <w:szCs w:val="20"/>
              </w:rPr>
              <w:t>29</w:t>
            </w:r>
            <w:r w:rsidRPr="00A935AA">
              <w:rPr>
                <w:sz w:val="20"/>
                <w:szCs w:val="20"/>
              </w:rPr>
              <w:t>.0</w:t>
            </w:r>
            <w:r>
              <w:rPr>
                <w:sz w:val="20"/>
                <w:szCs w:val="20"/>
              </w:rPr>
              <w:t>4</w:t>
            </w:r>
            <w:r w:rsidRPr="00A935AA">
              <w:rPr>
                <w:sz w:val="20"/>
                <w:szCs w:val="20"/>
              </w:rPr>
              <w:t>.201</w:t>
            </w:r>
            <w:r>
              <w:rPr>
                <w:sz w:val="20"/>
                <w:szCs w:val="20"/>
              </w:rPr>
              <w:t>3</w:t>
            </w:r>
          </w:p>
          <w:p w:rsidR="00E73486" w:rsidRPr="00A935AA" w:rsidRDefault="00B35B95" w:rsidP="00370584">
            <w:pPr>
              <w:rPr>
                <w:sz w:val="20"/>
                <w:szCs w:val="20"/>
              </w:rPr>
            </w:pPr>
            <w:r w:rsidRPr="00B35B95">
              <w:rPr>
                <w:sz w:val="20"/>
                <w:szCs w:val="20"/>
                <w:lang w:val="fr-CA"/>
              </w:rPr>
              <w:pict>
                <v:rect id="_x0000_i1027" style="width:108pt;height:1pt" o:hrpct="0" o:hralign="center" o:hrstd="t" o:hrnoshade="t" o:hr="t" fillcolor="black [3213]" stroked="f"/>
              </w:pict>
            </w:r>
          </w:p>
        </w:tc>
        <w:tc>
          <w:tcPr>
            <w:tcW w:w="1181" w:type="dxa"/>
            <w:shd w:val="clear" w:color="auto" w:fill="auto"/>
          </w:tcPr>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tc>
        <w:tc>
          <w:tcPr>
            <w:tcW w:w="4320" w:type="dxa"/>
            <w:shd w:val="clear" w:color="auto" w:fill="auto"/>
          </w:tcPr>
          <w:p w:rsidR="00E73486" w:rsidRPr="00A935AA" w:rsidRDefault="00E73486" w:rsidP="00370584">
            <w:pPr>
              <w:keepNext/>
              <w:keepLines/>
              <w:tabs>
                <w:tab w:val="left" w:pos="-1440"/>
                <w:tab w:val="left" w:pos="-720"/>
              </w:tabs>
              <w:rPr>
                <w:b/>
                <w:sz w:val="20"/>
                <w:szCs w:val="20"/>
              </w:rPr>
            </w:pPr>
            <w:r>
              <w:rPr>
                <w:b/>
                <w:sz w:val="20"/>
                <w:szCs w:val="20"/>
              </w:rPr>
              <w:t>Joaquim Moreira et al.</w:t>
            </w:r>
          </w:p>
          <w:p w:rsidR="00E73486" w:rsidRPr="00A935AA" w:rsidRDefault="00E73486" w:rsidP="00370584">
            <w:pPr>
              <w:keepNext/>
              <w:keepLines/>
              <w:tabs>
                <w:tab w:val="left" w:pos="-1440"/>
                <w:tab w:val="left" w:pos="-720"/>
              </w:tabs>
              <w:rPr>
                <w:sz w:val="20"/>
                <w:szCs w:val="20"/>
              </w:rPr>
            </w:pPr>
            <w:r w:rsidRPr="00A935AA">
              <w:rPr>
                <w:sz w:val="20"/>
                <w:szCs w:val="20"/>
              </w:rPr>
              <w:tab/>
            </w:r>
            <w:r>
              <w:rPr>
                <w:sz w:val="20"/>
                <w:szCs w:val="20"/>
              </w:rPr>
              <w:t>Edward L. Greenspan, Q.C.</w:t>
            </w:r>
          </w:p>
          <w:p w:rsidR="00E73486" w:rsidRPr="00A935AA" w:rsidRDefault="00E73486" w:rsidP="00370584">
            <w:pPr>
              <w:keepNext/>
              <w:keepLines/>
              <w:tabs>
                <w:tab w:val="left" w:pos="-1440"/>
                <w:tab w:val="left" w:pos="-720"/>
              </w:tabs>
              <w:rPr>
                <w:sz w:val="20"/>
                <w:szCs w:val="20"/>
              </w:rPr>
            </w:pPr>
            <w:r w:rsidRPr="00A935AA">
              <w:rPr>
                <w:sz w:val="20"/>
                <w:szCs w:val="20"/>
              </w:rPr>
              <w:tab/>
            </w:r>
            <w:r>
              <w:rPr>
                <w:sz w:val="20"/>
                <w:szCs w:val="20"/>
              </w:rPr>
              <w:t>Greenspan Partners</w:t>
            </w:r>
          </w:p>
          <w:p w:rsidR="00E73486" w:rsidRPr="00A935AA" w:rsidRDefault="00E73486" w:rsidP="00370584">
            <w:pPr>
              <w:keepNext/>
              <w:keepLines/>
              <w:tabs>
                <w:tab w:val="left" w:pos="-1440"/>
                <w:tab w:val="left" w:pos="-720"/>
              </w:tabs>
              <w:rPr>
                <w:sz w:val="20"/>
                <w:szCs w:val="20"/>
              </w:rPr>
            </w:pPr>
          </w:p>
          <w:p w:rsidR="00E73486" w:rsidRPr="001D1C2E" w:rsidRDefault="00E73486" w:rsidP="00370584">
            <w:pPr>
              <w:keepNext/>
              <w:keepLines/>
              <w:tabs>
                <w:tab w:val="left" w:pos="-1440"/>
                <w:tab w:val="left" w:pos="-720"/>
              </w:tabs>
              <w:rPr>
                <w:sz w:val="20"/>
                <w:szCs w:val="20"/>
              </w:rPr>
            </w:pPr>
            <w:r w:rsidRPr="00A935AA">
              <w:rPr>
                <w:sz w:val="20"/>
                <w:szCs w:val="20"/>
              </w:rPr>
              <w:tab/>
            </w:r>
            <w:r w:rsidRPr="001D1C2E">
              <w:rPr>
                <w:sz w:val="20"/>
                <w:szCs w:val="20"/>
              </w:rPr>
              <w:t>v. (35</w:t>
            </w:r>
            <w:r>
              <w:rPr>
                <w:sz w:val="20"/>
                <w:szCs w:val="20"/>
              </w:rPr>
              <w:t>344</w:t>
            </w:r>
            <w:r w:rsidRPr="001D1C2E">
              <w:rPr>
                <w:sz w:val="20"/>
                <w:szCs w:val="20"/>
              </w:rPr>
              <w:t>)</w:t>
            </w:r>
          </w:p>
          <w:p w:rsidR="00E73486" w:rsidRPr="001D1C2E" w:rsidRDefault="00E73486" w:rsidP="00370584">
            <w:pPr>
              <w:keepNext/>
              <w:keepLines/>
              <w:tabs>
                <w:tab w:val="left" w:pos="-1440"/>
                <w:tab w:val="left" w:pos="-720"/>
              </w:tabs>
              <w:rPr>
                <w:sz w:val="20"/>
                <w:szCs w:val="20"/>
              </w:rPr>
            </w:pPr>
          </w:p>
          <w:p w:rsidR="00E73486" w:rsidRPr="001D1C2E" w:rsidRDefault="00E73486" w:rsidP="00370584">
            <w:pPr>
              <w:keepNext/>
              <w:keepLines/>
              <w:tabs>
                <w:tab w:val="left" w:pos="-1440"/>
                <w:tab w:val="left" w:pos="-720"/>
              </w:tabs>
              <w:rPr>
                <w:b/>
                <w:sz w:val="20"/>
                <w:szCs w:val="20"/>
              </w:rPr>
            </w:pPr>
            <w:r>
              <w:rPr>
                <w:b/>
                <w:sz w:val="20"/>
                <w:szCs w:val="20"/>
              </w:rPr>
              <w:t xml:space="preserve">Ontario Lottery and Gaming Corporation et al. </w:t>
            </w:r>
            <w:r w:rsidRPr="001D1C2E">
              <w:rPr>
                <w:b/>
                <w:sz w:val="20"/>
                <w:szCs w:val="20"/>
              </w:rPr>
              <w:t>(Ont.)</w:t>
            </w:r>
          </w:p>
          <w:p w:rsidR="00E73486" w:rsidRPr="001D1C2E" w:rsidRDefault="00E73486" w:rsidP="00370584">
            <w:pPr>
              <w:keepNext/>
              <w:keepLines/>
              <w:tabs>
                <w:tab w:val="left" w:pos="-1440"/>
                <w:tab w:val="left" w:pos="-720"/>
              </w:tabs>
              <w:rPr>
                <w:sz w:val="20"/>
                <w:szCs w:val="20"/>
              </w:rPr>
            </w:pPr>
            <w:r w:rsidRPr="001D1C2E">
              <w:rPr>
                <w:sz w:val="20"/>
                <w:szCs w:val="20"/>
              </w:rPr>
              <w:tab/>
            </w:r>
            <w:r>
              <w:rPr>
                <w:sz w:val="20"/>
                <w:szCs w:val="20"/>
              </w:rPr>
              <w:t>Derek Ricci</w:t>
            </w:r>
          </w:p>
          <w:p w:rsidR="00E73486" w:rsidRPr="001D1C2E" w:rsidRDefault="00E73486" w:rsidP="00370584">
            <w:pPr>
              <w:keepNext/>
              <w:keepLines/>
              <w:tabs>
                <w:tab w:val="left" w:pos="-1440"/>
                <w:tab w:val="left" w:pos="-720"/>
              </w:tabs>
              <w:rPr>
                <w:sz w:val="20"/>
                <w:szCs w:val="20"/>
              </w:rPr>
            </w:pPr>
            <w:r w:rsidRPr="001D1C2E">
              <w:rPr>
                <w:sz w:val="20"/>
                <w:szCs w:val="20"/>
              </w:rPr>
              <w:tab/>
            </w:r>
            <w:r>
              <w:rPr>
                <w:sz w:val="20"/>
                <w:szCs w:val="20"/>
              </w:rPr>
              <w:t>Davies Ward Phillips &amp; Vineberg LLP</w:t>
            </w:r>
          </w:p>
          <w:p w:rsidR="00E73486" w:rsidRPr="001D1C2E" w:rsidRDefault="00E73486" w:rsidP="00370584">
            <w:pPr>
              <w:keepNext/>
              <w:keepLines/>
              <w:tabs>
                <w:tab w:val="left" w:pos="-1440"/>
                <w:tab w:val="left" w:pos="-720"/>
              </w:tabs>
              <w:rPr>
                <w:sz w:val="20"/>
                <w:szCs w:val="20"/>
              </w:rPr>
            </w:pPr>
          </w:p>
          <w:p w:rsidR="00E73486" w:rsidRPr="00A935AA" w:rsidRDefault="00E73486" w:rsidP="00370584">
            <w:pPr>
              <w:rPr>
                <w:sz w:val="20"/>
                <w:szCs w:val="20"/>
              </w:rPr>
            </w:pPr>
            <w:r w:rsidRPr="00A935AA">
              <w:rPr>
                <w:sz w:val="20"/>
                <w:szCs w:val="20"/>
              </w:rPr>
              <w:t xml:space="preserve">FILING DATE: </w:t>
            </w:r>
            <w:r>
              <w:rPr>
                <w:sz w:val="20"/>
                <w:szCs w:val="20"/>
              </w:rPr>
              <w:t>29</w:t>
            </w:r>
            <w:r w:rsidRPr="00A935AA">
              <w:rPr>
                <w:sz w:val="20"/>
                <w:szCs w:val="20"/>
              </w:rPr>
              <w:t>.0</w:t>
            </w:r>
            <w:r>
              <w:rPr>
                <w:sz w:val="20"/>
                <w:szCs w:val="20"/>
              </w:rPr>
              <w:t>4</w:t>
            </w:r>
            <w:r w:rsidRPr="00A935AA">
              <w:rPr>
                <w:sz w:val="20"/>
                <w:szCs w:val="20"/>
              </w:rPr>
              <w:t>.201</w:t>
            </w:r>
            <w:r>
              <w:rPr>
                <w:sz w:val="20"/>
                <w:szCs w:val="20"/>
              </w:rPr>
              <w:t>3</w:t>
            </w:r>
            <w:r w:rsidR="00B35B95" w:rsidRPr="00B35B95">
              <w:rPr>
                <w:sz w:val="20"/>
                <w:szCs w:val="20"/>
                <w:lang w:val="fr-CA"/>
              </w:rPr>
              <w:pict>
                <v:rect id="_x0000_i1028" style="width:108pt;height:1pt" o:hrpct="0" o:hralign="center" o:hrstd="t" o:hrnoshade="t" o:hr="t" fillcolor="black [3213]" stroked="f"/>
              </w:pict>
            </w:r>
          </w:p>
        </w:tc>
      </w:tr>
      <w:tr w:rsidR="00E73486" w:rsidRPr="00A935AA" w:rsidTr="00370584">
        <w:tc>
          <w:tcPr>
            <w:tcW w:w="4320" w:type="dxa"/>
            <w:shd w:val="clear" w:color="auto" w:fill="auto"/>
          </w:tcPr>
          <w:p w:rsidR="00E73486" w:rsidRPr="00A935AA" w:rsidRDefault="00E73486" w:rsidP="00370584">
            <w:pPr>
              <w:rPr>
                <w:b/>
                <w:sz w:val="20"/>
                <w:szCs w:val="20"/>
              </w:rPr>
            </w:pPr>
            <w:r>
              <w:rPr>
                <w:b/>
                <w:sz w:val="20"/>
                <w:szCs w:val="20"/>
              </w:rPr>
              <w:t>Tebaldo Barbuscio</w:t>
            </w:r>
          </w:p>
          <w:p w:rsidR="00E73486" w:rsidRPr="00A935AA" w:rsidRDefault="00E73486" w:rsidP="00370584">
            <w:pPr>
              <w:tabs>
                <w:tab w:val="left" w:pos="-1440"/>
                <w:tab w:val="left" w:pos="-720"/>
              </w:tabs>
              <w:rPr>
                <w:sz w:val="20"/>
                <w:szCs w:val="20"/>
              </w:rPr>
            </w:pPr>
            <w:r w:rsidRPr="00A935AA">
              <w:rPr>
                <w:sz w:val="20"/>
                <w:szCs w:val="20"/>
              </w:rPr>
              <w:tab/>
            </w:r>
            <w:r>
              <w:rPr>
                <w:sz w:val="20"/>
                <w:szCs w:val="20"/>
              </w:rPr>
              <w:t>W. Xavier Navarrete</w:t>
            </w:r>
          </w:p>
          <w:p w:rsidR="00E73486" w:rsidRPr="00A935AA" w:rsidRDefault="00E73486" w:rsidP="00370584">
            <w:pPr>
              <w:tabs>
                <w:tab w:val="left" w:pos="-1440"/>
                <w:tab w:val="left" w:pos="-720"/>
              </w:tabs>
              <w:rPr>
                <w:sz w:val="20"/>
                <w:szCs w:val="20"/>
              </w:rPr>
            </w:pPr>
            <w:r w:rsidRPr="00A935AA">
              <w:rPr>
                <w:sz w:val="20"/>
                <w:szCs w:val="20"/>
              </w:rPr>
              <w:tab/>
            </w:r>
            <w:r>
              <w:rPr>
                <w:sz w:val="20"/>
                <w:szCs w:val="20"/>
              </w:rPr>
              <w:t>Navarette Perinot PC</w:t>
            </w:r>
          </w:p>
          <w:p w:rsidR="00E73486" w:rsidRPr="00A935AA" w:rsidRDefault="00E73486" w:rsidP="00370584">
            <w:pPr>
              <w:tabs>
                <w:tab w:val="left" w:pos="-1440"/>
                <w:tab w:val="left" w:pos="-720"/>
              </w:tabs>
              <w:rPr>
                <w:sz w:val="20"/>
                <w:szCs w:val="20"/>
              </w:rPr>
            </w:pPr>
          </w:p>
          <w:p w:rsidR="00E73486" w:rsidRPr="00A935AA" w:rsidRDefault="00E73486" w:rsidP="00370584">
            <w:pPr>
              <w:tabs>
                <w:tab w:val="left" w:pos="-1440"/>
                <w:tab w:val="left" w:pos="-720"/>
              </w:tabs>
              <w:rPr>
                <w:sz w:val="20"/>
                <w:szCs w:val="20"/>
              </w:rPr>
            </w:pPr>
            <w:r w:rsidRPr="00A935AA">
              <w:rPr>
                <w:sz w:val="20"/>
                <w:szCs w:val="20"/>
              </w:rPr>
              <w:tab/>
              <w:t>v. (3</w:t>
            </w:r>
            <w:r>
              <w:rPr>
                <w:sz w:val="20"/>
                <w:szCs w:val="20"/>
              </w:rPr>
              <w:t>5346</w:t>
            </w:r>
            <w:r w:rsidRPr="00A935AA">
              <w:rPr>
                <w:sz w:val="20"/>
                <w:szCs w:val="20"/>
              </w:rPr>
              <w:t>)</w:t>
            </w:r>
          </w:p>
          <w:p w:rsidR="00E73486" w:rsidRPr="00A935AA" w:rsidRDefault="00E73486" w:rsidP="00370584">
            <w:pPr>
              <w:tabs>
                <w:tab w:val="left" w:pos="-1440"/>
                <w:tab w:val="left" w:pos="-720"/>
              </w:tabs>
              <w:rPr>
                <w:sz w:val="20"/>
                <w:szCs w:val="20"/>
              </w:rPr>
            </w:pPr>
          </w:p>
          <w:p w:rsidR="00E73486" w:rsidRPr="00A935AA" w:rsidRDefault="00E73486" w:rsidP="00370584">
            <w:pPr>
              <w:tabs>
                <w:tab w:val="left" w:pos="-1440"/>
                <w:tab w:val="left" w:pos="-720"/>
              </w:tabs>
              <w:rPr>
                <w:b/>
                <w:sz w:val="20"/>
                <w:szCs w:val="20"/>
              </w:rPr>
            </w:pPr>
            <w:r>
              <w:rPr>
                <w:b/>
                <w:sz w:val="20"/>
                <w:szCs w:val="20"/>
              </w:rPr>
              <w:t xml:space="preserve">Ontario Lottery and Gaming Corporation et al. </w:t>
            </w:r>
            <w:r w:rsidRPr="001D1C2E">
              <w:rPr>
                <w:b/>
                <w:sz w:val="20"/>
                <w:szCs w:val="20"/>
              </w:rPr>
              <w:t>(Ont.)</w:t>
            </w:r>
          </w:p>
          <w:p w:rsidR="00E73486" w:rsidRPr="001D1C2E" w:rsidRDefault="00E73486" w:rsidP="00370584">
            <w:pPr>
              <w:keepNext/>
              <w:keepLines/>
              <w:tabs>
                <w:tab w:val="left" w:pos="-1440"/>
                <w:tab w:val="left" w:pos="-720"/>
              </w:tabs>
              <w:rPr>
                <w:sz w:val="20"/>
                <w:szCs w:val="20"/>
              </w:rPr>
            </w:pPr>
            <w:r w:rsidRPr="00A935AA">
              <w:rPr>
                <w:sz w:val="20"/>
                <w:szCs w:val="20"/>
              </w:rPr>
              <w:tab/>
            </w:r>
            <w:r>
              <w:rPr>
                <w:sz w:val="20"/>
                <w:szCs w:val="20"/>
              </w:rPr>
              <w:t>Derek Ricci</w:t>
            </w:r>
          </w:p>
          <w:p w:rsidR="00E73486" w:rsidRPr="001D1C2E" w:rsidRDefault="00E73486" w:rsidP="00370584">
            <w:pPr>
              <w:keepNext/>
              <w:keepLines/>
              <w:tabs>
                <w:tab w:val="left" w:pos="-1440"/>
                <w:tab w:val="left" w:pos="-720"/>
              </w:tabs>
              <w:rPr>
                <w:sz w:val="20"/>
                <w:szCs w:val="20"/>
              </w:rPr>
            </w:pPr>
            <w:r w:rsidRPr="001D1C2E">
              <w:rPr>
                <w:sz w:val="20"/>
                <w:szCs w:val="20"/>
              </w:rPr>
              <w:tab/>
            </w:r>
            <w:r>
              <w:rPr>
                <w:sz w:val="20"/>
                <w:szCs w:val="20"/>
              </w:rPr>
              <w:t>Davies Ward Phillips &amp; Vineberg LLP</w:t>
            </w:r>
          </w:p>
          <w:p w:rsidR="00E73486" w:rsidRPr="00A935AA" w:rsidRDefault="00E73486" w:rsidP="00370584">
            <w:pPr>
              <w:tabs>
                <w:tab w:val="left" w:pos="-1440"/>
                <w:tab w:val="left" w:pos="-720"/>
              </w:tabs>
              <w:rPr>
                <w:sz w:val="20"/>
                <w:szCs w:val="20"/>
              </w:rPr>
            </w:pPr>
          </w:p>
          <w:p w:rsidR="00E73486" w:rsidRPr="00A935AA" w:rsidRDefault="00E73486" w:rsidP="00370584">
            <w:pPr>
              <w:rPr>
                <w:sz w:val="20"/>
                <w:szCs w:val="20"/>
              </w:rPr>
            </w:pPr>
            <w:r w:rsidRPr="00A935AA">
              <w:rPr>
                <w:sz w:val="20"/>
                <w:szCs w:val="20"/>
              </w:rPr>
              <w:t xml:space="preserve">FILING DATE: </w:t>
            </w:r>
            <w:r>
              <w:rPr>
                <w:sz w:val="20"/>
                <w:szCs w:val="20"/>
              </w:rPr>
              <w:t>29</w:t>
            </w:r>
            <w:r w:rsidRPr="00A935AA">
              <w:rPr>
                <w:sz w:val="20"/>
                <w:szCs w:val="20"/>
              </w:rPr>
              <w:t>.0</w:t>
            </w:r>
            <w:r>
              <w:rPr>
                <w:sz w:val="20"/>
                <w:szCs w:val="20"/>
              </w:rPr>
              <w:t>4</w:t>
            </w:r>
            <w:r w:rsidRPr="00A935AA">
              <w:rPr>
                <w:sz w:val="20"/>
                <w:szCs w:val="20"/>
              </w:rPr>
              <w:t>.201</w:t>
            </w:r>
            <w:r>
              <w:rPr>
                <w:sz w:val="20"/>
                <w:szCs w:val="20"/>
              </w:rPr>
              <w:t>3</w:t>
            </w:r>
          </w:p>
          <w:p w:rsidR="00E73486" w:rsidRPr="00A935AA" w:rsidRDefault="00B35B95" w:rsidP="00370584">
            <w:pPr>
              <w:rPr>
                <w:sz w:val="20"/>
                <w:szCs w:val="20"/>
              </w:rPr>
            </w:pPr>
            <w:r w:rsidRPr="00B35B95">
              <w:rPr>
                <w:sz w:val="20"/>
                <w:szCs w:val="20"/>
                <w:lang w:val="fr-CA"/>
              </w:rPr>
              <w:pict>
                <v:rect id="_x0000_i1029" style="width:108pt;height:1pt" o:hrpct="0" o:hralign="center" o:hrstd="t" o:hrnoshade="t" o:hr="t" fillcolor="black [3213]" stroked="f"/>
              </w:pict>
            </w:r>
          </w:p>
        </w:tc>
        <w:tc>
          <w:tcPr>
            <w:tcW w:w="1181" w:type="dxa"/>
            <w:shd w:val="clear" w:color="auto" w:fill="auto"/>
          </w:tcPr>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Default="00E73486" w:rsidP="00370584">
            <w:pPr>
              <w:jc w:val="center"/>
              <w:rPr>
                <w:sz w:val="20"/>
                <w:szCs w:val="20"/>
              </w:rPr>
            </w:pPr>
          </w:p>
          <w:p w:rsidR="00E73486" w:rsidRDefault="00E73486" w:rsidP="00370584">
            <w:pPr>
              <w:jc w:val="center"/>
              <w:rPr>
                <w:sz w:val="20"/>
                <w:szCs w:val="20"/>
              </w:rPr>
            </w:pPr>
          </w:p>
          <w:p w:rsidR="00E73486" w:rsidRDefault="00E73486" w:rsidP="00370584">
            <w:pPr>
              <w:jc w:val="center"/>
              <w:rPr>
                <w:sz w:val="20"/>
                <w:szCs w:val="20"/>
              </w:rPr>
            </w:pPr>
          </w:p>
          <w:p w:rsidR="00E73486" w:rsidRPr="00A935AA" w:rsidRDefault="00E73486" w:rsidP="00370584">
            <w:pPr>
              <w:jc w:val="center"/>
              <w:rPr>
                <w:sz w:val="20"/>
                <w:szCs w:val="20"/>
              </w:rPr>
            </w:pPr>
          </w:p>
        </w:tc>
        <w:tc>
          <w:tcPr>
            <w:tcW w:w="4320" w:type="dxa"/>
            <w:shd w:val="clear" w:color="auto" w:fill="auto"/>
          </w:tcPr>
          <w:p w:rsidR="00E73486" w:rsidRDefault="00E73486" w:rsidP="00370584">
            <w:pPr>
              <w:keepNext/>
              <w:keepLines/>
              <w:tabs>
                <w:tab w:val="left" w:pos="-1440"/>
                <w:tab w:val="left" w:pos="-720"/>
              </w:tabs>
              <w:rPr>
                <w:b/>
                <w:sz w:val="20"/>
                <w:szCs w:val="20"/>
              </w:rPr>
            </w:pPr>
          </w:p>
          <w:p w:rsidR="00E73486" w:rsidRPr="00A935AA" w:rsidRDefault="00E73486" w:rsidP="00370584">
            <w:pPr>
              <w:keepNext/>
              <w:keepLines/>
              <w:tabs>
                <w:tab w:val="left" w:pos="-1440"/>
                <w:tab w:val="left" w:pos="-720"/>
              </w:tabs>
              <w:rPr>
                <w:b/>
                <w:sz w:val="20"/>
                <w:szCs w:val="20"/>
              </w:rPr>
            </w:pPr>
            <w:r>
              <w:rPr>
                <w:b/>
                <w:sz w:val="20"/>
                <w:szCs w:val="20"/>
              </w:rPr>
              <w:t>Robert Ivan Tennant</w:t>
            </w:r>
          </w:p>
          <w:p w:rsidR="00E73486" w:rsidRPr="00A935AA" w:rsidRDefault="00E73486" w:rsidP="00370584">
            <w:pPr>
              <w:keepNext/>
              <w:keepLines/>
              <w:tabs>
                <w:tab w:val="left" w:pos="-1440"/>
                <w:tab w:val="left" w:pos="-720"/>
              </w:tabs>
              <w:rPr>
                <w:sz w:val="20"/>
                <w:szCs w:val="20"/>
              </w:rPr>
            </w:pPr>
            <w:r w:rsidRPr="00A935AA">
              <w:rPr>
                <w:sz w:val="20"/>
                <w:szCs w:val="20"/>
              </w:rPr>
              <w:tab/>
            </w:r>
            <w:r>
              <w:rPr>
                <w:sz w:val="20"/>
                <w:szCs w:val="20"/>
              </w:rPr>
              <w:t>Murray L. Engelking</w:t>
            </w:r>
          </w:p>
          <w:p w:rsidR="00E73486" w:rsidRPr="00A935AA" w:rsidRDefault="00E73486" w:rsidP="00370584">
            <w:pPr>
              <w:keepNext/>
              <w:keepLines/>
              <w:tabs>
                <w:tab w:val="left" w:pos="-1440"/>
                <w:tab w:val="left" w:pos="-720"/>
              </w:tabs>
              <w:rPr>
                <w:sz w:val="20"/>
                <w:szCs w:val="20"/>
              </w:rPr>
            </w:pPr>
            <w:r w:rsidRPr="00A935AA">
              <w:rPr>
                <w:sz w:val="20"/>
                <w:szCs w:val="20"/>
              </w:rPr>
              <w:tab/>
            </w:r>
            <w:r>
              <w:rPr>
                <w:sz w:val="20"/>
                <w:szCs w:val="20"/>
              </w:rPr>
              <w:t>Engelking Wood</w:t>
            </w:r>
          </w:p>
          <w:p w:rsidR="00E73486" w:rsidRPr="00A935AA" w:rsidRDefault="00E73486" w:rsidP="00370584">
            <w:pPr>
              <w:keepNext/>
              <w:keepLines/>
              <w:tabs>
                <w:tab w:val="left" w:pos="-1440"/>
                <w:tab w:val="left" w:pos="-720"/>
              </w:tabs>
              <w:rPr>
                <w:sz w:val="20"/>
                <w:szCs w:val="20"/>
              </w:rPr>
            </w:pPr>
          </w:p>
          <w:p w:rsidR="00E73486" w:rsidRPr="001D1C2E" w:rsidRDefault="00E73486" w:rsidP="00370584">
            <w:pPr>
              <w:keepNext/>
              <w:keepLines/>
              <w:tabs>
                <w:tab w:val="left" w:pos="-1440"/>
                <w:tab w:val="left" w:pos="-720"/>
              </w:tabs>
              <w:rPr>
                <w:sz w:val="20"/>
                <w:szCs w:val="20"/>
              </w:rPr>
            </w:pPr>
            <w:r w:rsidRPr="00A935AA">
              <w:rPr>
                <w:sz w:val="20"/>
                <w:szCs w:val="20"/>
              </w:rPr>
              <w:tab/>
            </w:r>
            <w:r w:rsidRPr="001D1C2E">
              <w:rPr>
                <w:sz w:val="20"/>
                <w:szCs w:val="20"/>
              </w:rPr>
              <w:t>v. (35</w:t>
            </w:r>
            <w:r>
              <w:rPr>
                <w:sz w:val="20"/>
                <w:szCs w:val="20"/>
              </w:rPr>
              <w:t>350</w:t>
            </w:r>
            <w:r w:rsidRPr="001D1C2E">
              <w:rPr>
                <w:sz w:val="20"/>
                <w:szCs w:val="20"/>
              </w:rPr>
              <w:t>)</w:t>
            </w:r>
          </w:p>
          <w:p w:rsidR="00E73486" w:rsidRPr="001D1C2E" w:rsidRDefault="00E73486" w:rsidP="00370584">
            <w:pPr>
              <w:keepNext/>
              <w:keepLines/>
              <w:tabs>
                <w:tab w:val="left" w:pos="-1440"/>
                <w:tab w:val="left" w:pos="-720"/>
              </w:tabs>
              <w:rPr>
                <w:sz w:val="20"/>
                <w:szCs w:val="20"/>
              </w:rPr>
            </w:pPr>
          </w:p>
          <w:p w:rsidR="00E73486" w:rsidRPr="001D1C2E" w:rsidRDefault="00E73486" w:rsidP="00370584">
            <w:pPr>
              <w:keepNext/>
              <w:keepLines/>
              <w:tabs>
                <w:tab w:val="left" w:pos="-1440"/>
                <w:tab w:val="left" w:pos="-720"/>
              </w:tabs>
              <w:rPr>
                <w:b/>
                <w:sz w:val="20"/>
                <w:szCs w:val="20"/>
              </w:rPr>
            </w:pPr>
            <w:r>
              <w:rPr>
                <w:b/>
                <w:sz w:val="20"/>
                <w:szCs w:val="20"/>
              </w:rPr>
              <w:t xml:space="preserve">Her Majesty the Queen as represented by the Minister of National Revenue </w:t>
            </w:r>
            <w:r w:rsidRPr="001D1C2E">
              <w:rPr>
                <w:b/>
                <w:sz w:val="20"/>
                <w:szCs w:val="20"/>
              </w:rPr>
              <w:t>(</w:t>
            </w:r>
            <w:r>
              <w:rPr>
                <w:b/>
                <w:sz w:val="20"/>
                <w:szCs w:val="20"/>
              </w:rPr>
              <w:t>Al</w:t>
            </w:r>
            <w:r w:rsidRPr="001D1C2E">
              <w:rPr>
                <w:b/>
                <w:sz w:val="20"/>
                <w:szCs w:val="20"/>
              </w:rPr>
              <w:t>t</w:t>
            </w:r>
            <w:r>
              <w:rPr>
                <w:b/>
                <w:sz w:val="20"/>
                <w:szCs w:val="20"/>
              </w:rPr>
              <w:t>a</w:t>
            </w:r>
            <w:r w:rsidRPr="001D1C2E">
              <w:rPr>
                <w:b/>
                <w:sz w:val="20"/>
                <w:szCs w:val="20"/>
              </w:rPr>
              <w:t>.)</w:t>
            </w:r>
          </w:p>
          <w:p w:rsidR="00E73486" w:rsidRPr="001D1C2E" w:rsidRDefault="00E73486" w:rsidP="00370584">
            <w:pPr>
              <w:keepNext/>
              <w:keepLines/>
              <w:tabs>
                <w:tab w:val="left" w:pos="-1440"/>
                <w:tab w:val="left" w:pos="-720"/>
              </w:tabs>
              <w:rPr>
                <w:sz w:val="20"/>
                <w:szCs w:val="20"/>
              </w:rPr>
            </w:pPr>
            <w:r w:rsidRPr="001D1C2E">
              <w:rPr>
                <w:sz w:val="20"/>
                <w:szCs w:val="20"/>
              </w:rPr>
              <w:tab/>
            </w:r>
            <w:r>
              <w:rPr>
                <w:sz w:val="20"/>
                <w:szCs w:val="20"/>
              </w:rPr>
              <w:t>Wendy Bridges</w:t>
            </w:r>
          </w:p>
          <w:p w:rsidR="00E73486" w:rsidRPr="001D1C2E" w:rsidRDefault="00E73486" w:rsidP="00370584">
            <w:pPr>
              <w:keepNext/>
              <w:keepLines/>
              <w:tabs>
                <w:tab w:val="left" w:pos="-1440"/>
                <w:tab w:val="left" w:pos="-720"/>
              </w:tabs>
              <w:rPr>
                <w:sz w:val="20"/>
                <w:szCs w:val="20"/>
              </w:rPr>
            </w:pPr>
            <w:r w:rsidRPr="001D1C2E">
              <w:rPr>
                <w:sz w:val="20"/>
                <w:szCs w:val="20"/>
              </w:rPr>
              <w:tab/>
            </w:r>
            <w:r>
              <w:rPr>
                <w:sz w:val="20"/>
                <w:szCs w:val="20"/>
              </w:rPr>
              <w:t>A.G. of Canada</w:t>
            </w:r>
          </w:p>
          <w:p w:rsidR="00E73486" w:rsidRPr="001D1C2E" w:rsidRDefault="00E73486" w:rsidP="00370584">
            <w:pPr>
              <w:keepNext/>
              <w:keepLines/>
              <w:tabs>
                <w:tab w:val="left" w:pos="-1440"/>
                <w:tab w:val="left" w:pos="-720"/>
              </w:tabs>
              <w:rPr>
                <w:sz w:val="20"/>
                <w:szCs w:val="20"/>
              </w:rPr>
            </w:pPr>
          </w:p>
          <w:p w:rsidR="00E73486" w:rsidRPr="00A935AA" w:rsidRDefault="00E73486" w:rsidP="00370584">
            <w:pPr>
              <w:rPr>
                <w:sz w:val="20"/>
                <w:szCs w:val="20"/>
              </w:rPr>
            </w:pPr>
            <w:r w:rsidRPr="00A935AA">
              <w:rPr>
                <w:sz w:val="20"/>
                <w:szCs w:val="20"/>
              </w:rPr>
              <w:t xml:space="preserve">FILING DATE: </w:t>
            </w:r>
            <w:r>
              <w:rPr>
                <w:sz w:val="20"/>
                <w:szCs w:val="20"/>
              </w:rPr>
              <w:t>30</w:t>
            </w:r>
            <w:r w:rsidRPr="00A935AA">
              <w:rPr>
                <w:sz w:val="20"/>
                <w:szCs w:val="20"/>
              </w:rPr>
              <w:t>.0</w:t>
            </w:r>
            <w:r>
              <w:rPr>
                <w:sz w:val="20"/>
                <w:szCs w:val="20"/>
              </w:rPr>
              <w:t>4</w:t>
            </w:r>
            <w:r w:rsidRPr="00A935AA">
              <w:rPr>
                <w:sz w:val="20"/>
                <w:szCs w:val="20"/>
              </w:rPr>
              <w:t>.201</w:t>
            </w:r>
            <w:r>
              <w:rPr>
                <w:sz w:val="20"/>
                <w:szCs w:val="20"/>
              </w:rPr>
              <w:t>3</w:t>
            </w:r>
            <w:r w:rsidR="00B35B95" w:rsidRPr="00B35B95">
              <w:rPr>
                <w:sz w:val="20"/>
                <w:szCs w:val="20"/>
                <w:lang w:val="fr-CA"/>
              </w:rPr>
              <w:pict>
                <v:rect id="_x0000_i1030" style="width:108pt;height:1pt" o:hrpct="0" o:hralign="center" o:hrstd="t" o:hrnoshade="t" o:hr="t" fillcolor="black [3213]" stroked="f"/>
              </w:pict>
            </w:r>
          </w:p>
        </w:tc>
      </w:tr>
      <w:tr w:rsidR="00E73486" w:rsidRPr="0083330C" w:rsidTr="00370584">
        <w:trPr>
          <w:cantSplit/>
        </w:trPr>
        <w:tc>
          <w:tcPr>
            <w:tcW w:w="4320" w:type="dxa"/>
            <w:shd w:val="clear" w:color="auto" w:fill="auto"/>
          </w:tcPr>
          <w:p w:rsidR="00E73486" w:rsidRPr="0083330C" w:rsidRDefault="00E73486" w:rsidP="00370584">
            <w:pPr>
              <w:rPr>
                <w:b/>
                <w:sz w:val="20"/>
                <w:szCs w:val="20"/>
                <w:lang w:val="fr-CA"/>
              </w:rPr>
            </w:pPr>
            <w:r w:rsidRPr="0083330C">
              <w:rPr>
                <w:b/>
                <w:sz w:val="20"/>
                <w:szCs w:val="20"/>
                <w:lang w:val="fr-CA"/>
              </w:rPr>
              <w:lastRenderedPageBreak/>
              <w:t>Serge Tremblay et autre</w:t>
            </w:r>
          </w:p>
          <w:p w:rsidR="00E73486" w:rsidRPr="0083330C" w:rsidRDefault="00E73486" w:rsidP="00370584">
            <w:pPr>
              <w:tabs>
                <w:tab w:val="left" w:pos="-1440"/>
                <w:tab w:val="left" w:pos="-720"/>
              </w:tabs>
              <w:rPr>
                <w:sz w:val="20"/>
                <w:szCs w:val="20"/>
                <w:lang w:val="fr-CA"/>
              </w:rPr>
            </w:pPr>
            <w:r w:rsidRPr="0083330C">
              <w:rPr>
                <w:sz w:val="20"/>
                <w:szCs w:val="20"/>
                <w:lang w:val="fr-CA"/>
              </w:rPr>
              <w:tab/>
              <w:t>Laval Dallaire</w:t>
            </w:r>
          </w:p>
          <w:p w:rsidR="00E73486" w:rsidRPr="0083330C" w:rsidRDefault="00E73486" w:rsidP="00370584">
            <w:pPr>
              <w:tabs>
                <w:tab w:val="left" w:pos="-1440"/>
                <w:tab w:val="left" w:pos="-720"/>
              </w:tabs>
              <w:rPr>
                <w:sz w:val="20"/>
                <w:szCs w:val="20"/>
                <w:lang w:val="fr-CA"/>
              </w:rPr>
            </w:pPr>
            <w:r w:rsidRPr="0083330C">
              <w:rPr>
                <w:sz w:val="20"/>
                <w:szCs w:val="20"/>
                <w:lang w:val="fr-CA"/>
              </w:rPr>
              <w:tab/>
            </w:r>
            <w:r>
              <w:rPr>
                <w:sz w:val="20"/>
                <w:szCs w:val="20"/>
                <w:lang w:val="fr-CA"/>
              </w:rPr>
              <w:t>Gagné Letarte, S.E.N.C.</w:t>
            </w:r>
          </w:p>
          <w:p w:rsidR="00E73486" w:rsidRPr="0083330C" w:rsidRDefault="00E73486" w:rsidP="00370584">
            <w:pPr>
              <w:tabs>
                <w:tab w:val="left" w:pos="-1440"/>
                <w:tab w:val="left" w:pos="-720"/>
              </w:tabs>
              <w:rPr>
                <w:sz w:val="20"/>
                <w:szCs w:val="20"/>
                <w:lang w:val="fr-CA"/>
              </w:rPr>
            </w:pPr>
          </w:p>
          <w:p w:rsidR="00E73486" w:rsidRPr="0083330C" w:rsidRDefault="00E73486" w:rsidP="00370584">
            <w:pPr>
              <w:tabs>
                <w:tab w:val="left" w:pos="-1440"/>
                <w:tab w:val="left" w:pos="-720"/>
              </w:tabs>
              <w:rPr>
                <w:sz w:val="20"/>
                <w:szCs w:val="20"/>
                <w:lang w:val="fr-CA"/>
              </w:rPr>
            </w:pPr>
            <w:r w:rsidRPr="0083330C">
              <w:rPr>
                <w:sz w:val="20"/>
                <w:szCs w:val="20"/>
                <w:lang w:val="fr-CA"/>
              </w:rPr>
              <w:tab/>
            </w:r>
            <w:r>
              <w:rPr>
                <w:sz w:val="20"/>
                <w:szCs w:val="20"/>
                <w:lang w:val="fr-CA"/>
              </w:rPr>
              <w:t>c</w:t>
            </w:r>
            <w:r w:rsidRPr="0083330C">
              <w:rPr>
                <w:sz w:val="20"/>
                <w:szCs w:val="20"/>
                <w:lang w:val="fr-CA"/>
              </w:rPr>
              <w:t>. (35354)</w:t>
            </w:r>
          </w:p>
          <w:p w:rsidR="00E73486" w:rsidRPr="0083330C" w:rsidRDefault="00E73486" w:rsidP="00370584">
            <w:pPr>
              <w:tabs>
                <w:tab w:val="left" w:pos="-1440"/>
                <w:tab w:val="left" w:pos="-720"/>
              </w:tabs>
              <w:rPr>
                <w:sz w:val="20"/>
                <w:szCs w:val="20"/>
                <w:lang w:val="fr-CA"/>
              </w:rPr>
            </w:pPr>
          </w:p>
          <w:p w:rsidR="00E73486" w:rsidRPr="0083330C" w:rsidRDefault="00E73486" w:rsidP="00370584">
            <w:pPr>
              <w:tabs>
                <w:tab w:val="left" w:pos="-1440"/>
                <w:tab w:val="left" w:pos="-720"/>
              </w:tabs>
              <w:rPr>
                <w:b/>
                <w:sz w:val="20"/>
                <w:szCs w:val="20"/>
                <w:lang w:val="fr-CA"/>
              </w:rPr>
            </w:pPr>
            <w:r w:rsidRPr="0083330C">
              <w:rPr>
                <w:b/>
                <w:sz w:val="20"/>
                <w:szCs w:val="20"/>
                <w:lang w:val="fr-CA"/>
              </w:rPr>
              <w:t>La capitale assureur de l’administration publique inc.</w:t>
            </w:r>
            <w:r>
              <w:rPr>
                <w:b/>
                <w:sz w:val="20"/>
                <w:szCs w:val="20"/>
                <w:lang w:val="fr-CA"/>
              </w:rPr>
              <w:t xml:space="preserve"> et autre </w:t>
            </w:r>
            <w:r w:rsidRPr="0083330C">
              <w:rPr>
                <w:b/>
                <w:sz w:val="20"/>
                <w:szCs w:val="20"/>
                <w:lang w:val="fr-CA"/>
              </w:rPr>
              <w:t>(Qc)</w:t>
            </w:r>
          </w:p>
          <w:p w:rsidR="00E73486" w:rsidRPr="0083330C" w:rsidRDefault="00E73486" w:rsidP="00370584">
            <w:pPr>
              <w:tabs>
                <w:tab w:val="left" w:pos="-1440"/>
                <w:tab w:val="left" w:pos="-720"/>
              </w:tabs>
              <w:rPr>
                <w:sz w:val="20"/>
                <w:szCs w:val="20"/>
                <w:lang w:val="fr-CA"/>
              </w:rPr>
            </w:pPr>
            <w:r w:rsidRPr="0083330C">
              <w:rPr>
                <w:sz w:val="20"/>
                <w:szCs w:val="20"/>
                <w:lang w:val="fr-CA"/>
              </w:rPr>
              <w:tab/>
            </w:r>
            <w:r>
              <w:rPr>
                <w:sz w:val="20"/>
                <w:szCs w:val="20"/>
                <w:lang w:val="fr-CA"/>
              </w:rPr>
              <w:t>Michel C. Chabot</w:t>
            </w:r>
          </w:p>
          <w:p w:rsidR="00E73486" w:rsidRPr="0083330C" w:rsidRDefault="00E73486" w:rsidP="00370584">
            <w:pPr>
              <w:tabs>
                <w:tab w:val="left" w:pos="-1440"/>
                <w:tab w:val="left" w:pos="-720"/>
              </w:tabs>
              <w:rPr>
                <w:sz w:val="20"/>
                <w:szCs w:val="20"/>
                <w:lang w:val="fr-CA"/>
              </w:rPr>
            </w:pPr>
            <w:r w:rsidRPr="0083330C">
              <w:rPr>
                <w:sz w:val="20"/>
                <w:szCs w:val="20"/>
                <w:lang w:val="fr-CA"/>
              </w:rPr>
              <w:tab/>
            </w:r>
            <w:r>
              <w:rPr>
                <w:sz w:val="20"/>
                <w:szCs w:val="20"/>
                <w:lang w:val="fr-CA"/>
              </w:rPr>
              <w:t>Gravel Bernier Vaillancourt</w:t>
            </w:r>
          </w:p>
          <w:p w:rsidR="00E73486" w:rsidRPr="0083330C" w:rsidRDefault="00E73486" w:rsidP="00370584">
            <w:pPr>
              <w:tabs>
                <w:tab w:val="left" w:pos="-1440"/>
                <w:tab w:val="left" w:pos="-720"/>
              </w:tabs>
              <w:rPr>
                <w:sz w:val="20"/>
                <w:szCs w:val="20"/>
                <w:lang w:val="fr-CA"/>
              </w:rPr>
            </w:pPr>
          </w:p>
          <w:p w:rsidR="00E73486" w:rsidRPr="0083330C" w:rsidRDefault="00E73486" w:rsidP="00370584">
            <w:pPr>
              <w:rPr>
                <w:sz w:val="20"/>
                <w:szCs w:val="20"/>
                <w:lang w:val="fr-CA"/>
              </w:rPr>
            </w:pPr>
            <w:r w:rsidRPr="0083330C">
              <w:rPr>
                <w:sz w:val="20"/>
                <w:szCs w:val="20"/>
                <w:lang w:val="fr-CA"/>
              </w:rPr>
              <w:t>DATE DE PRODUCTION : 06.05.2013</w:t>
            </w:r>
          </w:p>
          <w:p w:rsidR="00E73486" w:rsidRPr="0083330C" w:rsidRDefault="00B35B95" w:rsidP="00370584">
            <w:pPr>
              <w:rPr>
                <w:sz w:val="20"/>
                <w:szCs w:val="20"/>
                <w:lang w:val="fr-CA"/>
              </w:rPr>
            </w:pPr>
            <w:r w:rsidRPr="00B35B95">
              <w:rPr>
                <w:sz w:val="20"/>
                <w:szCs w:val="20"/>
                <w:lang w:val="fr-CA"/>
              </w:rPr>
              <w:pict>
                <v:rect id="_x0000_i1031" style="width:108pt;height:1pt" o:hrpct="0" o:hralign="center" o:hrstd="t" o:hrnoshade="t" o:hr="t" fillcolor="black [3213]" stroked="f"/>
              </w:pict>
            </w:r>
          </w:p>
        </w:tc>
        <w:tc>
          <w:tcPr>
            <w:tcW w:w="1181" w:type="dxa"/>
            <w:shd w:val="clear" w:color="auto" w:fill="auto"/>
          </w:tcPr>
          <w:p w:rsidR="00E73486" w:rsidRPr="0083330C" w:rsidRDefault="00E73486" w:rsidP="00370584">
            <w:pPr>
              <w:jc w:val="center"/>
              <w:rPr>
                <w:sz w:val="20"/>
                <w:szCs w:val="20"/>
                <w:lang w:val="fr-CA"/>
              </w:rPr>
            </w:pPr>
          </w:p>
          <w:p w:rsidR="00E73486" w:rsidRPr="0083330C" w:rsidRDefault="00E73486" w:rsidP="00370584">
            <w:pPr>
              <w:jc w:val="center"/>
              <w:rPr>
                <w:sz w:val="20"/>
                <w:szCs w:val="20"/>
                <w:lang w:val="fr-CA"/>
              </w:rPr>
            </w:pPr>
          </w:p>
          <w:p w:rsidR="00E73486" w:rsidRPr="0083330C" w:rsidRDefault="00E73486" w:rsidP="00370584">
            <w:pPr>
              <w:jc w:val="center"/>
              <w:rPr>
                <w:sz w:val="20"/>
                <w:szCs w:val="20"/>
                <w:lang w:val="fr-CA"/>
              </w:rPr>
            </w:pPr>
          </w:p>
          <w:p w:rsidR="00E73486" w:rsidRPr="0083330C" w:rsidRDefault="00E73486" w:rsidP="00370584">
            <w:pPr>
              <w:jc w:val="center"/>
              <w:rPr>
                <w:sz w:val="20"/>
                <w:szCs w:val="20"/>
                <w:lang w:val="fr-CA"/>
              </w:rPr>
            </w:pPr>
          </w:p>
          <w:p w:rsidR="00E73486" w:rsidRPr="0083330C" w:rsidRDefault="00E73486" w:rsidP="00370584">
            <w:pPr>
              <w:jc w:val="center"/>
              <w:rPr>
                <w:sz w:val="20"/>
                <w:szCs w:val="20"/>
                <w:lang w:val="fr-CA"/>
              </w:rPr>
            </w:pPr>
          </w:p>
          <w:p w:rsidR="00E73486" w:rsidRPr="0083330C" w:rsidRDefault="00E73486" w:rsidP="00370584">
            <w:pPr>
              <w:jc w:val="center"/>
              <w:rPr>
                <w:sz w:val="20"/>
                <w:szCs w:val="20"/>
                <w:lang w:val="fr-CA"/>
              </w:rPr>
            </w:pPr>
          </w:p>
          <w:p w:rsidR="00E73486" w:rsidRPr="0083330C" w:rsidRDefault="00E73486" w:rsidP="00370584">
            <w:pPr>
              <w:jc w:val="center"/>
              <w:rPr>
                <w:sz w:val="20"/>
                <w:szCs w:val="20"/>
                <w:lang w:val="fr-CA"/>
              </w:rPr>
            </w:pPr>
          </w:p>
          <w:p w:rsidR="00E73486" w:rsidRPr="0083330C" w:rsidRDefault="00E73486" w:rsidP="00370584">
            <w:pPr>
              <w:jc w:val="center"/>
              <w:rPr>
                <w:sz w:val="20"/>
                <w:szCs w:val="20"/>
                <w:lang w:val="fr-CA"/>
              </w:rPr>
            </w:pPr>
          </w:p>
          <w:p w:rsidR="00E73486" w:rsidRPr="0083330C" w:rsidRDefault="00E73486" w:rsidP="00370584">
            <w:pPr>
              <w:jc w:val="center"/>
              <w:rPr>
                <w:sz w:val="20"/>
                <w:szCs w:val="20"/>
                <w:lang w:val="fr-CA"/>
              </w:rPr>
            </w:pPr>
          </w:p>
          <w:p w:rsidR="00E73486" w:rsidRPr="0083330C" w:rsidRDefault="00E73486" w:rsidP="00370584">
            <w:pPr>
              <w:jc w:val="center"/>
              <w:rPr>
                <w:sz w:val="20"/>
                <w:szCs w:val="20"/>
                <w:lang w:val="fr-CA"/>
              </w:rPr>
            </w:pPr>
          </w:p>
          <w:p w:rsidR="00E73486" w:rsidRPr="0083330C" w:rsidRDefault="00E73486" w:rsidP="00370584">
            <w:pPr>
              <w:jc w:val="center"/>
              <w:rPr>
                <w:sz w:val="20"/>
                <w:szCs w:val="20"/>
                <w:lang w:val="fr-CA"/>
              </w:rPr>
            </w:pPr>
          </w:p>
          <w:p w:rsidR="00E73486" w:rsidRDefault="00E73486" w:rsidP="00370584">
            <w:pPr>
              <w:jc w:val="center"/>
              <w:rPr>
                <w:sz w:val="20"/>
                <w:szCs w:val="20"/>
                <w:lang w:val="fr-CA"/>
              </w:rPr>
            </w:pPr>
          </w:p>
          <w:p w:rsidR="00E73486" w:rsidRPr="0083330C" w:rsidRDefault="00E73486" w:rsidP="00370584">
            <w:pPr>
              <w:jc w:val="center"/>
              <w:rPr>
                <w:sz w:val="20"/>
                <w:szCs w:val="20"/>
                <w:lang w:val="fr-CA"/>
              </w:rPr>
            </w:pPr>
          </w:p>
          <w:p w:rsidR="00E73486" w:rsidRPr="0083330C" w:rsidRDefault="00E73486" w:rsidP="00370584">
            <w:pPr>
              <w:jc w:val="center"/>
              <w:rPr>
                <w:sz w:val="20"/>
                <w:szCs w:val="20"/>
                <w:lang w:val="fr-CA"/>
              </w:rPr>
            </w:pPr>
          </w:p>
        </w:tc>
        <w:tc>
          <w:tcPr>
            <w:tcW w:w="4320" w:type="dxa"/>
            <w:shd w:val="clear" w:color="auto" w:fill="auto"/>
          </w:tcPr>
          <w:p w:rsidR="00E73486" w:rsidRPr="0083330C" w:rsidRDefault="00E73486" w:rsidP="00370584">
            <w:pPr>
              <w:rPr>
                <w:b/>
                <w:sz w:val="20"/>
                <w:szCs w:val="20"/>
              </w:rPr>
            </w:pPr>
            <w:r>
              <w:rPr>
                <w:b/>
                <w:sz w:val="20"/>
                <w:szCs w:val="20"/>
              </w:rPr>
              <w:t xml:space="preserve">Laus Holdings Ltd. </w:t>
            </w:r>
            <w:r w:rsidRPr="0083330C">
              <w:rPr>
                <w:b/>
                <w:sz w:val="20"/>
                <w:szCs w:val="20"/>
              </w:rPr>
              <w:t xml:space="preserve">et al. </w:t>
            </w:r>
          </w:p>
          <w:p w:rsidR="00E73486" w:rsidRPr="0083330C" w:rsidRDefault="00E73486" w:rsidP="00370584">
            <w:pPr>
              <w:keepNext/>
              <w:keepLines/>
              <w:tabs>
                <w:tab w:val="left" w:pos="-1440"/>
                <w:tab w:val="left" w:pos="-720"/>
              </w:tabs>
              <w:rPr>
                <w:sz w:val="20"/>
                <w:szCs w:val="20"/>
              </w:rPr>
            </w:pPr>
            <w:r w:rsidRPr="0083330C">
              <w:rPr>
                <w:sz w:val="20"/>
                <w:szCs w:val="20"/>
              </w:rPr>
              <w:tab/>
            </w:r>
            <w:r>
              <w:rPr>
                <w:sz w:val="20"/>
                <w:szCs w:val="20"/>
              </w:rPr>
              <w:t>Geoff R. Hall</w:t>
            </w:r>
          </w:p>
          <w:p w:rsidR="00E73486" w:rsidRPr="0083330C" w:rsidRDefault="00E73486" w:rsidP="00370584">
            <w:pPr>
              <w:keepNext/>
              <w:keepLines/>
              <w:tabs>
                <w:tab w:val="left" w:pos="-1440"/>
                <w:tab w:val="left" w:pos="-720"/>
              </w:tabs>
              <w:rPr>
                <w:sz w:val="20"/>
                <w:szCs w:val="20"/>
              </w:rPr>
            </w:pPr>
            <w:r w:rsidRPr="0083330C">
              <w:rPr>
                <w:sz w:val="20"/>
                <w:szCs w:val="20"/>
              </w:rPr>
              <w:tab/>
            </w:r>
            <w:r>
              <w:rPr>
                <w:sz w:val="20"/>
                <w:szCs w:val="20"/>
              </w:rPr>
              <w:t>McCarthy Tétrault LLP</w:t>
            </w:r>
          </w:p>
          <w:p w:rsidR="00E73486" w:rsidRPr="0083330C" w:rsidRDefault="00E73486" w:rsidP="00370584">
            <w:pPr>
              <w:keepNext/>
              <w:keepLines/>
              <w:tabs>
                <w:tab w:val="left" w:pos="-1440"/>
                <w:tab w:val="left" w:pos="-720"/>
              </w:tabs>
              <w:rPr>
                <w:sz w:val="20"/>
                <w:szCs w:val="20"/>
              </w:rPr>
            </w:pPr>
          </w:p>
          <w:p w:rsidR="00E73486" w:rsidRPr="0083330C" w:rsidRDefault="00E73486" w:rsidP="00370584">
            <w:pPr>
              <w:keepNext/>
              <w:keepLines/>
              <w:tabs>
                <w:tab w:val="left" w:pos="-1440"/>
                <w:tab w:val="left" w:pos="-720"/>
              </w:tabs>
              <w:rPr>
                <w:sz w:val="20"/>
                <w:szCs w:val="20"/>
              </w:rPr>
            </w:pPr>
            <w:r w:rsidRPr="0083330C">
              <w:rPr>
                <w:sz w:val="20"/>
                <w:szCs w:val="20"/>
              </w:rPr>
              <w:tab/>
              <w:t>v. (3535</w:t>
            </w:r>
            <w:r>
              <w:rPr>
                <w:sz w:val="20"/>
                <w:szCs w:val="20"/>
              </w:rPr>
              <w:t>7</w:t>
            </w:r>
            <w:r w:rsidRPr="0083330C">
              <w:rPr>
                <w:sz w:val="20"/>
                <w:szCs w:val="20"/>
              </w:rPr>
              <w:t>)</w:t>
            </w:r>
          </w:p>
          <w:p w:rsidR="00E73486" w:rsidRPr="0083330C" w:rsidRDefault="00E73486" w:rsidP="00370584">
            <w:pPr>
              <w:keepNext/>
              <w:keepLines/>
              <w:tabs>
                <w:tab w:val="left" w:pos="-1440"/>
                <w:tab w:val="left" w:pos="-720"/>
              </w:tabs>
              <w:rPr>
                <w:sz w:val="20"/>
                <w:szCs w:val="20"/>
              </w:rPr>
            </w:pPr>
          </w:p>
          <w:p w:rsidR="00E73486" w:rsidRPr="0083330C" w:rsidRDefault="00E73486" w:rsidP="00370584">
            <w:pPr>
              <w:keepNext/>
              <w:keepLines/>
              <w:tabs>
                <w:tab w:val="left" w:pos="-1440"/>
                <w:tab w:val="left" w:pos="-720"/>
              </w:tabs>
              <w:rPr>
                <w:b/>
                <w:sz w:val="20"/>
                <w:szCs w:val="20"/>
              </w:rPr>
            </w:pPr>
            <w:r>
              <w:rPr>
                <w:b/>
                <w:sz w:val="20"/>
                <w:szCs w:val="20"/>
              </w:rPr>
              <w:t>P</w:t>
            </w:r>
            <w:r w:rsidRPr="0083330C">
              <w:rPr>
                <w:b/>
                <w:sz w:val="20"/>
                <w:szCs w:val="20"/>
              </w:rPr>
              <w:t>a</w:t>
            </w:r>
            <w:r>
              <w:rPr>
                <w:b/>
                <w:sz w:val="20"/>
                <w:szCs w:val="20"/>
              </w:rPr>
              <w:t>c</w:t>
            </w:r>
            <w:r w:rsidRPr="0083330C">
              <w:rPr>
                <w:b/>
                <w:sz w:val="20"/>
                <w:szCs w:val="20"/>
              </w:rPr>
              <w:t>i</w:t>
            </w:r>
            <w:r>
              <w:rPr>
                <w:b/>
                <w:sz w:val="20"/>
                <w:szCs w:val="20"/>
              </w:rPr>
              <w:t>fi</w:t>
            </w:r>
            <w:r w:rsidRPr="0083330C">
              <w:rPr>
                <w:b/>
                <w:sz w:val="20"/>
                <w:szCs w:val="20"/>
              </w:rPr>
              <w:t>c</w:t>
            </w:r>
            <w:r>
              <w:rPr>
                <w:b/>
                <w:sz w:val="20"/>
                <w:szCs w:val="20"/>
              </w:rPr>
              <w:t xml:space="preserve">a Mortgage Investment Corporation </w:t>
            </w:r>
            <w:r w:rsidRPr="0083330C">
              <w:rPr>
                <w:b/>
                <w:sz w:val="20"/>
                <w:szCs w:val="20"/>
              </w:rPr>
              <w:t>(</w:t>
            </w:r>
            <w:r>
              <w:rPr>
                <w:b/>
                <w:sz w:val="20"/>
                <w:szCs w:val="20"/>
              </w:rPr>
              <w:t>B.C</w:t>
            </w:r>
            <w:r w:rsidRPr="0083330C">
              <w:rPr>
                <w:b/>
                <w:sz w:val="20"/>
                <w:szCs w:val="20"/>
              </w:rPr>
              <w:t>.)</w:t>
            </w:r>
          </w:p>
          <w:p w:rsidR="00E73486" w:rsidRPr="0083330C" w:rsidRDefault="00E73486" w:rsidP="00370584">
            <w:pPr>
              <w:keepNext/>
              <w:keepLines/>
              <w:tabs>
                <w:tab w:val="left" w:pos="-1440"/>
                <w:tab w:val="left" w:pos="-720"/>
              </w:tabs>
              <w:rPr>
                <w:sz w:val="20"/>
                <w:szCs w:val="20"/>
              </w:rPr>
            </w:pPr>
            <w:r w:rsidRPr="0083330C">
              <w:rPr>
                <w:sz w:val="20"/>
                <w:szCs w:val="20"/>
              </w:rPr>
              <w:tab/>
            </w:r>
            <w:r>
              <w:rPr>
                <w:sz w:val="20"/>
                <w:szCs w:val="20"/>
              </w:rPr>
              <w:t>Scott H. Stephens</w:t>
            </w:r>
          </w:p>
          <w:p w:rsidR="00E73486" w:rsidRPr="0083330C" w:rsidRDefault="00E73486" w:rsidP="00370584">
            <w:pPr>
              <w:keepNext/>
              <w:keepLines/>
              <w:tabs>
                <w:tab w:val="left" w:pos="-1440"/>
                <w:tab w:val="left" w:pos="-720"/>
              </w:tabs>
              <w:rPr>
                <w:sz w:val="20"/>
                <w:szCs w:val="20"/>
              </w:rPr>
            </w:pPr>
            <w:r w:rsidRPr="0083330C">
              <w:rPr>
                <w:sz w:val="20"/>
                <w:szCs w:val="20"/>
              </w:rPr>
              <w:tab/>
            </w:r>
            <w:r>
              <w:rPr>
                <w:sz w:val="20"/>
                <w:szCs w:val="20"/>
              </w:rPr>
              <w:t>Owen Bird Law Corporation</w:t>
            </w:r>
          </w:p>
          <w:p w:rsidR="00E73486" w:rsidRPr="0083330C" w:rsidRDefault="00E73486" w:rsidP="00370584">
            <w:pPr>
              <w:keepNext/>
              <w:keepLines/>
              <w:tabs>
                <w:tab w:val="left" w:pos="-1440"/>
                <w:tab w:val="left" w:pos="-720"/>
              </w:tabs>
              <w:rPr>
                <w:sz w:val="20"/>
                <w:szCs w:val="20"/>
              </w:rPr>
            </w:pPr>
          </w:p>
          <w:p w:rsidR="00E73486" w:rsidRPr="0083330C" w:rsidRDefault="00E73486" w:rsidP="00370584">
            <w:pPr>
              <w:rPr>
                <w:sz w:val="20"/>
                <w:szCs w:val="20"/>
              </w:rPr>
            </w:pPr>
            <w:r w:rsidRPr="0083330C">
              <w:rPr>
                <w:sz w:val="20"/>
                <w:szCs w:val="20"/>
              </w:rPr>
              <w:t xml:space="preserve">FILING DATE: </w:t>
            </w:r>
            <w:r>
              <w:rPr>
                <w:sz w:val="20"/>
                <w:szCs w:val="20"/>
              </w:rPr>
              <w:t>06.05.2013</w:t>
            </w:r>
            <w:r w:rsidR="00B35B95" w:rsidRPr="00B35B95">
              <w:rPr>
                <w:sz w:val="20"/>
                <w:szCs w:val="20"/>
                <w:lang w:val="fr-CA"/>
              </w:rPr>
              <w:pict>
                <v:rect id="_x0000_i1032" style="width:108pt;height:1pt" o:hrpct="0" o:hralign="center" o:hrstd="t" o:hrnoshade="t" o:hr="t" fillcolor="black [3213]" stroked="f"/>
              </w:pict>
            </w:r>
          </w:p>
        </w:tc>
      </w:tr>
      <w:tr w:rsidR="00E73486" w:rsidRPr="00A935AA" w:rsidTr="00370584">
        <w:trPr>
          <w:cantSplit/>
        </w:trPr>
        <w:tc>
          <w:tcPr>
            <w:tcW w:w="4320" w:type="dxa"/>
            <w:shd w:val="clear" w:color="auto" w:fill="auto"/>
          </w:tcPr>
          <w:p w:rsidR="00E73486" w:rsidRPr="0083330C" w:rsidRDefault="00E73486" w:rsidP="00370584">
            <w:pPr>
              <w:rPr>
                <w:b/>
                <w:sz w:val="20"/>
                <w:szCs w:val="20"/>
              </w:rPr>
            </w:pPr>
            <w:r>
              <w:rPr>
                <w:b/>
                <w:sz w:val="20"/>
                <w:szCs w:val="20"/>
              </w:rPr>
              <w:t>Enterprise Cape Breton Corporation (formerly Cape Breton Development Corporation)</w:t>
            </w:r>
          </w:p>
          <w:p w:rsidR="00E73486" w:rsidRPr="0083330C" w:rsidRDefault="00E73486" w:rsidP="00370584">
            <w:pPr>
              <w:tabs>
                <w:tab w:val="left" w:pos="-1440"/>
                <w:tab w:val="left" w:pos="-720"/>
              </w:tabs>
              <w:rPr>
                <w:sz w:val="20"/>
                <w:szCs w:val="20"/>
              </w:rPr>
            </w:pPr>
            <w:r w:rsidRPr="0083330C">
              <w:rPr>
                <w:sz w:val="20"/>
                <w:szCs w:val="20"/>
              </w:rPr>
              <w:tab/>
            </w:r>
            <w:r>
              <w:rPr>
                <w:sz w:val="20"/>
                <w:szCs w:val="20"/>
              </w:rPr>
              <w:t>Nancy F. Barteaux</w:t>
            </w:r>
          </w:p>
          <w:p w:rsidR="00E73486" w:rsidRPr="0083330C" w:rsidRDefault="00E73486" w:rsidP="00370584">
            <w:pPr>
              <w:tabs>
                <w:tab w:val="left" w:pos="-1440"/>
                <w:tab w:val="left" w:pos="-720"/>
              </w:tabs>
              <w:rPr>
                <w:sz w:val="20"/>
                <w:szCs w:val="20"/>
              </w:rPr>
            </w:pPr>
            <w:r w:rsidRPr="0083330C">
              <w:rPr>
                <w:sz w:val="20"/>
                <w:szCs w:val="20"/>
              </w:rPr>
              <w:tab/>
            </w:r>
            <w:r>
              <w:rPr>
                <w:sz w:val="20"/>
                <w:szCs w:val="20"/>
              </w:rPr>
              <w:t>Ritch Durnford</w:t>
            </w:r>
          </w:p>
          <w:p w:rsidR="00E73486" w:rsidRPr="0083330C" w:rsidRDefault="00E73486" w:rsidP="00370584">
            <w:pPr>
              <w:tabs>
                <w:tab w:val="left" w:pos="-1440"/>
                <w:tab w:val="left" w:pos="-720"/>
              </w:tabs>
              <w:rPr>
                <w:sz w:val="20"/>
                <w:szCs w:val="20"/>
              </w:rPr>
            </w:pPr>
          </w:p>
          <w:p w:rsidR="00E73486" w:rsidRPr="0083330C" w:rsidRDefault="00E73486" w:rsidP="00370584">
            <w:pPr>
              <w:tabs>
                <w:tab w:val="left" w:pos="-1440"/>
                <w:tab w:val="left" w:pos="-720"/>
              </w:tabs>
              <w:rPr>
                <w:sz w:val="20"/>
                <w:szCs w:val="20"/>
              </w:rPr>
            </w:pPr>
            <w:r w:rsidRPr="0083330C">
              <w:rPr>
                <w:sz w:val="20"/>
                <w:szCs w:val="20"/>
              </w:rPr>
              <w:tab/>
              <w:t>v. (35</w:t>
            </w:r>
            <w:r>
              <w:rPr>
                <w:sz w:val="20"/>
                <w:szCs w:val="20"/>
              </w:rPr>
              <w:t>358</w:t>
            </w:r>
            <w:r w:rsidRPr="0083330C">
              <w:rPr>
                <w:sz w:val="20"/>
                <w:szCs w:val="20"/>
              </w:rPr>
              <w:t>)</w:t>
            </w:r>
          </w:p>
          <w:p w:rsidR="00E73486" w:rsidRPr="0083330C" w:rsidRDefault="00E73486" w:rsidP="00370584">
            <w:pPr>
              <w:tabs>
                <w:tab w:val="left" w:pos="-1440"/>
                <w:tab w:val="left" w:pos="-720"/>
              </w:tabs>
              <w:rPr>
                <w:sz w:val="20"/>
                <w:szCs w:val="20"/>
              </w:rPr>
            </w:pPr>
          </w:p>
          <w:p w:rsidR="00E73486" w:rsidRPr="00B82331" w:rsidRDefault="00E73486" w:rsidP="00370584">
            <w:pPr>
              <w:tabs>
                <w:tab w:val="left" w:pos="-1440"/>
                <w:tab w:val="left" w:pos="-720"/>
              </w:tabs>
              <w:rPr>
                <w:b/>
                <w:sz w:val="20"/>
                <w:szCs w:val="20"/>
                <w:lang w:val="fr-CA"/>
              </w:rPr>
            </w:pPr>
            <w:r w:rsidRPr="004358C4">
              <w:rPr>
                <w:b/>
                <w:sz w:val="20"/>
                <w:szCs w:val="20"/>
                <w:lang w:val="fr-CA"/>
              </w:rPr>
              <w:t>Peter Hogan et al.</w:t>
            </w:r>
            <w:r>
              <w:rPr>
                <w:b/>
                <w:sz w:val="20"/>
                <w:szCs w:val="20"/>
                <w:lang w:val="fr-CA"/>
              </w:rPr>
              <w:t xml:space="preserve"> </w:t>
            </w:r>
            <w:r w:rsidRPr="00B82331">
              <w:rPr>
                <w:b/>
                <w:sz w:val="20"/>
                <w:szCs w:val="20"/>
                <w:lang w:val="fr-CA"/>
              </w:rPr>
              <w:t>(N.S.)</w:t>
            </w:r>
          </w:p>
          <w:p w:rsidR="00E73486" w:rsidRPr="004358C4" w:rsidRDefault="00E73486" w:rsidP="00370584">
            <w:pPr>
              <w:tabs>
                <w:tab w:val="left" w:pos="-1440"/>
                <w:tab w:val="left" w:pos="-720"/>
              </w:tabs>
              <w:rPr>
                <w:sz w:val="20"/>
                <w:szCs w:val="20"/>
              </w:rPr>
            </w:pPr>
            <w:r w:rsidRPr="00B82331">
              <w:rPr>
                <w:sz w:val="20"/>
                <w:szCs w:val="20"/>
                <w:lang w:val="fr-CA"/>
              </w:rPr>
              <w:tab/>
            </w:r>
            <w:r w:rsidRPr="004358C4">
              <w:rPr>
                <w:sz w:val="20"/>
                <w:szCs w:val="20"/>
              </w:rPr>
              <w:t>Kenneth LeBlanc</w:t>
            </w:r>
          </w:p>
          <w:p w:rsidR="00E73486" w:rsidRPr="004358C4" w:rsidRDefault="00E73486" w:rsidP="00370584">
            <w:pPr>
              <w:tabs>
                <w:tab w:val="left" w:pos="-1440"/>
                <w:tab w:val="left" w:pos="-720"/>
              </w:tabs>
              <w:rPr>
                <w:sz w:val="20"/>
                <w:szCs w:val="20"/>
              </w:rPr>
            </w:pPr>
            <w:r w:rsidRPr="004358C4">
              <w:rPr>
                <w:sz w:val="20"/>
                <w:szCs w:val="20"/>
              </w:rPr>
              <w:tab/>
              <w:t>Workers’ Advisers Program</w:t>
            </w:r>
          </w:p>
          <w:p w:rsidR="00E73486" w:rsidRPr="004358C4" w:rsidRDefault="00E73486" w:rsidP="00370584">
            <w:pPr>
              <w:tabs>
                <w:tab w:val="left" w:pos="-1440"/>
                <w:tab w:val="left" w:pos="-720"/>
              </w:tabs>
              <w:rPr>
                <w:sz w:val="20"/>
                <w:szCs w:val="20"/>
              </w:rPr>
            </w:pPr>
          </w:p>
          <w:p w:rsidR="00E73486" w:rsidRPr="00A935AA" w:rsidRDefault="00E73486" w:rsidP="00370584">
            <w:pPr>
              <w:rPr>
                <w:sz w:val="20"/>
                <w:szCs w:val="20"/>
              </w:rPr>
            </w:pPr>
            <w:r w:rsidRPr="0083330C">
              <w:rPr>
                <w:sz w:val="20"/>
                <w:szCs w:val="20"/>
              </w:rPr>
              <w:t>FILIN</w:t>
            </w:r>
            <w:r w:rsidRPr="00A935AA">
              <w:rPr>
                <w:sz w:val="20"/>
                <w:szCs w:val="20"/>
              </w:rPr>
              <w:t xml:space="preserve">G DATE: </w:t>
            </w:r>
            <w:r>
              <w:rPr>
                <w:sz w:val="20"/>
                <w:szCs w:val="20"/>
              </w:rPr>
              <w:t>06</w:t>
            </w:r>
            <w:r w:rsidRPr="00A935AA">
              <w:rPr>
                <w:sz w:val="20"/>
                <w:szCs w:val="20"/>
              </w:rPr>
              <w:t>.0</w:t>
            </w:r>
            <w:r>
              <w:rPr>
                <w:sz w:val="20"/>
                <w:szCs w:val="20"/>
              </w:rPr>
              <w:t>5</w:t>
            </w:r>
            <w:r w:rsidRPr="00A935AA">
              <w:rPr>
                <w:sz w:val="20"/>
                <w:szCs w:val="20"/>
              </w:rPr>
              <w:t>.201</w:t>
            </w:r>
            <w:r>
              <w:rPr>
                <w:sz w:val="20"/>
                <w:szCs w:val="20"/>
              </w:rPr>
              <w:t>3</w:t>
            </w:r>
          </w:p>
          <w:p w:rsidR="00E73486" w:rsidRPr="00A935AA" w:rsidRDefault="00B35B95" w:rsidP="00370584">
            <w:pPr>
              <w:rPr>
                <w:sz w:val="20"/>
                <w:szCs w:val="20"/>
              </w:rPr>
            </w:pPr>
            <w:r w:rsidRPr="00B35B95">
              <w:rPr>
                <w:sz w:val="20"/>
                <w:szCs w:val="20"/>
                <w:lang w:val="fr-CA"/>
              </w:rPr>
              <w:pict>
                <v:rect id="_x0000_i1033" style="width:108pt;height:1pt" o:hrpct="0" o:hralign="center" o:hrstd="t" o:hrnoshade="t" o:hr="t" fillcolor="black [3213]" stroked="f"/>
              </w:pict>
            </w:r>
          </w:p>
        </w:tc>
        <w:tc>
          <w:tcPr>
            <w:tcW w:w="1181" w:type="dxa"/>
            <w:shd w:val="clear" w:color="auto" w:fill="auto"/>
          </w:tcPr>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tc>
        <w:tc>
          <w:tcPr>
            <w:tcW w:w="4320" w:type="dxa"/>
            <w:shd w:val="clear" w:color="auto" w:fill="auto"/>
          </w:tcPr>
          <w:p w:rsidR="00E73486" w:rsidRPr="004358C4" w:rsidRDefault="00E73486" w:rsidP="00370584">
            <w:pPr>
              <w:keepNext/>
              <w:keepLines/>
              <w:tabs>
                <w:tab w:val="left" w:pos="-1440"/>
                <w:tab w:val="left" w:pos="-720"/>
              </w:tabs>
              <w:rPr>
                <w:b/>
                <w:sz w:val="20"/>
                <w:szCs w:val="20"/>
                <w:lang w:val="fr-CA"/>
              </w:rPr>
            </w:pPr>
            <w:r w:rsidRPr="004358C4">
              <w:rPr>
                <w:b/>
                <w:sz w:val="20"/>
                <w:szCs w:val="20"/>
                <w:lang w:val="fr-CA"/>
              </w:rPr>
              <w:t>Théodore Genest</w:t>
            </w:r>
          </w:p>
          <w:p w:rsidR="00E73486" w:rsidRPr="004358C4" w:rsidRDefault="00E73486" w:rsidP="00370584">
            <w:pPr>
              <w:keepNext/>
              <w:keepLines/>
              <w:tabs>
                <w:tab w:val="left" w:pos="-1440"/>
                <w:tab w:val="left" w:pos="-720"/>
              </w:tabs>
              <w:rPr>
                <w:sz w:val="20"/>
                <w:szCs w:val="20"/>
                <w:lang w:val="fr-CA"/>
              </w:rPr>
            </w:pPr>
            <w:r w:rsidRPr="004358C4">
              <w:rPr>
                <w:sz w:val="20"/>
                <w:szCs w:val="20"/>
                <w:lang w:val="fr-CA"/>
              </w:rPr>
              <w:tab/>
              <w:t>Mylène Lareau</w:t>
            </w:r>
          </w:p>
          <w:p w:rsidR="00E73486" w:rsidRPr="004358C4" w:rsidRDefault="00E73486" w:rsidP="00370584">
            <w:pPr>
              <w:keepNext/>
              <w:keepLines/>
              <w:tabs>
                <w:tab w:val="left" w:pos="-1440"/>
                <w:tab w:val="left" w:pos="-720"/>
              </w:tabs>
              <w:rPr>
                <w:sz w:val="20"/>
                <w:szCs w:val="20"/>
                <w:lang w:val="fr-CA"/>
              </w:rPr>
            </w:pPr>
            <w:r w:rsidRPr="004358C4">
              <w:rPr>
                <w:sz w:val="20"/>
                <w:szCs w:val="20"/>
                <w:lang w:val="fr-CA"/>
              </w:rPr>
              <w:tab/>
              <w:t>Brouillard, Bibeau, Gariépy &amp; Associés</w:t>
            </w:r>
          </w:p>
          <w:p w:rsidR="00E73486" w:rsidRPr="004358C4" w:rsidRDefault="00E73486" w:rsidP="00370584">
            <w:pPr>
              <w:keepNext/>
              <w:keepLines/>
              <w:tabs>
                <w:tab w:val="left" w:pos="-1440"/>
                <w:tab w:val="left" w:pos="-720"/>
              </w:tabs>
              <w:rPr>
                <w:sz w:val="20"/>
                <w:szCs w:val="20"/>
                <w:lang w:val="fr-CA"/>
              </w:rPr>
            </w:pPr>
          </w:p>
          <w:p w:rsidR="00E73486" w:rsidRPr="004358C4" w:rsidRDefault="00E73486" w:rsidP="00370584">
            <w:pPr>
              <w:keepNext/>
              <w:keepLines/>
              <w:tabs>
                <w:tab w:val="left" w:pos="-1440"/>
                <w:tab w:val="left" w:pos="-720"/>
              </w:tabs>
              <w:rPr>
                <w:sz w:val="20"/>
                <w:szCs w:val="20"/>
                <w:lang w:val="fr-CA"/>
              </w:rPr>
            </w:pPr>
            <w:r w:rsidRPr="004358C4">
              <w:rPr>
                <w:sz w:val="20"/>
                <w:szCs w:val="20"/>
                <w:lang w:val="fr-CA"/>
              </w:rPr>
              <w:tab/>
              <w:t>c. (35359)</w:t>
            </w:r>
          </w:p>
          <w:p w:rsidR="00E73486" w:rsidRPr="004358C4" w:rsidRDefault="00E73486" w:rsidP="00370584">
            <w:pPr>
              <w:keepNext/>
              <w:keepLines/>
              <w:tabs>
                <w:tab w:val="left" w:pos="-1440"/>
                <w:tab w:val="left" w:pos="-720"/>
              </w:tabs>
              <w:rPr>
                <w:sz w:val="20"/>
                <w:szCs w:val="20"/>
                <w:lang w:val="fr-CA"/>
              </w:rPr>
            </w:pPr>
          </w:p>
          <w:p w:rsidR="00E73486" w:rsidRPr="004358C4" w:rsidRDefault="00E73486" w:rsidP="00370584">
            <w:pPr>
              <w:keepNext/>
              <w:keepLines/>
              <w:tabs>
                <w:tab w:val="left" w:pos="-1440"/>
                <w:tab w:val="left" w:pos="-720"/>
              </w:tabs>
              <w:rPr>
                <w:b/>
                <w:sz w:val="20"/>
                <w:szCs w:val="20"/>
                <w:lang w:val="fr-CA"/>
              </w:rPr>
            </w:pPr>
            <w:r w:rsidRPr="004358C4">
              <w:rPr>
                <w:b/>
                <w:sz w:val="20"/>
                <w:szCs w:val="20"/>
                <w:lang w:val="fr-CA"/>
              </w:rPr>
              <w:t>Sa Majesté la Reine (Qc)</w:t>
            </w:r>
          </w:p>
          <w:p w:rsidR="00E73486" w:rsidRPr="004358C4" w:rsidRDefault="00E73486" w:rsidP="00370584">
            <w:pPr>
              <w:keepNext/>
              <w:keepLines/>
              <w:tabs>
                <w:tab w:val="left" w:pos="-1440"/>
                <w:tab w:val="left" w:pos="-720"/>
              </w:tabs>
              <w:rPr>
                <w:sz w:val="20"/>
                <w:szCs w:val="20"/>
              </w:rPr>
            </w:pPr>
            <w:r w:rsidRPr="004358C4">
              <w:rPr>
                <w:sz w:val="20"/>
                <w:szCs w:val="20"/>
                <w:lang w:val="fr-CA"/>
              </w:rPr>
              <w:tab/>
            </w:r>
            <w:r w:rsidRPr="004358C4">
              <w:rPr>
                <w:sz w:val="20"/>
                <w:szCs w:val="20"/>
              </w:rPr>
              <w:t>Catherine Perreault</w:t>
            </w:r>
          </w:p>
          <w:p w:rsidR="00E73486" w:rsidRPr="004358C4" w:rsidRDefault="00E73486" w:rsidP="00370584">
            <w:pPr>
              <w:keepNext/>
              <w:keepLines/>
              <w:tabs>
                <w:tab w:val="left" w:pos="-1440"/>
                <w:tab w:val="left" w:pos="-720"/>
              </w:tabs>
              <w:rPr>
                <w:sz w:val="20"/>
                <w:szCs w:val="20"/>
              </w:rPr>
            </w:pPr>
            <w:r w:rsidRPr="004358C4">
              <w:rPr>
                <w:sz w:val="20"/>
                <w:szCs w:val="20"/>
              </w:rPr>
              <w:tab/>
              <w:t>P.G. du Canada</w:t>
            </w:r>
          </w:p>
          <w:p w:rsidR="00E73486" w:rsidRPr="004358C4" w:rsidRDefault="00E73486" w:rsidP="00370584">
            <w:pPr>
              <w:keepNext/>
              <w:keepLines/>
              <w:tabs>
                <w:tab w:val="left" w:pos="-1440"/>
                <w:tab w:val="left" w:pos="-720"/>
              </w:tabs>
              <w:rPr>
                <w:sz w:val="20"/>
                <w:szCs w:val="20"/>
              </w:rPr>
            </w:pPr>
          </w:p>
          <w:p w:rsidR="00E73486" w:rsidRPr="00A935AA" w:rsidRDefault="00E73486" w:rsidP="00370584">
            <w:pPr>
              <w:rPr>
                <w:sz w:val="20"/>
                <w:szCs w:val="20"/>
              </w:rPr>
            </w:pPr>
            <w:r w:rsidRPr="0083330C">
              <w:rPr>
                <w:sz w:val="20"/>
                <w:szCs w:val="20"/>
                <w:lang w:val="fr-CA"/>
              </w:rPr>
              <w:t>DATE DE PRODUCTION</w:t>
            </w:r>
            <w:r>
              <w:rPr>
                <w:sz w:val="20"/>
                <w:szCs w:val="20"/>
                <w:lang w:val="fr-CA"/>
              </w:rPr>
              <w:t xml:space="preserve"> </w:t>
            </w:r>
            <w:r w:rsidRPr="00A935AA">
              <w:rPr>
                <w:sz w:val="20"/>
                <w:szCs w:val="20"/>
              </w:rPr>
              <w:t xml:space="preserve">: </w:t>
            </w:r>
            <w:r>
              <w:rPr>
                <w:sz w:val="20"/>
                <w:szCs w:val="20"/>
              </w:rPr>
              <w:t>07</w:t>
            </w:r>
            <w:r w:rsidRPr="00A935AA">
              <w:rPr>
                <w:sz w:val="20"/>
                <w:szCs w:val="20"/>
              </w:rPr>
              <w:t>.0</w:t>
            </w:r>
            <w:r>
              <w:rPr>
                <w:sz w:val="20"/>
                <w:szCs w:val="20"/>
              </w:rPr>
              <w:t>5</w:t>
            </w:r>
            <w:r w:rsidRPr="00A935AA">
              <w:rPr>
                <w:sz w:val="20"/>
                <w:szCs w:val="20"/>
              </w:rPr>
              <w:t>.201</w:t>
            </w:r>
            <w:r>
              <w:rPr>
                <w:sz w:val="20"/>
                <w:szCs w:val="20"/>
              </w:rPr>
              <w:t>3</w:t>
            </w:r>
            <w:r w:rsidR="00B35B95" w:rsidRPr="00B35B95">
              <w:rPr>
                <w:sz w:val="20"/>
                <w:szCs w:val="20"/>
                <w:lang w:val="fr-CA"/>
              </w:rPr>
              <w:pict>
                <v:rect id="_x0000_i1034" style="width:108pt;height:1pt" o:hrpct="0" o:hralign="center" o:hrstd="t" o:hrnoshade="t" o:hr="t" fillcolor="black [3213]" stroked="f"/>
              </w:pict>
            </w:r>
          </w:p>
        </w:tc>
      </w:tr>
      <w:tr w:rsidR="00E73486" w:rsidRPr="00A935AA" w:rsidTr="00370584">
        <w:trPr>
          <w:cantSplit/>
        </w:trPr>
        <w:tc>
          <w:tcPr>
            <w:tcW w:w="4320" w:type="dxa"/>
            <w:shd w:val="clear" w:color="auto" w:fill="auto"/>
          </w:tcPr>
          <w:p w:rsidR="00E73486" w:rsidRDefault="00E73486" w:rsidP="00370584">
            <w:pPr>
              <w:rPr>
                <w:b/>
                <w:sz w:val="20"/>
                <w:szCs w:val="20"/>
              </w:rPr>
            </w:pPr>
          </w:p>
          <w:p w:rsidR="00E73486" w:rsidRPr="00A935AA" w:rsidRDefault="00E73486" w:rsidP="00370584">
            <w:pPr>
              <w:rPr>
                <w:b/>
                <w:sz w:val="20"/>
                <w:szCs w:val="20"/>
              </w:rPr>
            </w:pPr>
            <w:r>
              <w:rPr>
                <w:b/>
                <w:sz w:val="20"/>
                <w:szCs w:val="20"/>
              </w:rPr>
              <w:t>Vlasta Stubicar</w:t>
            </w:r>
          </w:p>
          <w:p w:rsidR="00E73486" w:rsidRPr="00A935AA" w:rsidRDefault="00E73486" w:rsidP="00370584">
            <w:pPr>
              <w:tabs>
                <w:tab w:val="left" w:pos="-1440"/>
                <w:tab w:val="left" w:pos="-720"/>
              </w:tabs>
              <w:rPr>
                <w:sz w:val="20"/>
                <w:szCs w:val="20"/>
              </w:rPr>
            </w:pPr>
            <w:r w:rsidRPr="00A935AA">
              <w:rPr>
                <w:sz w:val="20"/>
                <w:szCs w:val="20"/>
              </w:rPr>
              <w:tab/>
            </w:r>
            <w:r>
              <w:rPr>
                <w:sz w:val="20"/>
                <w:szCs w:val="20"/>
              </w:rPr>
              <w:t>Vlasta Stubicar</w:t>
            </w:r>
          </w:p>
          <w:p w:rsidR="00E73486" w:rsidRPr="00A935AA" w:rsidRDefault="00E73486" w:rsidP="00370584">
            <w:pPr>
              <w:tabs>
                <w:tab w:val="left" w:pos="-1440"/>
                <w:tab w:val="left" w:pos="-720"/>
              </w:tabs>
              <w:rPr>
                <w:sz w:val="20"/>
                <w:szCs w:val="20"/>
              </w:rPr>
            </w:pPr>
          </w:p>
          <w:p w:rsidR="00E73486" w:rsidRPr="00A935AA" w:rsidRDefault="00E73486" w:rsidP="00370584">
            <w:pPr>
              <w:tabs>
                <w:tab w:val="left" w:pos="-1440"/>
                <w:tab w:val="left" w:pos="-720"/>
              </w:tabs>
              <w:rPr>
                <w:sz w:val="20"/>
                <w:szCs w:val="20"/>
              </w:rPr>
            </w:pPr>
            <w:r w:rsidRPr="00A935AA">
              <w:rPr>
                <w:sz w:val="20"/>
                <w:szCs w:val="20"/>
              </w:rPr>
              <w:tab/>
              <w:t>v. (3</w:t>
            </w:r>
            <w:r>
              <w:rPr>
                <w:sz w:val="20"/>
                <w:szCs w:val="20"/>
              </w:rPr>
              <w:t>5368</w:t>
            </w:r>
            <w:r w:rsidRPr="00A935AA">
              <w:rPr>
                <w:sz w:val="20"/>
                <w:szCs w:val="20"/>
              </w:rPr>
              <w:t>)</w:t>
            </w:r>
          </w:p>
          <w:p w:rsidR="00E73486" w:rsidRPr="00A935AA" w:rsidRDefault="00E73486" w:rsidP="00370584">
            <w:pPr>
              <w:tabs>
                <w:tab w:val="left" w:pos="-1440"/>
                <w:tab w:val="left" w:pos="-720"/>
              </w:tabs>
              <w:rPr>
                <w:sz w:val="20"/>
                <w:szCs w:val="20"/>
              </w:rPr>
            </w:pPr>
          </w:p>
          <w:p w:rsidR="00E73486" w:rsidRPr="00A935AA" w:rsidRDefault="00E73486" w:rsidP="00370584">
            <w:pPr>
              <w:tabs>
                <w:tab w:val="left" w:pos="-1440"/>
                <w:tab w:val="left" w:pos="-720"/>
              </w:tabs>
              <w:rPr>
                <w:b/>
                <w:sz w:val="20"/>
                <w:szCs w:val="20"/>
              </w:rPr>
            </w:pPr>
            <w:r>
              <w:rPr>
                <w:b/>
                <w:sz w:val="20"/>
                <w:szCs w:val="20"/>
              </w:rPr>
              <w:t xml:space="preserve">Deputy Prime Minister et al. </w:t>
            </w:r>
            <w:r w:rsidRPr="00A935AA">
              <w:rPr>
                <w:b/>
                <w:sz w:val="20"/>
                <w:szCs w:val="20"/>
              </w:rPr>
              <w:t>(</w:t>
            </w:r>
            <w:r>
              <w:rPr>
                <w:b/>
                <w:sz w:val="20"/>
                <w:szCs w:val="20"/>
              </w:rPr>
              <w:t>F</w:t>
            </w:r>
            <w:r w:rsidRPr="00A935AA">
              <w:rPr>
                <w:b/>
                <w:sz w:val="20"/>
                <w:szCs w:val="20"/>
              </w:rPr>
              <w:t>.C.)</w:t>
            </w:r>
          </w:p>
          <w:p w:rsidR="00E73486" w:rsidRPr="00A935AA" w:rsidRDefault="00E73486" w:rsidP="00370584">
            <w:pPr>
              <w:tabs>
                <w:tab w:val="left" w:pos="-1440"/>
                <w:tab w:val="left" w:pos="-720"/>
              </w:tabs>
              <w:rPr>
                <w:sz w:val="20"/>
                <w:szCs w:val="20"/>
              </w:rPr>
            </w:pPr>
            <w:r w:rsidRPr="00A935AA">
              <w:rPr>
                <w:sz w:val="20"/>
                <w:szCs w:val="20"/>
              </w:rPr>
              <w:tab/>
            </w:r>
            <w:r>
              <w:rPr>
                <w:sz w:val="20"/>
                <w:szCs w:val="20"/>
              </w:rPr>
              <w:t>Jacques Mimar</w:t>
            </w:r>
          </w:p>
          <w:p w:rsidR="00E73486" w:rsidRPr="00A935AA" w:rsidRDefault="00E73486" w:rsidP="00370584">
            <w:pPr>
              <w:tabs>
                <w:tab w:val="left" w:pos="-1440"/>
                <w:tab w:val="left" w:pos="-720"/>
              </w:tabs>
              <w:rPr>
                <w:sz w:val="20"/>
                <w:szCs w:val="20"/>
              </w:rPr>
            </w:pPr>
            <w:r w:rsidRPr="00A935AA">
              <w:rPr>
                <w:sz w:val="20"/>
                <w:szCs w:val="20"/>
              </w:rPr>
              <w:tab/>
            </w:r>
            <w:r>
              <w:rPr>
                <w:sz w:val="20"/>
                <w:szCs w:val="20"/>
              </w:rPr>
              <w:t>A.G. of Canada</w:t>
            </w:r>
          </w:p>
          <w:p w:rsidR="00E73486" w:rsidRPr="00A935AA" w:rsidRDefault="00E73486" w:rsidP="00370584">
            <w:pPr>
              <w:tabs>
                <w:tab w:val="left" w:pos="-1440"/>
                <w:tab w:val="left" w:pos="-720"/>
              </w:tabs>
              <w:rPr>
                <w:sz w:val="20"/>
                <w:szCs w:val="20"/>
              </w:rPr>
            </w:pPr>
          </w:p>
          <w:p w:rsidR="00E73486" w:rsidRPr="00A935AA" w:rsidRDefault="00E73486" w:rsidP="00370584">
            <w:pPr>
              <w:rPr>
                <w:sz w:val="20"/>
                <w:szCs w:val="20"/>
              </w:rPr>
            </w:pPr>
            <w:r w:rsidRPr="00A935AA">
              <w:rPr>
                <w:sz w:val="20"/>
                <w:szCs w:val="20"/>
              </w:rPr>
              <w:t xml:space="preserve">FILING DATE: </w:t>
            </w:r>
            <w:r>
              <w:rPr>
                <w:sz w:val="20"/>
                <w:szCs w:val="20"/>
              </w:rPr>
              <w:t>09</w:t>
            </w:r>
            <w:r w:rsidRPr="00A935AA">
              <w:rPr>
                <w:sz w:val="20"/>
                <w:szCs w:val="20"/>
              </w:rPr>
              <w:t>.0</w:t>
            </w:r>
            <w:r>
              <w:rPr>
                <w:sz w:val="20"/>
                <w:szCs w:val="20"/>
              </w:rPr>
              <w:t>5</w:t>
            </w:r>
            <w:r w:rsidRPr="00A935AA">
              <w:rPr>
                <w:sz w:val="20"/>
                <w:szCs w:val="20"/>
              </w:rPr>
              <w:t>.201</w:t>
            </w:r>
            <w:r>
              <w:rPr>
                <w:sz w:val="20"/>
                <w:szCs w:val="20"/>
              </w:rPr>
              <w:t>3</w:t>
            </w:r>
          </w:p>
          <w:p w:rsidR="00E73486" w:rsidRPr="00A935AA" w:rsidRDefault="00B35B95" w:rsidP="00370584">
            <w:pPr>
              <w:rPr>
                <w:sz w:val="20"/>
                <w:szCs w:val="20"/>
              </w:rPr>
            </w:pPr>
            <w:r w:rsidRPr="00B35B95">
              <w:rPr>
                <w:sz w:val="20"/>
                <w:szCs w:val="20"/>
                <w:lang w:val="fr-CA"/>
              </w:rPr>
              <w:pict>
                <v:rect id="_x0000_i1035" style="width:108pt;height:1pt" o:hrpct="0" o:hralign="center" o:hrstd="t" o:hrnoshade="t" o:hr="t" fillcolor="black [3213]" stroked="f"/>
              </w:pict>
            </w:r>
          </w:p>
        </w:tc>
        <w:tc>
          <w:tcPr>
            <w:tcW w:w="1181" w:type="dxa"/>
            <w:shd w:val="clear" w:color="auto" w:fill="auto"/>
          </w:tcPr>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p w:rsidR="00E73486" w:rsidRPr="00A935AA" w:rsidRDefault="00E73486" w:rsidP="00370584">
            <w:pPr>
              <w:jc w:val="center"/>
              <w:rPr>
                <w:sz w:val="20"/>
                <w:szCs w:val="20"/>
              </w:rPr>
            </w:pPr>
          </w:p>
        </w:tc>
        <w:tc>
          <w:tcPr>
            <w:tcW w:w="4320" w:type="dxa"/>
            <w:shd w:val="clear" w:color="auto" w:fill="auto"/>
          </w:tcPr>
          <w:p w:rsidR="00E73486" w:rsidRPr="00A935AA" w:rsidRDefault="00E73486" w:rsidP="00370584">
            <w:pPr>
              <w:keepNext/>
              <w:keepLines/>
              <w:tabs>
                <w:tab w:val="left" w:pos="-1440"/>
                <w:tab w:val="left" w:pos="-720"/>
              </w:tabs>
              <w:rPr>
                <w:b/>
                <w:sz w:val="20"/>
                <w:szCs w:val="20"/>
              </w:rPr>
            </w:pPr>
            <w:r>
              <w:rPr>
                <w:b/>
                <w:sz w:val="20"/>
                <w:szCs w:val="20"/>
              </w:rPr>
              <w:t>Mabelle Vargas-Fano</w:t>
            </w:r>
          </w:p>
          <w:p w:rsidR="00E73486" w:rsidRPr="00A935AA" w:rsidRDefault="00E73486" w:rsidP="00370584">
            <w:pPr>
              <w:keepNext/>
              <w:keepLines/>
              <w:tabs>
                <w:tab w:val="left" w:pos="-1440"/>
                <w:tab w:val="left" w:pos="-720"/>
              </w:tabs>
              <w:rPr>
                <w:sz w:val="20"/>
                <w:szCs w:val="20"/>
              </w:rPr>
            </w:pPr>
            <w:r w:rsidRPr="00A935AA">
              <w:rPr>
                <w:sz w:val="20"/>
                <w:szCs w:val="20"/>
              </w:rPr>
              <w:tab/>
            </w:r>
            <w:r>
              <w:rPr>
                <w:sz w:val="20"/>
                <w:szCs w:val="20"/>
              </w:rPr>
              <w:t>Mabelle Vargas-Fano</w:t>
            </w:r>
          </w:p>
          <w:p w:rsidR="00E73486" w:rsidRPr="00A935AA" w:rsidRDefault="00E73486" w:rsidP="00370584">
            <w:pPr>
              <w:keepNext/>
              <w:keepLines/>
              <w:tabs>
                <w:tab w:val="left" w:pos="-1440"/>
                <w:tab w:val="left" w:pos="-720"/>
              </w:tabs>
              <w:rPr>
                <w:sz w:val="20"/>
                <w:szCs w:val="20"/>
              </w:rPr>
            </w:pPr>
          </w:p>
          <w:p w:rsidR="00E73486" w:rsidRPr="004358C4" w:rsidRDefault="00E73486" w:rsidP="00370584">
            <w:pPr>
              <w:keepNext/>
              <w:keepLines/>
              <w:tabs>
                <w:tab w:val="left" w:pos="-1440"/>
                <w:tab w:val="left" w:pos="-720"/>
              </w:tabs>
              <w:rPr>
                <w:sz w:val="20"/>
                <w:szCs w:val="20"/>
              </w:rPr>
            </w:pPr>
            <w:r w:rsidRPr="00A935AA">
              <w:rPr>
                <w:sz w:val="20"/>
                <w:szCs w:val="20"/>
              </w:rPr>
              <w:tab/>
            </w:r>
            <w:r w:rsidRPr="004358C4">
              <w:rPr>
                <w:sz w:val="20"/>
                <w:szCs w:val="20"/>
              </w:rPr>
              <w:t>v. (35</w:t>
            </w:r>
            <w:r>
              <w:rPr>
                <w:sz w:val="20"/>
                <w:szCs w:val="20"/>
              </w:rPr>
              <w:t>367</w:t>
            </w:r>
            <w:r w:rsidRPr="004358C4">
              <w:rPr>
                <w:sz w:val="20"/>
                <w:szCs w:val="20"/>
              </w:rPr>
              <w:t>)</w:t>
            </w:r>
          </w:p>
          <w:p w:rsidR="00E73486" w:rsidRPr="004358C4" w:rsidRDefault="00E73486" w:rsidP="00370584">
            <w:pPr>
              <w:keepNext/>
              <w:keepLines/>
              <w:tabs>
                <w:tab w:val="left" w:pos="-1440"/>
                <w:tab w:val="left" w:pos="-720"/>
              </w:tabs>
              <w:rPr>
                <w:sz w:val="20"/>
                <w:szCs w:val="20"/>
              </w:rPr>
            </w:pPr>
          </w:p>
          <w:p w:rsidR="00E73486" w:rsidRPr="004358C4" w:rsidRDefault="00E73486" w:rsidP="00370584">
            <w:pPr>
              <w:keepNext/>
              <w:keepLines/>
              <w:tabs>
                <w:tab w:val="left" w:pos="-1440"/>
                <w:tab w:val="left" w:pos="-720"/>
              </w:tabs>
              <w:rPr>
                <w:b/>
                <w:sz w:val="20"/>
                <w:szCs w:val="20"/>
              </w:rPr>
            </w:pPr>
            <w:r>
              <w:rPr>
                <w:b/>
                <w:sz w:val="20"/>
                <w:szCs w:val="20"/>
              </w:rPr>
              <w:t xml:space="preserve">Karen Moore, in her capacity of executor of estate of Richard Bazinet </w:t>
            </w:r>
            <w:r w:rsidRPr="004358C4">
              <w:rPr>
                <w:b/>
                <w:sz w:val="20"/>
                <w:szCs w:val="20"/>
              </w:rPr>
              <w:t>(</w:t>
            </w:r>
            <w:r>
              <w:rPr>
                <w:b/>
                <w:sz w:val="20"/>
                <w:szCs w:val="20"/>
              </w:rPr>
              <w:t>Que</w:t>
            </w:r>
            <w:r w:rsidRPr="004358C4">
              <w:rPr>
                <w:b/>
                <w:sz w:val="20"/>
                <w:szCs w:val="20"/>
              </w:rPr>
              <w:t>.)</w:t>
            </w:r>
          </w:p>
          <w:p w:rsidR="00E73486" w:rsidRPr="004358C4" w:rsidRDefault="00E73486" w:rsidP="00370584">
            <w:pPr>
              <w:keepNext/>
              <w:keepLines/>
              <w:tabs>
                <w:tab w:val="left" w:pos="-1440"/>
                <w:tab w:val="left" w:pos="-720"/>
              </w:tabs>
              <w:rPr>
                <w:sz w:val="20"/>
                <w:szCs w:val="20"/>
                <w:lang w:val="fr-CA"/>
              </w:rPr>
            </w:pPr>
            <w:r w:rsidRPr="004358C4">
              <w:rPr>
                <w:sz w:val="20"/>
                <w:szCs w:val="20"/>
              </w:rPr>
              <w:tab/>
            </w:r>
            <w:r w:rsidRPr="004358C4">
              <w:rPr>
                <w:sz w:val="20"/>
                <w:szCs w:val="20"/>
                <w:lang w:val="fr-CA"/>
              </w:rPr>
              <w:t>Marc-Antoine St-Pierre</w:t>
            </w:r>
          </w:p>
          <w:p w:rsidR="00E73486" w:rsidRPr="004358C4" w:rsidRDefault="00E73486" w:rsidP="00370584">
            <w:pPr>
              <w:keepNext/>
              <w:keepLines/>
              <w:tabs>
                <w:tab w:val="left" w:pos="-1440"/>
                <w:tab w:val="left" w:pos="-720"/>
              </w:tabs>
              <w:rPr>
                <w:sz w:val="20"/>
                <w:szCs w:val="20"/>
                <w:lang w:val="fr-CA"/>
              </w:rPr>
            </w:pPr>
            <w:r w:rsidRPr="004358C4">
              <w:rPr>
                <w:sz w:val="20"/>
                <w:szCs w:val="20"/>
                <w:lang w:val="fr-CA"/>
              </w:rPr>
              <w:tab/>
              <w:t>Séguin Racine, Avocats Ltée</w:t>
            </w:r>
          </w:p>
          <w:p w:rsidR="00E73486" w:rsidRPr="004358C4" w:rsidRDefault="00E73486" w:rsidP="00370584">
            <w:pPr>
              <w:keepNext/>
              <w:keepLines/>
              <w:tabs>
                <w:tab w:val="left" w:pos="-1440"/>
                <w:tab w:val="left" w:pos="-720"/>
              </w:tabs>
              <w:rPr>
                <w:sz w:val="20"/>
                <w:szCs w:val="20"/>
                <w:lang w:val="fr-CA"/>
              </w:rPr>
            </w:pPr>
          </w:p>
          <w:p w:rsidR="00E73486" w:rsidRPr="00A935AA" w:rsidRDefault="00E73486" w:rsidP="00370584">
            <w:pPr>
              <w:rPr>
                <w:sz w:val="20"/>
                <w:szCs w:val="20"/>
              </w:rPr>
            </w:pPr>
            <w:r w:rsidRPr="00A935AA">
              <w:rPr>
                <w:sz w:val="20"/>
                <w:szCs w:val="20"/>
              </w:rPr>
              <w:t xml:space="preserve">FILING DATE: </w:t>
            </w:r>
            <w:r>
              <w:rPr>
                <w:sz w:val="20"/>
                <w:szCs w:val="20"/>
              </w:rPr>
              <w:t>09</w:t>
            </w:r>
            <w:r w:rsidRPr="00A935AA">
              <w:rPr>
                <w:sz w:val="20"/>
                <w:szCs w:val="20"/>
              </w:rPr>
              <w:t>.0</w:t>
            </w:r>
            <w:r>
              <w:rPr>
                <w:sz w:val="20"/>
                <w:szCs w:val="20"/>
              </w:rPr>
              <w:t>5</w:t>
            </w:r>
            <w:r w:rsidRPr="00A935AA">
              <w:rPr>
                <w:sz w:val="20"/>
                <w:szCs w:val="20"/>
              </w:rPr>
              <w:t>.201</w:t>
            </w:r>
            <w:r>
              <w:rPr>
                <w:sz w:val="20"/>
                <w:szCs w:val="20"/>
              </w:rPr>
              <w:t>3</w:t>
            </w:r>
            <w:r w:rsidR="00B35B95" w:rsidRPr="00B35B95">
              <w:rPr>
                <w:sz w:val="20"/>
                <w:szCs w:val="20"/>
                <w:lang w:val="fr-CA"/>
              </w:rPr>
              <w:pict>
                <v:rect id="_x0000_i1036" style="width:108pt;height:1pt" o:hrpct="0" o:hralign="center" o:hrstd="t" o:hrnoshade="t" o:hr="t" fillcolor="black [3213]" stroked="f"/>
              </w:pict>
            </w:r>
          </w:p>
        </w:tc>
      </w:tr>
      <w:tr w:rsidR="00E73486" w:rsidRPr="00A935AA" w:rsidTr="00370584">
        <w:trPr>
          <w:cantSplit/>
        </w:trPr>
        <w:tc>
          <w:tcPr>
            <w:tcW w:w="4320" w:type="dxa"/>
            <w:shd w:val="clear" w:color="auto" w:fill="auto"/>
          </w:tcPr>
          <w:p w:rsidR="00E73486" w:rsidRPr="00A935AA" w:rsidRDefault="00E73486" w:rsidP="00370584">
            <w:pPr>
              <w:rPr>
                <w:b/>
                <w:sz w:val="20"/>
                <w:szCs w:val="20"/>
              </w:rPr>
            </w:pPr>
            <w:r>
              <w:rPr>
                <w:b/>
                <w:sz w:val="20"/>
                <w:szCs w:val="20"/>
              </w:rPr>
              <w:t>Florence Becker</w:t>
            </w:r>
          </w:p>
          <w:p w:rsidR="00E73486" w:rsidRPr="00A935AA" w:rsidRDefault="00E73486" w:rsidP="00370584">
            <w:pPr>
              <w:tabs>
                <w:tab w:val="left" w:pos="-1440"/>
                <w:tab w:val="left" w:pos="-720"/>
              </w:tabs>
              <w:rPr>
                <w:sz w:val="20"/>
                <w:szCs w:val="20"/>
              </w:rPr>
            </w:pPr>
            <w:r w:rsidRPr="00A935AA">
              <w:rPr>
                <w:sz w:val="20"/>
                <w:szCs w:val="20"/>
              </w:rPr>
              <w:tab/>
            </w:r>
            <w:r>
              <w:rPr>
                <w:sz w:val="20"/>
                <w:szCs w:val="20"/>
              </w:rPr>
              <w:t>Yehuda Levinson</w:t>
            </w:r>
          </w:p>
          <w:p w:rsidR="00E73486" w:rsidRPr="00A935AA" w:rsidRDefault="00E73486" w:rsidP="00370584">
            <w:pPr>
              <w:tabs>
                <w:tab w:val="left" w:pos="-1440"/>
                <w:tab w:val="left" w:pos="-720"/>
              </w:tabs>
              <w:rPr>
                <w:sz w:val="20"/>
                <w:szCs w:val="20"/>
              </w:rPr>
            </w:pPr>
            <w:r w:rsidRPr="00A935AA">
              <w:rPr>
                <w:sz w:val="20"/>
                <w:szCs w:val="20"/>
              </w:rPr>
              <w:tab/>
            </w:r>
            <w:r>
              <w:rPr>
                <w:sz w:val="20"/>
                <w:szCs w:val="20"/>
              </w:rPr>
              <w:t>Levinson &amp; Associates</w:t>
            </w:r>
          </w:p>
          <w:p w:rsidR="00E73486" w:rsidRPr="00A935AA" w:rsidRDefault="00E73486" w:rsidP="00370584">
            <w:pPr>
              <w:tabs>
                <w:tab w:val="left" w:pos="-1440"/>
                <w:tab w:val="left" w:pos="-720"/>
              </w:tabs>
              <w:rPr>
                <w:sz w:val="20"/>
                <w:szCs w:val="20"/>
              </w:rPr>
            </w:pPr>
          </w:p>
          <w:p w:rsidR="00E73486" w:rsidRPr="00A935AA" w:rsidRDefault="00E73486" w:rsidP="00370584">
            <w:pPr>
              <w:tabs>
                <w:tab w:val="left" w:pos="-1440"/>
                <w:tab w:val="left" w:pos="-720"/>
              </w:tabs>
              <w:rPr>
                <w:sz w:val="20"/>
                <w:szCs w:val="20"/>
              </w:rPr>
            </w:pPr>
            <w:r w:rsidRPr="00A935AA">
              <w:rPr>
                <w:sz w:val="20"/>
                <w:szCs w:val="20"/>
              </w:rPr>
              <w:tab/>
              <w:t>v. (3</w:t>
            </w:r>
            <w:r>
              <w:rPr>
                <w:sz w:val="20"/>
                <w:szCs w:val="20"/>
              </w:rPr>
              <w:t>5363</w:t>
            </w:r>
            <w:r w:rsidRPr="00A935AA">
              <w:rPr>
                <w:sz w:val="20"/>
                <w:szCs w:val="20"/>
              </w:rPr>
              <w:t>)</w:t>
            </w:r>
          </w:p>
          <w:p w:rsidR="00E73486" w:rsidRPr="00A935AA" w:rsidRDefault="00E73486" w:rsidP="00370584">
            <w:pPr>
              <w:tabs>
                <w:tab w:val="left" w:pos="-1440"/>
                <w:tab w:val="left" w:pos="-720"/>
              </w:tabs>
              <w:rPr>
                <w:sz w:val="20"/>
                <w:szCs w:val="20"/>
              </w:rPr>
            </w:pPr>
          </w:p>
          <w:p w:rsidR="00E73486" w:rsidRPr="00A935AA" w:rsidRDefault="00E73486" w:rsidP="00370584">
            <w:pPr>
              <w:tabs>
                <w:tab w:val="left" w:pos="-1440"/>
                <w:tab w:val="left" w:pos="-720"/>
              </w:tabs>
              <w:rPr>
                <w:b/>
                <w:sz w:val="20"/>
                <w:szCs w:val="20"/>
              </w:rPr>
            </w:pPr>
            <w:r>
              <w:rPr>
                <w:b/>
                <w:sz w:val="20"/>
                <w:szCs w:val="20"/>
              </w:rPr>
              <w:t xml:space="preserve">Workplace Safety and Insurance Appeals Tribunal </w:t>
            </w:r>
            <w:r w:rsidRPr="00A935AA">
              <w:rPr>
                <w:b/>
                <w:sz w:val="20"/>
                <w:szCs w:val="20"/>
              </w:rPr>
              <w:t>(</w:t>
            </w:r>
            <w:r>
              <w:rPr>
                <w:b/>
                <w:sz w:val="20"/>
                <w:szCs w:val="20"/>
              </w:rPr>
              <w:t>Ont</w:t>
            </w:r>
            <w:r w:rsidRPr="00A935AA">
              <w:rPr>
                <w:b/>
                <w:sz w:val="20"/>
                <w:szCs w:val="20"/>
              </w:rPr>
              <w:t>.)</w:t>
            </w:r>
          </w:p>
          <w:p w:rsidR="00E73486" w:rsidRPr="00A935AA" w:rsidRDefault="00E73486" w:rsidP="00370584">
            <w:pPr>
              <w:tabs>
                <w:tab w:val="left" w:pos="-1440"/>
                <w:tab w:val="left" w:pos="-720"/>
              </w:tabs>
              <w:rPr>
                <w:sz w:val="20"/>
                <w:szCs w:val="20"/>
              </w:rPr>
            </w:pPr>
            <w:r w:rsidRPr="00A935AA">
              <w:rPr>
                <w:sz w:val="20"/>
                <w:szCs w:val="20"/>
              </w:rPr>
              <w:tab/>
            </w:r>
            <w:r>
              <w:rPr>
                <w:sz w:val="20"/>
                <w:szCs w:val="20"/>
              </w:rPr>
              <w:t>Daniel S. Revington</w:t>
            </w:r>
          </w:p>
          <w:p w:rsidR="00E73486" w:rsidRPr="00A935AA" w:rsidRDefault="00E73486" w:rsidP="00370584">
            <w:pPr>
              <w:tabs>
                <w:tab w:val="left" w:pos="-1440"/>
                <w:tab w:val="left" w:pos="-720"/>
              </w:tabs>
              <w:rPr>
                <w:sz w:val="20"/>
                <w:szCs w:val="20"/>
              </w:rPr>
            </w:pPr>
            <w:r w:rsidRPr="00A935AA">
              <w:rPr>
                <w:sz w:val="20"/>
                <w:szCs w:val="20"/>
              </w:rPr>
              <w:tab/>
            </w:r>
            <w:r>
              <w:rPr>
                <w:sz w:val="20"/>
                <w:szCs w:val="20"/>
              </w:rPr>
              <w:t xml:space="preserve">Worplace Safety and Insurance Appeals </w:t>
            </w:r>
            <w:r>
              <w:rPr>
                <w:sz w:val="20"/>
                <w:szCs w:val="20"/>
              </w:rPr>
              <w:tab/>
              <w:t>Tribunal</w:t>
            </w:r>
          </w:p>
          <w:p w:rsidR="00E73486" w:rsidRPr="00A935AA" w:rsidRDefault="00E73486" w:rsidP="00370584">
            <w:pPr>
              <w:tabs>
                <w:tab w:val="left" w:pos="-1440"/>
                <w:tab w:val="left" w:pos="-720"/>
              </w:tabs>
              <w:rPr>
                <w:sz w:val="20"/>
                <w:szCs w:val="20"/>
              </w:rPr>
            </w:pPr>
          </w:p>
          <w:p w:rsidR="00E73486" w:rsidRPr="00A935AA" w:rsidRDefault="00E73486" w:rsidP="00370584">
            <w:pPr>
              <w:rPr>
                <w:sz w:val="20"/>
                <w:szCs w:val="20"/>
              </w:rPr>
            </w:pPr>
            <w:r w:rsidRPr="00A935AA">
              <w:rPr>
                <w:sz w:val="20"/>
                <w:szCs w:val="20"/>
              </w:rPr>
              <w:t xml:space="preserve">FILING DATE: </w:t>
            </w:r>
            <w:r>
              <w:rPr>
                <w:sz w:val="20"/>
                <w:szCs w:val="20"/>
              </w:rPr>
              <w:t>10</w:t>
            </w:r>
            <w:r w:rsidRPr="00A935AA">
              <w:rPr>
                <w:sz w:val="20"/>
                <w:szCs w:val="20"/>
              </w:rPr>
              <w:t>.0</w:t>
            </w:r>
            <w:r>
              <w:rPr>
                <w:sz w:val="20"/>
                <w:szCs w:val="20"/>
              </w:rPr>
              <w:t>5</w:t>
            </w:r>
            <w:r w:rsidRPr="00A935AA">
              <w:rPr>
                <w:sz w:val="20"/>
                <w:szCs w:val="20"/>
              </w:rPr>
              <w:t>.201</w:t>
            </w:r>
            <w:r>
              <w:rPr>
                <w:sz w:val="20"/>
                <w:szCs w:val="20"/>
              </w:rPr>
              <w:t>3</w:t>
            </w:r>
          </w:p>
          <w:p w:rsidR="00E73486" w:rsidRPr="00A935AA" w:rsidRDefault="00B35B95" w:rsidP="00370584">
            <w:pPr>
              <w:rPr>
                <w:sz w:val="20"/>
                <w:szCs w:val="20"/>
              </w:rPr>
            </w:pPr>
            <w:r w:rsidRPr="00B35B95">
              <w:rPr>
                <w:sz w:val="20"/>
                <w:szCs w:val="20"/>
                <w:lang w:val="fr-CA"/>
              </w:rPr>
              <w:pict>
                <v:rect id="_x0000_i1037" style="width:108pt;height:1pt" o:hrpct="0" o:hralign="center" o:hrstd="t" o:hrnoshade="t" o:hr="t" fillcolor="black [3213]" stroked="f"/>
              </w:pict>
            </w:r>
          </w:p>
        </w:tc>
        <w:tc>
          <w:tcPr>
            <w:tcW w:w="1181" w:type="dxa"/>
            <w:shd w:val="clear" w:color="auto" w:fill="auto"/>
          </w:tcPr>
          <w:p w:rsidR="00E73486" w:rsidRDefault="00E73486" w:rsidP="00370584">
            <w:pPr>
              <w:jc w:val="center"/>
              <w:rPr>
                <w:sz w:val="20"/>
                <w:szCs w:val="20"/>
              </w:rPr>
            </w:pPr>
          </w:p>
          <w:p w:rsidR="00E73486" w:rsidRDefault="00E73486" w:rsidP="00370584">
            <w:pPr>
              <w:jc w:val="center"/>
              <w:rPr>
                <w:sz w:val="20"/>
                <w:szCs w:val="20"/>
              </w:rPr>
            </w:pPr>
          </w:p>
          <w:p w:rsidR="00E73486" w:rsidRDefault="00E73486" w:rsidP="00370584">
            <w:pPr>
              <w:jc w:val="center"/>
              <w:rPr>
                <w:sz w:val="20"/>
                <w:szCs w:val="20"/>
              </w:rPr>
            </w:pPr>
          </w:p>
          <w:p w:rsidR="00E73486" w:rsidRDefault="00E73486" w:rsidP="00370584">
            <w:pPr>
              <w:jc w:val="center"/>
              <w:rPr>
                <w:sz w:val="20"/>
                <w:szCs w:val="20"/>
              </w:rPr>
            </w:pPr>
          </w:p>
          <w:p w:rsidR="00E73486" w:rsidRDefault="00E73486" w:rsidP="00370584">
            <w:pPr>
              <w:jc w:val="center"/>
              <w:rPr>
                <w:sz w:val="20"/>
                <w:szCs w:val="20"/>
              </w:rPr>
            </w:pPr>
          </w:p>
          <w:p w:rsidR="00E73486" w:rsidRDefault="00E73486" w:rsidP="00370584">
            <w:pPr>
              <w:jc w:val="center"/>
              <w:rPr>
                <w:sz w:val="20"/>
                <w:szCs w:val="20"/>
              </w:rPr>
            </w:pPr>
          </w:p>
          <w:p w:rsidR="00E73486" w:rsidRDefault="00E73486" w:rsidP="00370584">
            <w:pPr>
              <w:jc w:val="center"/>
              <w:rPr>
                <w:sz w:val="20"/>
                <w:szCs w:val="20"/>
              </w:rPr>
            </w:pPr>
          </w:p>
          <w:p w:rsidR="00E73486" w:rsidRDefault="00E73486" w:rsidP="00370584">
            <w:pPr>
              <w:jc w:val="center"/>
              <w:rPr>
                <w:sz w:val="20"/>
                <w:szCs w:val="20"/>
              </w:rPr>
            </w:pPr>
          </w:p>
          <w:p w:rsidR="00E73486" w:rsidRDefault="00E73486" w:rsidP="00370584">
            <w:pPr>
              <w:jc w:val="center"/>
              <w:rPr>
                <w:sz w:val="20"/>
                <w:szCs w:val="20"/>
              </w:rPr>
            </w:pPr>
          </w:p>
          <w:p w:rsidR="00E73486" w:rsidRDefault="00E73486" w:rsidP="00370584">
            <w:pPr>
              <w:jc w:val="center"/>
              <w:rPr>
                <w:sz w:val="20"/>
                <w:szCs w:val="20"/>
              </w:rPr>
            </w:pPr>
          </w:p>
          <w:p w:rsidR="00E73486" w:rsidRDefault="00E73486" w:rsidP="00370584">
            <w:pPr>
              <w:jc w:val="center"/>
              <w:rPr>
                <w:sz w:val="20"/>
                <w:szCs w:val="20"/>
              </w:rPr>
            </w:pPr>
          </w:p>
          <w:p w:rsidR="00E73486" w:rsidRDefault="00E73486" w:rsidP="00370584">
            <w:pPr>
              <w:jc w:val="center"/>
              <w:rPr>
                <w:sz w:val="20"/>
                <w:szCs w:val="20"/>
              </w:rPr>
            </w:pPr>
          </w:p>
          <w:p w:rsidR="00E73486" w:rsidRDefault="00E73486" w:rsidP="00370584">
            <w:pPr>
              <w:jc w:val="center"/>
              <w:rPr>
                <w:sz w:val="20"/>
                <w:szCs w:val="20"/>
              </w:rPr>
            </w:pPr>
          </w:p>
          <w:p w:rsidR="00E73486" w:rsidRPr="00A935AA" w:rsidRDefault="00E73486" w:rsidP="00370584">
            <w:pPr>
              <w:jc w:val="center"/>
              <w:rPr>
                <w:sz w:val="20"/>
                <w:szCs w:val="20"/>
              </w:rPr>
            </w:pPr>
          </w:p>
        </w:tc>
        <w:tc>
          <w:tcPr>
            <w:tcW w:w="4320" w:type="dxa"/>
            <w:shd w:val="clear" w:color="auto" w:fill="auto"/>
          </w:tcPr>
          <w:p w:rsidR="00E73486" w:rsidRPr="00A935AA" w:rsidRDefault="00E73486" w:rsidP="00370584">
            <w:pPr>
              <w:keepNext/>
              <w:keepLines/>
              <w:tabs>
                <w:tab w:val="left" w:pos="-1440"/>
                <w:tab w:val="left" w:pos="-720"/>
              </w:tabs>
              <w:rPr>
                <w:b/>
                <w:sz w:val="20"/>
                <w:szCs w:val="20"/>
              </w:rPr>
            </w:pPr>
            <w:r>
              <w:rPr>
                <w:b/>
                <w:sz w:val="20"/>
                <w:szCs w:val="20"/>
              </w:rPr>
              <w:t>Lombard General Insurance Company of Canada</w:t>
            </w:r>
          </w:p>
          <w:p w:rsidR="00E73486" w:rsidRPr="00A935AA" w:rsidRDefault="00E73486" w:rsidP="00370584">
            <w:pPr>
              <w:keepNext/>
              <w:keepLines/>
              <w:tabs>
                <w:tab w:val="left" w:pos="-1440"/>
                <w:tab w:val="left" w:pos="-720"/>
              </w:tabs>
              <w:rPr>
                <w:sz w:val="20"/>
                <w:szCs w:val="20"/>
              </w:rPr>
            </w:pPr>
            <w:r w:rsidRPr="00A935AA">
              <w:rPr>
                <w:sz w:val="20"/>
                <w:szCs w:val="20"/>
              </w:rPr>
              <w:tab/>
            </w:r>
            <w:r>
              <w:rPr>
                <w:sz w:val="20"/>
                <w:szCs w:val="20"/>
              </w:rPr>
              <w:t>Ronald Silverson</w:t>
            </w:r>
          </w:p>
          <w:p w:rsidR="00E73486" w:rsidRPr="00A935AA" w:rsidRDefault="00E73486" w:rsidP="00370584">
            <w:pPr>
              <w:keepNext/>
              <w:keepLines/>
              <w:tabs>
                <w:tab w:val="left" w:pos="-1440"/>
                <w:tab w:val="left" w:pos="-720"/>
              </w:tabs>
              <w:rPr>
                <w:sz w:val="20"/>
                <w:szCs w:val="20"/>
              </w:rPr>
            </w:pPr>
            <w:r w:rsidRPr="00A935AA">
              <w:rPr>
                <w:sz w:val="20"/>
                <w:szCs w:val="20"/>
              </w:rPr>
              <w:tab/>
            </w:r>
            <w:r>
              <w:rPr>
                <w:sz w:val="20"/>
                <w:szCs w:val="20"/>
              </w:rPr>
              <w:t>Gasco, Goodhue, St-Germain, s.e.n.c.r.l.</w:t>
            </w:r>
          </w:p>
          <w:p w:rsidR="00E73486" w:rsidRPr="00A935AA" w:rsidRDefault="00E73486" w:rsidP="00370584">
            <w:pPr>
              <w:keepNext/>
              <w:keepLines/>
              <w:tabs>
                <w:tab w:val="left" w:pos="-1440"/>
                <w:tab w:val="left" w:pos="-720"/>
              </w:tabs>
              <w:rPr>
                <w:sz w:val="20"/>
                <w:szCs w:val="20"/>
              </w:rPr>
            </w:pPr>
          </w:p>
          <w:p w:rsidR="00E73486" w:rsidRPr="002D3EF6" w:rsidRDefault="00E73486" w:rsidP="00370584">
            <w:pPr>
              <w:keepNext/>
              <w:keepLines/>
              <w:tabs>
                <w:tab w:val="left" w:pos="-1440"/>
                <w:tab w:val="left" w:pos="-720"/>
              </w:tabs>
              <w:rPr>
                <w:sz w:val="20"/>
                <w:szCs w:val="20"/>
              </w:rPr>
            </w:pPr>
            <w:r w:rsidRPr="00A935AA">
              <w:rPr>
                <w:sz w:val="20"/>
                <w:szCs w:val="20"/>
              </w:rPr>
              <w:tab/>
            </w:r>
            <w:r>
              <w:rPr>
                <w:sz w:val="20"/>
                <w:szCs w:val="20"/>
              </w:rPr>
              <w:t>c</w:t>
            </w:r>
            <w:r w:rsidRPr="002D3EF6">
              <w:rPr>
                <w:sz w:val="20"/>
                <w:szCs w:val="20"/>
              </w:rPr>
              <w:t>. (35</w:t>
            </w:r>
            <w:r>
              <w:rPr>
                <w:sz w:val="20"/>
                <w:szCs w:val="20"/>
              </w:rPr>
              <w:t>366</w:t>
            </w:r>
            <w:r w:rsidRPr="002D3EF6">
              <w:rPr>
                <w:sz w:val="20"/>
                <w:szCs w:val="20"/>
              </w:rPr>
              <w:t>)</w:t>
            </w:r>
          </w:p>
          <w:p w:rsidR="00E73486" w:rsidRPr="002D3EF6" w:rsidRDefault="00E73486" w:rsidP="00370584">
            <w:pPr>
              <w:keepNext/>
              <w:keepLines/>
              <w:tabs>
                <w:tab w:val="left" w:pos="-1440"/>
                <w:tab w:val="left" w:pos="-720"/>
              </w:tabs>
              <w:rPr>
                <w:sz w:val="20"/>
                <w:szCs w:val="20"/>
              </w:rPr>
            </w:pPr>
          </w:p>
          <w:p w:rsidR="00E73486" w:rsidRPr="002D3EF6" w:rsidRDefault="00E73486" w:rsidP="00370584">
            <w:pPr>
              <w:keepNext/>
              <w:keepLines/>
              <w:tabs>
                <w:tab w:val="left" w:pos="-1440"/>
                <w:tab w:val="left" w:pos="-720"/>
              </w:tabs>
              <w:rPr>
                <w:b/>
                <w:sz w:val="20"/>
                <w:szCs w:val="20"/>
              </w:rPr>
            </w:pPr>
            <w:r>
              <w:rPr>
                <w:b/>
                <w:sz w:val="20"/>
                <w:szCs w:val="20"/>
              </w:rPr>
              <w:t xml:space="preserve">Factory Mutual Insurance Company </w:t>
            </w:r>
            <w:r w:rsidRPr="002D3EF6">
              <w:rPr>
                <w:b/>
                <w:sz w:val="20"/>
                <w:szCs w:val="20"/>
              </w:rPr>
              <w:t>(</w:t>
            </w:r>
            <w:r>
              <w:rPr>
                <w:b/>
                <w:sz w:val="20"/>
                <w:szCs w:val="20"/>
              </w:rPr>
              <w:t>Qc</w:t>
            </w:r>
            <w:r w:rsidRPr="002D3EF6">
              <w:rPr>
                <w:b/>
                <w:sz w:val="20"/>
                <w:szCs w:val="20"/>
              </w:rPr>
              <w:t>)</w:t>
            </w:r>
          </w:p>
          <w:p w:rsidR="00E73486" w:rsidRPr="002D3EF6" w:rsidRDefault="00E73486" w:rsidP="00370584">
            <w:pPr>
              <w:keepNext/>
              <w:keepLines/>
              <w:tabs>
                <w:tab w:val="left" w:pos="-1440"/>
                <w:tab w:val="left" w:pos="-720"/>
              </w:tabs>
              <w:rPr>
                <w:sz w:val="20"/>
                <w:szCs w:val="20"/>
              </w:rPr>
            </w:pPr>
            <w:r w:rsidRPr="002D3EF6">
              <w:rPr>
                <w:sz w:val="20"/>
                <w:szCs w:val="20"/>
              </w:rPr>
              <w:tab/>
            </w:r>
            <w:r>
              <w:rPr>
                <w:sz w:val="20"/>
                <w:szCs w:val="20"/>
              </w:rPr>
              <w:t>Gordon Kugler</w:t>
            </w:r>
          </w:p>
          <w:p w:rsidR="00E73486" w:rsidRPr="00B82331" w:rsidRDefault="00E73486" w:rsidP="00370584">
            <w:pPr>
              <w:keepNext/>
              <w:keepLines/>
              <w:tabs>
                <w:tab w:val="left" w:pos="-1440"/>
                <w:tab w:val="left" w:pos="-720"/>
              </w:tabs>
              <w:rPr>
                <w:sz w:val="20"/>
                <w:szCs w:val="20"/>
              </w:rPr>
            </w:pPr>
            <w:r w:rsidRPr="002D3EF6">
              <w:rPr>
                <w:sz w:val="20"/>
                <w:szCs w:val="20"/>
              </w:rPr>
              <w:tab/>
            </w:r>
            <w:r w:rsidRPr="00B82331">
              <w:rPr>
                <w:sz w:val="20"/>
                <w:szCs w:val="20"/>
              </w:rPr>
              <w:t>Kugler Kandestin, s.e.n.c.r.l.</w:t>
            </w:r>
          </w:p>
          <w:p w:rsidR="00E73486" w:rsidRPr="00B82331" w:rsidRDefault="00E73486" w:rsidP="00370584">
            <w:pPr>
              <w:keepNext/>
              <w:keepLines/>
              <w:tabs>
                <w:tab w:val="left" w:pos="-1440"/>
                <w:tab w:val="left" w:pos="-720"/>
              </w:tabs>
              <w:rPr>
                <w:sz w:val="20"/>
                <w:szCs w:val="20"/>
              </w:rPr>
            </w:pPr>
          </w:p>
          <w:p w:rsidR="00E73486" w:rsidRPr="00A935AA" w:rsidRDefault="00E73486" w:rsidP="00370584">
            <w:pPr>
              <w:rPr>
                <w:sz w:val="20"/>
                <w:szCs w:val="20"/>
              </w:rPr>
            </w:pPr>
            <w:r w:rsidRPr="00A935AA">
              <w:rPr>
                <w:sz w:val="20"/>
                <w:szCs w:val="20"/>
              </w:rPr>
              <w:t>DATE</w:t>
            </w:r>
            <w:r>
              <w:rPr>
                <w:sz w:val="20"/>
                <w:szCs w:val="20"/>
              </w:rPr>
              <w:t xml:space="preserve"> DE PRODUCTION </w:t>
            </w:r>
            <w:r w:rsidRPr="00A935AA">
              <w:rPr>
                <w:sz w:val="20"/>
                <w:szCs w:val="20"/>
              </w:rPr>
              <w:t xml:space="preserve">: </w:t>
            </w:r>
            <w:r>
              <w:rPr>
                <w:sz w:val="20"/>
                <w:szCs w:val="20"/>
              </w:rPr>
              <w:t>10</w:t>
            </w:r>
            <w:r w:rsidRPr="00A935AA">
              <w:rPr>
                <w:sz w:val="20"/>
                <w:szCs w:val="20"/>
              </w:rPr>
              <w:t>.0</w:t>
            </w:r>
            <w:r>
              <w:rPr>
                <w:sz w:val="20"/>
                <w:szCs w:val="20"/>
              </w:rPr>
              <w:t>5</w:t>
            </w:r>
            <w:r w:rsidRPr="00A935AA">
              <w:rPr>
                <w:sz w:val="20"/>
                <w:szCs w:val="20"/>
              </w:rPr>
              <w:t>.201</w:t>
            </w:r>
            <w:r>
              <w:rPr>
                <w:sz w:val="20"/>
                <w:szCs w:val="20"/>
              </w:rPr>
              <w:t>3</w:t>
            </w:r>
            <w:r w:rsidR="00B35B95" w:rsidRPr="00B35B95">
              <w:rPr>
                <w:sz w:val="20"/>
                <w:szCs w:val="20"/>
                <w:lang w:val="fr-CA"/>
              </w:rPr>
              <w:pict>
                <v:rect id="_x0000_i1038" style="width:108pt;height:1pt" o:hrpct="0" o:hralign="center" o:hrstd="t" o:hrnoshade="t" o:hr="t" fillcolor="black [3213]" stroked="f"/>
              </w:pict>
            </w:r>
          </w:p>
        </w:tc>
      </w:tr>
      <w:tr w:rsidR="00E73486" w:rsidRPr="00A935AA" w:rsidTr="00370584">
        <w:trPr>
          <w:cantSplit/>
        </w:trPr>
        <w:tc>
          <w:tcPr>
            <w:tcW w:w="4320" w:type="dxa"/>
            <w:shd w:val="clear" w:color="auto" w:fill="auto"/>
          </w:tcPr>
          <w:p w:rsidR="00E73486" w:rsidRPr="00A935AA" w:rsidRDefault="00E73486" w:rsidP="00370584">
            <w:pPr>
              <w:rPr>
                <w:b/>
                <w:sz w:val="20"/>
                <w:szCs w:val="20"/>
              </w:rPr>
            </w:pPr>
            <w:r>
              <w:rPr>
                <w:b/>
                <w:sz w:val="20"/>
                <w:szCs w:val="20"/>
              </w:rPr>
              <w:lastRenderedPageBreak/>
              <w:t xml:space="preserve">Her Majesty the Queen </w:t>
            </w:r>
          </w:p>
          <w:p w:rsidR="00E73486" w:rsidRPr="00A935AA" w:rsidRDefault="00E73486" w:rsidP="00370584">
            <w:pPr>
              <w:tabs>
                <w:tab w:val="left" w:pos="-1440"/>
                <w:tab w:val="left" w:pos="-720"/>
              </w:tabs>
              <w:rPr>
                <w:sz w:val="20"/>
                <w:szCs w:val="20"/>
              </w:rPr>
            </w:pPr>
            <w:r w:rsidRPr="00A935AA">
              <w:rPr>
                <w:sz w:val="20"/>
                <w:szCs w:val="20"/>
              </w:rPr>
              <w:tab/>
            </w:r>
            <w:r>
              <w:rPr>
                <w:sz w:val="20"/>
                <w:szCs w:val="20"/>
              </w:rPr>
              <w:t>Amiram Kotler</w:t>
            </w:r>
          </w:p>
          <w:p w:rsidR="00E73486" w:rsidRPr="00A935AA" w:rsidRDefault="00E73486" w:rsidP="00370584">
            <w:pPr>
              <w:tabs>
                <w:tab w:val="left" w:pos="-1440"/>
                <w:tab w:val="left" w:pos="-720"/>
              </w:tabs>
              <w:rPr>
                <w:sz w:val="20"/>
                <w:szCs w:val="20"/>
              </w:rPr>
            </w:pPr>
            <w:r w:rsidRPr="00A935AA">
              <w:rPr>
                <w:sz w:val="20"/>
                <w:szCs w:val="20"/>
              </w:rPr>
              <w:tab/>
            </w:r>
            <w:r>
              <w:rPr>
                <w:sz w:val="20"/>
                <w:szCs w:val="20"/>
              </w:rPr>
              <w:t>A.G. of Manitoba</w:t>
            </w:r>
          </w:p>
          <w:p w:rsidR="00E73486" w:rsidRPr="00A935AA" w:rsidRDefault="00E73486" w:rsidP="00370584">
            <w:pPr>
              <w:tabs>
                <w:tab w:val="left" w:pos="-1440"/>
                <w:tab w:val="left" w:pos="-720"/>
              </w:tabs>
              <w:rPr>
                <w:sz w:val="20"/>
                <w:szCs w:val="20"/>
              </w:rPr>
            </w:pPr>
          </w:p>
          <w:p w:rsidR="00E73486" w:rsidRPr="00A935AA" w:rsidRDefault="00E73486" w:rsidP="00370584">
            <w:pPr>
              <w:tabs>
                <w:tab w:val="left" w:pos="-1440"/>
                <w:tab w:val="left" w:pos="-720"/>
              </w:tabs>
              <w:rPr>
                <w:sz w:val="20"/>
                <w:szCs w:val="20"/>
              </w:rPr>
            </w:pPr>
            <w:r w:rsidRPr="00A935AA">
              <w:rPr>
                <w:sz w:val="20"/>
                <w:szCs w:val="20"/>
              </w:rPr>
              <w:tab/>
              <w:t>v. (3</w:t>
            </w:r>
            <w:r>
              <w:rPr>
                <w:sz w:val="20"/>
                <w:szCs w:val="20"/>
              </w:rPr>
              <w:t>5364</w:t>
            </w:r>
            <w:r w:rsidRPr="00A935AA">
              <w:rPr>
                <w:sz w:val="20"/>
                <w:szCs w:val="20"/>
              </w:rPr>
              <w:t>)</w:t>
            </w:r>
          </w:p>
          <w:p w:rsidR="00E73486" w:rsidRPr="00A935AA" w:rsidRDefault="00E73486" w:rsidP="00370584">
            <w:pPr>
              <w:tabs>
                <w:tab w:val="left" w:pos="-1440"/>
                <w:tab w:val="left" w:pos="-720"/>
              </w:tabs>
              <w:rPr>
                <w:sz w:val="20"/>
                <w:szCs w:val="20"/>
              </w:rPr>
            </w:pPr>
          </w:p>
          <w:p w:rsidR="00E73486" w:rsidRPr="00A935AA" w:rsidRDefault="00E73486" w:rsidP="00370584">
            <w:pPr>
              <w:tabs>
                <w:tab w:val="left" w:pos="-1440"/>
                <w:tab w:val="left" w:pos="-720"/>
              </w:tabs>
              <w:rPr>
                <w:b/>
                <w:sz w:val="20"/>
                <w:szCs w:val="20"/>
              </w:rPr>
            </w:pPr>
            <w:r>
              <w:rPr>
                <w:b/>
                <w:sz w:val="20"/>
                <w:szCs w:val="20"/>
              </w:rPr>
              <w:t xml:space="preserve">John Melville Steele </w:t>
            </w:r>
            <w:r w:rsidRPr="00A935AA">
              <w:rPr>
                <w:b/>
                <w:sz w:val="20"/>
                <w:szCs w:val="20"/>
              </w:rPr>
              <w:t>(</w:t>
            </w:r>
            <w:r>
              <w:rPr>
                <w:b/>
                <w:sz w:val="20"/>
                <w:szCs w:val="20"/>
              </w:rPr>
              <w:t>Man</w:t>
            </w:r>
            <w:r w:rsidRPr="00A935AA">
              <w:rPr>
                <w:b/>
                <w:sz w:val="20"/>
                <w:szCs w:val="20"/>
              </w:rPr>
              <w:t>.)</w:t>
            </w:r>
          </w:p>
          <w:p w:rsidR="00E73486" w:rsidRPr="00A935AA" w:rsidRDefault="00E73486" w:rsidP="00370584">
            <w:pPr>
              <w:tabs>
                <w:tab w:val="left" w:pos="-1440"/>
                <w:tab w:val="left" w:pos="-720"/>
              </w:tabs>
              <w:rPr>
                <w:sz w:val="20"/>
                <w:szCs w:val="20"/>
              </w:rPr>
            </w:pPr>
            <w:r w:rsidRPr="00A935AA">
              <w:rPr>
                <w:sz w:val="20"/>
                <w:szCs w:val="20"/>
              </w:rPr>
              <w:tab/>
            </w:r>
            <w:r>
              <w:rPr>
                <w:sz w:val="20"/>
                <w:szCs w:val="20"/>
              </w:rPr>
              <w:t>David Soper</w:t>
            </w:r>
          </w:p>
          <w:p w:rsidR="00E73486" w:rsidRPr="00A935AA" w:rsidRDefault="00E73486" w:rsidP="00370584">
            <w:pPr>
              <w:tabs>
                <w:tab w:val="left" w:pos="-1440"/>
                <w:tab w:val="left" w:pos="-720"/>
              </w:tabs>
              <w:rPr>
                <w:sz w:val="20"/>
                <w:szCs w:val="20"/>
              </w:rPr>
            </w:pPr>
            <w:r w:rsidRPr="00A935AA">
              <w:rPr>
                <w:sz w:val="20"/>
                <w:szCs w:val="20"/>
              </w:rPr>
              <w:tab/>
            </w:r>
            <w:r>
              <w:rPr>
                <w:sz w:val="20"/>
                <w:szCs w:val="20"/>
              </w:rPr>
              <w:t>Legal Aid Manitoba</w:t>
            </w:r>
          </w:p>
          <w:p w:rsidR="00E73486" w:rsidRPr="00A935AA" w:rsidRDefault="00E73486" w:rsidP="00370584">
            <w:pPr>
              <w:tabs>
                <w:tab w:val="left" w:pos="-1440"/>
                <w:tab w:val="left" w:pos="-720"/>
              </w:tabs>
              <w:rPr>
                <w:sz w:val="20"/>
                <w:szCs w:val="20"/>
              </w:rPr>
            </w:pPr>
          </w:p>
          <w:p w:rsidR="00E73486" w:rsidRPr="00A935AA" w:rsidRDefault="00E73486" w:rsidP="00370584">
            <w:pPr>
              <w:rPr>
                <w:sz w:val="20"/>
                <w:szCs w:val="20"/>
              </w:rPr>
            </w:pPr>
            <w:r w:rsidRPr="00A935AA">
              <w:rPr>
                <w:sz w:val="20"/>
                <w:szCs w:val="20"/>
              </w:rPr>
              <w:t xml:space="preserve">FILING DATE: </w:t>
            </w:r>
            <w:r>
              <w:rPr>
                <w:sz w:val="20"/>
                <w:szCs w:val="20"/>
              </w:rPr>
              <w:t>10</w:t>
            </w:r>
            <w:r w:rsidRPr="00A935AA">
              <w:rPr>
                <w:sz w:val="20"/>
                <w:szCs w:val="20"/>
              </w:rPr>
              <w:t>.0</w:t>
            </w:r>
            <w:r>
              <w:rPr>
                <w:sz w:val="20"/>
                <w:szCs w:val="20"/>
              </w:rPr>
              <w:t>5</w:t>
            </w:r>
            <w:r w:rsidRPr="00A935AA">
              <w:rPr>
                <w:sz w:val="20"/>
                <w:szCs w:val="20"/>
              </w:rPr>
              <w:t>.201</w:t>
            </w:r>
            <w:r>
              <w:rPr>
                <w:sz w:val="20"/>
                <w:szCs w:val="20"/>
              </w:rPr>
              <w:t>3</w:t>
            </w:r>
          </w:p>
          <w:p w:rsidR="00E73486" w:rsidRPr="00A935AA" w:rsidRDefault="00B35B95" w:rsidP="00370584">
            <w:pPr>
              <w:rPr>
                <w:sz w:val="20"/>
                <w:szCs w:val="20"/>
              </w:rPr>
            </w:pPr>
            <w:r w:rsidRPr="00B35B95">
              <w:rPr>
                <w:sz w:val="20"/>
                <w:szCs w:val="20"/>
                <w:lang w:val="fr-CA"/>
              </w:rPr>
              <w:pict>
                <v:rect id="_x0000_i1039" style="width:108pt;height:1pt" o:hrpct="0" o:hralign="center" o:hrstd="t" o:hrnoshade="t" o:hr="t" fillcolor="black [3213]" stroked="f"/>
              </w:pict>
            </w:r>
          </w:p>
        </w:tc>
        <w:tc>
          <w:tcPr>
            <w:tcW w:w="1181" w:type="dxa"/>
            <w:shd w:val="clear" w:color="auto" w:fill="auto"/>
          </w:tcPr>
          <w:p w:rsidR="00E73486" w:rsidRDefault="00E73486" w:rsidP="00370584">
            <w:pPr>
              <w:jc w:val="center"/>
              <w:rPr>
                <w:sz w:val="20"/>
                <w:szCs w:val="20"/>
              </w:rPr>
            </w:pPr>
          </w:p>
          <w:p w:rsidR="00E73486" w:rsidRDefault="00E73486" w:rsidP="00370584">
            <w:pPr>
              <w:jc w:val="center"/>
              <w:rPr>
                <w:sz w:val="20"/>
                <w:szCs w:val="20"/>
              </w:rPr>
            </w:pPr>
          </w:p>
          <w:p w:rsidR="00E73486" w:rsidRDefault="00E73486" w:rsidP="00370584">
            <w:pPr>
              <w:jc w:val="center"/>
              <w:rPr>
                <w:sz w:val="20"/>
                <w:szCs w:val="20"/>
              </w:rPr>
            </w:pPr>
          </w:p>
          <w:p w:rsidR="00E73486" w:rsidRDefault="00E73486" w:rsidP="00370584">
            <w:pPr>
              <w:jc w:val="center"/>
              <w:rPr>
                <w:sz w:val="20"/>
                <w:szCs w:val="20"/>
              </w:rPr>
            </w:pPr>
          </w:p>
          <w:p w:rsidR="00E73486" w:rsidRDefault="00E73486" w:rsidP="00370584">
            <w:pPr>
              <w:jc w:val="center"/>
              <w:rPr>
                <w:sz w:val="20"/>
                <w:szCs w:val="20"/>
              </w:rPr>
            </w:pPr>
          </w:p>
          <w:p w:rsidR="00E73486" w:rsidRDefault="00E73486" w:rsidP="00370584">
            <w:pPr>
              <w:jc w:val="center"/>
              <w:rPr>
                <w:sz w:val="20"/>
                <w:szCs w:val="20"/>
              </w:rPr>
            </w:pPr>
          </w:p>
          <w:p w:rsidR="00E73486" w:rsidRDefault="00E73486" w:rsidP="00370584">
            <w:pPr>
              <w:jc w:val="center"/>
              <w:rPr>
                <w:sz w:val="20"/>
                <w:szCs w:val="20"/>
              </w:rPr>
            </w:pPr>
          </w:p>
          <w:p w:rsidR="00E73486" w:rsidRDefault="00E73486" w:rsidP="00370584">
            <w:pPr>
              <w:jc w:val="center"/>
              <w:rPr>
                <w:sz w:val="20"/>
                <w:szCs w:val="20"/>
              </w:rPr>
            </w:pPr>
          </w:p>
          <w:p w:rsidR="00E73486" w:rsidRDefault="00E73486" w:rsidP="00370584">
            <w:pPr>
              <w:jc w:val="center"/>
              <w:rPr>
                <w:sz w:val="20"/>
                <w:szCs w:val="20"/>
              </w:rPr>
            </w:pPr>
          </w:p>
          <w:p w:rsidR="00E73486" w:rsidRDefault="00E73486" w:rsidP="00370584">
            <w:pPr>
              <w:jc w:val="center"/>
              <w:rPr>
                <w:sz w:val="20"/>
                <w:szCs w:val="20"/>
              </w:rPr>
            </w:pPr>
          </w:p>
          <w:p w:rsidR="00E73486" w:rsidRDefault="00E73486" w:rsidP="00370584">
            <w:pPr>
              <w:jc w:val="center"/>
              <w:rPr>
                <w:sz w:val="20"/>
                <w:szCs w:val="20"/>
              </w:rPr>
            </w:pPr>
          </w:p>
          <w:p w:rsidR="00E73486" w:rsidRDefault="00E73486" w:rsidP="00370584">
            <w:pPr>
              <w:jc w:val="center"/>
              <w:rPr>
                <w:sz w:val="20"/>
                <w:szCs w:val="20"/>
              </w:rPr>
            </w:pPr>
          </w:p>
          <w:p w:rsidR="00E73486" w:rsidRPr="00A935AA" w:rsidRDefault="00E73486" w:rsidP="00370584">
            <w:pPr>
              <w:jc w:val="center"/>
              <w:rPr>
                <w:sz w:val="20"/>
                <w:szCs w:val="20"/>
              </w:rPr>
            </w:pPr>
          </w:p>
        </w:tc>
        <w:tc>
          <w:tcPr>
            <w:tcW w:w="4320" w:type="dxa"/>
            <w:shd w:val="clear" w:color="auto" w:fill="auto"/>
          </w:tcPr>
          <w:p w:rsidR="00E73486" w:rsidRPr="00A935AA" w:rsidRDefault="00E73486" w:rsidP="00370584">
            <w:pPr>
              <w:keepNext/>
              <w:keepLines/>
              <w:tabs>
                <w:tab w:val="left" w:pos="-1440"/>
                <w:tab w:val="left" w:pos="-720"/>
              </w:tabs>
              <w:rPr>
                <w:b/>
                <w:sz w:val="20"/>
                <w:szCs w:val="20"/>
              </w:rPr>
            </w:pPr>
            <w:r>
              <w:rPr>
                <w:b/>
                <w:sz w:val="20"/>
                <w:szCs w:val="20"/>
              </w:rPr>
              <w:t>Cortlen Bryce McLeod</w:t>
            </w:r>
          </w:p>
          <w:p w:rsidR="00E73486" w:rsidRPr="00A935AA" w:rsidRDefault="00E73486" w:rsidP="00370584">
            <w:pPr>
              <w:keepNext/>
              <w:keepLines/>
              <w:tabs>
                <w:tab w:val="left" w:pos="-1440"/>
                <w:tab w:val="left" w:pos="-720"/>
              </w:tabs>
              <w:rPr>
                <w:sz w:val="20"/>
                <w:szCs w:val="20"/>
              </w:rPr>
            </w:pPr>
            <w:r w:rsidRPr="00A935AA">
              <w:rPr>
                <w:sz w:val="20"/>
                <w:szCs w:val="20"/>
              </w:rPr>
              <w:tab/>
            </w:r>
            <w:r>
              <w:rPr>
                <w:sz w:val="20"/>
                <w:szCs w:val="20"/>
              </w:rPr>
              <w:t>Michael W. Owens</w:t>
            </w:r>
          </w:p>
          <w:p w:rsidR="00E73486" w:rsidRPr="00A935AA" w:rsidRDefault="00E73486" w:rsidP="00370584">
            <w:pPr>
              <w:keepNext/>
              <w:keepLines/>
              <w:tabs>
                <w:tab w:val="left" w:pos="-1440"/>
                <w:tab w:val="left" w:pos="-720"/>
              </w:tabs>
              <w:rPr>
                <w:sz w:val="20"/>
                <w:szCs w:val="20"/>
              </w:rPr>
            </w:pPr>
            <w:r w:rsidRPr="00A935AA">
              <w:rPr>
                <w:sz w:val="20"/>
                <w:szCs w:val="20"/>
              </w:rPr>
              <w:tab/>
            </w:r>
            <w:r>
              <w:rPr>
                <w:sz w:val="20"/>
                <w:szCs w:val="20"/>
              </w:rPr>
              <w:t>Michael W. Owens Legal P.C. Ltd.</w:t>
            </w:r>
          </w:p>
          <w:p w:rsidR="00E73486" w:rsidRPr="00A935AA" w:rsidRDefault="00E73486" w:rsidP="00370584">
            <w:pPr>
              <w:keepNext/>
              <w:keepLines/>
              <w:tabs>
                <w:tab w:val="left" w:pos="-1440"/>
                <w:tab w:val="left" w:pos="-720"/>
              </w:tabs>
              <w:rPr>
                <w:sz w:val="20"/>
                <w:szCs w:val="20"/>
              </w:rPr>
            </w:pPr>
          </w:p>
          <w:p w:rsidR="00E73486" w:rsidRPr="002D3EF6" w:rsidRDefault="00E73486" w:rsidP="00370584">
            <w:pPr>
              <w:keepNext/>
              <w:keepLines/>
              <w:tabs>
                <w:tab w:val="left" w:pos="-1440"/>
                <w:tab w:val="left" w:pos="-720"/>
              </w:tabs>
              <w:rPr>
                <w:sz w:val="20"/>
                <w:szCs w:val="20"/>
              </w:rPr>
            </w:pPr>
            <w:r w:rsidRPr="00A935AA">
              <w:rPr>
                <w:sz w:val="20"/>
                <w:szCs w:val="20"/>
              </w:rPr>
              <w:tab/>
            </w:r>
            <w:r w:rsidRPr="002D3EF6">
              <w:rPr>
                <w:sz w:val="20"/>
                <w:szCs w:val="20"/>
              </w:rPr>
              <w:t>v. (35</w:t>
            </w:r>
            <w:r>
              <w:rPr>
                <w:sz w:val="20"/>
                <w:szCs w:val="20"/>
              </w:rPr>
              <w:t>365</w:t>
            </w:r>
            <w:r w:rsidRPr="002D3EF6">
              <w:rPr>
                <w:sz w:val="20"/>
                <w:szCs w:val="20"/>
              </w:rPr>
              <w:t>)</w:t>
            </w:r>
          </w:p>
          <w:p w:rsidR="00E73486" w:rsidRPr="002D3EF6" w:rsidRDefault="00E73486" w:rsidP="00370584">
            <w:pPr>
              <w:keepNext/>
              <w:keepLines/>
              <w:tabs>
                <w:tab w:val="left" w:pos="-1440"/>
                <w:tab w:val="left" w:pos="-720"/>
              </w:tabs>
              <w:rPr>
                <w:sz w:val="20"/>
                <w:szCs w:val="20"/>
              </w:rPr>
            </w:pPr>
          </w:p>
          <w:p w:rsidR="00E73486" w:rsidRPr="002D3EF6" w:rsidRDefault="00E73486" w:rsidP="00370584">
            <w:pPr>
              <w:keepNext/>
              <w:keepLines/>
              <w:tabs>
                <w:tab w:val="left" w:pos="-1440"/>
                <w:tab w:val="left" w:pos="-720"/>
              </w:tabs>
              <w:rPr>
                <w:b/>
                <w:sz w:val="20"/>
                <w:szCs w:val="20"/>
              </w:rPr>
            </w:pPr>
            <w:r>
              <w:rPr>
                <w:b/>
                <w:sz w:val="20"/>
                <w:szCs w:val="20"/>
              </w:rPr>
              <w:t xml:space="preserve">Her Majesty the Queen </w:t>
            </w:r>
            <w:r w:rsidRPr="002D3EF6">
              <w:rPr>
                <w:b/>
                <w:sz w:val="20"/>
                <w:szCs w:val="20"/>
              </w:rPr>
              <w:t>(</w:t>
            </w:r>
            <w:r>
              <w:rPr>
                <w:b/>
                <w:sz w:val="20"/>
                <w:szCs w:val="20"/>
              </w:rPr>
              <w:t>Sask</w:t>
            </w:r>
            <w:r w:rsidRPr="002D3EF6">
              <w:rPr>
                <w:b/>
                <w:sz w:val="20"/>
                <w:szCs w:val="20"/>
              </w:rPr>
              <w:t>.)</w:t>
            </w:r>
          </w:p>
          <w:p w:rsidR="00E73486" w:rsidRPr="002D3EF6" w:rsidRDefault="00E73486" w:rsidP="00370584">
            <w:pPr>
              <w:keepNext/>
              <w:keepLines/>
              <w:tabs>
                <w:tab w:val="left" w:pos="-1440"/>
                <w:tab w:val="left" w:pos="-720"/>
              </w:tabs>
              <w:rPr>
                <w:sz w:val="20"/>
                <w:szCs w:val="20"/>
              </w:rPr>
            </w:pPr>
            <w:r w:rsidRPr="002D3EF6">
              <w:rPr>
                <w:sz w:val="20"/>
                <w:szCs w:val="20"/>
              </w:rPr>
              <w:tab/>
            </w:r>
            <w:r>
              <w:rPr>
                <w:sz w:val="20"/>
                <w:szCs w:val="20"/>
              </w:rPr>
              <w:t>Beverly L. Klatt</w:t>
            </w:r>
          </w:p>
          <w:p w:rsidR="00E73486" w:rsidRPr="002D3EF6" w:rsidRDefault="00E73486" w:rsidP="00370584">
            <w:pPr>
              <w:keepNext/>
              <w:keepLines/>
              <w:tabs>
                <w:tab w:val="left" w:pos="-1440"/>
                <w:tab w:val="left" w:pos="-720"/>
              </w:tabs>
              <w:rPr>
                <w:sz w:val="20"/>
                <w:szCs w:val="20"/>
              </w:rPr>
            </w:pPr>
            <w:r w:rsidRPr="002D3EF6">
              <w:rPr>
                <w:sz w:val="20"/>
                <w:szCs w:val="20"/>
              </w:rPr>
              <w:tab/>
            </w:r>
            <w:r>
              <w:rPr>
                <w:sz w:val="20"/>
                <w:szCs w:val="20"/>
              </w:rPr>
              <w:t>A.G. of Saskatchewan</w:t>
            </w:r>
          </w:p>
          <w:p w:rsidR="00E73486" w:rsidRPr="002D3EF6" w:rsidRDefault="00E73486" w:rsidP="00370584">
            <w:pPr>
              <w:keepNext/>
              <w:keepLines/>
              <w:tabs>
                <w:tab w:val="left" w:pos="-1440"/>
                <w:tab w:val="left" w:pos="-720"/>
              </w:tabs>
              <w:rPr>
                <w:sz w:val="20"/>
                <w:szCs w:val="20"/>
              </w:rPr>
            </w:pPr>
          </w:p>
          <w:p w:rsidR="00E73486" w:rsidRPr="00A935AA" w:rsidRDefault="00E73486" w:rsidP="00370584">
            <w:pPr>
              <w:rPr>
                <w:sz w:val="20"/>
                <w:szCs w:val="20"/>
              </w:rPr>
            </w:pPr>
            <w:r w:rsidRPr="00A935AA">
              <w:rPr>
                <w:sz w:val="20"/>
                <w:szCs w:val="20"/>
              </w:rPr>
              <w:t xml:space="preserve">FILING DATE: </w:t>
            </w:r>
            <w:r>
              <w:rPr>
                <w:sz w:val="20"/>
                <w:szCs w:val="20"/>
              </w:rPr>
              <w:t>10</w:t>
            </w:r>
            <w:r w:rsidRPr="00A935AA">
              <w:rPr>
                <w:sz w:val="20"/>
                <w:szCs w:val="20"/>
              </w:rPr>
              <w:t>.0</w:t>
            </w:r>
            <w:r>
              <w:rPr>
                <w:sz w:val="20"/>
                <w:szCs w:val="20"/>
              </w:rPr>
              <w:t>5</w:t>
            </w:r>
            <w:r w:rsidRPr="00A935AA">
              <w:rPr>
                <w:sz w:val="20"/>
                <w:szCs w:val="20"/>
              </w:rPr>
              <w:t>.201</w:t>
            </w:r>
            <w:r>
              <w:rPr>
                <w:sz w:val="20"/>
                <w:szCs w:val="20"/>
              </w:rPr>
              <w:t>3</w:t>
            </w:r>
            <w:r w:rsidR="00B35B95" w:rsidRPr="00B35B95">
              <w:rPr>
                <w:sz w:val="20"/>
                <w:szCs w:val="20"/>
                <w:lang w:val="fr-CA"/>
              </w:rPr>
              <w:pict>
                <v:rect id="_x0000_i1040" style="width:108pt;height:1pt" o:hrpct="0" o:hralign="center" o:hrstd="t" o:hrnoshade="t" o:hr="t" fillcolor="black [3213]" stroked="f"/>
              </w:pict>
            </w:r>
          </w:p>
        </w:tc>
      </w:tr>
    </w:tbl>
    <w:p w:rsidR="00E73486" w:rsidRDefault="00E73486" w:rsidP="0095096B">
      <w:pPr>
        <w:tabs>
          <w:tab w:val="right" w:pos="9360"/>
        </w:tabs>
        <w:rPr>
          <w:sz w:val="20"/>
          <w:szCs w:val="20"/>
        </w:rPr>
      </w:pPr>
    </w:p>
    <w:p w:rsidR="00E73486" w:rsidRPr="00C50A5C" w:rsidRDefault="00E73486" w:rsidP="0095096B">
      <w:pPr>
        <w:tabs>
          <w:tab w:val="right" w:pos="9360"/>
        </w:tabs>
        <w:rPr>
          <w:sz w:val="20"/>
          <w:szCs w:val="20"/>
        </w:rPr>
      </w:pPr>
    </w:p>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C821D0">
          <w:headerReference w:type="default" r:id="rId16"/>
          <w:footerReference w:type="default" r:id="rId17"/>
          <w:headerReference w:type="first" r:id="rId18"/>
          <w:footerReference w:type="first" r:id="rId19"/>
          <w:pgSz w:w="12240" w:h="15840"/>
          <w:pgMar w:top="720" w:right="965" w:bottom="1080" w:left="1656" w:header="706" w:footer="706" w:gutter="0"/>
          <w:pgNumType w:start="928"/>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EE440E"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BA75E9" w:rsidRPr="00C50A5C" w:rsidRDefault="00BA75E9" w:rsidP="00BA75E9">
      <w:pPr>
        <w:widowControl w:val="0"/>
        <w:rPr>
          <w:b/>
          <w:sz w:val="20"/>
          <w:szCs w:val="20"/>
        </w:rPr>
      </w:pPr>
      <w:r>
        <w:rPr>
          <w:b/>
          <w:sz w:val="20"/>
          <w:szCs w:val="20"/>
        </w:rPr>
        <w:t>MAY 21</w:t>
      </w:r>
      <w:r w:rsidRPr="00C50A5C">
        <w:rPr>
          <w:b/>
          <w:sz w:val="20"/>
          <w:szCs w:val="20"/>
        </w:rPr>
        <w:t>, 201</w:t>
      </w:r>
      <w:r>
        <w:rPr>
          <w:b/>
          <w:sz w:val="20"/>
          <w:szCs w:val="20"/>
        </w:rPr>
        <w:t>3</w:t>
      </w:r>
      <w:r w:rsidRPr="00C50A5C">
        <w:rPr>
          <w:b/>
          <w:sz w:val="20"/>
          <w:szCs w:val="20"/>
        </w:rPr>
        <w:t xml:space="preserve"> / LE </w:t>
      </w:r>
      <w:r>
        <w:rPr>
          <w:b/>
          <w:sz w:val="20"/>
          <w:szCs w:val="20"/>
        </w:rPr>
        <w:t>21 MAI</w:t>
      </w:r>
      <w:r w:rsidRPr="00C50A5C">
        <w:rPr>
          <w:b/>
          <w:sz w:val="20"/>
          <w:szCs w:val="20"/>
        </w:rPr>
        <w:t xml:space="preserve"> 201</w:t>
      </w:r>
      <w:r>
        <w:rPr>
          <w:b/>
          <w:sz w:val="20"/>
          <w:szCs w:val="20"/>
        </w:rPr>
        <w:t>3</w:t>
      </w:r>
    </w:p>
    <w:p w:rsidR="00BA75E9" w:rsidRPr="00C50A5C" w:rsidRDefault="00BA75E9" w:rsidP="00BA75E9">
      <w:pPr>
        <w:widowControl w:val="0"/>
        <w:rPr>
          <w:b/>
          <w:sz w:val="20"/>
          <w:szCs w:val="20"/>
        </w:rPr>
      </w:pPr>
    </w:p>
    <w:p w:rsidR="00BA75E9" w:rsidRPr="00C50A5C" w:rsidRDefault="00BA75E9" w:rsidP="00BA75E9">
      <w:pPr>
        <w:widowControl w:val="0"/>
        <w:jc w:val="center"/>
        <w:rPr>
          <w:b/>
          <w:sz w:val="20"/>
          <w:szCs w:val="20"/>
        </w:rPr>
      </w:pPr>
      <w:r w:rsidRPr="00C50A5C">
        <w:rPr>
          <w:b/>
          <w:sz w:val="20"/>
          <w:szCs w:val="20"/>
        </w:rPr>
        <w:t xml:space="preserve">CORAM:  Chief Justice McLachlin and </w:t>
      </w:r>
      <w:r>
        <w:rPr>
          <w:b/>
          <w:sz w:val="20"/>
          <w:szCs w:val="20"/>
        </w:rPr>
        <w:t>Abella</w:t>
      </w:r>
      <w:r w:rsidRPr="00C50A5C">
        <w:rPr>
          <w:b/>
          <w:sz w:val="20"/>
          <w:szCs w:val="20"/>
        </w:rPr>
        <w:t xml:space="preserve"> and </w:t>
      </w:r>
      <w:r>
        <w:rPr>
          <w:b/>
          <w:sz w:val="20"/>
          <w:szCs w:val="20"/>
        </w:rPr>
        <w:t>Cromwell</w:t>
      </w:r>
      <w:r w:rsidRPr="00C50A5C">
        <w:rPr>
          <w:b/>
          <w:sz w:val="20"/>
          <w:szCs w:val="20"/>
        </w:rPr>
        <w:t xml:space="preserve"> JJ.</w:t>
      </w:r>
    </w:p>
    <w:p w:rsidR="00BA75E9" w:rsidRPr="00C50A5C" w:rsidRDefault="00BA75E9" w:rsidP="00BA75E9">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Abella</w:t>
      </w:r>
      <w:r w:rsidRPr="00C50A5C">
        <w:rPr>
          <w:b/>
          <w:sz w:val="20"/>
          <w:szCs w:val="20"/>
          <w:lang w:val="fr-CA"/>
        </w:rPr>
        <w:t xml:space="preserve"> et </w:t>
      </w:r>
      <w:r>
        <w:rPr>
          <w:b/>
          <w:sz w:val="20"/>
          <w:szCs w:val="20"/>
          <w:lang w:val="fr-CA"/>
        </w:rPr>
        <w:t>Cromwell</w:t>
      </w:r>
    </w:p>
    <w:p w:rsidR="00BA75E9" w:rsidRPr="00C50A5C" w:rsidRDefault="00BA75E9" w:rsidP="00BA75E9">
      <w:pPr>
        <w:widowControl w:val="0"/>
        <w:rPr>
          <w:sz w:val="20"/>
          <w:szCs w:val="20"/>
          <w:lang w:val="fr-CA"/>
        </w:rPr>
      </w:pPr>
    </w:p>
    <w:p w:rsidR="00BA75E9" w:rsidRPr="00C50A5C" w:rsidRDefault="00BA75E9" w:rsidP="00BA75E9">
      <w:pPr>
        <w:pStyle w:val="ListParagraph"/>
        <w:widowControl w:val="0"/>
        <w:numPr>
          <w:ilvl w:val="0"/>
          <w:numId w:val="1"/>
        </w:numPr>
        <w:ind w:hanging="720"/>
        <w:jc w:val="both"/>
        <w:rPr>
          <w:sz w:val="20"/>
          <w:szCs w:val="20"/>
        </w:rPr>
      </w:pPr>
      <w:r w:rsidRPr="00B82331">
        <w:rPr>
          <w:i/>
          <w:sz w:val="20"/>
          <w:szCs w:val="20"/>
        </w:rPr>
        <w:t>Zhu Shi Li v. Her Majesty the Queen</w:t>
      </w:r>
      <w:r w:rsidRPr="00B82331">
        <w:rPr>
          <w:sz w:val="20"/>
          <w:szCs w:val="20"/>
        </w:rPr>
        <w:t xml:space="preserve"> (Ont.) </w:t>
      </w:r>
      <w:r w:rsidRPr="00C134ED">
        <w:rPr>
          <w:sz w:val="20"/>
          <w:szCs w:val="20"/>
          <w:lang w:val="fr-CA"/>
        </w:rPr>
        <w:t xml:space="preserve">(Crim.) </w:t>
      </w:r>
      <w:r w:rsidRPr="00C134ED">
        <w:rPr>
          <w:sz w:val="20"/>
          <w:szCs w:val="20"/>
        </w:rPr>
        <w:t>(By Leave)</w:t>
      </w:r>
      <w:r w:rsidRPr="00C50A5C">
        <w:rPr>
          <w:sz w:val="20"/>
          <w:szCs w:val="20"/>
        </w:rPr>
        <w:t xml:space="preserve"> (3</w:t>
      </w:r>
      <w:r>
        <w:rPr>
          <w:sz w:val="20"/>
          <w:szCs w:val="20"/>
        </w:rPr>
        <w:t>5299</w:t>
      </w:r>
      <w:r w:rsidRPr="00C50A5C">
        <w:rPr>
          <w:sz w:val="20"/>
          <w:szCs w:val="20"/>
        </w:rPr>
        <w:t>)</w:t>
      </w:r>
    </w:p>
    <w:p w:rsidR="00BA75E9" w:rsidRPr="00C50A5C" w:rsidRDefault="00BA75E9" w:rsidP="00BA75E9">
      <w:pPr>
        <w:widowControl w:val="0"/>
        <w:jc w:val="both"/>
        <w:rPr>
          <w:sz w:val="20"/>
          <w:szCs w:val="20"/>
        </w:rPr>
      </w:pPr>
    </w:p>
    <w:p w:rsidR="00BA75E9" w:rsidRPr="00B82331" w:rsidRDefault="00BA75E9" w:rsidP="00BA75E9">
      <w:pPr>
        <w:pStyle w:val="ListParagraph"/>
        <w:widowControl w:val="0"/>
        <w:numPr>
          <w:ilvl w:val="0"/>
          <w:numId w:val="1"/>
        </w:numPr>
        <w:ind w:hanging="720"/>
        <w:jc w:val="both"/>
        <w:rPr>
          <w:sz w:val="20"/>
          <w:szCs w:val="20"/>
          <w:lang w:val="fr-CA"/>
        </w:rPr>
      </w:pPr>
      <w:r w:rsidRPr="00B82331">
        <w:rPr>
          <w:i/>
          <w:sz w:val="20"/>
          <w:szCs w:val="20"/>
          <w:lang w:val="fr-CA"/>
        </w:rPr>
        <w:t>Joseph Ferdinand Dave Perron c. Monique Denise Perron (maintenant Waring)</w:t>
      </w:r>
      <w:r w:rsidRPr="00C134ED">
        <w:rPr>
          <w:sz w:val="20"/>
          <w:szCs w:val="20"/>
          <w:lang w:val="fr-CA"/>
        </w:rPr>
        <w:t xml:space="preserve"> (Ont.) (Civile) (Autorisation)</w:t>
      </w:r>
      <w:r w:rsidRPr="00B82331">
        <w:rPr>
          <w:sz w:val="20"/>
          <w:szCs w:val="20"/>
          <w:lang w:val="fr-CA"/>
        </w:rPr>
        <w:t xml:space="preserve"> (35185)</w:t>
      </w:r>
    </w:p>
    <w:p w:rsidR="00BA75E9" w:rsidRPr="00B82331" w:rsidRDefault="00BA75E9" w:rsidP="00BA75E9">
      <w:pPr>
        <w:widowControl w:val="0"/>
        <w:jc w:val="both"/>
        <w:rPr>
          <w:sz w:val="20"/>
          <w:szCs w:val="20"/>
          <w:lang w:val="fr-CA"/>
        </w:rPr>
      </w:pPr>
    </w:p>
    <w:p w:rsidR="00BA75E9" w:rsidRPr="00C50A5C" w:rsidRDefault="00BA75E9" w:rsidP="00BA75E9">
      <w:pPr>
        <w:pStyle w:val="ListParagraph"/>
        <w:widowControl w:val="0"/>
        <w:numPr>
          <w:ilvl w:val="0"/>
          <w:numId w:val="1"/>
        </w:numPr>
        <w:ind w:hanging="720"/>
        <w:jc w:val="both"/>
        <w:rPr>
          <w:sz w:val="20"/>
          <w:szCs w:val="20"/>
        </w:rPr>
      </w:pPr>
      <w:r w:rsidRPr="00B82331">
        <w:rPr>
          <w:i/>
          <w:sz w:val="20"/>
          <w:szCs w:val="20"/>
        </w:rPr>
        <w:t>Kruger Products Limited / Produits Kruger Limitée v. First Choice Logistics Inc. et al.</w:t>
      </w:r>
      <w:r w:rsidRPr="00C134ED">
        <w:rPr>
          <w:sz w:val="20"/>
          <w:szCs w:val="20"/>
        </w:rPr>
        <w:t xml:space="preserve"> (B.C.) (Civil) (By Leave)</w:t>
      </w:r>
      <w:r w:rsidRPr="00B82331">
        <w:rPr>
          <w:sz w:val="20"/>
          <w:szCs w:val="20"/>
        </w:rPr>
        <w:t xml:space="preserve"> </w:t>
      </w:r>
      <w:r w:rsidRPr="00940CAD">
        <w:rPr>
          <w:sz w:val="20"/>
          <w:szCs w:val="20"/>
        </w:rPr>
        <w:t>(3</w:t>
      </w:r>
      <w:r>
        <w:rPr>
          <w:sz w:val="20"/>
          <w:szCs w:val="20"/>
        </w:rPr>
        <w:t>5253</w:t>
      </w:r>
      <w:r w:rsidRPr="00940CAD">
        <w:rPr>
          <w:sz w:val="20"/>
          <w:szCs w:val="20"/>
        </w:rPr>
        <w:t>)</w:t>
      </w:r>
    </w:p>
    <w:p w:rsidR="00BA75E9" w:rsidRPr="00C50A5C" w:rsidRDefault="00BA75E9" w:rsidP="00BA75E9">
      <w:pPr>
        <w:widowControl w:val="0"/>
        <w:rPr>
          <w:sz w:val="20"/>
          <w:szCs w:val="20"/>
        </w:rPr>
      </w:pPr>
    </w:p>
    <w:p w:rsidR="00BA75E9" w:rsidRPr="00C50A5C" w:rsidRDefault="00BA75E9" w:rsidP="00BA75E9">
      <w:pPr>
        <w:pStyle w:val="ListParagraph"/>
        <w:widowControl w:val="0"/>
        <w:numPr>
          <w:ilvl w:val="0"/>
          <w:numId w:val="1"/>
        </w:numPr>
        <w:ind w:hanging="720"/>
        <w:jc w:val="both"/>
        <w:rPr>
          <w:sz w:val="20"/>
          <w:szCs w:val="20"/>
        </w:rPr>
      </w:pPr>
      <w:r w:rsidRPr="00B82331">
        <w:rPr>
          <w:i/>
          <w:sz w:val="20"/>
          <w:szCs w:val="20"/>
        </w:rPr>
        <w:t>E.S. v. Children's Aid Society of Toronto</w:t>
      </w:r>
      <w:r w:rsidRPr="00C134ED">
        <w:rPr>
          <w:sz w:val="20"/>
          <w:szCs w:val="20"/>
        </w:rPr>
        <w:t xml:space="preserve"> (Ont.) (Civil) (By Leave)</w:t>
      </w:r>
      <w:r w:rsidRPr="00C50A5C">
        <w:rPr>
          <w:sz w:val="20"/>
          <w:szCs w:val="20"/>
        </w:rPr>
        <w:t xml:space="preserve"> (3</w:t>
      </w:r>
      <w:r>
        <w:rPr>
          <w:sz w:val="20"/>
          <w:szCs w:val="20"/>
        </w:rPr>
        <w:t>5297</w:t>
      </w:r>
      <w:r w:rsidRPr="00C50A5C">
        <w:rPr>
          <w:sz w:val="20"/>
          <w:szCs w:val="20"/>
        </w:rPr>
        <w:t>)</w:t>
      </w:r>
    </w:p>
    <w:p w:rsidR="00BA75E9" w:rsidRDefault="00BA75E9" w:rsidP="00BA75E9">
      <w:pPr>
        <w:widowControl w:val="0"/>
        <w:jc w:val="both"/>
        <w:rPr>
          <w:sz w:val="20"/>
          <w:szCs w:val="20"/>
        </w:rPr>
      </w:pPr>
    </w:p>
    <w:p w:rsidR="00BA75E9" w:rsidRDefault="00BA75E9" w:rsidP="00BA75E9">
      <w:pPr>
        <w:widowControl w:val="0"/>
        <w:jc w:val="both"/>
        <w:rPr>
          <w:sz w:val="20"/>
          <w:szCs w:val="20"/>
        </w:rPr>
      </w:pPr>
    </w:p>
    <w:p w:rsidR="00BA75E9" w:rsidRPr="00C50A5C" w:rsidRDefault="00BA75E9" w:rsidP="00BA75E9">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BA75E9" w:rsidRPr="00C50A5C" w:rsidRDefault="00BA75E9" w:rsidP="00BA75E9">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BA75E9" w:rsidRPr="00C16CB3" w:rsidRDefault="00BA75E9" w:rsidP="00BA75E9">
      <w:pPr>
        <w:widowControl w:val="0"/>
        <w:jc w:val="both"/>
        <w:rPr>
          <w:sz w:val="20"/>
          <w:szCs w:val="20"/>
          <w:lang w:val="fr-CA"/>
        </w:rPr>
      </w:pPr>
    </w:p>
    <w:p w:rsidR="00BA75E9" w:rsidRPr="00C612D0" w:rsidRDefault="00BA75E9" w:rsidP="00BA75E9">
      <w:pPr>
        <w:pStyle w:val="ListParagraph"/>
        <w:widowControl w:val="0"/>
        <w:numPr>
          <w:ilvl w:val="0"/>
          <w:numId w:val="1"/>
        </w:numPr>
        <w:ind w:hanging="720"/>
        <w:jc w:val="both"/>
        <w:rPr>
          <w:sz w:val="20"/>
          <w:szCs w:val="20"/>
          <w:lang w:val="fr-CA"/>
        </w:rPr>
      </w:pPr>
      <w:r w:rsidRPr="00B82331">
        <w:rPr>
          <w:i/>
          <w:sz w:val="20"/>
          <w:szCs w:val="20"/>
          <w:lang w:val="fr-CA"/>
        </w:rPr>
        <w:t>Saïd Boukendour c. Andrée Gosselin</w:t>
      </w:r>
      <w:r w:rsidRPr="00C134ED">
        <w:rPr>
          <w:sz w:val="20"/>
          <w:szCs w:val="20"/>
          <w:lang w:val="fr-CA"/>
        </w:rPr>
        <w:t xml:space="preserve"> (Qc) (Civile) (Autorisation)</w:t>
      </w:r>
      <w:r w:rsidRPr="00C612D0">
        <w:rPr>
          <w:sz w:val="20"/>
          <w:szCs w:val="20"/>
          <w:lang w:val="fr-CA"/>
        </w:rPr>
        <w:t xml:space="preserve"> (3</w:t>
      </w:r>
      <w:r>
        <w:rPr>
          <w:sz w:val="20"/>
          <w:szCs w:val="20"/>
          <w:lang w:val="fr-CA"/>
        </w:rPr>
        <w:t>5282</w:t>
      </w:r>
      <w:r w:rsidRPr="00C612D0">
        <w:rPr>
          <w:sz w:val="20"/>
          <w:szCs w:val="20"/>
          <w:lang w:val="fr-CA"/>
        </w:rPr>
        <w:t>)</w:t>
      </w:r>
    </w:p>
    <w:p w:rsidR="00BA75E9" w:rsidRPr="00C612D0" w:rsidRDefault="00BA75E9" w:rsidP="00BA75E9">
      <w:pPr>
        <w:widowControl w:val="0"/>
        <w:rPr>
          <w:sz w:val="20"/>
          <w:szCs w:val="20"/>
          <w:lang w:val="fr-CA"/>
        </w:rPr>
      </w:pPr>
    </w:p>
    <w:p w:rsidR="00BA75E9" w:rsidRPr="00B82331" w:rsidRDefault="00BA75E9" w:rsidP="00BA75E9">
      <w:pPr>
        <w:pStyle w:val="ListParagraph"/>
        <w:widowControl w:val="0"/>
        <w:numPr>
          <w:ilvl w:val="0"/>
          <w:numId w:val="1"/>
        </w:numPr>
        <w:ind w:hanging="720"/>
        <w:jc w:val="both"/>
        <w:rPr>
          <w:sz w:val="20"/>
          <w:szCs w:val="20"/>
        </w:rPr>
      </w:pPr>
      <w:r w:rsidRPr="00B82331">
        <w:rPr>
          <w:i/>
          <w:sz w:val="20"/>
          <w:szCs w:val="20"/>
        </w:rPr>
        <w:t>Dwight W. Gaskin v. Canada Revenue Agency et al.</w:t>
      </w:r>
      <w:r w:rsidRPr="00C134ED">
        <w:rPr>
          <w:sz w:val="20"/>
          <w:szCs w:val="20"/>
        </w:rPr>
        <w:t xml:space="preserve"> (F.C.) (Civil) (By Leave)</w:t>
      </w:r>
      <w:r w:rsidRPr="00B82331">
        <w:rPr>
          <w:sz w:val="20"/>
          <w:szCs w:val="20"/>
        </w:rPr>
        <w:t xml:space="preserve"> (35294)</w:t>
      </w:r>
    </w:p>
    <w:p w:rsidR="00BA75E9" w:rsidRPr="00B82331" w:rsidRDefault="00BA75E9" w:rsidP="00BA75E9">
      <w:pPr>
        <w:widowControl w:val="0"/>
        <w:jc w:val="both"/>
        <w:rPr>
          <w:sz w:val="20"/>
          <w:szCs w:val="20"/>
        </w:rPr>
      </w:pPr>
    </w:p>
    <w:p w:rsidR="00BA75E9" w:rsidRPr="00115C9E" w:rsidRDefault="00BA75E9" w:rsidP="00BA75E9">
      <w:pPr>
        <w:pStyle w:val="ListParagraph"/>
        <w:widowControl w:val="0"/>
        <w:numPr>
          <w:ilvl w:val="0"/>
          <w:numId w:val="1"/>
        </w:numPr>
        <w:ind w:hanging="720"/>
        <w:jc w:val="both"/>
        <w:rPr>
          <w:sz w:val="20"/>
          <w:szCs w:val="20"/>
          <w:lang w:val="fr-CA"/>
        </w:rPr>
      </w:pPr>
      <w:r w:rsidRPr="00B82331">
        <w:rPr>
          <w:i/>
          <w:sz w:val="20"/>
          <w:szCs w:val="20"/>
          <w:lang w:val="fr-CA"/>
        </w:rPr>
        <w:t>Daniel Poulin c. Collège des médecins du Québec</w:t>
      </w:r>
      <w:r w:rsidRPr="00C134ED">
        <w:rPr>
          <w:sz w:val="20"/>
          <w:szCs w:val="20"/>
          <w:lang w:val="fr-CA"/>
        </w:rPr>
        <w:t xml:space="preserve"> (Qc) (Civile) (Autorisation)</w:t>
      </w:r>
      <w:r w:rsidRPr="00115C9E">
        <w:rPr>
          <w:sz w:val="20"/>
          <w:szCs w:val="20"/>
          <w:lang w:val="fr-CA"/>
        </w:rPr>
        <w:t xml:space="preserve"> (35</w:t>
      </w:r>
      <w:r>
        <w:rPr>
          <w:sz w:val="20"/>
          <w:szCs w:val="20"/>
          <w:lang w:val="fr-CA"/>
        </w:rPr>
        <w:t>289</w:t>
      </w:r>
      <w:r w:rsidRPr="00115C9E">
        <w:rPr>
          <w:sz w:val="20"/>
          <w:szCs w:val="20"/>
          <w:lang w:val="fr-CA"/>
        </w:rPr>
        <w:t>)</w:t>
      </w:r>
    </w:p>
    <w:p w:rsidR="00BA75E9" w:rsidRPr="00115C9E" w:rsidRDefault="00BA75E9" w:rsidP="00BA75E9">
      <w:pPr>
        <w:widowControl w:val="0"/>
        <w:jc w:val="both"/>
        <w:rPr>
          <w:sz w:val="20"/>
          <w:szCs w:val="20"/>
          <w:lang w:val="fr-CA"/>
        </w:rPr>
      </w:pPr>
    </w:p>
    <w:p w:rsidR="00BA75E9" w:rsidRPr="00C50A5C" w:rsidRDefault="00BA75E9" w:rsidP="00BA75E9">
      <w:pPr>
        <w:pStyle w:val="ListParagraph"/>
        <w:widowControl w:val="0"/>
        <w:numPr>
          <w:ilvl w:val="0"/>
          <w:numId w:val="1"/>
        </w:numPr>
        <w:ind w:hanging="720"/>
        <w:jc w:val="both"/>
        <w:rPr>
          <w:sz w:val="20"/>
          <w:szCs w:val="20"/>
          <w:lang w:val="fr-CA"/>
        </w:rPr>
      </w:pPr>
      <w:r w:rsidRPr="008B2EFF">
        <w:rPr>
          <w:i/>
          <w:sz w:val="20"/>
          <w:szCs w:val="20"/>
          <w:lang w:val="fr-CA"/>
        </w:rPr>
        <w:t>Gilles Patenaude c. Procureur général du Québec</w:t>
      </w:r>
      <w:r w:rsidRPr="00C134ED">
        <w:rPr>
          <w:sz w:val="20"/>
          <w:szCs w:val="20"/>
          <w:lang w:val="fr-CA"/>
        </w:rPr>
        <w:t xml:space="preserve"> (Qc) (Civile) (Autorisation)</w:t>
      </w:r>
      <w:r w:rsidRPr="00C50A5C">
        <w:rPr>
          <w:sz w:val="20"/>
          <w:szCs w:val="20"/>
          <w:lang w:val="fr-CA"/>
        </w:rPr>
        <w:t xml:space="preserve"> (3</w:t>
      </w:r>
      <w:r>
        <w:rPr>
          <w:sz w:val="20"/>
          <w:szCs w:val="20"/>
          <w:lang w:val="fr-CA"/>
        </w:rPr>
        <w:t>5326</w:t>
      </w:r>
      <w:r w:rsidRPr="00C50A5C">
        <w:rPr>
          <w:sz w:val="20"/>
          <w:szCs w:val="20"/>
          <w:lang w:val="fr-CA"/>
        </w:rPr>
        <w:t>)</w:t>
      </w:r>
    </w:p>
    <w:p w:rsidR="00BA75E9" w:rsidRDefault="00BA75E9" w:rsidP="00BA75E9">
      <w:pPr>
        <w:widowControl w:val="0"/>
        <w:rPr>
          <w:sz w:val="20"/>
          <w:szCs w:val="20"/>
          <w:lang w:val="fr-CA"/>
        </w:rPr>
      </w:pPr>
    </w:p>
    <w:p w:rsidR="00BA75E9" w:rsidRDefault="00BA75E9" w:rsidP="00BA75E9">
      <w:pPr>
        <w:widowControl w:val="0"/>
        <w:rPr>
          <w:sz w:val="20"/>
          <w:szCs w:val="20"/>
          <w:lang w:val="fr-CA"/>
        </w:rPr>
      </w:pPr>
    </w:p>
    <w:p w:rsidR="00BA75E9" w:rsidRPr="00C50A5C" w:rsidRDefault="00BA75E9" w:rsidP="00BA75E9">
      <w:pPr>
        <w:widowControl w:val="0"/>
        <w:jc w:val="center"/>
        <w:rPr>
          <w:b/>
          <w:sz w:val="20"/>
          <w:szCs w:val="20"/>
        </w:rPr>
      </w:pPr>
      <w:r w:rsidRPr="00C50A5C">
        <w:rPr>
          <w:b/>
          <w:sz w:val="20"/>
          <w:szCs w:val="20"/>
        </w:rPr>
        <w:t xml:space="preserve">CORAM: </w:t>
      </w:r>
      <w:r>
        <w:rPr>
          <w:b/>
          <w:sz w:val="20"/>
          <w:szCs w:val="20"/>
        </w:rPr>
        <w:t>Fish,</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BA75E9" w:rsidRPr="00C50A5C" w:rsidRDefault="00BA75E9" w:rsidP="00BA75E9">
      <w:pPr>
        <w:widowControl w:val="0"/>
        <w:jc w:val="center"/>
        <w:rPr>
          <w:b/>
          <w:sz w:val="20"/>
          <w:szCs w:val="20"/>
          <w:lang w:val="fr-CA"/>
        </w:rPr>
      </w:pPr>
      <w:r w:rsidRPr="00C50A5C">
        <w:rPr>
          <w:b/>
          <w:sz w:val="20"/>
          <w:szCs w:val="20"/>
          <w:lang w:val="fr-CA"/>
        </w:rPr>
        <w:t xml:space="preserve">Les juges </w:t>
      </w:r>
      <w:r>
        <w:rPr>
          <w:b/>
          <w:sz w:val="20"/>
          <w:szCs w:val="20"/>
          <w:lang w:val="fr-CA"/>
        </w:rPr>
        <w:t>Fish</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BA75E9" w:rsidRPr="008B2EFF" w:rsidRDefault="00BA75E9" w:rsidP="00BA75E9">
      <w:pPr>
        <w:widowControl w:val="0"/>
        <w:rPr>
          <w:i/>
          <w:sz w:val="20"/>
          <w:szCs w:val="20"/>
          <w:lang w:val="fr-CA"/>
        </w:rPr>
      </w:pPr>
    </w:p>
    <w:p w:rsidR="00BA75E9" w:rsidRPr="00C50A5C" w:rsidRDefault="00BA75E9" w:rsidP="00BA75E9">
      <w:pPr>
        <w:pStyle w:val="ListParagraph"/>
        <w:widowControl w:val="0"/>
        <w:numPr>
          <w:ilvl w:val="0"/>
          <w:numId w:val="1"/>
        </w:numPr>
        <w:ind w:hanging="720"/>
        <w:jc w:val="both"/>
        <w:rPr>
          <w:sz w:val="20"/>
          <w:szCs w:val="20"/>
          <w:lang w:val="fr-CA"/>
        </w:rPr>
      </w:pPr>
      <w:r w:rsidRPr="008B2EFF">
        <w:rPr>
          <w:i/>
          <w:sz w:val="20"/>
          <w:szCs w:val="20"/>
        </w:rPr>
        <w:t>K.A.D. v. Her Majesty the Queen</w:t>
      </w:r>
      <w:r w:rsidRPr="008B2EFF">
        <w:rPr>
          <w:sz w:val="20"/>
          <w:szCs w:val="20"/>
        </w:rPr>
        <w:t xml:space="preserve"> (Ont.) </w:t>
      </w:r>
      <w:r w:rsidRPr="00C134ED">
        <w:rPr>
          <w:sz w:val="20"/>
          <w:szCs w:val="20"/>
          <w:lang w:val="fr-CA"/>
        </w:rPr>
        <w:t xml:space="preserve">(Crim.) </w:t>
      </w:r>
      <w:r w:rsidRPr="00C134ED">
        <w:rPr>
          <w:sz w:val="20"/>
          <w:szCs w:val="20"/>
        </w:rPr>
        <w:t>(By Leave)</w:t>
      </w:r>
      <w:r w:rsidRPr="00C50A5C">
        <w:rPr>
          <w:sz w:val="20"/>
          <w:szCs w:val="20"/>
          <w:lang w:val="fr-CA"/>
        </w:rPr>
        <w:t xml:space="preserve"> (3</w:t>
      </w:r>
      <w:r>
        <w:rPr>
          <w:sz w:val="20"/>
          <w:szCs w:val="20"/>
          <w:lang w:val="fr-CA"/>
        </w:rPr>
        <w:t>5170</w:t>
      </w:r>
      <w:r w:rsidRPr="00C50A5C">
        <w:rPr>
          <w:sz w:val="20"/>
          <w:szCs w:val="20"/>
          <w:lang w:val="fr-CA"/>
        </w:rPr>
        <w:t>)</w:t>
      </w:r>
    </w:p>
    <w:p w:rsidR="00BA75E9" w:rsidRDefault="00BA75E9" w:rsidP="00BA75E9">
      <w:pPr>
        <w:widowControl w:val="0"/>
        <w:jc w:val="both"/>
        <w:rPr>
          <w:sz w:val="20"/>
          <w:szCs w:val="20"/>
          <w:lang w:val="fr-CA"/>
        </w:rPr>
      </w:pPr>
    </w:p>
    <w:p w:rsidR="00BA75E9" w:rsidRPr="00115C9E" w:rsidRDefault="00BA75E9" w:rsidP="00BA75E9">
      <w:pPr>
        <w:pStyle w:val="ListParagraph"/>
        <w:widowControl w:val="0"/>
        <w:numPr>
          <w:ilvl w:val="0"/>
          <w:numId w:val="1"/>
        </w:numPr>
        <w:ind w:hanging="720"/>
        <w:jc w:val="both"/>
        <w:rPr>
          <w:sz w:val="20"/>
          <w:szCs w:val="20"/>
        </w:rPr>
      </w:pPr>
      <w:r w:rsidRPr="008B2EFF">
        <w:rPr>
          <w:i/>
          <w:sz w:val="20"/>
          <w:szCs w:val="20"/>
        </w:rPr>
        <w:t>Paul Magder v. Robert Ford</w:t>
      </w:r>
      <w:r w:rsidRPr="00C134ED">
        <w:rPr>
          <w:sz w:val="20"/>
          <w:szCs w:val="20"/>
        </w:rPr>
        <w:t xml:space="preserve"> (Ont.) (Civil) (By Leave)</w:t>
      </w:r>
      <w:r w:rsidRPr="00115C9E">
        <w:rPr>
          <w:sz w:val="20"/>
          <w:szCs w:val="20"/>
        </w:rPr>
        <w:t xml:space="preserve"> (3</w:t>
      </w:r>
      <w:r>
        <w:rPr>
          <w:sz w:val="20"/>
          <w:szCs w:val="20"/>
        </w:rPr>
        <w:t>5266</w:t>
      </w:r>
      <w:r w:rsidRPr="00115C9E">
        <w:rPr>
          <w:sz w:val="20"/>
          <w:szCs w:val="20"/>
        </w:rPr>
        <w:t>)</w:t>
      </w:r>
    </w:p>
    <w:p w:rsidR="00BA75E9" w:rsidRPr="00115C9E" w:rsidRDefault="00BA75E9" w:rsidP="00BA75E9">
      <w:pPr>
        <w:widowControl w:val="0"/>
        <w:jc w:val="both"/>
        <w:rPr>
          <w:sz w:val="20"/>
          <w:szCs w:val="20"/>
        </w:rPr>
      </w:pPr>
    </w:p>
    <w:p w:rsidR="00BA75E9" w:rsidRPr="00115C9E" w:rsidRDefault="00BA75E9" w:rsidP="00BA75E9">
      <w:pPr>
        <w:pStyle w:val="ListParagraph"/>
        <w:widowControl w:val="0"/>
        <w:numPr>
          <w:ilvl w:val="0"/>
          <w:numId w:val="1"/>
        </w:numPr>
        <w:ind w:hanging="720"/>
        <w:jc w:val="both"/>
        <w:rPr>
          <w:sz w:val="20"/>
          <w:szCs w:val="20"/>
        </w:rPr>
      </w:pPr>
      <w:r w:rsidRPr="008B2EFF">
        <w:rPr>
          <w:i/>
          <w:sz w:val="20"/>
          <w:szCs w:val="20"/>
        </w:rPr>
        <w:t>Ural Direk et al. v. Information and Privacy Commissioner/Ontario et al.</w:t>
      </w:r>
      <w:r w:rsidRPr="00C134ED">
        <w:rPr>
          <w:sz w:val="20"/>
          <w:szCs w:val="20"/>
        </w:rPr>
        <w:t xml:space="preserve"> (Ont.) (Civil) (By Leave)</w:t>
      </w:r>
      <w:r w:rsidRPr="00115C9E">
        <w:rPr>
          <w:sz w:val="20"/>
          <w:szCs w:val="20"/>
        </w:rPr>
        <w:t xml:space="preserve"> (3</w:t>
      </w:r>
      <w:r>
        <w:rPr>
          <w:sz w:val="20"/>
          <w:szCs w:val="20"/>
        </w:rPr>
        <w:t>5</w:t>
      </w:r>
      <w:r w:rsidRPr="00115C9E">
        <w:rPr>
          <w:sz w:val="20"/>
          <w:szCs w:val="20"/>
        </w:rPr>
        <w:t>3</w:t>
      </w:r>
      <w:r>
        <w:rPr>
          <w:sz w:val="20"/>
          <w:szCs w:val="20"/>
        </w:rPr>
        <w:t>20</w:t>
      </w:r>
      <w:r w:rsidRPr="00115C9E">
        <w:rPr>
          <w:sz w:val="20"/>
          <w:szCs w:val="20"/>
        </w:rPr>
        <w:t>)</w:t>
      </w:r>
    </w:p>
    <w:p w:rsidR="00BA75E9" w:rsidRPr="00115C9E" w:rsidRDefault="00BA75E9" w:rsidP="00BA75E9">
      <w:pPr>
        <w:widowControl w:val="0"/>
        <w:jc w:val="both"/>
        <w:rPr>
          <w:sz w:val="20"/>
          <w:szCs w:val="20"/>
        </w:rPr>
      </w:pPr>
    </w:p>
    <w:p w:rsidR="00BA75E9" w:rsidRDefault="00BA75E9" w:rsidP="00BA75E9">
      <w:pPr>
        <w:pStyle w:val="ListParagraph"/>
        <w:widowControl w:val="0"/>
        <w:numPr>
          <w:ilvl w:val="0"/>
          <w:numId w:val="1"/>
        </w:numPr>
        <w:ind w:hanging="720"/>
        <w:jc w:val="both"/>
        <w:rPr>
          <w:sz w:val="20"/>
          <w:szCs w:val="20"/>
        </w:rPr>
      </w:pPr>
      <w:r w:rsidRPr="008B2EFF">
        <w:rPr>
          <w:i/>
          <w:sz w:val="20"/>
          <w:szCs w:val="20"/>
        </w:rPr>
        <w:t>Cory R. Meadus v. Suzanne Meadus</w:t>
      </w:r>
      <w:r w:rsidRPr="00C134ED">
        <w:rPr>
          <w:sz w:val="20"/>
          <w:szCs w:val="20"/>
        </w:rPr>
        <w:t xml:space="preserve"> (N.L.) (Civil) (By Leave)</w:t>
      </w:r>
      <w:r w:rsidRPr="00C50A5C">
        <w:rPr>
          <w:sz w:val="20"/>
          <w:szCs w:val="20"/>
        </w:rPr>
        <w:t xml:space="preserve"> (3</w:t>
      </w:r>
      <w:r>
        <w:rPr>
          <w:sz w:val="20"/>
          <w:szCs w:val="20"/>
        </w:rPr>
        <w:t>5303</w:t>
      </w:r>
      <w:r w:rsidRPr="00C50A5C">
        <w:rPr>
          <w:sz w:val="20"/>
          <w:szCs w:val="20"/>
        </w:rPr>
        <w:t>)</w:t>
      </w:r>
    </w:p>
    <w:p w:rsidR="00BA75E9" w:rsidRDefault="00BA75E9" w:rsidP="00BA75E9">
      <w:pPr>
        <w:widowControl w:val="0"/>
        <w:rPr>
          <w:sz w:val="20"/>
          <w:szCs w:val="20"/>
        </w:rPr>
      </w:pPr>
    </w:p>
    <w:p w:rsidR="00BA75E9" w:rsidRPr="008B2EFF" w:rsidRDefault="00BA75E9" w:rsidP="00BA75E9">
      <w:pPr>
        <w:pStyle w:val="ListParagraph"/>
        <w:widowControl w:val="0"/>
        <w:numPr>
          <w:ilvl w:val="0"/>
          <w:numId w:val="1"/>
        </w:numPr>
        <w:ind w:hanging="720"/>
        <w:jc w:val="both"/>
        <w:rPr>
          <w:sz w:val="20"/>
          <w:szCs w:val="20"/>
        </w:rPr>
      </w:pPr>
      <w:r w:rsidRPr="008B2EFF">
        <w:rPr>
          <w:i/>
          <w:sz w:val="20"/>
          <w:szCs w:val="20"/>
        </w:rPr>
        <w:t>Takeda Canada Inc. v. Minister of Health et al.</w:t>
      </w:r>
      <w:r w:rsidRPr="00C134ED">
        <w:rPr>
          <w:sz w:val="20"/>
          <w:szCs w:val="20"/>
        </w:rPr>
        <w:t xml:space="preserve"> (F.C.) (Civil) (By Leave)</w:t>
      </w:r>
      <w:r w:rsidRPr="008B2EFF">
        <w:rPr>
          <w:sz w:val="20"/>
          <w:szCs w:val="20"/>
        </w:rPr>
        <w:t xml:space="preserve"> (35276)</w:t>
      </w:r>
    </w:p>
    <w:p w:rsidR="00BA75E9" w:rsidRDefault="00BA75E9" w:rsidP="00BA75E9">
      <w:pPr>
        <w:widowControl w:val="0"/>
        <w:rPr>
          <w:sz w:val="20"/>
          <w:szCs w:val="20"/>
        </w:rPr>
      </w:pPr>
    </w:p>
    <w:p w:rsidR="00BA75E9" w:rsidRDefault="00B35B95" w:rsidP="00BA75E9">
      <w:pPr>
        <w:widowControl w:val="0"/>
        <w:rPr>
          <w:sz w:val="20"/>
          <w:szCs w:val="20"/>
        </w:rPr>
      </w:pPr>
      <w:r w:rsidRPr="00B35B95">
        <w:rPr>
          <w:sz w:val="20"/>
          <w:szCs w:val="20"/>
        </w:rPr>
        <w:pict>
          <v:rect id="_x0000_i1043" style="width:2in;height:1pt" o:hrpct="0" o:hralign="center" o:hrstd="t" o:hrnoshade="t" o:hr="t" fillcolor="black [3213]" stroked="f"/>
        </w:pict>
      </w:r>
    </w:p>
    <w:p w:rsidR="002E2327" w:rsidRPr="00C50A5C" w:rsidRDefault="002E2327" w:rsidP="002E2327">
      <w:pPr>
        <w:widowControl w:val="0"/>
        <w:rPr>
          <w:sz w:val="20"/>
          <w:szCs w:val="20"/>
          <w:lang w:val="fr-CA"/>
        </w:rPr>
      </w:pPr>
    </w:p>
    <w:p w:rsidR="002E2327" w:rsidRPr="00C50A5C" w:rsidRDefault="002E2327"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44776A" w:rsidRPr="001D0D5F" w:rsidTr="00BA6468">
        <w:tc>
          <w:tcPr>
            <w:tcW w:w="4200" w:type="dxa"/>
            <w:shd w:val="clear" w:color="auto" w:fill="auto"/>
            <w:tcMar>
              <w:left w:w="0" w:type="dxa"/>
              <w:right w:w="0" w:type="dxa"/>
            </w:tcMar>
          </w:tcPr>
          <w:p w:rsidR="0044776A" w:rsidRPr="001D0D5F" w:rsidRDefault="0044776A" w:rsidP="0044776A">
            <w:pPr>
              <w:keepNext/>
              <w:keepLines/>
              <w:jc w:val="both"/>
              <w:rPr>
                <w:b/>
                <w:szCs w:val="24"/>
              </w:rPr>
            </w:pPr>
            <w:bookmarkStart w:id="0" w:name="QuickMark_1"/>
            <w:bookmarkEnd w:id="0"/>
            <w:r w:rsidRPr="001D0D5F">
              <w:rPr>
                <w:b/>
                <w:szCs w:val="24"/>
              </w:rPr>
              <w:lastRenderedPageBreak/>
              <w:t>ORAL HEARING ORDERED</w:t>
            </w:r>
          </w:p>
        </w:tc>
        <w:tc>
          <w:tcPr>
            <w:tcW w:w="1200" w:type="dxa"/>
            <w:shd w:val="clear" w:color="auto" w:fill="auto"/>
            <w:tcMar>
              <w:left w:w="0" w:type="dxa"/>
              <w:right w:w="0" w:type="dxa"/>
            </w:tcMar>
          </w:tcPr>
          <w:p w:rsidR="0044776A" w:rsidRPr="001D0D5F" w:rsidRDefault="0044776A" w:rsidP="0044776A">
            <w:pPr>
              <w:keepNext/>
              <w:keepLines/>
              <w:jc w:val="center"/>
              <w:rPr>
                <w:b/>
                <w:szCs w:val="24"/>
              </w:rPr>
            </w:pPr>
          </w:p>
          <w:p w:rsidR="0044776A" w:rsidRPr="001D0D5F" w:rsidRDefault="0044776A" w:rsidP="0044776A">
            <w:pPr>
              <w:keepNext/>
              <w:keepLines/>
              <w:jc w:val="center"/>
              <w:rPr>
                <w:b/>
                <w:szCs w:val="24"/>
              </w:rPr>
            </w:pPr>
          </w:p>
        </w:tc>
        <w:tc>
          <w:tcPr>
            <w:tcW w:w="4230" w:type="dxa"/>
            <w:shd w:val="clear" w:color="auto" w:fill="auto"/>
            <w:tcMar>
              <w:left w:w="0" w:type="dxa"/>
              <w:right w:w="0" w:type="dxa"/>
            </w:tcMar>
          </w:tcPr>
          <w:p w:rsidR="0044776A" w:rsidRPr="00BA6468" w:rsidRDefault="0044776A" w:rsidP="0044776A">
            <w:pPr>
              <w:keepLines/>
              <w:rPr>
                <w:szCs w:val="24"/>
                <w:lang w:val="fr-CA"/>
              </w:rPr>
            </w:pPr>
            <w:r w:rsidRPr="00BA6468">
              <w:rPr>
                <w:b/>
                <w:szCs w:val="24"/>
                <w:lang w:val="fr-CA"/>
              </w:rPr>
              <w:t>AUDIENCE ORDONNÉE</w:t>
            </w:r>
            <w:r w:rsidRPr="00BA6468">
              <w:rPr>
                <w:szCs w:val="24"/>
                <w:lang w:val="fr-CA"/>
              </w:rPr>
              <w:t xml:space="preserve"> </w:t>
            </w:r>
          </w:p>
        </w:tc>
      </w:tr>
    </w:tbl>
    <w:p w:rsidR="00A935AA" w:rsidRPr="00370584" w:rsidRDefault="00A935AA" w:rsidP="0044776A">
      <w:pPr>
        <w:rPr>
          <w:sz w:val="20"/>
          <w:szCs w:val="20"/>
        </w:rPr>
      </w:pPr>
    </w:p>
    <w:p w:rsidR="001B157C" w:rsidRPr="005F2D90" w:rsidRDefault="00370584" w:rsidP="001B157C">
      <w:pPr>
        <w:rPr>
          <w:b/>
          <w:sz w:val="20"/>
          <w:szCs w:val="20"/>
          <w:lang w:val="fr-CA"/>
        </w:rPr>
      </w:pPr>
      <w:r>
        <w:rPr>
          <w:b/>
          <w:sz w:val="20"/>
          <w:szCs w:val="20"/>
          <w:lang w:val="fr-CA"/>
        </w:rPr>
        <w:t xml:space="preserve">MAY </w:t>
      </w:r>
      <w:r w:rsidR="001B157C" w:rsidRPr="005F2D90">
        <w:rPr>
          <w:b/>
          <w:sz w:val="20"/>
          <w:szCs w:val="20"/>
          <w:lang w:val="fr-CA"/>
        </w:rPr>
        <w:t>24, 201</w:t>
      </w:r>
      <w:r>
        <w:rPr>
          <w:b/>
          <w:sz w:val="20"/>
          <w:szCs w:val="20"/>
          <w:lang w:val="fr-CA"/>
        </w:rPr>
        <w:t>3</w:t>
      </w:r>
      <w:r w:rsidR="001B157C" w:rsidRPr="005F2D90">
        <w:rPr>
          <w:b/>
          <w:sz w:val="20"/>
          <w:szCs w:val="20"/>
          <w:lang w:val="fr-CA"/>
        </w:rPr>
        <w:t xml:space="preserve"> / LE 24 </w:t>
      </w:r>
      <w:r w:rsidR="001B157C">
        <w:rPr>
          <w:b/>
          <w:sz w:val="20"/>
          <w:szCs w:val="20"/>
          <w:lang w:val="fr-CA"/>
        </w:rPr>
        <w:t>M</w:t>
      </w:r>
      <w:r>
        <w:rPr>
          <w:b/>
          <w:sz w:val="20"/>
          <w:szCs w:val="20"/>
          <w:lang w:val="fr-CA"/>
        </w:rPr>
        <w:t>AI</w:t>
      </w:r>
      <w:r w:rsidR="001B157C">
        <w:rPr>
          <w:b/>
          <w:sz w:val="20"/>
          <w:szCs w:val="20"/>
          <w:lang w:val="fr-CA"/>
        </w:rPr>
        <w:t xml:space="preserve"> 201</w:t>
      </w:r>
      <w:r>
        <w:rPr>
          <w:b/>
          <w:sz w:val="20"/>
          <w:szCs w:val="20"/>
          <w:lang w:val="fr-CA"/>
        </w:rPr>
        <w:t>3</w:t>
      </w:r>
    </w:p>
    <w:p w:rsidR="001B157C" w:rsidRPr="005F2D90" w:rsidRDefault="001B157C" w:rsidP="001B157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B157C" w:rsidRPr="00DD16F6" w:rsidTr="002A4AFA">
        <w:trPr>
          <w:cantSplit/>
        </w:trPr>
        <w:tc>
          <w:tcPr>
            <w:tcW w:w="1458" w:type="dxa"/>
          </w:tcPr>
          <w:p w:rsidR="001B157C" w:rsidRPr="00DD16F6" w:rsidRDefault="001B157C" w:rsidP="002A4AFA">
            <w:pPr>
              <w:rPr>
                <w:rFonts w:cs="Times New Roman"/>
                <w:sz w:val="20"/>
                <w:szCs w:val="20"/>
              </w:rPr>
            </w:pPr>
            <w:r>
              <w:rPr>
                <w:rStyle w:val="SCCFileNumberChar"/>
                <w:sz w:val="20"/>
                <w:szCs w:val="20"/>
              </w:rPr>
              <w:t>352</w:t>
            </w:r>
            <w:r w:rsidR="00370584">
              <w:rPr>
                <w:rStyle w:val="SCCFileNumberChar"/>
                <w:sz w:val="20"/>
                <w:szCs w:val="20"/>
              </w:rPr>
              <w:t>29</w:t>
            </w:r>
          </w:p>
          <w:p w:rsidR="001B157C" w:rsidRPr="00DD16F6" w:rsidRDefault="001B157C" w:rsidP="002A4AFA">
            <w:pPr>
              <w:rPr>
                <w:rFonts w:cs="Times New Roman"/>
                <w:b/>
                <w:sz w:val="20"/>
                <w:szCs w:val="20"/>
                <w:lang w:val="fr-CA"/>
              </w:rPr>
            </w:pPr>
          </w:p>
        </w:tc>
        <w:tc>
          <w:tcPr>
            <w:tcW w:w="8118" w:type="dxa"/>
          </w:tcPr>
          <w:p w:rsidR="001B157C" w:rsidRPr="00370584" w:rsidRDefault="00370584" w:rsidP="002A4AFA">
            <w:pPr>
              <w:jc w:val="both"/>
              <w:rPr>
                <w:rStyle w:val="SCCLsocChar"/>
                <w:rFonts w:cs="Times New Roman"/>
                <w:sz w:val="20"/>
                <w:szCs w:val="20"/>
                <w:lang w:val="en-CA"/>
              </w:rPr>
            </w:pPr>
            <w:r>
              <w:rPr>
                <w:rFonts w:eastAsia="Calibri"/>
                <w:b/>
                <w:sz w:val="20"/>
                <w:u w:val="single"/>
              </w:rPr>
              <w:t>Rur</w:t>
            </w:r>
            <w:r w:rsidR="001B157C" w:rsidRPr="005A0423">
              <w:rPr>
                <w:rFonts w:eastAsia="Calibri"/>
                <w:b/>
                <w:sz w:val="20"/>
                <w:u w:val="single"/>
              </w:rPr>
              <w:t>a</w:t>
            </w:r>
            <w:r>
              <w:rPr>
                <w:rFonts w:eastAsia="Calibri"/>
                <w:b/>
                <w:sz w:val="20"/>
                <w:u w:val="single"/>
              </w:rPr>
              <w:t>l Municipa</w:t>
            </w:r>
            <w:r w:rsidR="001B157C" w:rsidRPr="005A0423">
              <w:rPr>
                <w:rFonts w:eastAsia="Calibri"/>
                <w:b/>
                <w:sz w:val="20"/>
                <w:u w:val="single"/>
              </w:rPr>
              <w:t>l</w:t>
            </w:r>
            <w:r>
              <w:rPr>
                <w:rFonts w:eastAsia="Calibri"/>
                <w:b/>
                <w:sz w:val="20"/>
                <w:u w:val="single"/>
              </w:rPr>
              <w:t>it</w:t>
            </w:r>
            <w:r w:rsidR="001B157C" w:rsidRPr="005A0423">
              <w:rPr>
                <w:rFonts w:eastAsia="Calibri"/>
                <w:b/>
                <w:sz w:val="20"/>
                <w:u w:val="single"/>
              </w:rPr>
              <w:t xml:space="preserve">y </w:t>
            </w:r>
            <w:r>
              <w:rPr>
                <w:rFonts w:eastAsia="Calibri"/>
                <w:b/>
                <w:sz w:val="20"/>
                <w:u w:val="single"/>
              </w:rPr>
              <w:t xml:space="preserve">of Britannia No. 502 and Ron Handel Farm Ltd. </w:t>
            </w:r>
            <w:r w:rsidR="001B157C" w:rsidRPr="005A0423">
              <w:rPr>
                <w:rFonts w:eastAsia="Calibri"/>
                <w:b/>
                <w:sz w:val="20"/>
                <w:u w:val="single"/>
              </w:rPr>
              <w:t xml:space="preserve">v. </w:t>
            </w:r>
            <w:r>
              <w:rPr>
                <w:rFonts w:eastAsia="Calibri"/>
                <w:b/>
                <w:sz w:val="20"/>
                <w:u w:val="single"/>
              </w:rPr>
              <w:t>John Acton</w:t>
            </w:r>
            <w:r w:rsidR="001B157C">
              <w:rPr>
                <w:rFonts w:eastAsia="Calibri"/>
                <w:b/>
                <w:sz w:val="20"/>
              </w:rPr>
              <w:t xml:space="preserve"> </w:t>
            </w:r>
            <w:r w:rsidR="001B157C" w:rsidRPr="00EA4785">
              <w:rPr>
                <w:rFonts w:eastAsia="Calibri"/>
                <w:sz w:val="20"/>
              </w:rPr>
              <w:t>(</w:t>
            </w:r>
            <w:r>
              <w:rPr>
                <w:rFonts w:eastAsia="Calibri"/>
                <w:sz w:val="20"/>
              </w:rPr>
              <w:t>S</w:t>
            </w:r>
            <w:r w:rsidR="001B157C" w:rsidRPr="00EA4785">
              <w:rPr>
                <w:rFonts w:eastAsia="Calibri"/>
                <w:sz w:val="20"/>
              </w:rPr>
              <w:t>a</w:t>
            </w:r>
            <w:r>
              <w:rPr>
                <w:rFonts w:eastAsia="Calibri"/>
                <w:sz w:val="20"/>
              </w:rPr>
              <w:t>sk</w:t>
            </w:r>
            <w:r w:rsidR="001B157C" w:rsidRPr="00EA4785">
              <w:rPr>
                <w:rFonts w:eastAsia="Calibri"/>
                <w:sz w:val="20"/>
              </w:rPr>
              <w:t>.) (Ci</w:t>
            </w:r>
            <w:r>
              <w:rPr>
                <w:rFonts w:eastAsia="Calibri"/>
                <w:sz w:val="20"/>
              </w:rPr>
              <w:t>v</w:t>
            </w:r>
            <w:r w:rsidR="001B157C" w:rsidRPr="00EA4785">
              <w:rPr>
                <w:rFonts w:eastAsia="Calibri"/>
                <w:sz w:val="20"/>
              </w:rPr>
              <w:t>il) (By Leave)</w:t>
            </w:r>
          </w:p>
          <w:p w:rsidR="001B157C" w:rsidRPr="00DD16F6" w:rsidRDefault="001B157C" w:rsidP="002A4AFA">
            <w:pPr>
              <w:rPr>
                <w:rFonts w:cs="Times New Roman"/>
                <w:sz w:val="20"/>
                <w:szCs w:val="20"/>
              </w:rPr>
            </w:pPr>
          </w:p>
        </w:tc>
      </w:tr>
      <w:tr w:rsidR="001B157C" w:rsidRPr="00DD16F6" w:rsidTr="002A4AFA">
        <w:trPr>
          <w:cantSplit/>
        </w:trPr>
        <w:tc>
          <w:tcPr>
            <w:tcW w:w="1458" w:type="dxa"/>
          </w:tcPr>
          <w:p w:rsidR="001B157C" w:rsidRPr="00DD16F6" w:rsidRDefault="001B157C" w:rsidP="002A4AFA">
            <w:pPr>
              <w:rPr>
                <w:rFonts w:cs="Times New Roman"/>
                <w:sz w:val="20"/>
                <w:szCs w:val="20"/>
              </w:rPr>
            </w:pPr>
            <w:r w:rsidRPr="00DD16F6">
              <w:rPr>
                <w:rFonts w:cs="Times New Roman"/>
                <w:sz w:val="20"/>
                <w:szCs w:val="20"/>
              </w:rPr>
              <w:t>Coram :</w:t>
            </w:r>
          </w:p>
        </w:tc>
        <w:tc>
          <w:tcPr>
            <w:tcW w:w="8118" w:type="dxa"/>
          </w:tcPr>
          <w:p w:rsidR="001B157C" w:rsidRPr="00DD16F6" w:rsidRDefault="00370584" w:rsidP="002A4AFA">
            <w:pPr>
              <w:rPr>
                <w:rFonts w:cs="Times New Roman"/>
                <w:sz w:val="20"/>
                <w:szCs w:val="20"/>
              </w:rPr>
            </w:pPr>
            <w:r>
              <w:rPr>
                <w:rStyle w:val="SCCCoramChar"/>
                <w:rFonts w:cs="Times New Roman"/>
                <w:sz w:val="20"/>
                <w:szCs w:val="20"/>
                <w:lang w:val="en-CA"/>
              </w:rPr>
              <w:t>Fis</w:t>
            </w:r>
            <w:r w:rsidR="001B157C" w:rsidRPr="001B157C">
              <w:rPr>
                <w:rStyle w:val="SCCCoramChar"/>
                <w:rFonts w:cs="Times New Roman"/>
                <w:sz w:val="20"/>
                <w:szCs w:val="20"/>
                <w:lang w:val="en-CA"/>
              </w:rPr>
              <w:t>h</w:t>
            </w:r>
            <w:r>
              <w:rPr>
                <w:rStyle w:val="SCCCoramChar"/>
                <w:rFonts w:cs="Times New Roman"/>
                <w:sz w:val="20"/>
                <w:szCs w:val="20"/>
                <w:lang w:val="en-CA"/>
              </w:rPr>
              <w:t>, Rothste</w:t>
            </w:r>
            <w:r w:rsidR="001B157C" w:rsidRPr="001B157C">
              <w:rPr>
                <w:rStyle w:val="SCCCoramChar"/>
                <w:rFonts w:cs="Times New Roman"/>
                <w:sz w:val="20"/>
                <w:szCs w:val="20"/>
                <w:lang w:val="en-CA"/>
              </w:rPr>
              <w:t xml:space="preserve">in and </w:t>
            </w:r>
            <w:r>
              <w:rPr>
                <w:rStyle w:val="SCCCoramChar"/>
                <w:rFonts w:cs="Times New Roman"/>
                <w:sz w:val="20"/>
                <w:szCs w:val="20"/>
                <w:lang w:val="en-CA"/>
              </w:rPr>
              <w:t>Moldav</w:t>
            </w:r>
            <w:r w:rsidR="001B157C" w:rsidRPr="001B157C">
              <w:rPr>
                <w:rStyle w:val="SCCCoramChar"/>
                <w:rFonts w:cs="Times New Roman"/>
                <w:sz w:val="20"/>
                <w:szCs w:val="20"/>
                <w:lang w:val="en-CA"/>
              </w:rPr>
              <w:t>e</w:t>
            </w:r>
            <w:r>
              <w:rPr>
                <w:rStyle w:val="SCCCoramChar"/>
                <w:rFonts w:cs="Times New Roman"/>
                <w:sz w:val="20"/>
                <w:szCs w:val="20"/>
                <w:lang w:val="en-CA"/>
              </w:rPr>
              <w:t>r</w:t>
            </w:r>
            <w:r w:rsidR="001B157C" w:rsidRPr="001B157C">
              <w:rPr>
                <w:rStyle w:val="SCCCoramChar"/>
                <w:rFonts w:cs="Times New Roman"/>
                <w:sz w:val="20"/>
                <w:szCs w:val="20"/>
                <w:lang w:val="en-CA"/>
              </w:rPr>
              <w:t> JJ.</w:t>
            </w:r>
          </w:p>
          <w:p w:rsidR="001B157C" w:rsidRPr="00DD16F6" w:rsidRDefault="001B157C" w:rsidP="002A4AFA">
            <w:pPr>
              <w:rPr>
                <w:rFonts w:cs="Times New Roman"/>
                <w:sz w:val="20"/>
                <w:szCs w:val="20"/>
                <w:u w:val="single"/>
              </w:rPr>
            </w:pPr>
          </w:p>
        </w:tc>
      </w:tr>
      <w:tr w:rsidR="001B157C" w:rsidRPr="00370584" w:rsidTr="002A4AFA">
        <w:trPr>
          <w:cantSplit/>
        </w:trPr>
        <w:tc>
          <w:tcPr>
            <w:tcW w:w="9576" w:type="dxa"/>
            <w:gridSpan w:val="2"/>
          </w:tcPr>
          <w:p w:rsidR="00370584" w:rsidRDefault="00370584" w:rsidP="002A4AFA">
            <w:pPr>
              <w:pStyle w:val="SCCShortJudgment"/>
              <w:rPr>
                <w:szCs w:val="20"/>
              </w:rPr>
            </w:pPr>
            <w:r w:rsidRPr="00A630D7">
              <w:rPr>
                <w:szCs w:val="20"/>
              </w:rPr>
              <w:t>An oral hearing of the application for leave to appeal is ordered in accordance with s. 43(1)(</w:t>
            </w:r>
            <w:r w:rsidRPr="00A630D7">
              <w:rPr>
                <w:i/>
                <w:szCs w:val="20"/>
              </w:rPr>
              <w:t>c</w:t>
            </w:r>
            <w:r w:rsidRPr="00A630D7">
              <w:rPr>
                <w:szCs w:val="20"/>
              </w:rPr>
              <w:t xml:space="preserve">) of the </w:t>
            </w:r>
            <w:r w:rsidRPr="00A630D7">
              <w:rPr>
                <w:i/>
                <w:szCs w:val="20"/>
              </w:rPr>
              <w:t>Supreme Court Act</w:t>
            </w:r>
            <w:r w:rsidRPr="00A630D7">
              <w:rPr>
                <w:szCs w:val="20"/>
              </w:rPr>
              <w:t>.  The hearing is scheduled for June 10, 2013.</w:t>
            </w:r>
          </w:p>
          <w:p w:rsidR="001B157C" w:rsidRPr="003E019A" w:rsidRDefault="001B157C" w:rsidP="002A4AFA">
            <w:pPr>
              <w:pStyle w:val="SCCShortJudgment"/>
              <w:ind w:firstLine="0"/>
              <w:rPr>
                <w:rFonts w:cs="Times New Roman"/>
                <w:szCs w:val="20"/>
                <w:lang w:val="fr-CA"/>
              </w:rPr>
            </w:pPr>
          </w:p>
          <w:p w:rsidR="001B157C" w:rsidRPr="00DD16F6" w:rsidRDefault="00370584" w:rsidP="00370584">
            <w:pPr>
              <w:pStyle w:val="SCCShortJudgment"/>
              <w:rPr>
                <w:rFonts w:cs="Times New Roman"/>
                <w:szCs w:val="20"/>
                <w:lang w:val="fr-CA"/>
              </w:rPr>
            </w:pPr>
            <w:r w:rsidRPr="00A630D7">
              <w:rPr>
                <w:szCs w:val="20"/>
                <w:lang w:val="fr-CA"/>
              </w:rPr>
              <w:t>La tenue d’une audience pour décider de la demande d’autorisation d’appel est ordonnée, conformément à l’article 43(1)(</w:t>
            </w:r>
            <w:r w:rsidRPr="00A630D7">
              <w:rPr>
                <w:i/>
                <w:szCs w:val="20"/>
                <w:lang w:val="fr-CA"/>
              </w:rPr>
              <w:t>c</w:t>
            </w:r>
            <w:r w:rsidRPr="00A630D7">
              <w:rPr>
                <w:szCs w:val="20"/>
                <w:lang w:val="fr-CA"/>
              </w:rPr>
              <w:t xml:space="preserve">) de la </w:t>
            </w:r>
            <w:r w:rsidRPr="00A630D7">
              <w:rPr>
                <w:i/>
                <w:szCs w:val="20"/>
                <w:lang w:val="fr-CA"/>
              </w:rPr>
              <w:t>Loi sur la Cour suprême</w:t>
            </w:r>
            <w:r w:rsidRPr="00A630D7">
              <w:rPr>
                <w:szCs w:val="20"/>
                <w:lang w:val="fr-CA"/>
              </w:rPr>
              <w:t>.  L’audition est prévue le 10 juin 2013.</w:t>
            </w:r>
          </w:p>
        </w:tc>
      </w:tr>
    </w:tbl>
    <w:p w:rsidR="001B157C" w:rsidRPr="00191431" w:rsidRDefault="001B157C" w:rsidP="001B157C">
      <w:pPr>
        <w:rPr>
          <w:sz w:val="20"/>
          <w:szCs w:val="20"/>
          <w:lang w:val="fr-CA"/>
        </w:rPr>
      </w:pPr>
    </w:p>
    <w:p w:rsidR="001B157C" w:rsidRPr="000D61DC" w:rsidRDefault="001B157C" w:rsidP="001B157C">
      <w:pPr>
        <w:rPr>
          <w:sz w:val="20"/>
          <w:szCs w:val="20"/>
          <w:u w:val="single"/>
        </w:rPr>
      </w:pPr>
      <w:r w:rsidRPr="000D61DC">
        <w:rPr>
          <w:sz w:val="20"/>
          <w:szCs w:val="20"/>
          <w:u w:val="single"/>
        </w:rPr>
        <w:t>CASE SUMMARY</w:t>
      </w:r>
    </w:p>
    <w:p w:rsidR="001B157C" w:rsidRDefault="001B157C" w:rsidP="001B157C">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F515F8" w:rsidRPr="00F515F8" w:rsidTr="00C41020">
        <w:tc>
          <w:tcPr>
            <w:tcW w:w="5000" w:type="pct"/>
            <w:gridSpan w:val="3"/>
          </w:tcPr>
          <w:p w:rsidR="00F515F8" w:rsidRPr="00F515F8" w:rsidRDefault="00F515F8" w:rsidP="00F515F8">
            <w:pPr>
              <w:jc w:val="both"/>
              <w:rPr>
                <w:sz w:val="20"/>
                <w:szCs w:val="20"/>
              </w:rPr>
            </w:pPr>
            <w:r w:rsidRPr="00F515F8">
              <w:rPr>
                <w:sz w:val="20"/>
                <w:szCs w:val="20"/>
              </w:rPr>
              <w:t>Insurance – Automobile insurance – Torts – Negligence – Legislation – Interpretation – Extrinsic aids – Respondent no-fault insurance beneficiary bringing tort action against applicants to recover damages for gap between amount of benefits and actual costs – Court of Appeal setting aside order striking action – Whether any types of extrinsic materials are inadmissible because of their characteristics or their source</w:t>
            </w:r>
            <w:r w:rsidRPr="00F515F8">
              <w:rPr>
                <w:i/>
                <w:sz w:val="20"/>
                <w:szCs w:val="20"/>
              </w:rPr>
              <w:t xml:space="preserve"> </w:t>
            </w:r>
            <w:r w:rsidRPr="00F515F8">
              <w:rPr>
                <w:sz w:val="20"/>
                <w:szCs w:val="20"/>
              </w:rPr>
              <w:t>– Whether an extrinsic aid has to speak directly to purportedly ambiguous text in order to be admissible</w:t>
            </w:r>
            <w:r w:rsidRPr="00F515F8">
              <w:rPr>
                <w:i/>
                <w:sz w:val="20"/>
                <w:szCs w:val="20"/>
              </w:rPr>
              <w:t xml:space="preserve"> </w:t>
            </w:r>
            <w:r w:rsidRPr="00F515F8">
              <w:rPr>
                <w:sz w:val="20"/>
                <w:szCs w:val="20"/>
              </w:rPr>
              <w:t>– Whether meanings of “economic loss” and “entitlement” articulated by Court of Appeal thwart statutory scheme</w:t>
            </w:r>
            <w:r w:rsidRPr="00F515F8">
              <w:rPr>
                <w:i/>
                <w:sz w:val="20"/>
                <w:szCs w:val="20"/>
              </w:rPr>
              <w:t xml:space="preserve"> </w:t>
            </w:r>
            <w:r w:rsidRPr="00F515F8">
              <w:rPr>
                <w:sz w:val="20"/>
                <w:szCs w:val="20"/>
              </w:rPr>
              <w:t xml:space="preserve">– </w:t>
            </w:r>
            <w:r w:rsidRPr="00F515F8">
              <w:rPr>
                <w:i/>
                <w:sz w:val="20"/>
                <w:szCs w:val="20"/>
              </w:rPr>
              <w:t>The Automobile Accident Insurance Act</w:t>
            </w:r>
            <w:r w:rsidRPr="00F515F8">
              <w:rPr>
                <w:sz w:val="20"/>
                <w:szCs w:val="20"/>
              </w:rPr>
              <w:t>, R.S.S. 1978, c. A-35, s. 103(2).</w:t>
            </w:r>
          </w:p>
        </w:tc>
      </w:tr>
      <w:tr w:rsidR="00F515F8" w:rsidRPr="00F515F8" w:rsidTr="00C41020">
        <w:tc>
          <w:tcPr>
            <w:tcW w:w="5000" w:type="pct"/>
            <w:gridSpan w:val="3"/>
          </w:tcPr>
          <w:p w:rsidR="00F515F8" w:rsidRPr="00F515F8" w:rsidRDefault="00F515F8" w:rsidP="00C41020">
            <w:pPr>
              <w:rPr>
                <w:sz w:val="20"/>
                <w:szCs w:val="20"/>
              </w:rPr>
            </w:pPr>
          </w:p>
        </w:tc>
      </w:tr>
      <w:tr w:rsidR="00F515F8" w:rsidRPr="00F515F8" w:rsidTr="00C41020">
        <w:tc>
          <w:tcPr>
            <w:tcW w:w="5000" w:type="pct"/>
            <w:gridSpan w:val="3"/>
          </w:tcPr>
          <w:p w:rsidR="00F515F8" w:rsidRPr="00F515F8" w:rsidRDefault="00F515F8" w:rsidP="00F515F8">
            <w:pPr>
              <w:jc w:val="both"/>
              <w:rPr>
                <w:sz w:val="20"/>
                <w:szCs w:val="20"/>
              </w:rPr>
            </w:pPr>
            <w:r w:rsidRPr="00F515F8">
              <w:rPr>
                <w:sz w:val="20"/>
                <w:szCs w:val="20"/>
              </w:rPr>
              <w:t xml:space="preserve">The respondent was seriously injured in a single vehicle rollover accident that occurred on a road maintained by the applicant Rural Municipality of Britannia, which had also engaged the services of the applicant Ron Handel Farm Ltd. to carry out certain work on the road.  Although the respondent receives benefits pursuant to the modified no-fault provisions of </w:t>
            </w:r>
            <w:r w:rsidRPr="00F515F8">
              <w:rPr>
                <w:i/>
                <w:sz w:val="20"/>
                <w:szCs w:val="20"/>
              </w:rPr>
              <w:t>The Automobile Accident Insurance Act</w:t>
            </w:r>
            <w:r w:rsidRPr="00F515F8">
              <w:rPr>
                <w:sz w:val="20"/>
                <w:szCs w:val="20"/>
              </w:rPr>
              <w:t>, he alleges that those benefits do not fully cover his actual costs for rehabilitation, living assistance and other cost-of-care items he reasonably requires.  Consequently, he launched a tort action against the applicants to recover damages for:  (a) the gap between the amount the government insurer determines and contributes towards his rehabilitation and living assistance costs and his actual costs for such items and other care items reasonably required for his injuries that would be recoverable at common law – but not recoverable from the insurer; and (b) the gap between the income replacement benefits determined and paid by the insurer and his actual yearly income loss.  The chambers judge declared that the respondent was not entitled to maintain the tort action.  The Court of Appeal allowed his appeal of that decision.</w:t>
            </w:r>
          </w:p>
          <w:p w:rsidR="00F515F8" w:rsidRPr="00F515F8" w:rsidRDefault="00F515F8" w:rsidP="00C41020">
            <w:pPr>
              <w:rPr>
                <w:sz w:val="20"/>
                <w:szCs w:val="20"/>
              </w:rPr>
            </w:pPr>
          </w:p>
        </w:tc>
      </w:tr>
      <w:tr w:rsidR="00F515F8" w:rsidRPr="00F515F8" w:rsidTr="00C41020">
        <w:tc>
          <w:tcPr>
            <w:tcW w:w="2427" w:type="pct"/>
          </w:tcPr>
          <w:p w:rsidR="00F515F8" w:rsidRPr="00F515F8" w:rsidRDefault="00F515F8" w:rsidP="00C41020">
            <w:pPr>
              <w:rPr>
                <w:sz w:val="20"/>
                <w:szCs w:val="20"/>
              </w:rPr>
            </w:pPr>
            <w:r w:rsidRPr="00F515F8">
              <w:rPr>
                <w:sz w:val="20"/>
                <w:szCs w:val="20"/>
              </w:rPr>
              <w:t>March 9, 2010</w:t>
            </w:r>
          </w:p>
          <w:p w:rsidR="00F515F8" w:rsidRPr="00F515F8" w:rsidRDefault="00F515F8" w:rsidP="00C41020">
            <w:pPr>
              <w:rPr>
                <w:sz w:val="20"/>
                <w:szCs w:val="20"/>
              </w:rPr>
            </w:pPr>
            <w:r w:rsidRPr="00F515F8">
              <w:rPr>
                <w:sz w:val="20"/>
                <w:szCs w:val="20"/>
              </w:rPr>
              <w:t>Court of Queen’s Bench of Saskatchewan</w:t>
            </w:r>
          </w:p>
          <w:p w:rsidR="00F515F8" w:rsidRPr="00F515F8" w:rsidRDefault="00F515F8" w:rsidP="00C41020">
            <w:pPr>
              <w:rPr>
                <w:sz w:val="20"/>
                <w:szCs w:val="20"/>
              </w:rPr>
            </w:pPr>
            <w:r w:rsidRPr="00F515F8">
              <w:rPr>
                <w:sz w:val="20"/>
                <w:szCs w:val="20"/>
              </w:rPr>
              <w:t>(Allbright J.)</w:t>
            </w:r>
          </w:p>
          <w:p w:rsidR="00F515F8" w:rsidRPr="00F515F8" w:rsidRDefault="00F515F8" w:rsidP="00C41020">
            <w:pPr>
              <w:rPr>
                <w:sz w:val="20"/>
                <w:szCs w:val="20"/>
              </w:rPr>
            </w:pPr>
            <w:r w:rsidRPr="00F515F8">
              <w:rPr>
                <w:sz w:val="20"/>
                <w:szCs w:val="20"/>
              </w:rPr>
              <w:t>2010 SKQB 97</w:t>
            </w:r>
          </w:p>
          <w:p w:rsidR="00F515F8" w:rsidRPr="00F515F8" w:rsidRDefault="00F515F8" w:rsidP="00C41020">
            <w:pPr>
              <w:rPr>
                <w:sz w:val="20"/>
                <w:szCs w:val="20"/>
              </w:rPr>
            </w:pPr>
          </w:p>
        </w:tc>
        <w:tc>
          <w:tcPr>
            <w:tcW w:w="243" w:type="pct"/>
          </w:tcPr>
          <w:p w:rsidR="00F515F8" w:rsidRPr="00F515F8" w:rsidRDefault="00F515F8" w:rsidP="00C41020">
            <w:pPr>
              <w:rPr>
                <w:sz w:val="20"/>
                <w:szCs w:val="20"/>
              </w:rPr>
            </w:pPr>
          </w:p>
        </w:tc>
        <w:tc>
          <w:tcPr>
            <w:tcW w:w="2330" w:type="pct"/>
          </w:tcPr>
          <w:p w:rsidR="00F515F8" w:rsidRPr="00F515F8" w:rsidRDefault="00F515F8" w:rsidP="00F515F8">
            <w:pPr>
              <w:jc w:val="both"/>
              <w:rPr>
                <w:sz w:val="20"/>
                <w:szCs w:val="20"/>
              </w:rPr>
            </w:pPr>
            <w:r w:rsidRPr="00F515F8">
              <w:rPr>
                <w:sz w:val="20"/>
                <w:szCs w:val="20"/>
              </w:rPr>
              <w:t>Respondent declared not to be entitled to maintain tort action against applicants</w:t>
            </w:r>
          </w:p>
          <w:p w:rsidR="00F515F8" w:rsidRPr="00F515F8" w:rsidRDefault="00F515F8" w:rsidP="00C41020">
            <w:pPr>
              <w:rPr>
                <w:sz w:val="20"/>
                <w:szCs w:val="20"/>
              </w:rPr>
            </w:pPr>
          </w:p>
        </w:tc>
      </w:tr>
      <w:tr w:rsidR="00F515F8" w:rsidRPr="00F515F8" w:rsidTr="00C41020">
        <w:tc>
          <w:tcPr>
            <w:tcW w:w="2427" w:type="pct"/>
          </w:tcPr>
          <w:p w:rsidR="00F515F8" w:rsidRPr="00F515F8" w:rsidRDefault="00F515F8" w:rsidP="00C41020">
            <w:pPr>
              <w:rPr>
                <w:sz w:val="20"/>
                <w:szCs w:val="20"/>
              </w:rPr>
            </w:pPr>
            <w:r w:rsidRPr="00F515F8">
              <w:rPr>
                <w:sz w:val="20"/>
                <w:szCs w:val="20"/>
              </w:rPr>
              <w:t>December 20, 2012</w:t>
            </w:r>
          </w:p>
          <w:p w:rsidR="00F515F8" w:rsidRPr="00F515F8" w:rsidRDefault="00F515F8" w:rsidP="00C41020">
            <w:pPr>
              <w:rPr>
                <w:sz w:val="20"/>
                <w:szCs w:val="20"/>
              </w:rPr>
            </w:pPr>
            <w:r w:rsidRPr="00F515F8">
              <w:rPr>
                <w:sz w:val="20"/>
                <w:szCs w:val="20"/>
              </w:rPr>
              <w:t>Court of Appeal for Saskatchewan</w:t>
            </w:r>
          </w:p>
          <w:p w:rsidR="00F515F8" w:rsidRPr="00F515F8" w:rsidRDefault="00F515F8" w:rsidP="00C41020">
            <w:pPr>
              <w:rPr>
                <w:sz w:val="20"/>
                <w:szCs w:val="20"/>
              </w:rPr>
            </w:pPr>
            <w:r w:rsidRPr="00F515F8">
              <w:rPr>
                <w:sz w:val="20"/>
                <w:szCs w:val="20"/>
              </w:rPr>
              <w:t>(Klebuc C.J.S., Gerwing and Jackson JJ.A.)</w:t>
            </w:r>
          </w:p>
          <w:p w:rsidR="00F515F8" w:rsidRPr="00F515F8" w:rsidRDefault="00F515F8" w:rsidP="00C41020">
            <w:pPr>
              <w:rPr>
                <w:sz w:val="20"/>
                <w:szCs w:val="20"/>
              </w:rPr>
            </w:pPr>
            <w:r w:rsidRPr="00F515F8">
              <w:rPr>
                <w:sz w:val="20"/>
                <w:szCs w:val="20"/>
              </w:rPr>
              <w:t>2012 SKCA 127</w:t>
            </w:r>
          </w:p>
          <w:p w:rsidR="00F515F8" w:rsidRPr="00F515F8" w:rsidRDefault="00F515F8" w:rsidP="00C41020">
            <w:pPr>
              <w:rPr>
                <w:sz w:val="20"/>
                <w:szCs w:val="20"/>
              </w:rPr>
            </w:pPr>
          </w:p>
        </w:tc>
        <w:tc>
          <w:tcPr>
            <w:tcW w:w="243" w:type="pct"/>
          </w:tcPr>
          <w:p w:rsidR="00F515F8" w:rsidRPr="00F515F8" w:rsidRDefault="00F515F8" w:rsidP="00C41020">
            <w:pPr>
              <w:rPr>
                <w:sz w:val="20"/>
                <w:szCs w:val="20"/>
              </w:rPr>
            </w:pPr>
          </w:p>
        </w:tc>
        <w:tc>
          <w:tcPr>
            <w:tcW w:w="2330" w:type="pct"/>
          </w:tcPr>
          <w:p w:rsidR="00F515F8" w:rsidRPr="00F515F8" w:rsidRDefault="00F515F8" w:rsidP="00C41020">
            <w:pPr>
              <w:rPr>
                <w:sz w:val="20"/>
                <w:szCs w:val="20"/>
              </w:rPr>
            </w:pPr>
            <w:r w:rsidRPr="00F515F8">
              <w:rPr>
                <w:sz w:val="20"/>
                <w:szCs w:val="20"/>
              </w:rPr>
              <w:t>Appeal allowed</w:t>
            </w:r>
          </w:p>
          <w:p w:rsidR="00F515F8" w:rsidRPr="00F515F8" w:rsidRDefault="00F515F8" w:rsidP="00C41020">
            <w:pPr>
              <w:rPr>
                <w:sz w:val="20"/>
                <w:szCs w:val="20"/>
              </w:rPr>
            </w:pPr>
          </w:p>
        </w:tc>
      </w:tr>
      <w:tr w:rsidR="00F515F8" w:rsidRPr="00F515F8" w:rsidTr="00C41020">
        <w:tc>
          <w:tcPr>
            <w:tcW w:w="2427" w:type="pct"/>
          </w:tcPr>
          <w:p w:rsidR="00F515F8" w:rsidRPr="00F515F8" w:rsidRDefault="00F515F8" w:rsidP="00C41020">
            <w:pPr>
              <w:rPr>
                <w:sz w:val="20"/>
                <w:szCs w:val="20"/>
              </w:rPr>
            </w:pPr>
            <w:r w:rsidRPr="00F515F8">
              <w:rPr>
                <w:sz w:val="20"/>
                <w:szCs w:val="20"/>
              </w:rPr>
              <w:t>February 15, 2013</w:t>
            </w:r>
          </w:p>
          <w:p w:rsidR="00F515F8" w:rsidRPr="00F515F8" w:rsidRDefault="00F515F8" w:rsidP="00F515F8">
            <w:pPr>
              <w:rPr>
                <w:sz w:val="20"/>
                <w:szCs w:val="20"/>
              </w:rPr>
            </w:pPr>
            <w:r w:rsidRPr="00F515F8">
              <w:rPr>
                <w:sz w:val="20"/>
                <w:szCs w:val="20"/>
              </w:rPr>
              <w:t>Supreme Court of Canada</w:t>
            </w:r>
          </w:p>
        </w:tc>
        <w:tc>
          <w:tcPr>
            <w:tcW w:w="243" w:type="pct"/>
          </w:tcPr>
          <w:p w:rsidR="00F515F8" w:rsidRPr="00F515F8" w:rsidRDefault="00F515F8" w:rsidP="00C41020">
            <w:pPr>
              <w:rPr>
                <w:sz w:val="20"/>
                <w:szCs w:val="20"/>
              </w:rPr>
            </w:pPr>
          </w:p>
        </w:tc>
        <w:tc>
          <w:tcPr>
            <w:tcW w:w="2330" w:type="pct"/>
          </w:tcPr>
          <w:p w:rsidR="00F515F8" w:rsidRPr="00F515F8" w:rsidRDefault="00F515F8" w:rsidP="00C41020">
            <w:pPr>
              <w:rPr>
                <w:sz w:val="20"/>
                <w:szCs w:val="20"/>
              </w:rPr>
            </w:pPr>
            <w:r w:rsidRPr="00F515F8">
              <w:rPr>
                <w:sz w:val="20"/>
                <w:szCs w:val="20"/>
              </w:rPr>
              <w:t>Application for leave to appeal filed</w:t>
            </w:r>
          </w:p>
          <w:p w:rsidR="00F515F8" w:rsidRPr="00F515F8" w:rsidRDefault="00F515F8" w:rsidP="00C41020">
            <w:pPr>
              <w:rPr>
                <w:sz w:val="20"/>
                <w:szCs w:val="20"/>
              </w:rPr>
            </w:pPr>
          </w:p>
        </w:tc>
      </w:tr>
    </w:tbl>
    <w:p w:rsidR="00F515F8" w:rsidRDefault="00F515F8"/>
    <w:p w:rsidR="00F515F8" w:rsidRDefault="00F515F8">
      <w:r>
        <w:br w:type="page"/>
      </w:r>
    </w:p>
    <w:tbl>
      <w:tblPr>
        <w:tblW w:w="4952" w:type="pct"/>
        <w:tblLayout w:type="fixed"/>
        <w:tblCellMar>
          <w:left w:w="0" w:type="dxa"/>
          <w:bottom w:w="99" w:type="dxa"/>
          <w:right w:w="0" w:type="dxa"/>
        </w:tblCellMar>
        <w:tblLook w:val="04A0"/>
      </w:tblPr>
      <w:tblGrid>
        <w:gridCol w:w="4624"/>
        <w:gridCol w:w="463"/>
        <w:gridCol w:w="4440"/>
      </w:tblGrid>
      <w:tr w:rsidR="00F515F8" w:rsidRPr="00F515F8" w:rsidTr="00C41020">
        <w:tc>
          <w:tcPr>
            <w:tcW w:w="2427" w:type="pct"/>
          </w:tcPr>
          <w:p w:rsidR="00F515F8" w:rsidRPr="00F515F8" w:rsidRDefault="00F515F8" w:rsidP="00C41020">
            <w:pPr>
              <w:rPr>
                <w:sz w:val="20"/>
                <w:szCs w:val="20"/>
              </w:rPr>
            </w:pPr>
            <w:r w:rsidRPr="00F515F8">
              <w:rPr>
                <w:sz w:val="20"/>
                <w:szCs w:val="20"/>
              </w:rPr>
              <w:lastRenderedPageBreak/>
              <w:t>March 15, 2013</w:t>
            </w:r>
          </w:p>
          <w:p w:rsidR="00F515F8" w:rsidRPr="00F515F8" w:rsidRDefault="00F515F8" w:rsidP="00C41020">
            <w:pPr>
              <w:rPr>
                <w:sz w:val="20"/>
                <w:szCs w:val="20"/>
              </w:rPr>
            </w:pPr>
            <w:r w:rsidRPr="00F515F8">
              <w:rPr>
                <w:sz w:val="20"/>
                <w:szCs w:val="20"/>
              </w:rPr>
              <w:t>Supreme Court of Canada</w:t>
            </w:r>
          </w:p>
        </w:tc>
        <w:tc>
          <w:tcPr>
            <w:tcW w:w="243" w:type="pct"/>
          </w:tcPr>
          <w:p w:rsidR="00F515F8" w:rsidRPr="00F515F8" w:rsidRDefault="00F515F8" w:rsidP="00C41020">
            <w:pPr>
              <w:rPr>
                <w:sz w:val="20"/>
                <w:szCs w:val="20"/>
              </w:rPr>
            </w:pPr>
          </w:p>
        </w:tc>
        <w:tc>
          <w:tcPr>
            <w:tcW w:w="2330" w:type="pct"/>
          </w:tcPr>
          <w:p w:rsidR="00F515F8" w:rsidRPr="00F515F8" w:rsidRDefault="00F515F8" w:rsidP="00C41020">
            <w:pPr>
              <w:rPr>
                <w:sz w:val="20"/>
                <w:szCs w:val="20"/>
              </w:rPr>
            </w:pPr>
            <w:r w:rsidRPr="00F515F8">
              <w:rPr>
                <w:sz w:val="20"/>
                <w:szCs w:val="20"/>
              </w:rPr>
              <w:t>Motion for leave to intervene filed</w:t>
            </w:r>
          </w:p>
        </w:tc>
      </w:tr>
    </w:tbl>
    <w:p w:rsidR="00370584" w:rsidRPr="00F515F8" w:rsidRDefault="00370584" w:rsidP="001B157C">
      <w:pPr>
        <w:rPr>
          <w:sz w:val="20"/>
          <w:szCs w:val="20"/>
        </w:rPr>
      </w:pPr>
    </w:p>
    <w:p w:rsidR="001B157C" w:rsidRPr="00C50A5C" w:rsidRDefault="00B35B95" w:rsidP="001B157C">
      <w:pPr>
        <w:rPr>
          <w:sz w:val="20"/>
          <w:szCs w:val="20"/>
        </w:rPr>
      </w:pPr>
      <w:r w:rsidRPr="00B35B95">
        <w:rPr>
          <w:sz w:val="20"/>
          <w:szCs w:val="20"/>
          <w:lang w:val="fr-CA"/>
        </w:rPr>
        <w:pict>
          <v:rect id="_x0000_i1046" style="width:2in;height:1pt" o:hrpct="0" o:hralign="center" o:hrstd="t" o:hrnoshade="t" o:hr="t" fillcolor="black [3213]" stroked="f"/>
        </w:pict>
      </w:r>
    </w:p>
    <w:p w:rsidR="001B157C" w:rsidRDefault="001B157C" w:rsidP="001B157C">
      <w:pPr>
        <w:rPr>
          <w:sz w:val="20"/>
          <w:szCs w:val="20"/>
        </w:rPr>
      </w:pPr>
    </w:p>
    <w:p w:rsidR="001B157C" w:rsidRDefault="001B157C" w:rsidP="001B157C">
      <w:pPr>
        <w:rPr>
          <w:sz w:val="20"/>
          <w:szCs w:val="20"/>
          <w:lang w:val="fr-CA"/>
        </w:rPr>
      </w:pPr>
      <w:r w:rsidRPr="000D61DC">
        <w:rPr>
          <w:sz w:val="20"/>
          <w:szCs w:val="20"/>
          <w:u w:val="single"/>
          <w:lang w:val="fr-CA"/>
        </w:rPr>
        <w:t>RÉSUMÉ DE L’AFFAIRE</w:t>
      </w:r>
    </w:p>
    <w:p w:rsidR="001B157C" w:rsidRDefault="001B157C" w:rsidP="001B157C">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F515F8" w:rsidRPr="00B71E8E" w:rsidTr="00C41020">
        <w:tc>
          <w:tcPr>
            <w:tcW w:w="5000" w:type="pct"/>
            <w:gridSpan w:val="3"/>
          </w:tcPr>
          <w:p w:rsidR="00F515F8" w:rsidRPr="00B71E8E" w:rsidRDefault="00F515F8" w:rsidP="00F515F8">
            <w:pPr>
              <w:jc w:val="both"/>
              <w:rPr>
                <w:sz w:val="20"/>
                <w:szCs w:val="20"/>
                <w:lang w:val="fr-CA"/>
              </w:rPr>
            </w:pPr>
            <w:r w:rsidRPr="00B71E8E">
              <w:rPr>
                <w:sz w:val="20"/>
                <w:szCs w:val="20"/>
                <w:lang w:val="fr-CA"/>
              </w:rPr>
              <w:t>Assurances – Assurance automobile – Responsabilité délictuelle – Négligence – Législation – Interprétation – Aide extrinsèque – Action en responsabilité délictuelle intentée par l’intimé, bénéficiaire de prestations d’une assurance sans égard à la responsabilité, en vue d’obtenir des dommages-intérêts pour combler l’écart entre le montant des prestations et les coûts réels – Annulation par la Cour d’appel de l’ordonnance radiant l’action – Des types d’aide extrinsèque sont-ils inadmissibles en raison de leurs caractéristiques ou de leur source? – Une aide extrinsèque doit-elle éclairer directement un texte censément ambigu pour être admissible? – L’interprétation que fait la Cour d’appel des termes « </w:t>
            </w:r>
            <w:r w:rsidRPr="00B71E8E">
              <w:rPr>
                <w:i/>
                <w:sz w:val="20"/>
                <w:szCs w:val="20"/>
                <w:lang w:val="fr-CA"/>
              </w:rPr>
              <w:t>economic loss</w:t>
            </w:r>
            <w:r w:rsidRPr="00B71E8E">
              <w:rPr>
                <w:sz w:val="20"/>
                <w:szCs w:val="20"/>
                <w:lang w:val="fr-CA"/>
              </w:rPr>
              <w:t> » (pertes financières) et « </w:t>
            </w:r>
            <w:r w:rsidRPr="00B71E8E">
              <w:rPr>
                <w:i/>
                <w:sz w:val="20"/>
                <w:szCs w:val="20"/>
                <w:lang w:val="fr-CA"/>
              </w:rPr>
              <w:t>entitlement</w:t>
            </w:r>
            <w:r w:rsidRPr="00B71E8E">
              <w:rPr>
                <w:sz w:val="20"/>
                <w:szCs w:val="20"/>
                <w:lang w:val="fr-CA"/>
              </w:rPr>
              <w:t xml:space="preserve"> » (droit) est-elle en contradiction avec le régime législatif? – </w:t>
            </w:r>
            <w:r w:rsidRPr="00B71E8E">
              <w:rPr>
                <w:i/>
                <w:sz w:val="20"/>
                <w:szCs w:val="20"/>
                <w:lang w:val="fr-CA"/>
              </w:rPr>
              <w:t>Automobile Accident Insurance Act</w:t>
            </w:r>
            <w:r w:rsidRPr="00B71E8E">
              <w:rPr>
                <w:sz w:val="20"/>
                <w:szCs w:val="20"/>
                <w:lang w:val="fr-CA"/>
              </w:rPr>
              <w:t>, L.R.S. 1978, ch. A-35, par. 103(2).</w:t>
            </w:r>
          </w:p>
        </w:tc>
      </w:tr>
      <w:tr w:rsidR="00F515F8" w:rsidRPr="00B71E8E" w:rsidTr="00C41020">
        <w:tc>
          <w:tcPr>
            <w:tcW w:w="5000" w:type="pct"/>
            <w:gridSpan w:val="3"/>
          </w:tcPr>
          <w:p w:rsidR="00F515F8" w:rsidRPr="00B71E8E" w:rsidRDefault="00F515F8" w:rsidP="00C41020">
            <w:pPr>
              <w:rPr>
                <w:sz w:val="20"/>
                <w:szCs w:val="20"/>
                <w:lang w:val="fr-CA"/>
              </w:rPr>
            </w:pPr>
          </w:p>
        </w:tc>
      </w:tr>
      <w:tr w:rsidR="00F515F8" w:rsidRPr="00B71E8E" w:rsidTr="00C41020">
        <w:tc>
          <w:tcPr>
            <w:tcW w:w="5000" w:type="pct"/>
            <w:gridSpan w:val="3"/>
          </w:tcPr>
          <w:p w:rsidR="00F515F8" w:rsidRPr="00B71E8E" w:rsidRDefault="00F515F8" w:rsidP="00F515F8">
            <w:pPr>
              <w:jc w:val="both"/>
              <w:rPr>
                <w:sz w:val="20"/>
                <w:szCs w:val="20"/>
                <w:lang w:val="fr-CA"/>
              </w:rPr>
            </w:pPr>
            <w:r w:rsidRPr="00B71E8E">
              <w:rPr>
                <w:sz w:val="20"/>
                <w:szCs w:val="20"/>
                <w:lang w:val="fr-CA"/>
              </w:rPr>
              <w:t xml:space="preserve">L’intimé a été gravement blessé dans un accident comportant le capotage de son véhicule sur une route entretenue par la Municipalité rurale de Britannia, demanderesse en l’espèce, qui avait retenu les services de l’autre demanderesse, Ron Handel Farm Ltd., pour accomplir certains travaux sur cette route.  Bien que l’intimé reçoive des prestations en application des dispositions modifiées sur l’assurance sans égard à la responsabilité de la </w:t>
            </w:r>
            <w:r w:rsidRPr="00B71E8E">
              <w:rPr>
                <w:i/>
                <w:sz w:val="20"/>
                <w:szCs w:val="20"/>
                <w:lang w:val="fr-CA"/>
              </w:rPr>
              <w:t>Automobile Accident Insurance Act</w:t>
            </w:r>
            <w:r w:rsidRPr="00B71E8E">
              <w:rPr>
                <w:sz w:val="20"/>
                <w:szCs w:val="20"/>
                <w:lang w:val="fr-CA"/>
              </w:rPr>
              <w:t>, il prétend que les prestations ne suffisent pas à payer les frais réels de réadaptation, d’aide à domicile et de soins qu’il nécessite raisonnablement.  Par conséquent, il a engagé une action en responsabilité délictuelle contre les demanderesses pour obtenir des dommages-intérêts visant a) l’écart entre le montant déterminé par l’assureur public et versé pour le défrayer de ses coûts de réadaptation et d’aide à domicile et les frais réels qu’il engage pour ces éléments et d’autres soins que nécessitent raisonnablement ses blessures et qu’il pourrait recouvrer en common law,  non pas de l’assureur; b) l’écart entre les indemnités de remplacement du revenu déterminées et versées par l’assureur et ses véritables pertes de revenu annuel.  Le juge siégeant en cabinet a déclaré que l’intimé n’était pas en droit d’intention l’action en responsabilité délictuelle.  La Cour d’appel a accueilli l’appel de cette décision.</w:t>
            </w:r>
          </w:p>
          <w:p w:rsidR="00F515F8" w:rsidRPr="00B71E8E" w:rsidRDefault="00F515F8" w:rsidP="00C41020">
            <w:pPr>
              <w:rPr>
                <w:sz w:val="20"/>
                <w:szCs w:val="20"/>
                <w:lang w:val="fr-CA"/>
              </w:rPr>
            </w:pPr>
          </w:p>
        </w:tc>
      </w:tr>
      <w:tr w:rsidR="00F515F8" w:rsidRPr="00EE440E" w:rsidTr="00C41020">
        <w:tc>
          <w:tcPr>
            <w:tcW w:w="2427" w:type="pct"/>
          </w:tcPr>
          <w:p w:rsidR="00F515F8" w:rsidRPr="00B71E8E" w:rsidRDefault="00F515F8" w:rsidP="00C41020">
            <w:pPr>
              <w:rPr>
                <w:sz w:val="20"/>
                <w:szCs w:val="20"/>
                <w:lang w:val="fr-CA"/>
              </w:rPr>
            </w:pPr>
            <w:r w:rsidRPr="00B71E8E">
              <w:rPr>
                <w:sz w:val="20"/>
                <w:szCs w:val="20"/>
                <w:lang w:val="fr-CA"/>
              </w:rPr>
              <w:t>9 mars 2010</w:t>
            </w:r>
          </w:p>
          <w:p w:rsidR="00F515F8" w:rsidRPr="00B71E8E" w:rsidRDefault="00F515F8" w:rsidP="00C41020">
            <w:pPr>
              <w:rPr>
                <w:sz w:val="20"/>
                <w:szCs w:val="20"/>
                <w:lang w:val="fr-CA"/>
              </w:rPr>
            </w:pPr>
            <w:r w:rsidRPr="00B71E8E">
              <w:rPr>
                <w:sz w:val="20"/>
                <w:szCs w:val="20"/>
                <w:lang w:val="fr-CA"/>
              </w:rPr>
              <w:t>Cour du Banc de la Reine de la Saskatchewan</w:t>
            </w:r>
          </w:p>
          <w:p w:rsidR="00F515F8" w:rsidRPr="00B71E8E" w:rsidRDefault="00F515F8" w:rsidP="00C41020">
            <w:pPr>
              <w:rPr>
                <w:sz w:val="20"/>
                <w:szCs w:val="20"/>
                <w:lang w:val="fr-CA"/>
              </w:rPr>
            </w:pPr>
            <w:r w:rsidRPr="00B71E8E">
              <w:rPr>
                <w:sz w:val="20"/>
                <w:szCs w:val="20"/>
                <w:lang w:val="fr-CA"/>
              </w:rPr>
              <w:t>(juge Allbright)</w:t>
            </w:r>
          </w:p>
          <w:p w:rsidR="00F515F8" w:rsidRPr="00B71E8E" w:rsidRDefault="00F515F8" w:rsidP="00C41020">
            <w:pPr>
              <w:rPr>
                <w:sz w:val="20"/>
                <w:szCs w:val="20"/>
                <w:lang w:val="fr-CA"/>
              </w:rPr>
            </w:pPr>
            <w:r w:rsidRPr="00B71E8E">
              <w:rPr>
                <w:sz w:val="20"/>
                <w:szCs w:val="20"/>
                <w:lang w:val="fr-CA"/>
              </w:rPr>
              <w:t>2010 SKQB 97</w:t>
            </w:r>
          </w:p>
          <w:p w:rsidR="00F515F8" w:rsidRPr="00B71E8E" w:rsidRDefault="00F515F8" w:rsidP="00C41020">
            <w:pPr>
              <w:rPr>
                <w:sz w:val="20"/>
                <w:szCs w:val="20"/>
                <w:lang w:val="fr-CA"/>
              </w:rPr>
            </w:pPr>
          </w:p>
        </w:tc>
        <w:tc>
          <w:tcPr>
            <w:tcW w:w="243" w:type="pct"/>
          </w:tcPr>
          <w:p w:rsidR="00F515F8" w:rsidRPr="00B71E8E" w:rsidRDefault="00F515F8" w:rsidP="00C41020">
            <w:pPr>
              <w:rPr>
                <w:sz w:val="20"/>
                <w:szCs w:val="20"/>
                <w:lang w:val="fr-CA"/>
              </w:rPr>
            </w:pPr>
          </w:p>
        </w:tc>
        <w:tc>
          <w:tcPr>
            <w:tcW w:w="2330" w:type="pct"/>
          </w:tcPr>
          <w:p w:rsidR="00F515F8" w:rsidRPr="00B71E8E" w:rsidRDefault="00F515F8" w:rsidP="00F515F8">
            <w:pPr>
              <w:jc w:val="both"/>
              <w:rPr>
                <w:sz w:val="20"/>
                <w:szCs w:val="20"/>
                <w:lang w:val="fr-CA"/>
              </w:rPr>
            </w:pPr>
            <w:r w:rsidRPr="00B71E8E">
              <w:rPr>
                <w:sz w:val="20"/>
                <w:szCs w:val="20"/>
                <w:lang w:val="fr-CA"/>
              </w:rPr>
              <w:t>Déclaration selon laquelle l’intimé n’a pas le droit de poursuivre les demanderesses en responsabilité délictuelle</w:t>
            </w:r>
          </w:p>
          <w:p w:rsidR="00F515F8" w:rsidRPr="00B71E8E" w:rsidRDefault="00F515F8" w:rsidP="00C41020">
            <w:pPr>
              <w:rPr>
                <w:sz w:val="20"/>
                <w:szCs w:val="20"/>
                <w:lang w:val="fr-CA"/>
              </w:rPr>
            </w:pPr>
          </w:p>
        </w:tc>
      </w:tr>
      <w:tr w:rsidR="00F515F8" w:rsidRPr="00B71E8E" w:rsidTr="00C41020">
        <w:tc>
          <w:tcPr>
            <w:tcW w:w="2427" w:type="pct"/>
          </w:tcPr>
          <w:p w:rsidR="00F515F8" w:rsidRPr="00B71E8E" w:rsidRDefault="00F515F8" w:rsidP="00C41020">
            <w:pPr>
              <w:rPr>
                <w:sz w:val="20"/>
                <w:szCs w:val="20"/>
                <w:lang w:val="fr-CA"/>
              </w:rPr>
            </w:pPr>
            <w:r w:rsidRPr="00B71E8E">
              <w:rPr>
                <w:sz w:val="20"/>
                <w:szCs w:val="20"/>
                <w:lang w:val="fr-CA"/>
              </w:rPr>
              <w:t>20 décembre 2012</w:t>
            </w:r>
          </w:p>
          <w:p w:rsidR="00F515F8" w:rsidRPr="00B71E8E" w:rsidRDefault="00F515F8" w:rsidP="00C41020">
            <w:pPr>
              <w:rPr>
                <w:sz w:val="20"/>
                <w:szCs w:val="20"/>
                <w:lang w:val="fr-CA"/>
              </w:rPr>
            </w:pPr>
            <w:r w:rsidRPr="00B71E8E">
              <w:rPr>
                <w:sz w:val="20"/>
                <w:szCs w:val="20"/>
                <w:lang w:val="fr-CA"/>
              </w:rPr>
              <w:t>Cour d’appel de la Saskatchewan</w:t>
            </w:r>
          </w:p>
          <w:p w:rsidR="00F515F8" w:rsidRPr="00B71E8E" w:rsidRDefault="00F515F8" w:rsidP="00C41020">
            <w:pPr>
              <w:rPr>
                <w:sz w:val="20"/>
                <w:szCs w:val="20"/>
                <w:lang w:val="fr-CA"/>
              </w:rPr>
            </w:pPr>
            <w:r w:rsidRPr="00B71E8E">
              <w:rPr>
                <w:sz w:val="20"/>
                <w:szCs w:val="20"/>
                <w:lang w:val="fr-CA"/>
              </w:rPr>
              <w:t>(juge en chef Klebuc et les juges Gerwing et Jackson)</w:t>
            </w:r>
          </w:p>
          <w:p w:rsidR="00F515F8" w:rsidRPr="00B71E8E" w:rsidRDefault="00F515F8" w:rsidP="00C41020">
            <w:pPr>
              <w:rPr>
                <w:sz w:val="20"/>
                <w:szCs w:val="20"/>
                <w:lang w:val="fr-CA"/>
              </w:rPr>
            </w:pPr>
            <w:r w:rsidRPr="00B71E8E">
              <w:rPr>
                <w:sz w:val="20"/>
                <w:szCs w:val="20"/>
                <w:lang w:val="fr-CA"/>
              </w:rPr>
              <w:t>2012 SKCA 127</w:t>
            </w:r>
          </w:p>
          <w:p w:rsidR="00F515F8" w:rsidRPr="00B71E8E" w:rsidRDefault="00F515F8" w:rsidP="00C41020">
            <w:pPr>
              <w:rPr>
                <w:sz w:val="20"/>
                <w:szCs w:val="20"/>
                <w:lang w:val="fr-CA"/>
              </w:rPr>
            </w:pPr>
          </w:p>
        </w:tc>
        <w:tc>
          <w:tcPr>
            <w:tcW w:w="243" w:type="pct"/>
          </w:tcPr>
          <w:p w:rsidR="00F515F8" w:rsidRPr="00B71E8E" w:rsidRDefault="00F515F8" w:rsidP="00C41020">
            <w:pPr>
              <w:rPr>
                <w:sz w:val="20"/>
                <w:szCs w:val="20"/>
                <w:lang w:val="fr-CA"/>
              </w:rPr>
            </w:pPr>
          </w:p>
        </w:tc>
        <w:tc>
          <w:tcPr>
            <w:tcW w:w="2330" w:type="pct"/>
          </w:tcPr>
          <w:p w:rsidR="00F515F8" w:rsidRPr="00B71E8E" w:rsidRDefault="00F515F8" w:rsidP="00C41020">
            <w:pPr>
              <w:rPr>
                <w:sz w:val="20"/>
                <w:szCs w:val="20"/>
                <w:lang w:val="fr-CA"/>
              </w:rPr>
            </w:pPr>
            <w:r w:rsidRPr="00B71E8E">
              <w:rPr>
                <w:sz w:val="20"/>
                <w:szCs w:val="20"/>
                <w:lang w:val="fr-CA"/>
              </w:rPr>
              <w:t>Appel accueilli</w:t>
            </w:r>
          </w:p>
          <w:p w:rsidR="00F515F8" w:rsidRPr="00B71E8E" w:rsidRDefault="00F515F8" w:rsidP="00C41020">
            <w:pPr>
              <w:rPr>
                <w:sz w:val="20"/>
                <w:szCs w:val="20"/>
                <w:lang w:val="fr-CA"/>
              </w:rPr>
            </w:pPr>
          </w:p>
        </w:tc>
      </w:tr>
      <w:tr w:rsidR="00F515F8" w:rsidRPr="00B71E8E" w:rsidTr="00C41020">
        <w:tc>
          <w:tcPr>
            <w:tcW w:w="2427" w:type="pct"/>
          </w:tcPr>
          <w:p w:rsidR="00F515F8" w:rsidRPr="00B71E8E" w:rsidRDefault="00F515F8" w:rsidP="00C41020">
            <w:pPr>
              <w:rPr>
                <w:sz w:val="20"/>
                <w:szCs w:val="20"/>
                <w:lang w:val="fr-CA"/>
              </w:rPr>
            </w:pPr>
            <w:r w:rsidRPr="00B71E8E">
              <w:rPr>
                <w:sz w:val="20"/>
                <w:szCs w:val="20"/>
                <w:lang w:val="fr-CA"/>
              </w:rPr>
              <w:t>15 février 2013</w:t>
            </w:r>
          </w:p>
          <w:p w:rsidR="00F515F8" w:rsidRPr="00B71E8E" w:rsidRDefault="00F515F8" w:rsidP="00C41020">
            <w:pPr>
              <w:rPr>
                <w:sz w:val="20"/>
                <w:szCs w:val="20"/>
                <w:lang w:val="fr-CA"/>
              </w:rPr>
            </w:pPr>
            <w:r w:rsidRPr="00B71E8E">
              <w:rPr>
                <w:sz w:val="20"/>
                <w:szCs w:val="20"/>
                <w:lang w:val="fr-CA"/>
              </w:rPr>
              <w:t>Cour suprême du Canada</w:t>
            </w:r>
          </w:p>
          <w:p w:rsidR="00F515F8" w:rsidRPr="00B71E8E" w:rsidRDefault="00F515F8" w:rsidP="00C41020">
            <w:pPr>
              <w:rPr>
                <w:sz w:val="20"/>
                <w:szCs w:val="20"/>
                <w:lang w:val="fr-CA"/>
              </w:rPr>
            </w:pPr>
          </w:p>
        </w:tc>
        <w:tc>
          <w:tcPr>
            <w:tcW w:w="243" w:type="pct"/>
          </w:tcPr>
          <w:p w:rsidR="00F515F8" w:rsidRPr="00B71E8E" w:rsidRDefault="00F515F8" w:rsidP="00C41020">
            <w:pPr>
              <w:rPr>
                <w:sz w:val="20"/>
                <w:szCs w:val="20"/>
                <w:lang w:val="fr-CA"/>
              </w:rPr>
            </w:pPr>
          </w:p>
        </w:tc>
        <w:tc>
          <w:tcPr>
            <w:tcW w:w="2330" w:type="pct"/>
          </w:tcPr>
          <w:p w:rsidR="00F515F8" w:rsidRPr="00B71E8E" w:rsidRDefault="00F515F8" w:rsidP="00C41020">
            <w:pPr>
              <w:rPr>
                <w:sz w:val="20"/>
                <w:szCs w:val="20"/>
                <w:lang w:val="fr-CA"/>
              </w:rPr>
            </w:pPr>
            <w:r w:rsidRPr="00B71E8E">
              <w:rPr>
                <w:sz w:val="20"/>
                <w:szCs w:val="20"/>
                <w:lang w:val="fr-CA"/>
              </w:rPr>
              <w:t>Demande d’autorisation d’appel déposée</w:t>
            </w:r>
          </w:p>
          <w:p w:rsidR="00F515F8" w:rsidRPr="00B71E8E" w:rsidRDefault="00F515F8" w:rsidP="00C41020">
            <w:pPr>
              <w:rPr>
                <w:sz w:val="20"/>
                <w:szCs w:val="20"/>
                <w:lang w:val="fr-CA"/>
              </w:rPr>
            </w:pPr>
          </w:p>
        </w:tc>
      </w:tr>
      <w:tr w:rsidR="00F515F8" w:rsidRPr="00B71E8E" w:rsidTr="00C41020">
        <w:tc>
          <w:tcPr>
            <w:tcW w:w="2427" w:type="pct"/>
          </w:tcPr>
          <w:p w:rsidR="00F515F8" w:rsidRPr="00B71E8E" w:rsidRDefault="00F515F8" w:rsidP="00C41020">
            <w:pPr>
              <w:rPr>
                <w:sz w:val="20"/>
                <w:szCs w:val="20"/>
                <w:lang w:val="fr-CA"/>
              </w:rPr>
            </w:pPr>
            <w:r w:rsidRPr="00B71E8E">
              <w:rPr>
                <w:sz w:val="20"/>
                <w:szCs w:val="20"/>
                <w:lang w:val="fr-CA"/>
              </w:rPr>
              <w:t>15 mars 2013</w:t>
            </w:r>
          </w:p>
          <w:p w:rsidR="00F515F8" w:rsidRPr="00B71E8E" w:rsidRDefault="00F515F8" w:rsidP="00C41020">
            <w:pPr>
              <w:rPr>
                <w:sz w:val="20"/>
                <w:szCs w:val="20"/>
                <w:lang w:val="fr-CA"/>
              </w:rPr>
            </w:pPr>
            <w:r w:rsidRPr="00B71E8E">
              <w:rPr>
                <w:sz w:val="20"/>
                <w:szCs w:val="20"/>
                <w:lang w:val="fr-CA"/>
              </w:rPr>
              <w:t>Cour suprême du Canada</w:t>
            </w:r>
          </w:p>
        </w:tc>
        <w:tc>
          <w:tcPr>
            <w:tcW w:w="243" w:type="pct"/>
          </w:tcPr>
          <w:p w:rsidR="00F515F8" w:rsidRPr="00B71E8E" w:rsidRDefault="00F515F8" w:rsidP="00C41020">
            <w:pPr>
              <w:rPr>
                <w:sz w:val="20"/>
                <w:szCs w:val="20"/>
                <w:lang w:val="fr-CA"/>
              </w:rPr>
            </w:pPr>
          </w:p>
        </w:tc>
        <w:tc>
          <w:tcPr>
            <w:tcW w:w="2330" w:type="pct"/>
          </w:tcPr>
          <w:p w:rsidR="00F515F8" w:rsidRPr="00B71E8E" w:rsidRDefault="00F515F8" w:rsidP="00C41020">
            <w:pPr>
              <w:rPr>
                <w:sz w:val="20"/>
                <w:szCs w:val="20"/>
                <w:lang w:val="fr-CA"/>
              </w:rPr>
            </w:pPr>
            <w:r w:rsidRPr="00B71E8E">
              <w:rPr>
                <w:sz w:val="20"/>
                <w:szCs w:val="20"/>
                <w:lang w:val="fr-CA"/>
              </w:rPr>
              <w:t>Requête en intervention déposée</w:t>
            </w:r>
          </w:p>
        </w:tc>
      </w:tr>
    </w:tbl>
    <w:p w:rsidR="00F515F8" w:rsidRDefault="00F515F8" w:rsidP="001B157C">
      <w:pPr>
        <w:rPr>
          <w:sz w:val="20"/>
          <w:szCs w:val="20"/>
          <w:lang w:val="fr-CA"/>
        </w:rPr>
      </w:pPr>
    </w:p>
    <w:p w:rsidR="001B157C" w:rsidRDefault="00B35B95" w:rsidP="001B157C">
      <w:pPr>
        <w:rPr>
          <w:sz w:val="20"/>
          <w:szCs w:val="20"/>
          <w:lang w:val="fr-CA"/>
        </w:rPr>
      </w:pPr>
      <w:r w:rsidRPr="00B35B95">
        <w:rPr>
          <w:sz w:val="20"/>
          <w:szCs w:val="20"/>
          <w:lang w:val="fr-CA"/>
        </w:rPr>
        <w:pict>
          <v:rect id="_x0000_i1047" style="width:2in;height:1pt" o:hrpct="0" o:hralign="center" o:hrstd="t" o:hrnoshade="t" o:hr="t" fillcolor="black [3213]" stroked="f"/>
        </w:pict>
      </w:r>
    </w:p>
    <w:p w:rsidR="001B157C" w:rsidRPr="005F2D90" w:rsidRDefault="001B157C" w:rsidP="001B157C">
      <w:pPr>
        <w:rPr>
          <w:sz w:val="20"/>
          <w:szCs w:val="20"/>
          <w:lang w:val="fr-CA"/>
        </w:rPr>
      </w:pPr>
    </w:p>
    <w:p w:rsidR="002E2327" w:rsidRPr="00C50A5C" w:rsidRDefault="002E2327" w:rsidP="002E2327">
      <w:pPr>
        <w:widowControl w:val="0"/>
        <w:spacing w:line="0" w:lineRule="atLeast"/>
        <w:rPr>
          <w:sz w:val="20"/>
          <w:szCs w:val="20"/>
        </w:rPr>
      </w:pPr>
    </w:p>
    <w:p w:rsidR="00675479" w:rsidRPr="00C50A5C" w:rsidRDefault="00675479" w:rsidP="002E2327">
      <w:pPr>
        <w:widowControl w:val="0"/>
        <w:spacing w:line="0" w:lineRule="atLeast"/>
        <w:rPr>
          <w:sz w:val="20"/>
          <w:szCs w:val="20"/>
          <w:lang w:val="fr-CA"/>
        </w:rPr>
      </w:pPr>
    </w:p>
    <w:p w:rsidR="00432989" w:rsidRPr="00C50A5C" w:rsidRDefault="00432989" w:rsidP="002E2327">
      <w:pPr>
        <w:widowControl w:val="0"/>
        <w:spacing w:line="0" w:lineRule="atLeast"/>
        <w:rPr>
          <w:sz w:val="20"/>
          <w:szCs w:val="20"/>
          <w:lang w:val="fr-CA"/>
        </w:rPr>
        <w:sectPr w:rsidR="00432989" w:rsidRPr="00C50A5C" w:rsidSect="0044776A">
          <w:headerReference w:type="default" r:id="rId24"/>
          <w:footerReference w:type="default" r:id="rId25"/>
          <w:headerReference w:type="first" r:id="rId26"/>
          <w:footerReference w:type="first" r:id="rId2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EE440E" w:rsidTr="00ED7E83">
        <w:tc>
          <w:tcPr>
            <w:tcW w:w="4200" w:type="dxa"/>
            <w:tcMar>
              <w:left w:w="0" w:type="dxa"/>
              <w:right w:w="0" w:type="dxa"/>
            </w:tcMar>
          </w:tcPr>
          <w:p w:rsidR="008D292F" w:rsidRPr="001D0D5F" w:rsidRDefault="008D292F" w:rsidP="00ED7E83">
            <w:pPr>
              <w:keepNext/>
              <w:keepLines/>
              <w:jc w:val="both"/>
              <w:rPr>
                <w:b/>
                <w:szCs w:val="24"/>
              </w:rPr>
            </w:pPr>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Default="008D292F" w:rsidP="008D292F">
      <w:pPr>
        <w:rPr>
          <w:sz w:val="20"/>
          <w:szCs w:val="20"/>
          <w:lang w:val="fr-CA"/>
        </w:rPr>
      </w:pPr>
    </w:p>
    <w:p w:rsidR="00BA75E9" w:rsidRPr="00C50A5C" w:rsidRDefault="00BA75E9" w:rsidP="00BA75E9">
      <w:pPr>
        <w:rPr>
          <w:b/>
          <w:sz w:val="20"/>
          <w:szCs w:val="20"/>
        </w:rPr>
      </w:pPr>
      <w:r>
        <w:rPr>
          <w:b/>
          <w:sz w:val="20"/>
          <w:szCs w:val="20"/>
        </w:rPr>
        <w:t>M</w:t>
      </w:r>
      <w:r w:rsidRPr="00C50A5C">
        <w:rPr>
          <w:b/>
          <w:sz w:val="20"/>
          <w:szCs w:val="20"/>
        </w:rPr>
        <w:t>A</w:t>
      </w:r>
      <w:r>
        <w:rPr>
          <w:b/>
          <w:sz w:val="20"/>
          <w:szCs w:val="20"/>
        </w:rPr>
        <w:t>Y</w:t>
      </w:r>
      <w:r w:rsidRPr="00C50A5C">
        <w:rPr>
          <w:b/>
          <w:sz w:val="20"/>
          <w:szCs w:val="20"/>
        </w:rPr>
        <w:t xml:space="preserve"> 2</w:t>
      </w:r>
      <w:r>
        <w:rPr>
          <w:b/>
          <w:sz w:val="20"/>
          <w:szCs w:val="20"/>
        </w:rPr>
        <w:t>3</w:t>
      </w:r>
      <w:r w:rsidRPr="00C50A5C">
        <w:rPr>
          <w:b/>
          <w:sz w:val="20"/>
          <w:szCs w:val="20"/>
        </w:rPr>
        <w:t>, 201</w:t>
      </w:r>
      <w:r>
        <w:rPr>
          <w:b/>
          <w:sz w:val="20"/>
          <w:szCs w:val="20"/>
        </w:rPr>
        <w:t>3</w:t>
      </w:r>
      <w:r w:rsidRPr="00C50A5C">
        <w:rPr>
          <w:b/>
          <w:sz w:val="20"/>
          <w:szCs w:val="20"/>
        </w:rPr>
        <w:t xml:space="preserve"> / LE 2</w:t>
      </w:r>
      <w:r>
        <w:rPr>
          <w:b/>
          <w:sz w:val="20"/>
          <w:szCs w:val="20"/>
        </w:rPr>
        <w:t>3</w:t>
      </w:r>
      <w:r w:rsidRPr="00C50A5C">
        <w:rPr>
          <w:b/>
          <w:sz w:val="20"/>
          <w:szCs w:val="20"/>
        </w:rPr>
        <w:t xml:space="preserve"> </w:t>
      </w:r>
      <w:r>
        <w:rPr>
          <w:b/>
          <w:sz w:val="20"/>
          <w:szCs w:val="20"/>
        </w:rPr>
        <w:t>M</w:t>
      </w:r>
      <w:r w:rsidRPr="00C50A5C">
        <w:rPr>
          <w:b/>
          <w:sz w:val="20"/>
          <w:szCs w:val="20"/>
        </w:rPr>
        <w:t>AI 201</w:t>
      </w:r>
      <w:r>
        <w:rPr>
          <w:b/>
          <w:sz w:val="20"/>
          <w:szCs w:val="20"/>
        </w:rPr>
        <w:t>3</w:t>
      </w:r>
    </w:p>
    <w:p w:rsidR="00BA75E9" w:rsidRDefault="00BA75E9" w:rsidP="00BA75E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A75E9" w:rsidRPr="00A73D2C" w:rsidTr="00370584">
        <w:trPr>
          <w:cantSplit/>
        </w:trPr>
        <w:tc>
          <w:tcPr>
            <w:tcW w:w="1458" w:type="dxa"/>
          </w:tcPr>
          <w:p w:rsidR="00BA75E9" w:rsidRPr="00A73D2C" w:rsidRDefault="00BA75E9" w:rsidP="00370584">
            <w:pPr>
              <w:rPr>
                <w:sz w:val="20"/>
                <w:szCs w:val="20"/>
              </w:rPr>
            </w:pPr>
            <w:r w:rsidRPr="00A73D2C">
              <w:rPr>
                <w:rStyle w:val="SCCFileNumberChar"/>
                <w:sz w:val="20"/>
                <w:szCs w:val="20"/>
              </w:rPr>
              <w:t>35160</w:t>
            </w:r>
          </w:p>
          <w:p w:rsidR="00BA75E9" w:rsidRPr="00A73D2C" w:rsidRDefault="00BA75E9" w:rsidP="00370584">
            <w:pPr>
              <w:rPr>
                <w:b/>
                <w:sz w:val="20"/>
                <w:szCs w:val="20"/>
                <w:lang w:val="fr-CA"/>
              </w:rPr>
            </w:pPr>
          </w:p>
        </w:tc>
        <w:tc>
          <w:tcPr>
            <w:tcW w:w="8118" w:type="dxa"/>
          </w:tcPr>
          <w:p w:rsidR="00BA75E9" w:rsidRPr="00A73D2C" w:rsidRDefault="00BA75E9" w:rsidP="00370584">
            <w:pPr>
              <w:rPr>
                <w:sz w:val="20"/>
                <w:szCs w:val="20"/>
              </w:rPr>
            </w:pPr>
            <w:r w:rsidRPr="00A73D2C">
              <w:rPr>
                <w:rStyle w:val="SCCLsocChar"/>
                <w:sz w:val="20"/>
                <w:szCs w:val="20"/>
                <w:lang w:val="en-CA"/>
              </w:rPr>
              <w:t>Robert G. Leonidas v. Treat America Limited</w:t>
            </w:r>
            <w:r w:rsidRPr="00A73D2C">
              <w:rPr>
                <w:sz w:val="20"/>
                <w:szCs w:val="20"/>
              </w:rPr>
              <w:t xml:space="preserve"> (Ont.) (Civil) (By Leave)</w:t>
            </w:r>
          </w:p>
          <w:p w:rsidR="00BA75E9" w:rsidRPr="00A73D2C" w:rsidRDefault="00BA75E9" w:rsidP="00370584">
            <w:pPr>
              <w:rPr>
                <w:sz w:val="20"/>
                <w:szCs w:val="20"/>
              </w:rPr>
            </w:pPr>
          </w:p>
        </w:tc>
      </w:tr>
      <w:tr w:rsidR="00BA75E9" w:rsidRPr="00A73D2C" w:rsidTr="00370584">
        <w:trPr>
          <w:cantSplit/>
        </w:trPr>
        <w:tc>
          <w:tcPr>
            <w:tcW w:w="1458" w:type="dxa"/>
          </w:tcPr>
          <w:p w:rsidR="00BA75E9" w:rsidRPr="00A73D2C" w:rsidRDefault="00BA75E9" w:rsidP="00370584">
            <w:pPr>
              <w:rPr>
                <w:sz w:val="20"/>
                <w:szCs w:val="20"/>
              </w:rPr>
            </w:pPr>
            <w:r w:rsidRPr="00A73D2C">
              <w:rPr>
                <w:sz w:val="20"/>
                <w:szCs w:val="20"/>
              </w:rPr>
              <w:t>Coram :</w:t>
            </w:r>
          </w:p>
        </w:tc>
        <w:tc>
          <w:tcPr>
            <w:tcW w:w="8118" w:type="dxa"/>
          </w:tcPr>
          <w:p w:rsidR="00BA75E9" w:rsidRPr="00A73D2C" w:rsidRDefault="00BA75E9" w:rsidP="00370584">
            <w:pPr>
              <w:rPr>
                <w:sz w:val="20"/>
                <w:szCs w:val="20"/>
              </w:rPr>
            </w:pPr>
            <w:r w:rsidRPr="00A73D2C">
              <w:rPr>
                <w:rStyle w:val="SCCCoramChar"/>
                <w:sz w:val="20"/>
                <w:szCs w:val="20"/>
                <w:lang w:val="en-CA"/>
              </w:rPr>
              <w:t>LeBel, Karakatsanis and Wagner JJ.</w:t>
            </w:r>
          </w:p>
          <w:p w:rsidR="00BA75E9" w:rsidRPr="00A73D2C" w:rsidRDefault="00BA75E9" w:rsidP="00370584">
            <w:pPr>
              <w:rPr>
                <w:sz w:val="20"/>
                <w:szCs w:val="20"/>
                <w:u w:val="single"/>
              </w:rPr>
            </w:pPr>
          </w:p>
        </w:tc>
      </w:tr>
      <w:tr w:rsidR="00BA75E9" w:rsidRPr="00EE440E" w:rsidTr="00370584">
        <w:trPr>
          <w:cantSplit/>
        </w:trPr>
        <w:tc>
          <w:tcPr>
            <w:tcW w:w="9576" w:type="dxa"/>
            <w:gridSpan w:val="2"/>
          </w:tcPr>
          <w:p w:rsidR="00BA75E9" w:rsidRPr="00A73D2C" w:rsidRDefault="00BA75E9" w:rsidP="00370584">
            <w:pPr>
              <w:pStyle w:val="SCCShortJudgment"/>
              <w:rPr>
                <w:szCs w:val="20"/>
              </w:rPr>
            </w:pPr>
            <w:r w:rsidRPr="00A73D2C">
              <w:rPr>
                <w:szCs w:val="20"/>
              </w:rPr>
              <w:t>The motion for leave to intervene by the Commissioner of Competition is granted without costs. The application for leave to appeal from the judgment of the Court of Appeal for Ontario, Number C55002, 2012 ONCA 748, dated November 27, 2012, is dismissed with costs to the respondent.</w:t>
            </w:r>
          </w:p>
          <w:p w:rsidR="00BA75E9" w:rsidRPr="00A73D2C" w:rsidRDefault="00BA75E9" w:rsidP="00370584">
            <w:pPr>
              <w:pStyle w:val="SCCShortJudgment"/>
              <w:ind w:firstLine="0"/>
              <w:rPr>
                <w:szCs w:val="20"/>
              </w:rPr>
            </w:pPr>
          </w:p>
          <w:p w:rsidR="00BA75E9" w:rsidRPr="00A73D2C" w:rsidRDefault="00BA75E9" w:rsidP="00370584">
            <w:pPr>
              <w:pStyle w:val="SCCShortJudgment"/>
              <w:rPr>
                <w:szCs w:val="20"/>
                <w:lang w:val="fr-CA"/>
              </w:rPr>
            </w:pPr>
            <w:r w:rsidRPr="00A73D2C">
              <w:rPr>
                <w:szCs w:val="20"/>
                <w:lang w:val="fr-CA"/>
              </w:rPr>
              <w:t>La requête pour permission d’intervenir du Commissaire de la concurrence est accueillie sans dépens. La demande d’autorisation d’appel de l’arrêt de la Cour d’appel de l’Ontario, numéro C55002, 2012 ONCA 748, daté du 27 novembre 2012, est rejetée avec dépens en faveur de l’intimée.</w:t>
            </w:r>
          </w:p>
        </w:tc>
      </w:tr>
    </w:tbl>
    <w:p w:rsidR="00BA75E9" w:rsidRPr="0016547E" w:rsidRDefault="00BA75E9" w:rsidP="00BA75E9">
      <w:pPr>
        <w:rPr>
          <w:sz w:val="20"/>
          <w:szCs w:val="20"/>
          <w:lang w:val="fr-CA"/>
        </w:rPr>
      </w:pPr>
    </w:p>
    <w:p w:rsidR="00BA75E9" w:rsidRPr="001B157C" w:rsidRDefault="00BA75E9" w:rsidP="00BA75E9">
      <w:pPr>
        <w:rPr>
          <w:sz w:val="20"/>
          <w:szCs w:val="20"/>
          <w:u w:val="single"/>
        </w:rPr>
      </w:pPr>
      <w:r w:rsidRPr="001B157C">
        <w:rPr>
          <w:sz w:val="20"/>
          <w:szCs w:val="20"/>
          <w:u w:val="single"/>
        </w:rPr>
        <w:t>CASE SUMMARY</w:t>
      </w:r>
    </w:p>
    <w:p w:rsidR="00BA75E9" w:rsidRDefault="00BA75E9" w:rsidP="00BA75E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A75E9" w:rsidRPr="00E007CB" w:rsidTr="00370584">
        <w:tc>
          <w:tcPr>
            <w:tcW w:w="5000" w:type="pct"/>
            <w:gridSpan w:val="3"/>
          </w:tcPr>
          <w:p w:rsidR="00BA75E9" w:rsidRPr="00E007CB" w:rsidRDefault="00BA75E9" w:rsidP="00370584">
            <w:pPr>
              <w:jc w:val="both"/>
              <w:rPr>
                <w:rFonts w:eastAsia="Calibri"/>
                <w:sz w:val="20"/>
              </w:rPr>
            </w:pPr>
            <w:r w:rsidRPr="00E007CB">
              <w:rPr>
                <w:rFonts w:eastAsia="Calibri"/>
                <w:i/>
                <w:sz w:val="20"/>
              </w:rPr>
              <w:t>Canadian Charter of Rights and Freedoms</w:t>
            </w:r>
            <w:r w:rsidRPr="00E007CB">
              <w:rPr>
                <w:rFonts w:eastAsia="Calibri"/>
                <w:sz w:val="20"/>
              </w:rPr>
              <w:t xml:space="preserve"> ― Constitutional law ― Legal rights ― Public international law ― Letter of Request ― Competition ― Canadian Commissioner of Competition ― Conspiracy ― Letter of Request (LOR) for international judicial assistance seeking an order from Ontario Superior Court compelling applicant to appear for deposition and provide oral testimony under oath ― Whether a Canadian investigative agency, is under a duty to conduct its criminal investigation so as not to infringe, directly or indirectly, a target’s constitutional rights ― If so, whether Commissioner of Competition’s conduct, in this case, infringing applicant’s right to silence ― Whether enforcement of the LOR in this case would be contrary to Canadian public policy and sovereignty concerns; be at the expense of injustice to applicant or be unduly burdensome on applicant ― Whether the Court of Appeal erred in affirming decision of application judge to enforce LOR and order deposition of applicant ― If the Court upholds enforcement of LOR, whether Court of Appeal erred by upholding application judge’s refusal to direct that the protective order amended at the request of the Commissioner, CMO 7A, has no force or effect to the extent that it prohibits applicant from being able to fully and properly prepare for  his deposition;  requires notice be given to Commissioner when, and if, applicant’s testimony is to be used at any hearing or trial; and is binding on counsel for the respondent.</w:t>
            </w:r>
          </w:p>
          <w:p w:rsidR="00BA75E9" w:rsidRPr="00E007CB" w:rsidRDefault="00BA75E9" w:rsidP="00370584">
            <w:pPr>
              <w:jc w:val="both"/>
              <w:rPr>
                <w:rFonts w:eastAsia="Calibri"/>
                <w:sz w:val="20"/>
              </w:rPr>
            </w:pPr>
          </w:p>
        </w:tc>
      </w:tr>
      <w:tr w:rsidR="00BA75E9" w:rsidRPr="00E007CB" w:rsidTr="00370584">
        <w:tc>
          <w:tcPr>
            <w:tcW w:w="5000" w:type="pct"/>
            <w:gridSpan w:val="3"/>
          </w:tcPr>
          <w:p w:rsidR="00BA75E9" w:rsidRPr="00E007CB" w:rsidRDefault="00BA75E9" w:rsidP="00370584">
            <w:pPr>
              <w:jc w:val="both"/>
              <w:rPr>
                <w:color w:val="000000"/>
                <w:sz w:val="20"/>
              </w:rPr>
            </w:pPr>
            <w:r w:rsidRPr="00E007CB">
              <w:rPr>
                <w:color w:val="000000"/>
                <w:sz w:val="20"/>
              </w:rPr>
              <w:t>The applicant is the former President and Chief Executive Officer of Nestlé Canada Inc. and is one of a number of targets of a criminal investigation being conducted in Canada by the Commissioner of Competition in respect of an alleged conspiracy by a number of chocolate manufacturers to unreasonably enhance the price of chocolate candy in Canada.</w:t>
            </w:r>
          </w:p>
          <w:p w:rsidR="00BA75E9" w:rsidRPr="00E007CB" w:rsidRDefault="00BA75E9" w:rsidP="00370584">
            <w:pPr>
              <w:jc w:val="both"/>
              <w:rPr>
                <w:color w:val="000000"/>
                <w:sz w:val="20"/>
              </w:rPr>
            </w:pPr>
          </w:p>
          <w:p w:rsidR="00BA75E9" w:rsidRPr="00E007CB" w:rsidRDefault="00BA75E9" w:rsidP="00370584">
            <w:pPr>
              <w:jc w:val="both"/>
              <w:rPr>
                <w:color w:val="000000"/>
                <w:sz w:val="20"/>
              </w:rPr>
            </w:pPr>
            <w:r w:rsidRPr="00E007CB">
              <w:rPr>
                <w:color w:val="000000"/>
                <w:sz w:val="20"/>
              </w:rPr>
              <w:t>The Commissioner initiated the investigation by obtaining search warrants, based on sworn information contained in affidavits (the Informations to Obtain (ITOs)).  Following execution of the search warrants, the ITOs were filed in court and the information contained in them then became available to the public.  Various class actions were then commenced in multiple jurisdictions in the United States against a number of chocolate manufacturers there and in Canada for damages suffered from the alleged conspiracy to inflate the price of chocolate candy in the U.S.</w:t>
            </w:r>
          </w:p>
          <w:p w:rsidR="00BA75E9" w:rsidRPr="00E007CB" w:rsidRDefault="00BA75E9" w:rsidP="00370584">
            <w:pPr>
              <w:jc w:val="both"/>
              <w:rPr>
                <w:color w:val="000000"/>
                <w:sz w:val="20"/>
              </w:rPr>
            </w:pPr>
          </w:p>
          <w:p w:rsidR="00BA75E9" w:rsidRPr="00E007CB" w:rsidRDefault="00BA75E9" w:rsidP="00370584">
            <w:pPr>
              <w:jc w:val="both"/>
              <w:rPr>
                <w:color w:val="000000"/>
                <w:sz w:val="20"/>
              </w:rPr>
            </w:pPr>
            <w:r w:rsidRPr="00E007CB">
              <w:rPr>
                <w:color w:val="000000"/>
                <w:sz w:val="20"/>
              </w:rPr>
              <w:t xml:space="preserve">The plaintiffs in the class action wish to examine the applicant to obtain his information regarding the merits of their claim.  A Letter of Request for International Judicial Assistance (LOR) was received, seeking an order from the Ontario Superior Court, compelling the applicant to appear for a deposition and provide oral testimony under oath as a witness in the U.S. proceedings.  The order enforcing the LOR was granted.  The Court of Appeal dismissed his appeal.  </w:t>
            </w:r>
          </w:p>
          <w:p w:rsidR="00BA75E9" w:rsidRPr="00E007CB" w:rsidRDefault="00BA75E9" w:rsidP="00370584">
            <w:pPr>
              <w:jc w:val="both"/>
              <w:rPr>
                <w:rFonts w:eastAsia="Calibri"/>
                <w:sz w:val="20"/>
              </w:rPr>
            </w:pPr>
          </w:p>
        </w:tc>
      </w:tr>
      <w:tr w:rsidR="00BA75E9" w:rsidRPr="00E007CB" w:rsidTr="00370584">
        <w:trPr>
          <w:cantSplit/>
        </w:trPr>
        <w:tc>
          <w:tcPr>
            <w:tcW w:w="2427" w:type="pct"/>
          </w:tcPr>
          <w:p w:rsidR="00BA75E9" w:rsidRPr="00E007CB" w:rsidRDefault="00BA75E9" w:rsidP="00370584">
            <w:pPr>
              <w:jc w:val="both"/>
              <w:rPr>
                <w:rFonts w:eastAsia="Calibri"/>
                <w:sz w:val="20"/>
              </w:rPr>
            </w:pPr>
            <w:r w:rsidRPr="00E007CB">
              <w:rPr>
                <w:rFonts w:eastAsia="Calibri"/>
                <w:sz w:val="20"/>
              </w:rPr>
              <w:lastRenderedPageBreak/>
              <w:t>December 9, 2011</w:t>
            </w:r>
          </w:p>
          <w:p w:rsidR="00BA75E9" w:rsidRPr="00E007CB" w:rsidRDefault="00BA75E9" w:rsidP="00370584">
            <w:pPr>
              <w:jc w:val="both"/>
              <w:rPr>
                <w:rFonts w:eastAsia="Calibri"/>
                <w:sz w:val="20"/>
              </w:rPr>
            </w:pPr>
            <w:r w:rsidRPr="00E007CB">
              <w:rPr>
                <w:rFonts w:eastAsia="Calibri"/>
                <w:sz w:val="20"/>
              </w:rPr>
              <w:t>Ontario Superior Court of Justice</w:t>
            </w:r>
          </w:p>
          <w:p w:rsidR="00BA75E9" w:rsidRPr="00E007CB" w:rsidRDefault="00BA75E9" w:rsidP="00370584">
            <w:pPr>
              <w:jc w:val="both"/>
              <w:rPr>
                <w:rFonts w:eastAsia="Calibri"/>
                <w:sz w:val="20"/>
              </w:rPr>
            </w:pPr>
            <w:r w:rsidRPr="00E007CB">
              <w:rPr>
                <w:rFonts w:eastAsia="Calibri"/>
                <w:sz w:val="20"/>
              </w:rPr>
              <w:t>(Campbell J.)</w:t>
            </w:r>
          </w:p>
          <w:p w:rsidR="00BA75E9" w:rsidRPr="00E007CB" w:rsidRDefault="00BA75E9" w:rsidP="00370584">
            <w:pPr>
              <w:jc w:val="both"/>
              <w:rPr>
                <w:rFonts w:eastAsia="Calibri"/>
                <w:sz w:val="20"/>
              </w:rPr>
            </w:pPr>
            <w:r w:rsidRPr="00E007CB">
              <w:rPr>
                <w:rFonts w:eastAsia="Calibri"/>
                <w:sz w:val="20"/>
              </w:rPr>
              <w:t>2011 ONSC 7325</w:t>
            </w:r>
          </w:p>
          <w:p w:rsidR="00BA75E9" w:rsidRPr="00E007CB" w:rsidRDefault="00BA75E9" w:rsidP="00370584">
            <w:pPr>
              <w:jc w:val="both"/>
              <w:rPr>
                <w:rFonts w:eastAsia="Calibri"/>
                <w:sz w:val="20"/>
              </w:rPr>
            </w:pP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color w:val="000000"/>
                <w:sz w:val="20"/>
              </w:rPr>
            </w:pPr>
            <w:r w:rsidRPr="00E007CB">
              <w:rPr>
                <w:color w:val="000000"/>
                <w:sz w:val="20"/>
              </w:rPr>
              <w:t>Application seeking order giving effect to the LOR for international judicial assistance to compel applicant to be produced for an examination, allowed with conditions.</w:t>
            </w:r>
          </w:p>
          <w:p w:rsidR="00BA75E9" w:rsidRPr="00E007CB" w:rsidRDefault="00BA75E9" w:rsidP="00370584">
            <w:pPr>
              <w:jc w:val="both"/>
              <w:rPr>
                <w:rFonts w:eastAsia="Calibri"/>
                <w:sz w:val="20"/>
              </w:rPr>
            </w:pPr>
          </w:p>
        </w:tc>
      </w:tr>
      <w:tr w:rsidR="00BA75E9" w:rsidRPr="00E007CB" w:rsidTr="00370584">
        <w:trPr>
          <w:cantSplit/>
        </w:trPr>
        <w:tc>
          <w:tcPr>
            <w:tcW w:w="2427" w:type="pct"/>
          </w:tcPr>
          <w:p w:rsidR="00BA75E9" w:rsidRPr="00E007CB" w:rsidRDefault="00BA75E9" w:rsidP="00370584">
            <w:pPr>
              <w:jc w:val="both"/>
              <w:rPr>
                <w:rFonts w:eastAsia="Calibri"/>
                <w:sz w:val="20"/>
              </w:rPr>
            </w:pPr>
            <w:r w:rsidRPr="00E007CB">
              <w:rPr>
                <w:rFonts w:eastAsia="Calibri"/>
                <w:sz w:val="20"/>
              </w:rPr>
              <w:t>November 27, 2012</w:t>
            </w:r>
          </w:p>
          <w:p w:rsidR="00BA75E9" w:rsidRPr="00E007CB" w:rsidRDefault="00BA75E9" w:rsidP="00370584">
            <w:pPr>
              <w:jc w:val="both"/>
              <w:rPr>
                <w:rFonts w:eastAsia="Calibri"/>
                <w:sz w:val="20"/>
              </w:rPr>
            </w:pPr>
            <w:r w:rsidRPr="00E007CB">
              <w:rPr>
                <w:rFonts w:eastAsia="Calibri"/>
                <w:sz w:val="20"/>
              </w:rPr>
              <w:t>Court of Appeal for Ontario</w:t>
            </w:r>
          </w:p>
          <w:p w:rsidR="00BA75E9" w:rsidRPr="00E007CB" w:rsidRDefault="00BA75E9" w:rsidP="00370584">
            <w:pPr>
              <w:jc w:val="both"/>
              <w:rPr>
                <w:rFonts w:eastAsia="Calibri"/>
                <w:sz w:val="20"/>
              </w:rPr>
            </w:pPr>
            <w:r w:rsidRPr="00E007CB">
              <w:rPr>
                <w:rFonts w:eastAsia="Calibri"/>
                <w:sz w:val="20"/>
              </w:rPr>
              <w:t>(Goudge, Feldman and Blair JJ.A.)</w:t>
            </w:r>
          </w:p>
          <w:p w:rsidR="00BA75E9" w:rsidRPr="00E007CB" w:rsidRDefault="00BA75E9" w:rsidP="00370584">
            <w:pPr>
              <w:jc w:val="both"/>
              <w:rPr>
                <w:rFonts w:eastAsia="Calibri"/>
                <w:sz w:val="20"/>
              </w:rPr>
            </w:pPr>
            <w:r w:rsidRPr="00E007CB">
              <w:rPr>
                <w:rFonts w:eastAsia="Calibri"/>
                <w:sz w:val="20"/>
              </w:rPr>
              <w:t>2012 ONCA 748</w:t>
            </w: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rPr>
            </w:pPr>
            <w:r w:rsidRPr="00E007CB">
              <w:rPr>
                <w:rFonts w:eastAsia="Calibri"/>
                <w:sz w:val="20"/>
              </w:rPr>
              <w:t xml:space="preserve">Appeal dismissed; order of Campbell J. setting out conditions for examination of applicant pursuant to LOR confirmed but amended to include three additional conditions. </w:t>
            </w:r>
          </w:p>
          <w:p w:rsidR="00BA75E9" w:rsidRPr="00E007CB" w:rsidRDefault="00BA75E9" w:rsidP="00370584">
            <w:pPr>
              <w:jc w:val="both"/>
              <w:rPr>
                <w:rFonts w:eastAsia="Calibri"/>
                <w:sz w:val="20"/>
              </w:rPr>
            </w:pPr>
          </w:p>
        </w:tc>
      </w:tr>
      <w:tr w:rsidR="00BA75E9" w:rsidRPr="00E007CB" w:rsidTr="00370584">
        <w:trPr>
          <w:cantSplit/>
        </w:trPr>
        <w:tc>
          <w:tcPr>
            <w:tcW w:w="2427" w:type="pct"/>
          </w:tcPr>
          <w:p w:rsidR="00BA75E9" w:rsidRPr="00E007CB" w:rsidRDefault="00BA75E9" w:rsidP="00370584">
            <w:pPr>
              <w:jc w:val="both"/>
              <w:rPr>
                <w:rFonts w:eastAsia="Calibri"/>
                <w:sz w:val="20"/>
              </w:rPr>
            </w:pPr>
            <w:r w:rsidRPr="00E007CB">
              <w:rPr>
                <w:rFonts w:eastAsia="Calibri"/>
                <w:sz w:val="20"/>
              </w:rPr>
              <w:t>January 8, 2013</w:t>
            </w:r>
          </w:p>
          <w:p w:rsidR="00BA75E9" w:rsidRPr="00E007CB" w:rsidRDefault="00BA75E9" w:rsidP="00370584">
            <w:pPr>
              <w:jc w:val="both"/>
              <w:rPr>
                <w:rFonts w:eastAsia="Calibri"/>
                <w:sz w:val="20"/>
              </w:rPr>
            </w:pPr>
            <w:r w:rsidRPr="00E007CB">
              <w:rPr>
                <w:rFonts w:eastAsia="Calibri"/>
                <w:sz w:val="20"/>
              </w:rPr>
              <w:t>Supreme Court of Canada</w:t>
            </w: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rPr>
            </w:pPr>
            <w:r w:rsidRPr="00E007CB">
              <w:rPr>
                <w:rFonts w:eastAsia="Calibri"/>
                <w:sz w:val="20"/>
              </w:rPr>
              <w:t>Application for leave to appeal filed.</w:t>
            </w:r>
          </w:p>
        </w:tc>
      </w:tr>
    </w:tbl>
    <w:p w:rsidR="00BA75E9" w:rsidRDefault="00BA75E9" w:rsidP="00BA75E9">
      <w:pPr>
        <w:rPr>
          <w:sz w:val="20"/>
          <w:szCs w:val="20"/>
        </w:rPr>
      </w:pPr>
    </w:p>
    <w:p w:rsidR="00BA75E9" w:rsidRPr="00C50A5C" w:rsidRDefault="00B35B95" w:rsidP="00BA75E9">
      <w:pPr>
        <w:rPr>
          <w:sz w:val="20"/>
          <w:szCs w:val="20"/>
        </w:rPr>
      </w:pPr>
      <w:r w:rsidRPr="00B35B95">
        <w:rPr>
          <w:sz w:val="20"/>
          <w:szCs w:val="20"/>
          <w:lang w:val="fr-CA"/>
        </w:rPr>
        <w:pict>
          <v:rect id="_x0000_i1050" style="width:2in;height:1pt" o:hrpct="0" o:hralign="center" o:hrstd="t" o:hrnoshade="t" o:hr="t" fillcolor="black [3213]" stroked="f"/>
        </w:pict>
      </w:r>
    </w:p>
    <w:p w:rsidR="00BA75E9" w:rsidRDefault="00BA75E9" w:rsidP="00BA75E9">
      <w:pPr>
        <w:rPr>
          <w:sz w:val="20"/>
          <w:szCs w:val="20"/>
        </w:rPr>
      </w:pPr>
    </w:p>
    <w:p w:rsidR="00BA75E9" w:rsidRPr="001B157C" w:rsidRDefault="00BA75E9" w:rsidP="00BA75E9">
      <w:pPr>
        <w:rPr>
          <w:sz w:val="20"/>
          <w:szCs w:val="20"/>
          <w:u w:val="single"/>
          <w:lang w:val="fr-CA"/>
        </w:rPr>
      </w:pPr>
      <w:r w:rsidRPr="001B157C">
        <w:rPr>
          <w:sz w:val="20"/>
          <w:szCs w:val="20"/>
          <w:u w:val="single"/>
          <w:lang w:val="fr-CA"/>
        </w:rPr>
        <w:t>RÉSUMÉ DE L’AFFAIRE</w:t>
      </w:r>
    </w:p>
    <w:p w:rsidR="00BA75E9" w:rsidRDefault="00BA75E9" w:rsidP="00BA75E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A75E9" w:rsidRPr="00EE440E" w:rsidTr="00370584">
        <w:tc>
          <w:tcPr>
            <w:tcW w:w="5000" w:type="pct"/>
            <w:gridSpan w:val="3"/>
          </w:tcPr>
          <w:p w:rsidR="00BA75E9" w:rsidRPr="00E007CB" w:rsidRDefault="00BA75E9" w:rsidP="00370584">
            <w:pPr>
              <w:jc w:val="both"/>
              <w:rPr>
                <w:rFonts w:eastAsia="Calibri"/>
                <w:sz w:val="20"/>
                <w:lang w:val="fr-CA"/>
              </w:rPr>
            </w:pPr>
            <w:r w:rsidRPr="00E007CB">
              <w:rPr>
                <w:rFonts w:eastAsia="Calibri"/>
                <w:i/>
                <w:sz w:val="20"/>
                <w:lang w:val="fr-CA"/>
              </w:rPr>
              <w:t>Charte canadienne des droits et libertés</w:t>
            </w:r>
            <w:r w:rsidRPr="00E007CB">
              <w:rPr>
                <w:rFonts w:eastAsia="Calibri"/>
                <w:sz w:val="20"/>
                <w:lang w:val="fr-CA"/>
              </w:rPr>
              <w:t xml:space="preserve"> ― Droit constitutionnel ― Garanties juridiques ― Droit international public ― Lettre rogatoire ― Concurrence ― Commissaire canadien de la concurrence ― Complot ― Demande d’assistance juridique internationale par voie de lettre rogatoire enjoignant à la Cour supérieure de justice de l’Ontario de citer le demandeur à comparaître pour faire une déposition et témoigner sous serment ― Un organisme canadien d’enquête a</w:t>
            </w:r>
            <w:r w:rsidRPr="00E007CB">
              <w:rPr>
                <w:rFonts w:eastAsia="Calibri"/>
                <w:sz w:val="20"/>
                <w:lang w:val="fr-CA"/>
              </w:rPr>
              <w:noBreakHyphen/>
              <w:t>t</w:t>
            </w:r>
            <w:r w:rsidRPr="00E007CB">
              <w:rPr>
                <w:rFonts w:eastAsia="Calibri"/>
                <w:sz w:val="20"/>
                <w:lang w:val="fr-CA"/>
              </w:rPr>
              <w:noBreakHyphen/>
              <w:t>il l’obligation de mener une enquête criminelle de façon à ne pas brimer, directement ou non, les droits constitutionnels de la personne en faisant l’objet? ― Dans l’affirmative, les actes du commissaire de la concurrence en l’espèce ont</w:t>
            </w:r>
            <w:r w:rsidRPr="00E007CB">
              <w:rPr>
                <w:rFonts w:eastAsia="Calibri"/>
                <w:sz w:val="20"/>
                <w:lang w:val="fr-CA"/>
              </w:rPr>
              <w:noBreakHyphen/>
              <w:t>ils porté atteinte au droit du demandeur de garder le silence? ― L’exécution de la lettre rogatoire en l’espèce serait</w:t>
            </w:r>
            <w:r w:rsidRPr="00E007CB">
              <w:rPr>
                <w:rFonts w:eastAsia="Calibri"/>
                <w:sz w:val="20"/>
                <w:lang w:val="fr-CA"/>
              </w:rPr>
              <w:noBreakHyphen/>
              <w:t>elle contraire à une politique d’intérêt général du Canada, soulèverait</w:t>
            </w:r>
            <w:r w:rsidRPr="00E007CB">
              <w:rPr>
                <w:rFonts w:eastAsia="Calibri"/>
                <w:sz w:val="20"/>
                <w:lang w:val="fr-CA"/>
              </w:rPr>
              <w:noBreakHyphen/>
              <w:t>elle des préoccupations relatives à la souveraineté, ferait</w:t>
            </w:r>
            <w:r w:rsidRPr="00E007CB">
              <w:rPr>
                <w:rFonts w:eastAsia="Calibri"/>
                <w:sz w:val="20"/>
                <w:lang w:val="fr-CA"/>
              </w:rPr>
              <w:noBreakHyphen/>
              <w:t>elle subir une injustice au demandeur ou lui imposerait</w:t>
            </w:r>
            <w:r w:rsidRPr="00E007CB">
              <w:rPr>
                <w:rFonts w:eastAsia="Calibri"/>
                <w:sz w:val="20"/>
                <w:lang w:val="fr-CA"/>
              </w:rPr>
              <w:noBreakHyphen/>
              <w:t>elle un fardeau indu? ― La Cour d’appel a</w:t>
            </w:r>
            <w:r w:rsidRPr="00E007CB">
              <w:rPr>
                <w:rFonts w:eastAsia="Calibri"/>
                <w:sz w:val="20"/>
                <w:lang w:val="fr-CA"/>
              </w:rPr>
              <w:noBreakHyphen/>
              <w:t>t</w:t>
            </w:r>
            <w:r w:rsidRPr="00E007CB">
              <w:rPr>
                <w:rFonts w:eastAsia="Calibri"/>
                <w:sz w:val="20"/>
                <w:lang w:val="fr-CA"/>
              </w:rPr>
              <w:noBreakHyphen/>
              <w:t>elle fait erreur en confirmant la décision du juge des requêtes de mettre à exécution la lettre rogatoire et d’ordonner au demandeur de faire une déposition? ― Si la Cour confirme l’exécution de la lettre rogatoire, la Cour d’appel a</w:t>
            </w:r>
            <w:r w:rsidRPr="00E007CB">
              <w:rPr>
                <w:rFonts w:eastAsia="Calibri"/>
                <w:sz w:val="20"/>
                <w:lang w:val="fr-CA"/>
              </w:rPr>
              <w:noBreakHyphen/>
              <w:t>t</w:t>
            </w:r>
            <w:r w:rsidRPr="00E007CB">
              <w:rPr>
                <w:rFonts w:eastAsia="Calibri"/>
                <w:sz w:val="20"/>
                <w:lang w:val="fr-CA"/>
              </w:rPr>
              <w:noBreakHyphen/>
              <w:t xml:space="preserve">elle eu tort de confirmer la décision du juge des requêtes de refuser de déclarer que l’ordonnance protectrice modifiée à la demande du commissaire, CMO 7A, est inopérante dans la mesure où elle empêche le demandeur de se préparer adéquatement à faire une déposition, exige qu’un avis soit donné au commissaire si le témoignage du demandeur est présenté dans le cadre de toute audience ou procès et lie les avocats de l’intimée?  </w:t>
            </w:r>
          </w:p>
          <w:p w:rsidR="00BA75E9" w:rsidRPr="00E007CB" w:rsidRDefault="00BA75E9" w:rsidP="00370584">
            <w:pPr>
              <w:jc w:val="both"/>
              <w:rPr>
                <w:rFonts w:eastAsia="Calibri"/>
                <w:sz w:val="20"/>
                <w:lang w:val="fr-CA"/>
              </w:rPr>
            </w:pPr>
          </w:p>
        </w:tc>
      </w:tr>
      <w:tr w:rsidR="00BA75E9" w:rsidRPr="00E007CB" w:rsidTr="00370584">
        <w:tc>
          <w:tcPr>
            <w:tcW w:w="5000" w:type="pct"/>
            <w:gridSpan w:val="3"/>
          </w:tcPr>
          <w:p w:rsidR="00BA75E9" w:rsidRPr="00E007CB" w:rsidRDefault="00BA75E9" w:rsidP="00370584">
            <w:pPr>
              <w:jc w:val="both"/>
              <w:rPr>
                <w:color w:val="000000"/>
                <w:sz w:val="20"/>
                <w:lang w:val="fr-CA"/>
              </w:rPr>
            </w:pPr>
            <w:r w:rsidRPr="00E007CB">
              <w:rPr>
                <w:color w:val="000000"/>
                <w:sz w:val="20"/>
                <w:lang w:val="fr-CA"/>
              </w:rPr>
              <w:t>Le demandeur est l’ancien président</w:t>
            </w:r>
            <w:r w:rsidRPr="00E007CB">
              <w:rPr>
                <w:color w:val="000000"/>
                <w:sz w:val="20"/>
                <w:lang w:val="fr-CA"/>
              </w:rPr>
              <w:noBreakHyphen/>
              <w:t>directeur général de Nestlé Canada Inc. et constitue l’une des personnes visées par une enquête criminelle menée au Canada par le commissaire de la concurrence sur un complot qui aurait été ourdi par certains fabricants de chocolat en vue de gonfler déraisonnablement le prix des friandises au chocolat au Canada.</w:t>
            </w:r>
          </w:p>
          <w:p w:rsidR="00BA75E9" w:rsidRPr="00E007CB" w:rsidRDefault="00BA75E9" w:rsidP="00370584">
            <w:pPr>
              <w:jc w:val="both"/>
              <w:rPr>
                <w:color w:val="000000"/>
                <w:sz w:val="20"/>
                <w:lang w:val="fr-CA"/>
              </w:rPr>
            </w:pPr>
          </w:p>
          <w:p w:rsidR="00BA75E9" w:rsidRPr="00E007CB" w:rsidRDefault="00BA75E9" w:rsidP="00370584">
            <w:pPr>
              <w:jc w:val="both"/>
              <w:rPr>
                <w:color w:val="000000"/>
                <w:sz w:val="20"/>
                <w:lang w:val="fr-CA"/>
              </w:rPr>
            </w:pPr>
            <w:r w:rsidRPr="00E007CB">
              <w:rPr>
                <w:color w:val="000000"/>
                <w:sz w:val="20"/>
                <w:lang w:val="fr-CA"/>
              </w:rPr>
              <w:t>Le commissaire a lancé l’enquête en obtenant des mandats de perquisition, sur le fondement de dénonciations.  Après les perquisitions, les dénonciations ont été produites en preuve, et les renseignements qu’elles contenaient sont devenus publics.  Des recours collectifs ont par la suite été intentés dans divers ressorts américains contre des fabricants de chocolat aux États</w:t>
            </w:r>
            <w:r w:rsidRPr="00E007CB">
              <w:rPr>
                <w:color w:val="000000"/>
                <w:sz w:val="20"/>
                <w:lang w:val="fr-CA"/>
              </w:rPr>
              <w:noBreakHyphen/>
              <w:t>Unis et au Canada, en vue d’obtenir des dommages</w:t>
            </w:r>
            <w:r w:rsidRPr="00E007CB">
              <w:rPr>
                <w:color w:val="000000"/>
                <w:sz w:val="20"/>
                <w:lang w:val="fr-CA"/>
              </w:rPr>
              <w:noBreakHyphen/>
              <w:t>intérêts pour le préjudice découlant du complot qui aurait eu pour but de gonfler le prix des friandises au chocolat aux États</w:t>
            </w:r>
            <w:r w:rsidRPr="00E007CB">
              <w:rPr>
                <w:color w:val="000000"/>
                <w:sz w:val="20"/>
                <w:lang w:val="fr-CA"/>
              </w:rPr>
              <w:noBreakHyphen/>
              <w:t xml:space="preserve">Unis.  </w:t>
            </w:r>
          </w:p>
          <w:p w:rsidR="00BA75E9" w:rsidRPr="00E007CB" w:rsidRDefault="00BA75E9" w:rsidP="00370584">
            <w:pPr>
              <w:jc w:val="both"/>
              <w:rPr>
                <w:color w:val="000000"/>
                <w:sz w:val="20"/>
                <w:lang w:val="fr-CA"/>
              </w:rPr>
            </w:pPr>
          </w:p>
          <w:p w:rsidR="00BA75E9" w:rsidRPr="00E007CB" w:rsidRDefault="00BA75E9" w:rsidP="00370584">
            <w:pPr>
              <w:jc w:val="both"/>
              <w:rPr>
                <w:color w:val="000000"/>
                <w:sz w:val="20"/>
                <w:lang w:val="fr-CA"/>
              </w:rPr>
            </w:pPr>
            <w:r w:rsidRPr="00E007CB">
              <w:rPr>
                <w:color w:val="000000"/>
                <w:sz w:val="20"/>
                <w:lang w:val="fr-CA"/>
              </w:rPr>
              <w:t>Les membres du recours collectif veulent interroger le demandeur en vue de recueillir sa déposition pour le dossier de leur action.  Une lettre rogatoire d’assistance juridique internationale a été reçue, enjoignant à la Cour supérieure de justice de l’Ontario de citer le demandeur à comparaître pour faire une déposition et témoigner sous serment comme témoin dans l’instance intentée aux États</w:t>
            </w:r>
            <w:r w:rsidRPr="00E007CB">
              <w:rPr>
                <w:color w:val="000000"/>
                <w:sz w:val="20"/>
                <w:lang w:val="fr-CA"/>
              </w:rPr>
              <w:noBreakHyphen/>
              <w:t xml:space="preserve">Unis.  L’ordonnance mettant la lettre rogatoire à exécution a été rendue.  La Cour d’appel a rejeté l’appel du demandeur.  </w:t>
            </w:r>
          </w:p>
          <w:p w:rsidR="00BA75E9" w:rsidRPr="00E007CB" w:rsidRDefault="00BA75E9" w:rsidP="00370584">
            <w:pPr>
              <w:jc w:val="both"/>
              <w:rPr>
                <w:sz w:val="20"/>
                <w:lang w:val="fr-CA"/>
              </w:rPr>
            </w:pPr>
          </w:p>
        </w:tc>
      </w:tr>
      <w:tr w:rsidR="00BA75E9" w:rsidRPr="00EE440E" w:rsidTr="00370584">
        <w:trPr>
          <w:cantSplit/>
        </w:trPr>
        <w:tc>
          <w:tcPr>
            <w:tcW w:w="2427" w:type="pct"/>
          </w:tcPr>
          <w:p w:rsidR="00BA75E9" w:rsidRPr="00E007CB" w:rsidRDefault="00BA75E9" w:rsidP="00370584">
            <w:pPr>
              <w:jc w:val="both"/>
              <w:rPr>
                <w:rFonts w:eastAsia="Calibri"/>
                <w:sz w:val="20"/>
                <w:lang w:val="fr-CA"/>
              </w:rPr>
            </w:pPr>
            <w:r w:rsidRPr="00E007CB">
              <w:rPr>
                <w:rFonts w:eastAsia="Calibri"/>
                <w:sz w:val="20"/>
                <w:lang w:val="fr-CA"/>
              </w:rPr>
              <w:lastRenderedPageBreak/>
              <w:t>9 décembre 2011</w:t>
            </w:r>
          </w:p>
          <w:p w:rsidR="00BA75E9" w:rsidRPr="00E007CB" w:rsidRDefault="00BA75E9" w:rsidP="00370584">
            <w:pPr>
              <w:jc w:val="both"/>
              <w:rPr>
                <w:rFonts w:eastAsia="Calibri"/>
                <w:sz w:val="20"/>
                <w:lang w:val="fr-CA"/>
              </w:rPr>
            </w:pPr>
            <w:r w:rsidRPr="00E007CB">
              <w:rPr>
                <w:rFonts w:eastAsia="Calibri"/>
                <w:sz w:val="20"/>
                <w:lang w:val="fr-CA"/>
              </w:rPr>
              <w:t>Cour supérieure de justice de l’Ontario</w:t>
            </w:r>
          </w:p>
          <w:p w:rsidR="00BA75E9" w:rsidRPr="00E007CB" w:rsidRDefault="00BA75E9" w:rsidP="00370584">
            <w:pPr>
              <w:jc w:val="both"/>
              <w:rPr>
                <w:rFonts w:eastAsia="Calibri"/>
                <w:sz w:val="20"/>
                <w:lang w:val="fr-CA"/>
              </w:rPr>
            </w:pPr>
            <w:r w:rsidRPr="00E007CB">
              <w:rPr>
                <w:rFonts w:eastAsia="Calibri"/>
                <w:sz w:val="20"/>
                <w:lang w:val="fr-CA"/>
              </w:rPr>
              <w:t>(juge Campbell)</w:t>
            </w:r>
          </w:p>
          <w:p w:rsidR="00BA75E9" w:rsidRPr="00E007CB" w:rsidRDefault="00BA75E9" w:rsidP="00370584">
            <w:pPr>
              <w:jc w:val="both"/>
              <w:rPr>
                <w:rFonts w:eastAsia="Calibri"/>
                <w:sz w:val="20"/>
                <w:lang w:val="fr-CA"/>
              </w:rPr>
            </w:pPr>
            <w:r w:rsidRPr="00E007CB">
              <w:rPr>
                <w:rFonts w:eastAsia="Calibri"/>
                <w:sz w:val="20"/>
                <w:lang w:val="fr-CA"/>
              </w:rPr>
              <w:t>2011 ONSC 7325</w:t>
            </w:r>
          </w:p>
          <w:p w:rsidR="00BA75E9" w:rsidRPr="00E007CB" w:rsidRDefault="00BA75E9" w:rsidP="00370584">
            <w:pPr>
              <w:jc w:val="both"/>
              <w:rPr>
                <w:rFonts w:eastAsia="Calibri"/>
                <w:sz w:val="20"/>
                <w:lang w:val="fr-CA"/>
              </w:rPr>
            </w:pPr>
          </w:p>
        </w:tc>
        <w:tc>
          <w:tcPr>
            <w:tcW w:w="243" w:type="pct"/>
          </w:tcPr>
          <w:p w:rsidR="00BA75E9" w:rsidRPr="00E007CB" w:rsidRDefault="00BA75E9" w:rsidP="00370584">
            <w:pPr>
              <w:jc w:val="both"/>
              <w:rPr>
                <w:rFonts w:eastAsia="Calibri"/>
                <w:sz w:val="20"/>
                <w:lang w:val="fr-CA"/>
              </w:rPr>
            </w:pPr>
          </w:p>
        </w:tc>
        <w:tc>
          <w:tcPr>
            <w:tcW w:w="2330" w:type="pct"/>
          </w:tcPr>
          <w:p w:rsidR="00BA75E9" w:rsidRPr="00E007CB" w:rsidRDefault="00BA75E9" w:rsidP="00370584">
            <w:pPr>
              <w:jc w:val="both"/>
              <w:rPr>
                <w:color w:val="000000"/>
                <w:sz w:val="20"/>
                <w:lang w:val="fr-CA"/>
              </w:rPr>
            </w:pPr>
            <w:r w:rsidRPr="00E007CB">
              <w:rPr>
                <w:color w:val="000000"/>
                <w:sz w:val="20"/>
                <w:lang w:val="fr-CA"/>
              </w:rPr>
              <w:t>Demande visant à obtenir une ordonnance mettant à exécution la lettre rogatoire d’assistance juridique internationale en vue de citer le demandeur à comparaître et de l’interroger accueillie, sous réserve de certaines conditions.</w:t>
            </w:r>
          </w:p>
          <w:p w:rsidR="00BA75E9" w:rsidRPr="00E007CB" w:rsidRDefault="00BA75E9" w:rsidP="00370584">
            <w:pPr>
              <w:jc w:val="both"/>
              <w:rPr>
                <w:rFonts w:eastAsia="Calibri"/>
                <w:sz w:val="20"/>
                <w:lang w:val="fr-CA"/>
              </w:rPr>
            </w:pPr>
          </w:p>
        </w:tc>
      </w:tr>
      <w:tr w:rsidR="00BA75E9" w:rsidRPr="00EE440E" w:rsidTr="00370584">
        <w:trPr>
          <w:cantSplit/>
        </w:trPr>
        <w:tc>
          <w:tcPr>
            <w:tcW w:w="2427" w:type="pct"/>
          </w:tcPr>
          <w:p w:rsidR="00BA75E9" w:rsidRPr="00E007CB" w:rsidRDefault="00BA75E9" w:rsidP="00370584">
            <w:pPr>
              <w:jc w:val="both"/>
              <w:rPr>
                <w:rFonts w:eastAsia="Calibri"/>
                <w:sz w:val="20"/>
                <w:lang w:val="fr-CA"/>
              </w:rPr>
            </w:pPr>
            <w:r w:rsidRPr="00E007CB">
              <w:rPr>
                <w:rFonts w:eastAsia="Calibri"/>
                <w:sz w:val="20"/>
                <w:lang w:val="fr-CA"/>
              </w:rPr>
              <w:t>27 novembre 2012</w:t>
            </w:r>
          </w:p>
          <w:p w:rsidR="00BA75E9" w:rsidRPr="00E007CB" w:rsidRDefault="00BA75E9" w:rsidP="00370584">
            <w:pPr>
              <w:jc w:val="both"/>
              <w:rPr>
                <w:rFonts w:eastAsia="Calibri"/>
                <w:sz w:val="20"/>
                <w:lang w:val="fr-CA"/>
              </w:rPr>
            </w:pPr>
            <w:r w:rsidRPr="00E007CB">
              <w:rPr>
                <w:rFonts w:eastAsia="Calibri"/>
                <w:sz w:val="20"/>
                <w:lang w:val="fr-CA"/>
              </w:rPr>
              <w:t>Cour d’appel de l’Ontario</w:t>
            </w:r>
          </w:p>
          <w:p w:rsidR="00BA75E9" w:rsidRPr="00E007CB" w:rsidRDefault="00BA75E9" w:rsidP="00370584">
            <w:pPr>
              <w:jc w:val="both"/>
              <w:rPr>
                <w:rFonts w:eastAsia="Calibri"/>
                <w:sz w:val="20"/>
                <w:lang w:val="fr-CA"/>
              </w:rPr>
            </w:pPr>
            <w:r w:rsidRPr="00E007CB">
              <w:rPr>
                <w:rFonts w:eastAsia="Calibri"/>
                <w:sz w:val="20"/>
                <w:lang w:val="fr-CA"/>
              </w:rPr>
              <w:t>(juges Goudge, Feldman et Blair)</w:t>
            </w:r>
          </w:p>
          <w:p w:rsidR="00BA75E9" w:rsidRPr="00E007CB" w:rsidRDefault="00BA75E9" w:rsidP="00370584">
            <w:pPr>
              <w:jc w:val="both"/>
              <w:rPr>
                <w:rFonts w:eastAsia="Calibri"/>
                <w:sz w:val="20"/>
                <w:lang w:val="fr-CA"/>
              </w:rPr>
            </w:pPr>
            <w:r w:rsidRPr="00E007CB">
              <w:rPr>
                <w:rFonts w:eastAsia="Calibri"/>
                <w:sz w:val="20"/>
                <w:lang w:val="fr-CA"/>
              </w:rPr>
              <w:t>2012 ONCA 748</w:t>
            </w:r>
          </w:p>
        </w:tc>
        <w:tc>
          <w:tcPr>
            <w:tcW w:w="243" w:type="pct"/>
          </w:tcPr>
          <w:p w:rsidR="00BA75E9" w:rsidRPr="00E007CB" w:rsidRDefault="00BA75E9" w:rsidP="00370584">
            <w:pPr>
              <w:jc w:val="both"/>
              <w:rPr>
                <w:rFonts w:eastAsia="Calibri"/>
                <w:sz w:val="20"/>
                <w:lang w:val="fr-CA"/>
              </w:rPr>
            </w:pPr>
          </w:p>
        </w:tc>
        <w:tc>
          <w:tcPr>
            <w:tcW w:w="2330" w:type="pct"/>
          </w:tcPr>
          <w:p w:rsidR="00BA75E9" w:rsidRPr="00E007CB" w:rsidRDefault="00BA75E9" w:rsidP="00370584">
            <w:pPr>
              <w:jc w:val="both"/>
              <w:rPr>
                <w:rFonts w:eastAsia="Calibri"/>
                <w:sz w:val="20"/>
                <w:lang w:val="fr-CA"/>
              </w:rPr>
            </w:pPr>
            <w:r w:rsidRPr="00E007CB">
              <w:rPr>
                <w:rFonts w:eastAsia="Calibri"/>
                <w:sz w:val="20"/>
                <w:lang w:val="fr-CA"/>
              </w:rPr>
              <w:t xml:space="preserve">Appel rejeté; confirmation de l’ordonnance du juge Campbell énonçant les conditions applicables à l’interrogatoire du demandeur demandé par voie de lettre rogatoire, et ajout de trois autres conditions. </w:t>
            </w:r>
          </w:p>
          <w:p w:rsidR="00BA75E9" w:rsidRPr="00E007CB" w:rsidRDefault="00BA75E9" w:rsidP="00370584">
            <w:pPr>
              <w:jc w:val="both"/>
              <w:rPr>
                <w:rFonts w:eastAsia="Calibri"/>
                <w:sz w:val="20"/>
                <w:lang w:val="fr-CA"/>
              </w:rPr>
            </w:pPr>
          </w:p>
        </w:tc>
      </w:tr>
      <w:tr w:rsidR="00BA75E9" w:rsidRPr="00E007CB" w:rsidTr="00370584">
        <w:trPr>
          <w:cantSplit/>
        </w:trPr>
        <w:tc>
          <w:tcPr>
            <w:tcW w:w="2427" w:type="pct"/>
          </w:tcPr>
          <w:p w:rsidR="00BA75E9" w:rsidRPr="00E007CB" w:rsidRDefault="00BA75E9" w:rsidP="00370584">
            <w:pPr>
              <w:jc w:val="both"/>
              <w:rPr>
                <w:rFonts w:eastAsia="Calibri"/>
                <w:sz w:val="20"/>
                <w:lang w:val="fr-CA"/>
              </w:rPr>
            </w:pPr>
            <w:r w:rsidRPr="00E007CB">
              <w:rPr>
                <w:rFonts w:eastAsia="Calibri"/>
                <w:sz w:val="20"/>
                <w:lang w:val="fr-CA"/>
              </w:rPr>
              <w:t>8 janvier 2013</w:t>
            </w:r>
          </w:p>
          <w:p w:rsidR="00BA75E9" w:rsidRPr="00E007CB" w:rsidRDefault="00BA75E9" w:rsidP="00370584">
            <w:pPr>
              <w:jc w:val="both"/>
              <w:rPr>
                <w:rFonts w:eastAsia="Calibri"/>
                <w:sz w:val="20"/>
                <w:lang w:val="fr-CA"/>
              </w:rPr>
            </w:pPr>
            <w:r w:rsidRPr="00E007CB">
              <w:rPr>
                <w:rFonts w:eastAsia="Calibri"/>
                <w:sz w:val="20"/>
                <w:lang w:val="fr-CA"/>
              </w:rPr>
              <w:t>Cour suprême du Canada</w:t>
            </w:r>
          </w:p>
        </w:tc>
        <w:tc>
          <w:tcPr>
            <w:tcW w:w="243" w:type="pct"/>
          </w:tcPr>
          <w:p w:rsidR="00BA75E9" w:rsidRPr="00E007CB" w:rsidRDefault="00BA75E9" w:rsidP="00370584">
            <w:pPr>
              <w:jc w:val="both"/>
              <w:rPr>
                <w:rFonts w:eastAsia="Calibri"/>
                <w:sz w:val="20"/>
                <w:lang w:val="fr-CA"/>
              </w:rPr>
            </w:pPr>
          </w:p>
        </w:tc>
        <w:tc>
          <w:tcPr>
            <w:tcW w:w="2330" w:type="pct"/>
          </w:tcPr>
          <w:p w:rsidR="00BA75E9" w:rsidRPr="00E007CB" w:rsidRDefault="00BA75E9" w:rsidP="00370584">
            <w:pPr>
              <w:jc w:val="both"/>
              <w:rPr>
                <w:rFonts w:eastAsia="Calibri"/>
                <w:sz w:val="20"/>
                <w:lang w:val="fr-CA"/>
              </w:rPr>
            </w:pPr>
            <w:r w:rsidRPr="00E007CB">
              <w:rPr>
                <w:rFonts w:eastAsia="Calibri"/>
                <w:sz w:val="20"/>
                <w:lang w:val="fr-CA"/>
              </w:rPr>
              <w:t>Demande d’autorisation d’appel déposée.</w:t>
            </w:r>
          </w:p>
        </w:tc>
      </w:tr>
    </w:tbl>
    <w:p w:rsidR="00BA75E9" w:rsidRDefault="00BA75E9" w:rsidP="00BA75E9">
      <w:pPr>
        <w:rPr>
          <w:sz w:val="20"/>
          <w:szCs w:val="20"/>
        </w:rPr>
      </w:pPr>
    </w:p>
    <w:p w:rsidR="00BA75E9" w:rsidRDefault="00B35B95" w:rsidP="00BA75E9">
      <w:pPr>
        <w:rPr>
          <w:sz w:val="20"/>
          <w:szCs w:val="20"/>
        </w:rPr>
      </w:pPr>
      <w:r w:rsidRPr="00B35B95">
        <w:rPr>
          <w:sz w:val="20"/>
          <w:szCs w:val="20"/>
          <w:lang w:val="fr-CA"/>
        </w:rPr>
        <w:pict>
          <v:rect id="_x0000_i1051" style="width:2in;height:1pt" o:hrpct="0" o:hralign="center" o:hrstd="t" o:hrnoshade="t" o:hr="t" fillcolor="black [3213]" stroked="f"/>
        </w:pict>
      </w:r>
    </w:p>
    <w:p w:rsidR="00BA75E9" w:rsidRDefault="00BA75E9" w:rsidP="00BA75E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A75E9" w:rsidRPr="00EE440E" w:rsidTr="00370584">
        <w:trPr>
          <w:cantSplit/>
        </w:trPr>
        <w:tc>
          <w:tcPr>
            <w:tcW w:w="1458" w:type="dxa"/>
          </w:tcPr>
          <w:p w:rsidR="00BA75E9" w:rsidRPr="00A73D2C" w:rsidRDefault="00BA75E9" w:rsidP="00370584">
            <w:pPr>
              <w:rPr>
                <w:sz w:val="20"/>
                <w:szCs w:val="20"/>
              </w:rPr>
            </w:pPr>
            <w:r w:rsidRPr="00A73D2C">
              <w:rPr>
                <w:rStyle w:val="SCCFileNumberChar"/>
                <w:sz w:val="20"/>
                <w:szCs w:val="20"/>
              </w:rPr>
              <w:t>35178</w:t>
            </w:r>
          </w:p>
          <w:p w:rsidR="00BA75E9" w:rsidRPr="00A73D2C" w:rsidRDefault="00BA75E9" w:rsidP="00370584">
            <w:pPr>
              <w:rPr>
                <w:b/>
                <w:sz w:val="20"/>
                <w:szCs w:val="20"/>
                <w:lang w:val="fr-CA"/>
              </w:rPr>
            </w:pPr>
          </w:p>
        </w:tc>
        <w:tc>
          <w:tcPr>
            <w:tcW w:w="8118" w:type="dxa"/>
          </w:tcPr>
          <w:p w:rsidR="00BA75E9" w:rsidRPr="00A73D2C" w:rsidRDefault="00BA75E9" w:rsidP="00370584">
            <w:pPr>
              <w:rPr>
                <w:sz w:val="20"/>
                <w:szCs w:val="20"/>
                <w:lang w:val="fr-CA"/>
              </w:rPr>
            </w:pPr>
            <w:r w:rsidRPr="00A73D2C">
              <w:rPr>
                <w:rStyle w:val="SCCLsocChar"/>
                <w:sz w:val="20"/>
                <w:szCs w:val="20"/>
              </w:rPr>
              <w:t>Normand Marvin Ouimet c. Sa Majesté la Reine</w:t>
            </w:r>
            <w:r w:rsidRPr="00A73D2C">
              <w:rPr>
                <w:sz w:val="20"/>
                <w:szCs w:val="20"/>
                <w:lang w:val="fr-CA"/>
              </w:rPr>
              <w:t xml:space="preserve"> (Qc) (Criminelle) (Autorisation)</w:t>
            </w:r>
          </w:p>
          <w:p w:rsidR="00BA75E9" w:rsidRPr="00A73D2C" w:rsidRDefault="00BA75E9" w:rsidP="00370584">
            <w:pPr>
              <w:rPr>
                <w:sz w:val="20"/>
                <w:szCs w:val="20"/>
                <w:lang w:val="fr-CA"/>
              </w:rPr>
            </w:pPr>
          </w:p>
        </w:tc>
      </w:tr>
      <w:tr w:rsidR="00BA75E9" w:rsidRPr="00EE440E" w:rsidTr="00370584">
        <w:trPr>
          <w:cantSplit/>
        </w:trPr>
        <w:tc>
          <w:tcPr>
            <w:tcW w:w="1458" w:type="dxa"/>
          </w:tcPr>
          <w:p w:rsidR="00BA75E9" w:rsidRPr="00A73D2C" w:rsidRDefault="00BA75E9" w:rsidP="00370584">
            <w:pPr>
              <w:rPr>
                <w:sz w:val="20"/>
                <w:szCs w:val="20"/>
              </w:rPr>
            </w:pPr>
            <w:r w:rsidRPr="00A73D2C">
              <w:rPr>
                <w:sz w:val="20"/>
                <w:szCs w:val="20"/>
              </w:rPr>
              <w:t>Coram :</w:t>
            </w:r>
          </w:p>
        </w:tc>
        <w:tc>
          <w:tcPr>
            <w:tcW w:w="8118" w:type="dxa"/>
          </w:tcPr>
          <w:p w:rsidR="00BA75E9" w:rsidRPr="00A73D2C" w:rsidRDefault="00BA75E9" w:rsidP="00370584">
            <w:pPr>
              <w:rPr>
                <w:sz w:val="20"/>
                <w:szCs w:val="20"/>
                <w:lang w:val="fr-CA"/>
              </w:rPr>
            </w:pPr>
            <w:r w:rsidRPr="00A73D2C">
              <w:rPr>
                <w:rStyle w:val="SCCCoramChar"/>
                <w:sz w:val="20"/>
                <w:szCs w:val="20"/>
              </w:rPr>
              <w:t>Les juges LeBel, Karakatsanis et Wagner</w:t>
            </w:r>
          </w:p>
          <w:p w:rsidR="00BA75E9" w:rsidRPr="00A73D2C" w:rsidRDefault="00BA75E9" w:rsidP="00370584">
            <w:pPr>
              <w:rPr>
                <w:sz w:val="20"/>
                <w:szCs w:val="20"/>
                <w:u w:val="single"/>
                <w:lang w:val="fr-CA"/>
              </w:rPr>
            </w:pPr>
          </w:p>
        </w:tc>
      </w:tr>
      <w:tr w:rsidR="00BA75E9" w:rsidRPr="00A73D2C" w:rsidTr="00370584">
        <w:trPr>
          <w:cantSplit/>
        </w:trPr>
        <w:tc>
          <w:tcPr>
            <w:tcW w:w="9576" w:type="dxa"/>
            <w:gridSpan w:val="2"/>
          </w:tcPr>
          <w:p w:rsidR="00BA75E9" w:rsidRPr="00A73D2C" w:rsidRDefault="00BA75E9" w:rsidP="00370584">
            <w:pPr>
              <w:pStyle w:val="SCCShortJudgment"/>
              <w:rPr>
                <w:szCs w:val="20"/>
                <w:lang w:val="fr-CA"/>
              </w:rPr>
            </w:pPr>
            <w:r w:rsidRPr="00A73D2C">
              <w:rPr>
                <w:szCs w:val="20"/>
                <w:lang w:val="fr-CA"/>
              </w:rPr>
              <w:t>La requête en prorogation du délai de signification et de dépôt de la demande d’autorisation d’appel est accueillie. La demande d’autorisation d’appel du jugement de la Cour supérieure du Québec, numéro 500-01-030728-098, daté du 23 novembre 2012, est rejetée sans dépens.</w:t>
            </w:r>
          </w:p>
          <w:p w:rsidR="00BA75E9" w:rsidRPr="00A73D2C" w:rsidRDefault="00BA75E9" w:rsidP="00370584">
            <w:pPr>
              <w:pStyle w:val="SCCShortJudgment"/>
              <w:ind w:firstLine="0"/>
              <w:rPr>
                <w:szCs w:val="20"/>
                <w:lang w:val="fr-CA"/>
              </w:rPr>
            </w:pPr>
          </w:p>
          <w:p w:rsidR="00BA75E9" w:rsidRPr="00A73D2C" w:rsidRDefault="00BA75E9" w:rsidP="00370584">
            <w:pPr>
              <w:pStyle w:val="SCCShortJudgment"/>
              <w:rPr>
                <w:szCs w:val="20"/>
              </w:rPr>
            </w:pPr>
            <w:r w:rsidRPr="00A73D2C">
              <w:rPr>
                <w:szCs w:val="20"/>
              </w:rPr>
              <w:t>The motion for an extension of time to serve and file the application for leave to appeal is granted. The application for leave to appeal from the judgment of the Superior Court of Quebec, Number 500-01-030728-098, dated November 23, 2012, is dismissed without costs.</w:t>
            </w:r>
          </w:p>
        </w:tc>
      </w:tr>
    </w:tbl>
    <w:p w:rsidR="00BA75E9" w:rsidRDefault="00BA75E9" w:rsidP="00BA75E9">
      <w:pPr>
        <w:rPr>
          <w:sz w:val="20"/>
          <w:szCs w:val="20"/>
        </w:rPr>
      </w:pPr>
    </w:p>
    <w:p w:rsidR="00BA75E9" w:rsidRPr="001B157C" w:rsidRDefault="00BA75E9" w:rsidP="00BA75E9">
      <w:pPr>
        <w:rPr>
          <w:sz w:val="20"/>
          <w:szCs w:val="20"/>
          <w:u w:val="single"/>
        </w:rPr>
      </w:pPr>
      <w:r w:rsidRPr="001B157C">
        <w:rPr>
          <w:sz w:val="20"/>
          <w:szCs w:val="20"/>
          <w:u w:val="single"/>
        </w:rPr>
        <w:t>CASE SUMMARY</w:t>
      </w:r>
    </w:p>
    <w:p w:rsidR="00BA75E9" w:rsidRDefault="00BA75E9" w:rsidP="00BA75E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A75E9" w:rsidRPr="00E007CB" w:rsidTr="00370584">
        <w:tc>
          <w:tcPr>
            <w:tcW w:w="5000" w:type="pct"/>
            <w:gridSpan w:val="3"/>
          </w:tcPr>
          <w:p w:rsidR="00BA75E9" w:rsidRPr="00E007CB" w:rsidRDefault="00BA75E9" w:rsidP="00370584">
            <w:pPr>
              <w:jc w:val="both"/>
              <w:rPr>
                <w:rFonts w:eastAsia="Calibri"/>
                <w:smallCaps/>
                <w:sz w:val="20"/>
              </w:rPr>
            </w:pPr>
            <w:r w:rsidRPr="00E007CB">
              <w:rPr>
                <w:rFonts w:eastAsia="Calibri"/>
                <w:smallCaps/>
                <w:sz w:val="20"/>
              </w:rPr>
              <w:t>(Publication Ban in Case)</w:t>
            </w:r>
          </w:p>
          <w:p w:rsidR="00BA75E9" w:rsidRPr="00E007CB" w:rsidRDefault="00BA75E9" w:rsidP="00370584">
            <w:pPr>
              <w:jc w:val="both"/>
              <w:rPr>
                <w:rFonts w:eastAsia="Calibri"/>
                <w:sz w:val="20"/>
              </w:rPr>
            </w:pPr>
          </w:p>
          <w:p w:rsidR="00BA75E9" w:rsidRPr="00E007CB" w:rsidRDefault="00BA75E9" w:rsidP="00370584">
            <w:pPr>
              <w:jc w:val="both"/>
              <w:rPr>
                <w:rFonts w:eastAsia="Calibri"/>
                <w:sz w:val="20"/>
              </w:rPr>
            </w:pPr>
            <w:r w:rsidRPr="00E007CB">
              <w:rPr>
                <w:rFonts w:eastAsia="Calibri"/>
                <w:sz w:val="20"/>
              </w:rPr>
              <w:t xml:space="preserve">Criminal law – Interlocutory orders – Motion for disqualification of counsel – Motion to postpone trial – Principles of natural justice – Exercise of judge’s discretion – Whether Superior Court violated </w:t>
            </w:r>
            <w:r w:rsidRPr="00E007CB">
              <w:rPr>
                <w:rFonts w:eastAsia="Calibri"/>
                <w:i/>
                <w:sz w:val="20"/>
              </w:rPr>
              <w:t>audi alteram partem</w:t>
            </w:r>
            <w:r w:rsidRPr="00E007CB">
              <w:rPr>
                <w:rFonts w:eastAsia="Calibri"/>
                <w:sz w:val="20"/>
              </w:rPr>
              <w:t xml:space="preserve"> rule and principles of natural justice by holding hearing on motion for disqualification of counsel in absence of applicant’s counsel who was subject of motion – Whether Superior Court erred in exercising its discretion by dismissing applicant’s motion to postpone trial.</w:t>
            </w:r>
          </w:p>
        </w:tc>
      </w:tr>
      <w:tr w:rsidR="00BA75E9" w:rsidRPr="00E007CB" w:rsidTr="00370584">
        <w:tc>
          <w:tcPr>
            <w:tcW w:w="5000" w:type="pct"/>
            <w:gridSpan w:val="3"/>
          </w:tcPr>
          <w:p w:rsidR="00BA75E9" w:rsidRPr="00E007CB" w:rsidRDefault="00BA75E9" w:rsidP="00370584">
            <w:pPr>
              <w:jc w:val="both"/>
              <w:rPr>
                <w:rFonts w:eastAsia="Calibri"/>
                <w:sz w:val="20"/>
              </w:rPr>
            </w:pPr>
          </w:p>
        </w:tc>
      </w:tr>
      <w:tr w:rsidR="00BA75E9" w:rsidRPr="00E007CB" w:rsidTr="00370584">
        <w:tc>
          <w:tcPr>
            <w:tcW w:w="5000" w:type="pct"/>
            <w:gridSpan w:val="3"/>
          </w:tcPr>
          <w:p w:rsidR="00BA75E9" w:rsidRPr="00E007CB" w:rsidRDefault="00BA75E9" w:rsidP="00370584">
            <w:pPr>
              <w:jc w:val="both"/>
              <w:rPr>
                <w:rFonts w:eastAsia="Calibri"/>
                <w:sz w:val="20"/>
              </w:rPr>
            </w:pPr>
            <w:r w:rsidRPr="00E007CB">
              <w:rPr>
                <w:rFonts w:eastAsia="Calibri"/>
                <w:sz w:val="20"/>
              </w:rPr>
              <w:t>The applicant Mr. Ouimet and 10 co</w:t>
            </w:r>
            <w:r w:rsidRPr="00E007CB">
              <w:rPr>
                <w:rFonts w:eastAsia="Calibri"/>
                <w:sz w:val="20"/>
              </w:rPr>
              <w:noBreakHyphen/>
              <w:t>accused were charged with various offences, including criminal organization offences, laundering proceeds of crime and conspiracy.  The trial began on January 14 of last year.  At the preliminary inquiry stage, the Crown informed Mr. Ouimet’s counsel that a motion would be made to disqualify him in the case.  Mr. Ouimet’s counsel had represented a co</w:t>
            </w:r>
            <w:r w:rsidRPr="00E007CB">
              <w:rPr>
                <w:rFonts w:eastAsia="Calibri"/>
                <w:sz w:val="20"/>
              </w:rPr>
              <w:noBreakHyphen/>
              <w:t>accused who had entered a guilty plea in which he admitted that Mr. Ouimet had conspired to launder money.  Mr. Ouimet’s counsel did not attend the hearing of the motion, but he consented to the motion.  The Superior Court disqualified him from representing Mr. Ouimet.  A few weeks later, Mr. Ouimet requested a postponement of the trial, in part because he was unable to retain new counsel.  The Superior Court judge dismissed the motion, explaining that Mr. Ouimet had [</w:t>
            </w:r>
            <w:r w:rsidRPr="00E007CB">
              <w:rPr>
                <w:rFonts w:eastAsia="Calibri"/>
                <w:smallCaps/>
                <w:sz w:val="20"/>
              </w:rPr>
              <w:t>translation</w:t>
            </w:r>
            <w:r w:rsidRPr="00E007CB">
              <w:rPr>
                <w:rFonts w:eastAsia="Calibri"/>
                <w:sz w:val="20"/>
              </w:rPr>
              <w:t>] “let many months pass without looking for counsel even though he knew or ought to have known that Mr. Bergevin would be disqualified from representing him for obvious reasons”.  The application for leave to appeal concerns those two decisions.</w:t>
            </w:r>
          </w:p>
          <w:p w:rsidR="00BA75E9" w:rsidRPr="00E007CB" w:rsidRDefault="00BA75E9" w:rsidP="00370584">
            <w:pPr>
              <w:jc w:val="both"/>
              <w:rPr>
                <w:rFonts w:eastAsia="Calibri"/>
                <w:sz w:val="20"/>
              </w:rPr>
            </w:pPr>
          </w:p>
        </w:tc>
      </w:tr>
      <w:tr w:rsidR="00BA75E9" w:rsidRPr="00E007CB" w:rsidTr="00370584">
        <w:trPr>
          <w:cantSplit/>
        </w:trPr>
        <w:tc>
          <w:tcPr>
            <w:tcW w:w="2427" w:type="pct"/>
          </w:tcPr>
          <w:p w:rsidR="00BA75E9" w:rsidRPr="00E007CB" w:rsidRDefault="00BA75E9" w:rsidP="00370584">
            <w:pPr>
              <w:jc w:val="both"/>
              <w:rPr>
                <w:rFonts w:eastAsia="Calibri"/>
                <w:sz w:val="20"/>
              </w:rPr>
            </w:pPr>
            <w:r w:rsidRPr="00E007CB">
              <w:rPr>
                <w:rFonts w:eastAsia="Calibri"/>
                <w:sz w:val="20"/>
              </w:rPr>
              <w:lastRenderedPageBreak/>
              <w:t>November 2, 2012</w:t>
            </w:r>
          </w:p>
          <w:p w:rsidR="00BA75E9" w:rsidRPr="00E007CB" w:rsidRDefault="00BA75E9" w:rsidP="00370584">
            <w:pPr>
              <w:jc w:val="both"/>
              <w:rPr>
                <w:rFonts w:eastAsia="Calibri"/>
                <w:sz w:val="20"/>
              </w:rPr>
            </w:pPr>
            <w:r w:rsidRPr="00E007CB">
              <w:rPr>
                <w:rFonts w:eastAsia="Calibri"/>
                <w:sz w:val="20"/>
              </w:rPr>
              <w:t>Quebec Superior Court</w:t>
            </w:r>
          </w:p>
          <w:p w:rsidR="00BA75E9" w:rsidRPr="00E007CB" w:rsidRDefault="00BA75E9" w:rsidP="00370584">
            <w:pPr>
              <w:jc w:val="both"/>
              <w:rPr>
                <w:rFonts w:eastAsia="Calibri"/>
                <w:sz w:val="20"/>
              </w:rPr>
            </w:pPr>
            <w:r w:rsidRPr="00E007CB">
              <w:rPr>
                <w:rFonts w:eastAsia="Calibri"/>
                <w:sz w:val="20"/>
              </w:rPr>
              <w:t>(Champagne J.)</w:t>
            </w:r>
          </w:p>
          <w:p w:rsidR="00BA75E9" w:rsidRPr="00E007CB" w:rsidRDefault="00BA75E9" w:rsidP="00370584">
            <w:pPr>
              <w:jc w:val="both"/>
              <w:rPr>
                <w:rFonts w:eastAsia="Calibri"/>
                <w:sz w:val="20"/>
              </w:rPr>
            </w:pPr>
            <w:r w:rsidRPr="00E007CB">
              <w:rPr>
                <w:rFonts w:eastAsia="Calibri"/>
                <w:sz w:val="20"/>
              </w:rPr>
              <w:t>500-01-030728-098</w:t>
            </w:r>
          </w:p>
          <w:p w:rsidR="00BA75E9" w:rsidRPr="00E007CB" w:rsidRDefault="00BA75E9" w:rsidP="00370584">
            <w:pPr>
              <w:jc w:val="both"/>
              <w:rPr>
                <w:rFonts w:eastAsia="Calibri"/>
                <w:sz w:val="20"/>
              </w:rPr>
            </w:pP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rPr>
            </w:pPr>
            <w:r w:rsidRPr="00E007CB">
              <w:rPr>
                <w:rFonts w:eastAsia="Calibri"/>
                <w:sz w:val="20"/>
              </w:rPr>
              <w:t>Motion by Crown for disqualification of counsel allowed in part; applicant’s counsel disqualified from representing him because of conflict of interest</w:t>
            </w:r>
          </w:p>
          <w:p w:rsidR="00BA75E9" w:rsidRPr="00E007CB" w:rsidRDefault="00BA75E9" w:rsidP="00370584">
            <w:pPr>
              <w:jc w:val="both"/>
              <w:rPr>
                <w:rFonts w:eastAsia="Calibri"/>
                <w:sz w:val="20"/>
              </w:rPr>
            </w:pPr>
          </w:p>
        </w:tc>
      </w:tr>
      <w:tr w:rsidR="00BA75E9" w:rsidRPr="00E007CB" w:rsidTr="00370584">
        <w:trPr>
          <w:cantSplit/>
        </w:trPr>
        <w:tc>
          <w:tcPr>
            <w:tcW w:w="2427" w:type="pct"/>
          </w:tcPr>
          <w:p w:rsidR="00BA75E9" w:rsidRPr="00E007CB" w:rsidRDefault="00BA75E9" w:rsidP="00370584">
            <w:pPr>
              <w:jc w:val="both"/>
              <w:rPr>
                <w:rFonts w:eastAsia="Calibri"/>
                <w:sz w:val="20"/>
              </w:rPr>
            </w:pPr>
            <w:r w:rsidRPr="00E007CB">
              <w:rPr>
                <w:rFonts w:eastAsia="Calibri"/>
                <w:sz w:val="20"/>
              </w:rPr>
              <w:t>November 23, 2012</w:t>
            </w:r>
          </w:p>
          <w:p w:rsidR="00BA75E9" w:rsidRPr="00E007CB" w:rsidRDefault="00BA75E9" w:rsidP="00370584">
            <w:pPr>
              <w:jc w:val="both"/>
              <w:rPr>
                <w:rFonts w:eastAsia="Calibri"/>
                <w:sz w:val="20"/>
              </w:rPr>
            </w:pPr>
            <w:r w:rsidRPr="00E007CB">
              <w:rPr>
                <w:rFonts w:eastAsia="Calibri"/>
                <w:sz w:val="20"/>
              </w:rPr>
              <w:t>Quebec Superior Court</w:t>
            </w:r>
          </w:p>
          <w:p w:rsidR="00BA75E9" w:rsidRPr="00E007CB" w:rsidRDefault="00BA75E9" w:rsidP="00370584">
            <w:pPr>
              <w:jc w:val="both"/>
              <w:rPr>
                <w:rFonts w:eastAsia="Calibri"/>
                <w:sz w:val="20"/>
              </w:rPr>
            </w:pPr>
            <w:r w:rsidRPr="00E007CB">
              <w:rPr>
                <w:rFonts w:eastAsia="Calibri"/>
                <w:sz w:val="20"/>
              </w:rPr>
              <w:t>(Champagne J.)</w:t>
            </w:r>
          </w:p>
          <w:p w:rsidR="00BA75E9" w:rsidRPr="00E007CB" w:rsidRDefault="00BA75E9" w:rsidP="00370584">
            <w:pPr>
              <w:jc w:val="both"/>
              <w:rPr>
                <w:rFonts w:eastAsia="Calibri"/>
                <w:sz w:val="20"/>
              </w:rPr>
            </w:pPr>
            <w:r w:rsidRPr="00E007CB">
              <w:rPr>
                <w:rFonts w:eastAsia="Calibri"/>
                <w:sz w:val="20"/>
              </w:rPr>
              <w:t>500-01-030728-098</w:t>
            </w:r>
          </w:p>
          <w:p w:rsidR="00BA75E9" w:rsidRPr="00E007CB" w:rsidRDefault="00BA75E9" w:rsidP="00370584">
            <w:pPr>
              <w:jc w:val="both"/>
              <w:rPr>
                <w:rFonts w:eastAsia="Calibri"/>
                <w:sz w:val="20"/>
              </w:rPr>
            </w:pP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rPr>
            </w:pPr>
            <w:r w:rsidRPr="00E007CB">
              <w:rPr>
                <w:rFonts w:eastAsia="Calibri"/>
                <w:sz w:val="20"/>
              </w:rPr>
              <w:t>Motion to postpone trial dismissed</w:t>
            </w:r>
          </w:p>
        </w:tc>
      </w:tr>
      <w:tr w:rsidR="00BA75E9" w:rsidRPr="00E007CB" w:rsidTr="00370584">
        <w:trPr>
          <w:cantSplit/>
        </w:trPr>
        <w:tc>
          <w:tcPr>
            <w:tcW w:w="2427" w:type="pct"/>
          </w:tcPr>
          <w:p w:rsidR="00BA75E9" w:rsidRPr="00E007CB" w:rsidRDefault="00BA75E9" w:rsidP="00370584">
            <w:pPr>
              <w:jc w:val="both"/>
              <w:rPr>
                <w:rFonts w:eastAsia="Calibri"/>
                <w:sz w:val="20"/>
              </w:rPr>
            </w:pPr>
            <w:r w:rsidRPr="00E007CB">
              <w:rPr>
                <w:rFonts w:eastAsia="Calibri"/>
                <w:sz w:val="20"/>
              </w:rPr>
              <w:t>January 15, 2013</w:t>
            </w:r>
          </w:p>
          <w:p w:rsidR="00BA75E9" w:rsidRPr="00E007CB" w:rsidRDefault="00BA75E9" w:rsidP="00370584">
            <w:pPr>
              <w:jc w:val="both"/>
              <w:rPr>
                <w:rFonts w:eastAsia="Calibri"/>
                <w:sz w:val="20"/>
              </w:rPr>
            </w:pPr>
            <w:r w:rsidRPr="00E007CB">
              <w:rPr>
                <w:rFonts w:eastAsia="Calibri"/>
                <w:sz w:val="20"/>
              </w:rPr>
              <w:t>Supreme Court of Canada</w:t>
            </w: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rPr>
            </w:pPr>
            <w:r w:rsidRPr="00E007CB">
              <w:rPr>
                <w:rFonts w:eastAsia="Calibri"/>
                <w:sz w:val="20"/>
              </w:rPr>
              <w:t xml:space="preserve">Motion to extend time and application for leave to appeal filed </w:t>
            </w:r>
          </w:p>
        </w:tc>
      </w:tr>
    </w:tbl>
    <w:p w:rsidR="00BA75E9" w:rsidRDefault="00BA75E9" w:rsidP="00BA75E9">
      <w:pPr>
        <w:rPr>
          <w:sz w:val="20"/>
          <w:szCs w:val="20"/>
        </w:rPr>
      </w:pPr>
    </w:p>
    <w:p w:rsidR="00BA75E9" w:rsidRPr="00C50A5C" w:rsidRDefault="00B35B95" w:rsidP="00BA75E9">
      <w:pPr>
        <w:rPr>
          <w:sz w:val="20"/>
          <w:szCs w:val="20"/>
        </w:rPr>
      </w:pPr>
      <w:r w:rsidRPr="00B35B95">
        <w:rPr>
          <w:sz w:val="20"/>
          <w:szCs w:val="20"/>
          <w:lang w:val="fr-CA"/>
        </w:rPr>
        <w:pict>
          <v:rect id="_x0000_i1052" style="width:2in;height:1pt" o:hrpct="0" o:hralign="center" o:hrstd="t" o:hrnoshade="t" o:hr="t" fillcolor="black [3213]" stroked="f"/>
        </w:pict>
      </w:r>
    </w:p>
    <w:p w:rsidR="00BA75E9" w:rsidRDefault="00BA75E9" w:rsidP="00BA75E9">
      <w:pPr>
        <w:rPr>
          <w:sz w:val="20"/>
          <w:szCs w:val="20"/>
        </w:rPr>
      </w:pPr>
    </w:p>
    <w:p w:rsidR="00BA75E9" w:rsidRPr="001B157C" w:rsidRDefault="00BA75E9" w:rsidP="00BA75E9">
      <w:pPr>
        <w:rPr>
          <w:sz w:val="20"/>
          <w:szCs w:val="20"/>
          <w:u w:val="single"/>
          <w:lang w:val="fr-CA"/>
        </w:rPr>
      </w:pPr>
      <w:r w:rsidRPr="001B157C">
        <w:rPr>
          <w:sz w:val="20"/>
          <w:szCs w:val="20"/>
          <w:u w:val="single"/>
          <w:lang w:val="fr-CA"/>
        </w:rPr>
        <w:t>RÉSUMÉ DE L’AFFAIRE</w:t>
      </w:r>
    </w:p>
    <w:p w:rsidR="00BA75E9" w:rsidRDefault="00BA75E9" w:rsidP="00BA75E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A75E9" w:rsidRPr="00EE440E" w:rsidTr="00370584">
        <w:tc>
          <w:tcPr>
            <w:tcW w:w="5000" w:type="pct"/>
            <w:gridSpan w:val="3"/>
          </w:tcPr>
          <w:p w:rsidR="00BA75E9" w:rsidRPr="00E007CB" w:rsidRDefault="00BA75E9" w:rsidP="00370584">
            <w:pPr>
              <w:jc w:val="both"/>
              <w:rPr>
                <w:rFonts w:eastAsia="Calibri"/>
                <w:smallCaps/>
                <w:sz w:val="20"/>
                <w:lang w:val="fr-CA"/>
              </w:rPr>
            </w:pPr>
            <w:r w:rsidRPr="00E007CB">
              <w:rPr>
                <w:rFonts w:eastAsia="Calibri"/>
                <w:smallCaps/>
                <w:sz w:val="20"/>
                <w:lang w:val="fr-CA"/>
              </w:rPr>
              <w:t>(Ordonnance de non-publication dans le dossier)</w:t>
            </w:r>
          </w:p>
          <w:p w:rsidR="00BA75E9" w:rsidRPr="00E007CB" w:rsidRDefault="00BA75E9" w:rsidP="00370584">
            <w:pPr>
              <w:jc w:val="both"/>
              <w:rPr>
                <w:rFonts w:eastAsia="Calibri"/>
                <w:sz w:val="20"/>
                <w:lang w:val="fr-CA"/>
              </w:rPr>
            </w:pPr>
          </w:p>
          <w:p w:rsidR="00BA75E9" w:rsidRPr="00E007CB" w:rsidRDefault="00BA75E9" w:rsidP="00370584">
            <w:pPr>
              <w:jc w:val="both"/>
              <w:rPr>
                <w:rFonts w:eastAsia="Calibri"/>
                <w:sz w:val="20"/>
                <w:lang w:val="fr-CA"/>
              </w:rPr>
            </w:pPr>
            <w:r w:rsidRPr="00E007CB">
              <w:rPr>
                <w:rFonts w:eastAsia="Calibri"/>
                <w:sz w:val="20"/>
                <w:lang w:val="fr-CA"/>
              </w:rPr>
              <w:t xml:space="preserve">Droit criminel – Ordonnances interlocutoires – Requête en inhabilité d’avocats – Requête en remise du procès – Principes de justice naturelle – Exercice du pouvoir discrétionnaire d’un juge – La Cour supérieure a-t-elle violé la règle </w:t>
            </w:r>
            <w:r w:rsidRPr="00E007CB">
              <w:rPr>
                <w:rFonts w:eastAsia="Calibri"/>
                <w:i/>
                <w:sz w:val="20"/>
                <w:lang w:val="fr-CA"/>
              </w:rPr>
              <w:t>audi alteram partem</w:t>
            </w:r>
            <w:r w:rsidRPr="00E007CB">
              <w:rPr>
                <w:rFonts w:eastAsia="Calibri"/>
                <w:sz w:val="20"/>
                <w:lang w:val="fr-CA"/>
              </w:rPr>
              <w:t xml:space="preserve"> et les principes de justice naturelle en procédant à la tenue de l’audition sur la requête en déclaration d’inhabilité d’avocats en l’absence de l’avocat du demandeur visé par ladite requête? – La Cour supérieure a-t-elle erré dans l’exercice de son pouvoir discrétionnaire en rejetant la requête du demandeur en remise du procès?</w:t>
            </w:r>
          </w:p>
        </w:tc>
      </w:tr>
      <w:tr w:rsidR="00BA75E9" w:rsidRPr="00EE440E" w:rsidTr="00370584">
        <w:tc>
          <w:tcPr>
            <w:tcW w:w="5000" w:type="pct"/>
            <w:gridSpan w:val="3"/>
          </w:tcPr>
          <w:p w:rsidR="00BA75E9" w:rsidRPr="00E007CB" w:rsidRDefault="00BA75E9" w:rsidP="00370584">
            <w:pPr>
              <w:jc w:val="both"/>
              <w:rPr>
                <w:rFonts w:eastAsia="Calibri"/>
                <w:sz w:val="20"/>
                <w:lang w:val="fr-CA"/>
              </w:rPr>
            </w:pPr>
          </w:p>
        </w:tc>
      </w:tr>
      <w:tr w:rsidR="00BA75E9" w:rsidRPr="00EE440E" w:rsidTr="00370584">
        <w:tc>
          <w:tcPr>
            <w:tcW w:w="5000" w:type="pct"/>
            <w:gridSpan w:val="3"/>
          </w:tcPr>
          <w:p w:rsidR="00BA75E9" w:rsidRPr="00E007CB" w:rsidRDefault="00BA75E9" w:rsidP="00370584">
            <w:pPr>
              <w:jc w:val="both"/>
              <w:rPr>
                <w:rFonts w:eastAsia="Calibri"/>
                <w:sz w:val="20"/>
                <w:lang w:val="fr-CA"/>
              </w:rPr>
            </w:pPr>
            <w:r w:rsidRPr="00E007CB">
              <w:rPr>
                <w:rFonts w:eastAsia="Calibri"/>
                <w:sz w:val="20"/>
                <w:lang w:val="fr-CA"/>
              </w:rPr>
              <w:t>Monsieur Ouimet, demandeur, et 10 autres coaccusés font face à divers chefs d’accusation dont le gangstérisme, le recyclage de produits de la criminalité et le complot.  Le procès a débuté le 14 janvier dernier.  Au stade de l’enquête préliminaire, le ministère public a informé l’avocat de M. Ouimet qu’il fera l’objet d’une requête visant à le faire déclarer inhabile dans le dossier. L’avocat avait représenté un coaccusé qui avait enregistré un plaidoyer de culpabilité dans lequel il avait admis que M. Ouimet avait comploté pour blanchir de l’argent.  L’avocat de M. Ouimet ne se présente pas à l’audition de la requête mais il y consent et la Cour supérieure le déclare inhabile à représenter M. Ouimet.  Quelques semaines plus tard, M. Ouimet demande une remise du procès notamment au motif qu’il n’arrive pas à retenir les services d’un nouvel avocat.  Le juge de la Cour supérieure rejette la requête en expliquant que M. Ouimet a « laissé passer de longs mois sans se chercher d’avocats alors qu’il savait ou devait savoir que Me Bergevin serait déclaré inhabile à le représenter pour des raisons évidentes ».  Ces deux décisions font l’objet de la demande d’autorisation d’appel.</w:t>
            </w:r>
          </w:p>
          <w:p w:rsidR="00BA75E9" w:rsidRPr="00E007CB" w:rsidRDefault="00BA75E9" w:rsidP="00370584">
            <w:pPr>
              <w:jc w:val="both"/>
              <w:rPr>
                <w:rFonts w:eastAsia="Calibri"/>
                <w:sz w:val="20"/>
                <w:lang w:val="fr-CA"/>
              </w:rPr>
            </w:pPr>
          </w:p>
        </w:tc>
      </w:tr>
      <w:tr w:rsidR="00BA75E9" w:rsidRPr="00EE440E" w:rsidTr="00370584">
        <w:tc>
          <w:tcPr>
            <w:tcW w:w="2427" w:type="pct"/>
          </w:tcPr>
          <w:p w:rsidR="00BA75E9" w:rsidRPr="00E007CB" w:rsidRDefault="00BA75E9" w:rsidP="00370584">
            <w:pPr>
              <w:jc w:val="both"/>
              <w:rPr>
                <w:rFonts w:eastAsia="Calibri"/>
                <w:sz w:val="20"/>
                <w:lang w:val="fr-CA"/>
              </w:rPr>
            </w:pPr>
            <w:r w:rsidRPr="00E007CB">
              <w:rPr>
                <w:rFonts w:eastAsia="Calibri"/>
                <w:sz w:val="20"/>
                <w:lang w:val="fr-CA"/>
              </w:rPr>
              <w:t>Le 2 novembre 2012</w:t>
            </w:r>
          </w:p>
          <w:p w:rsidR="00BA75E9" w:rsidRPr="00E007CB" w:rsidRDefault="00BA75E9" w:rsidP="00370584">
            <w:pPr>
              <w:jc w:val="both"/>
              <w:rPr>
                <w:rFonts w:eastAsia="Calibri"/>
                <w:sz w:val="20"/>
                <w:lang w:val="fr-CA"/>
              </w:rPr>
            </w:pPr>
            <w:r w:rsidRPr="00E007CB">
              <w:rPr>
                <w:rFonts w:eastAsia="Calibri"/>
                <w:sz w:val="20"/>
                <w:lang w:val="fr-CA"/>
              </w:rPr>
              <w:t>Cour supérieure du Québec</w:t>
            </w:r>
          </w:p>
          <w:p w:rsidR="00BA75E9" w:rsidRPr="00E007CB" w:rsidRDefault="00BA75E9" w:rsidP="00370584">
            <w:pPr>
              <w:jc w:val="both"/>
              <w:rPr>
                <w:rFonts w:eastAsia="Calibri"/>
                <w:sz w:val="20"/>
                <w:lang w:val="fr-CA"/>
              </w:rPr>
            </w:pPr>
            <w:r w:rsidRPr="00E007CB">
              <w:rPr>
                <w:rFonts w:eastAsia="Calibri"/>
                <w:sz w:val="20"/>
                <w:lang w:val="fr-CA"/>
              </w:rPr>
              <w:t>(Le juge Champagne)</w:t>
            </w:r>
          </w:p>
          <w:p w:rsidR="00BA75E9" w:rsidRPr="00E007CB" w:rsidRDefault="00BA75E9" w:rsidP="00370584">
            <w:pPr>
              <w:jc w:val="both"/>
              <w:rPr>
                <w:rFonts w:eastAsia="Calibri"/>
                <w:sz w:val="20"/>
                <w:lang w:val="fr-CA"/>
              </w:rPr>
            </w:pPr>
            <w:r w:rsidRPr="00E007CB">
              <w:rPr>
                <w:rFonts w:eastAsia="Calibri"/>
                <w:sz w:val="20"/>
                <w:lang w:val="fr-CA"/>
              </w:rPr>
              <w:t>500-01-030728-098</w:t>
            </w:r>
          </w:p>
          <w:p w:rsidR="00BA75E9" w:rsidRPr="00E007CB" w:rsidRDefault="00BA75E9" w:rsidP="00370584">
            <w:pPr>
              <w:jc w:val="both"/>
              <w:rPr>
                <w:rFonts w:eastAsia="Calibri"/>
                <w:sz w:val="20"/>
              </w:rPr>
            </w:pP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lang w:val="fr-CA"/>
              </w:rPr>
            </w:pPr>
            <w:r w:rsidRPr="00E007CB">
              <w:rPr>
                <w:rFonts w:eastAsia="Calibri"/>
                <w:sz w:val="20"/>
                <w:lang w:val="fr-CA"/>
              </w:rPr>
              <w:t>Requête du ministère public en déclaration d’inhabilité d’avocats accueillie en partie; avocat du demandeur déclaré inhabile à le représenter pour cause de conflit d’intérêts</w:t>
            </w:r>
          </w:p>
          <w:p w:rsidR="00BA75E9" w:rsidRPr="00E007CB" w:rsidRDefault="00BA75E9" w:rsidP="00370584">
            <w:pPr>
              <w:jc w:val="both"/>
              <w:rPr>
                <w:rFonts w:eastAsia="Calibri"/>
                <w:sz w:val="20"/>
                <w:lang w:val="fr-CA"/>
              </w:rPr>
            </w:pPr>
          </w:p>
        </w:tc>
      </w:tr>
      <w:tr w:rsidR="00BA75E9" w:rsidRPr="00EE440E" w:rsidTr="00370584">
        <w:tc>
          <w:tcPr>
            <w:tcW w:w="2427" w:type="pct"/>
          </w:tcPr>
          <w:p w:rsidR="00BA75E9" w:rsidRPr="00E007CB" w:rsidRDefault="00BA75E9" w:rsidP="00370584">
            <w:pPr>
              <w:jc w:val="both"/>
              <w:rPr>
                <w:rFonts w:eastAsia="Calibri"/>
                <w:sz w:val="20"/>
                <w:lang w:val="fr-CA"/>
              </w:rPr>
            </w:pPr>
            <w:r w:rsidRPr="00E007CB">
              <w:rPr>
                <w:rFonts w:eastAsia="Calibri"/>
                <w:sz w:val="20"/>
                <w:lang w:val="fr-CA"/>
              </w:rPr>
              <w:t>Le 23 novembre 2012</w:t>
            </w:r>
          </w:p>
          <w:p w:rsidR="00BA75E9" w:rsidRPr="00E007CB" w:rsidRDefault="00BA75E9" w:rsidP="00370584">
            <w:pPr>
              <w:jc w:val="both"/>
              <w:rPr>
                <w:rFonts w:eastAsia="Calibri"/>
                <w:sz w:val="20"/>
                <w:lang w:val="fr-CA"/>
              </w:rPr>
            </w:pPr>
            <w:r w:rsidRPr="00E007CB">
              <w:rPr>
                <w:rFonts w:eastAsia="Calibri"/>
                <w:sz w:val="20"/>
                <w:lang w:val="fr-CA"/>
              </w:rPr>
              <w:t>Cour supérieure du Québec</w:t>
            </w:r>
          </w:p>
          <w:p w:rsidR="00BA75E9" w:rsidRPr="00E007CB" w:rsidRDefault="00BA75E9" w:rsidP="00370584">
            <w:pPr>
              <w:jc w:val="both"/>
              <w:rPr>
                <w:rFonts w:eastAsia="Calibri"/>
                <w:sz w:val="20"/>
                <w:lang w:val="fr-CA"/>
              </w:rPr>
            </w:pPr>
            <w:r w:rsidRPr="00E007CB">
              <w:rPr>
                <w:rFonts w:eastAsia="Calibri"/>
                <w:sz w:val="20"/>
                <w:lang w:val="fr-CA"/>
              </w:rPr>
              <w:t>(Le juge Champagne)</w:t>
            </w:r>
          </w:p>
          <w:p w:rsidR="00BA75E9" w:rsidRPr="00E007CB" w:rsidRDefault="00BA75E9" w:rsidP="00370584">
            <w:pPr>
              <w:jc w:val="both"/>
              <w:rPr>
                <w:rFonts w:eastAsia="Calibri"/>
                <w:sz w:val="20"/>
                <w:lang w:val="fr-CA"/>
              </w:rPr>
            </w:pPr>
            <w:r w:rsidRPr="00E007CB">
              <w:rPr>
                <w:rFonts w:eastAsia="Calibri"/>
                <w:sz w:val="20"/>
                <w:lang w:val="fr-CA"/>
              </w:rPr>
              <w:t>500-01-030728-098</w:t>
            </w:r>
          </w:p>
        </w:tc>
        <w:tc>
          <w:tcPr>
            <w:tcW w:w="243" w:type="pct"/>
          </w:tcPr>
          <w:p w:rsidR="00BA75E9" w:rsidRPr="00E007CB" w:rsidRDefault="00BA75E9" w:rsidP="00370584">
            <w:pPr>
              <w:jc w:val="both"/>
              <w:rPr>
                <w:rFonts w:eastAsia="Calibri"/>
                <w:sz w:val="20"/>
                <w:lang w:val="fr-CA"/>
              </w:rPr>
            </w:pPr>
          </w:p>
        </w:tc>
        <w:tc>
          <w:tcPr>
            <w:tcW w:w="2330" w:type="pct"/>
          </w:tcPr>
          <w:p w:rsidR="00BA75E9" w:rsidRPr="00E007CB" w:rsidRDefault="00BA75E9" w:rsidP="00370584">
            <w:pPr>
              <w:jc w:val="both"/>
              <w:rPr>
                <w:rFonts w:eastAsia="Calibri"/>
                <w:sz w:val="20"/>
                <w:lang w:val="fr-CA"/>
              </w:rPr>
            </w:pPr>
            <w:r w:rsidRPr="00E007CB">
              <w:rPr>
                <w:rFonts w:eastAsia="Calibri"/>
                <w:sz w:val="20"/>
                <w:lang w:val="fr-CA"/>
              </w:rPr>
              <w:t>Requête en remise du procès rejetée</w:t>
            </w:r>
          </w:p>
        </w:tc>
      </w:tr>
    </w:tbl>
    <w:p w:rsidR="00BA75E9" w:rsidRPr="00494793" w:rsidRDefault="00BA75E9" w:rsidP="00BA75E9">
      <w:pPr>
        <w:rPr>
          <w:lang w:val="fr-CA"/>
        </w:rPr>
      </w:pPr>
    </w:p>
    <w:p w:rsidR="00BA75E9" w:rsidRPr="00494793" w:rsidRDefault="00BA75E9" w:rsidP="00BA75E9">
      <w:pPr>
        <w:rPr>
          <w:lang w:val="fr-CA"/>
        </w:rPr>
      </w:pPr>
      <w:r w:rsidRPr="00494793">
        <w:rPr>
          <w:lang w:val="fr-CA"/>
        </w:rPr>
        <w:br w:type="page"/>
      </w:r>
    </w:p>
    <w:tbl>
      <w:tblPr>
        <w:tblW w:w="4952" w:type="pct"/>
        <w:tblLayout w:type="fixed"/>
        <w:tblCellMar>
          <w:left w:w="0" w:type="dxa"/>
          <w:bottom w:w="99" w:type="dxa"/>
          <w:right w:w="0" w:type="dxa"/>
        </w:tblCellMar>
        <w:tblLook w:val="04A0"/>
      </w:tblPr>
      <w:tblGrid>
        <w:gridCol w:w="4624"/>
        <w:gridCol w:w="463"/>
        <w:gridCol w:w="4440"/>
      </w:tblGrid>
      <w:tr w:rsidR="00BA75E9" w:rsidRPr="00A3429F" w:rsidTr="00370584">
        <w:tc>
          <w:tcPr>
            <w:tcW w:w="2427" w:type="pct"/>
          </w:tcPr>
          <w:p w:rsidR="00BA75E9" w:rsidRPr="00E007CB" w:rsidRDefault="00BA75E9" w:rsidP="00370584">
            <w:pPr>
              <w:jc w:val="both"/>
              <w:rPr>
                <w:rFonts w:eastAsia="Calibri"/>
                <w:sz w:val="20"/>
                <w:lang w:val="fr-CA"/>
              </w:rPr>
            </w:pPr>
            <w:r w:rsidRPr="00E007CB">
              <w:rPr>
                <w:rFonts w:eastAsia="Calibri"/>
                <w:sz w:val="20"/>
                <w:lang w:val="fr-CA"/>
              </w:rPr>
              <w:lastRenderedPageBreak/>
              <w:t>Le 15 janvier 2013</w:t>
            </w:r>
          </w:p>
          <w:p w:rsidR="00BA75E9" w:rsidRPr="00E007CB" w:rsidRDefault="00BA75E9" w:rsidP="00370584">
            <w:pPr>
              <w:jc w:val="both"/>
              <w:rPr>
                <w:rFonts w:eastAsia="Calibri"/>
                <w:sz w:val="20"/>
                <w:lang w:val="fr-CA"/>
              </w:rPr>
            </w:pPr>
            <w:r w:rsidRPr="00E007CB">
              <w:rPr>
                <w:rFonts w:eastAsia="Calibri"/>
                <w:sz w:val="20"/>
                <w:lang w:val="fr-CA"/>
              </w:rPr>
              <w:t>Cour suprême du Canada</w:t>
            </w:r>
          </w:p>
        </w:tc>
        <w:tc>
          <w:tcPr>
            <w:tcW w:w="243" w:type="pct"/>
          </w:tcPr>
          <w:p w:rsidR="00BA75E9" w:rsidRPr="00E007CB" w:rsidRDefault="00BA75E9" w:rsidP="00370584">
            <w:pPr>
              <w:jc w:val="both"/>
              <w:rPr>
                <w:rFonts w:eastAsia="Calibri"/>
                <w:sz w:val="20"/>
                <w:lang w:val="fr-CA"/>
              </w:rPr>
            </w:pPr>
          </w:p>
        </w:tc>
        <w:tc>
          <w:tcPr>
            <w:tcW w:w="2330" w:type="pct"/>
          </w:tcPr>
          <w:p w:rsidR="00BA75E9" w:rsidRPr="00E007CB" w:rsidRDefault="00BA75E9" w:rsidP="00370584">
            <w:pPr>
              <w:jc w:val="both"/>
              <w:rPr>
                <w:rFonts w:eastAsia="Calibri"/>
                <w:sz w:val="20"/>
                <w:lang w:val="fr-CA"/>
              </w:rPr>
            </w:pPr>
            <w:r w:rsidRPr="00E007CB">
              <w:rPr>
                <w:rFonts w:eastAsia="Calibri"/>
                <w:sz w:val="20"/>
                <w:lang w:val="fr-CA"/>
              </w:rPr>
              <w:t xml:space="preserve">Requête en prorogation de délai et demande d'autorisation d'appel déposées </w:t>
            </w:r>
          </w:p>
        </w:tc>
      </w:tr>
    </w:tbl>
    <w:p w:rsidR="00BA75E9" w:rsidRPr="007D0CE0" w:rsidRDefault="00BA75E9" w:rsidP="00BA75E9">
      <w:pPr>
        <w:rPr>
          <w:sz w:val="20"/>
          <w:szCs w:val="20"/>
          <w:lang w:val="fr-CA"/>
        </w:rPr>
      </w:pPr>
    </w:p>
    <w:p w:rsidR="00BA75E9" w:rsidRDefault="00B35B95" w:rsidP="00BA75E9">
      <w:pPr>
        <w:rPr>
          <w:sz w:val="20"/>
          <w:szCs w:val="20"/>
        </w:rPr>
      </w:pPr>
      <w:r w:rsidRPr="00B35B95">
        <w:rPr>
          <w:sz w:val="20"/>
          <w:szCs w:val="20"/>
          <w:lang w:val="fr-CA"/>
        </w:rPr>
        <w:pict>
          <v:rect id="_x0000_i1053" style="width:2in;height:1pt" o:hrpct="0" o:hralign="center" o:hrstd="t" o:hrnoshade="t" o:hr="t" fillcolor="black [3213]" stroked="f"/>
        </w:pict>
      </w:r>
    </w:p>
    <w:p w:rsidR="00BA75E9" w:rsidRDefault="00BA75E9" w:rsidP="00BA75E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A75E9" w:rsidRPr="00A73D2C" w:rsidTr="00370584">
        <w:trPr>
          <w:cantSplit/>
        </w:trPr>
        <w:tc>
          <w:tcPr>
            <w:tcW w:w="1458" w:type="dxa"/>
          </w:tcPr>
          <w:p w:rsidR="00BA75E9" w:rsidRPr="00A73D2C" w:rsidRDefault="00BA75E9" w:rsidP="00370584">
            <w:pPr>
              <w:rPr>
                <w:sz w:val="20"/>
                <w:szCs w:val="20"/>
              </w:rPr>
            </w:pPr>
            <w:r w:rsidRPr="00A73D2C">
              <w:rPr>
                <w:rStyle w:val="SCCFileNumberChar"/>
                <w:sz w:val="20"/>
                <w:szCs w:val="20"/>
              </w:rPr>
              <w:t>35182</w:t>
            </w:r>
          </w:p>
          <w:p w:rsidR="00BA75E9" w:rsidRPr="00A73D2C" w:rsidRDefault="00BA75E9" w:rsidP="00370584">
            <w:pPr>
              <w:rPr>
                <w:b/>
                <w:sz w:val="20"/>
                <w:szCs w:val="20"/>
                <w:lang w:val="fr-CA"/>
              </w:rPr>
            </w:pPr>
          </w:p>
        </w:tc>
        <w:tc>
          <w:tcPr>
            <w:tcW w:w="8118" w:type="dxa"/>
          </w:tcPr>
          <w:p w:rsidR="00BA75E9" w:rsidRPr="00A73D2C" w:rsidRDefault="00BA75E9" w:rsidP="00370584">
            <w:pPr>
              <w:rPr>
                <w:sz w:val="20"/>
                <w:szCs w:val="20"/>
              </w:rPr>
            </w:pPr>
            <w:r w:rsidRPr="00A73D2C">
              <w:rPr>
                <w:rStyle w:val="SCCLsocChar"/>
                <w:sz w:val="20"/>
                <w:szCs w:val="20"/>
                <w:lang w:val="en-CA"/>
              </w:rPr>
              <w:t>Gregory Ernest Last v. Her Majesty the Queen</w:t>
            </w:r>
            <w:r w:rsidRPr="00A73D2C">
              <w:rPr>
                <w:sz w:val="20"/>
                <w:szCs w:val="20"/>
              </w:rPr>
              <w:t xml:space="preserve"> (Ont.) (Criminal) (By Leave)</w:t>
            </w:r>
          </w:p>
          <w:p w:rsidR="00BA75E9" w:rsidRPr="00A73D2C" w:rsidRDefault="00BA75E9" w:rsidP="00370584">
            <w:pPr>
              <w:rPr>
                <w:sz w:val="20"/>
                <w:szCs w:val="20"/>
              </w:rPr>
            </w:pPr>
          </w:p>
        </w:tc>
      </w:tr>
      <w:tr w:rsidR="00BA75E9" w:rsidRPr="00A73D2C" w:rsidTr="00370584">
        <w:trPr>
          <w:cantSplit/>
        </w:trPr>
        <w:tc>
          <w:tcPr>
            <w:tcW w:w="1458" w:type="dxa"/>
          </w:tcPr>
          <w:p w:rsidR="00BA75E9" w:rsidRPr="00A73D2C" w:rsidRDefault="00BA75E9" w:rsidP="00370584">
            <w:pPr>
              <w:rPr>
                <w:sz w:val="20"/>
                <w:szCs w:val="20"/>
              </w:rPr>
            </w:pPr>
            <w:r w:rsidRPr="00A73D2C">
              <w:rPr>
                <w:sz w:val="20"/>
                <w:szCs w:val="20"/>
              </w:rPr>
              <w:t>Coram :</w:t>
            </w:r>
          </w:p>
        </w:tc>
        <w:tc>
          <w:tcPr>
            <w:tcW w:w="8118" w:type="dxa"/>
          </w:tcPr>
          <w:p w:rsidR="00BA75E9" w:rsidRPr="00A73D2C" w:rsidRDefault="00BA75E9" w:rsidP="00370584">
            <w:pPr>
              <w:rPr>
                <w:sz w:val="20"/>
                <w:szCs w:val="20"/>
              </w:rPr>
            </w:pPr>
            <w:r w:rsidRPr="00A73D2C">
              <w:rPr>
                <w:rStyle w:val="SCCCoramChar"/>
                <w:sz w:val="20"/>
                <w:szCs w:val="20"/>
                <w:lang w:val="en-CA"/>
              </w:rPr>
              <w:t>LeBel, Karakatsanis and Wagner JJ.</w:t>
            </w:r>
          </w:p>
          <w:p w:rsidR="00BA75E9" w:rsidRPr="00A73D2C" w:rsidRDefault="00BA75E9" w:rsidP="00370584">
            <w:pPr>
              <w:rPr>
                <w:sz w:val="20"/>
                <w:szCs w:val="20"/>
                <w:u w:val="single"/>
              </w:rPr>
            </w:pPr>
          </w:p>
        </w:tc>
      </w:tr>
      <w:tr w:rsidR="00BA75E9" w:rsidRPr="00EE440E" w:rsidTr="00370584">
        <w:trPr>
          <w:cantSplit/>
        </w:trPr>
        <w:tc>
          <w:tcPr>
            <w:tcW w:w="9576" w:type="dxa"/>
            <w:gridSpan w:val="2"/>
          </w:tcPr>
          <w:p w:rsidR="00BA75E9" w:rsidRPr="00A73D2C" w:rsidRDefault="00BA75E9" w:rsidP="00370584">
            <w:pPr>
              <w:pStyle w:val="SCCShortJudgment"/>
              <w:rPr>
                <w:szCs w:val="20"/>
              </w:rPr>
            </w:pPr>
            <w:r w:rsidRPr="00A73D2C">
              <w:rPr>
                <w:szCs w:val="20"/>
              </w:rPr>
              <w:t>The application for leave to appeal from the judgment of the Court of Appeal for Ontario, Number C54885, dated November 20, 2012, is dismissed without costs.</w:t>
            </w:r>
          </w:p>
          <w:p w:rsidR="00BA75E9" w:rsidRPr="00A73D2C" w:rsidRDefault="00BA75E9" w:rsidP="00370584">
            <w:pPr>
              <w:pStyle w:val="SCCShortJudgment"/>
              <w:ind w:firstLine="0"/>
              <w:rPr>
                <w:szCs w:val="20"/>
              </w:rPr>
            </w:pPr>
          </w:p>
          <w:p w:rsidR="00BA75E9" w:rsidRPr="00A73D2C" w:rsidRDefault="00BA75E9" w:rsidP="00370584">
            <w:pPr>
              <w:pStyle w:val="SCCShortJudgment"/>
              <w:rPr>
                <w:szCs w:val="20"/>
                <w:lang w:val="fr-CA"/>
              </w:rPr>
            </w:pPr>
            <w:r w:rsidRPr="00A73D2C">
              <w:rPr>
                <w:szCs w:val="20"/>
                <w:lang w:val="fr-CA"/>
              </w:rPr>
              <w:t>La demande d’autorisation d’appel de l’arrêt de la Cour d’appel de l’Ontario, numéro C54885, daté du 20 novembre 2012, est rejetée sans dépens.</w:t>
            </w:r>
          </w:p>
        </w:tc>
      </w:tr>
    </w:tbl>
    <w:p w:rsidR="00BA75E9" w:rsidRPr="0016547E" w:rsidRDefault="00BA75E9" w:rsidP="00BA75E9">
      <w:pPr>
        <w:rPr>
          <w:sz w:val="20"/>
          <w:szCs w:val="20"/>
          <w:lang w:val="fr-CA"/>
        </w:rPr>
      </w:pPr>
    </w:p>
    <w:p w:rsidR="00BA75E9" w:rsidRPr="001B157C" w:rsidRDefault="00BA75E9" w:rsidP="00BA75E9">
      <w:pPr>
        <w:rPr>
          <w:sz w:val="20"/>
          <w:szCs w:val="20"/>
          <w:u w:val="single"/>
        </w:rPr>
      </w:pPr>
      <w:r w:rsidRPr="001B157C">
        <w:rPr>
          <w:sz w:val="20"/>
          <w:szCs w:val="20"/>
          <w:u w:val="single"/>
        </w:rPr>
        <w:t>CASE SUMMARY</w:t>
      </w:r>
    </w:p>
    <w:p w:rsidR="00BA75E9" w:rsidRDefault="00BA75E9" w:rsidP="00BA75E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A75E9" w:rsidRPr="00E007CB" w:rsidTr="00370584">
        <w:tc>
          <w:tcPr>
            <w:tcW w:w="5000" w:type="pct"/>
            <w:gridSpan w:val="3"/>
          </w:tcPr>
          <w:p w:rsidR="00BA75E9" w:rsidRPr="00E007CB" w:rsidRDefault="00BA75E9" w:rsidP="00370584">
            <w:pPr>
              <w:jc w:val="both"/>
              <w:rPr>
                <w:rFonts w:eastAsia="Calibri"/>
                <w:smallCaps/>
                <w:sz w:val="20"/>
              </w:rPr>
            </w:pPr>
            <w:r w:rsidRPr="00E007CB">
              <w:rPr>
                <w:rFonts w:eastAsia="Calibri"/>
                <w:smallCaps/>
                <w:sz w:val="20"/>
              </w:rPr>
              <w:t xml:space="preserve">(Publication </w:t>
            </w:r>
            <w:r>
              <w:rPr>
                <w:rFonts w:eastAsia="Calibri"/>
                <w:smallCaps/>
                <w:sz w:val="20"/>
              </w:rPr>
              <w:t>B</w:t>
            </w:r>
            <w:r w:rsidRPr="00E007CB">
              <w:rPr>
                <w:rFonts w:eastAsia="Calibri"/>
                <w:smallCaps/>
                <w:sz w:val="20"/>
              </w:rPr>
              <w:t xml:space="preserve">an in </w:t>
            </w:r>
            <w:r>
              <w:rPr>
                <w:rFonts w:eastAsia="Calibri"/>
                <w:smallCaps/>
                <w:sz w:val="20"/>
              </w:rPr>
              <w:t>C</w:t>
            </w:r>
            <w:r w:rsidRPr="00E007CB">
              <w:rPr>
                <w:rFonts w:eastAsia="Calibri"/>
                <w:smallCaps/>
                <w:sz w:val="20"/>
              </w:rPr>
              <w:t>ase)</w:t>
            </w:r>
          </w:p>
          <w:p w:rsidR="00BA75E9" w:rsidRPr="00E007CB" w:rsidRDefault="00BA75E9" w:rsidP="00370584">
            <w:pPr>
              <w:jc w:val="both"/>
              <w:rPr>
                <w:rFonts w:eastAsia="Calibri"/>
                <w:sz w:val="20"/>
              </w:rPr>
            </w:pPr>
          </w:p>
        </w:tc>
      </w:tr>
      <w:tr w:rsidR="00BA75E9" w:rsidRPr="00E007CB" w:rsidTr="00370584">
        <w:tc>
          <w:tcPr>
            <w:tcW w:w="5000" w:type="pct"/>
            <w:gridSpan w:val="3"/>
          </w:tcPr>
          <w:p w:rsidR="00BA75E9" w:rsidRPr="00E007CB" w:rsidRDefault="00BA75E9" w:rsidP="00370584">
            <w:pPr>
              <w:jc w:val="both"/>
              <w:rPr>
                <w:rFonts w:eastAsia="Calibri"/>
                <w:sz w:val="20"/>
              </w:rPr>
            </w:pPr>
            <w:r w:rsidRPr="00E007CB">
              <w:rPr>
                <w:rFonts w:eastAsia="Calibri"/>
                <w:sz w:val="20"/>
              </w:rPr>
              <w:t>Criminal law — Sentencing — Accused convicted of assault with weapon, aggravated sexual assault, choking to overcome resistance and breach of undertaking following attack on young woman — Accused sentenced to 17 years imprisonment for attack and additional 10 years consecutive for another incident, for which accused tried at same time — Because accused should not have been tried for two incidents at same time, Supreme Court of Canada set aside all his convictions and ordered separate retrials — Following retrial on attack on young woman, accused found guilty and sentenced to 17 years again, minus 9.5 years credit for time spent in custody, for balance of 7.5 years — Whether sentence following retrial for attack on young woman was reasonable — Whether Court of Appeal erred in law in not considering that appeal and re-trial process required specific regard to impact of time spent in custody upon statutory release date that resulted from sentence, if stated intention of sentencing judge on retrial was to put accused in same position as he was upon imposition of sentence by other sentencing judge at first trial?</w:t>
            </w:r>
          </w:p>
        </w:tc>
      </w:tr>
      <w:tr w:rsidR="00BA75E9" w:rsidRPr="00E007CB" w:rsidTr="00370584">
        <w:tc>
          <w:tcPr>
            <w:tcW w:w="5000" w:type="pct"/>
            <w:gridSpan w:val="3"/>
          </w:tcPr>
          <w:p w:rsidR="00BA75E9" w:rsidRPr="00E007CB" w:rsidRDefault="00BA75E9" w:rsidP="00370584">
            <w:pPr>
              <w:jc w:val="both"/>
              <w:rPr>
                <w:rFonts w:eastAsia="Calibri"/>
                <w:sz w:val="20"/>
              </w:rPr>
            </w:pPr>
          </w:p>
        </w:tc>
      </w:tr>
      <w:tr w:rsidR="00BA75E9" w:rsidRPr="00E007CB" w:rsidTr="00370584">
        <w:tc>
          <w:tcPr>
            <w:tcW w:w="5000" w:type="pct"/>
            <w:gridSpan w:val="3"/>
          </w:tcPr>
          <w:p w:rsidR="00BA75E9" w:rsidRPr="00E007CB" w:rsidRDefault="00BA75E9" w:rsidP="00370584">
            <w:pPr>
              <w:jc w:val="both"/>
              <w:rPr>
                <w:rFonts w:eastAsia="Calibri"/>
                <w:sz w:val="20"/>
              </w:rPr>
            </w:pPr>
            <w:r w:rsidRPr="00E007CB">
              <w:rPr>
                <w:rFonts w:eastAsia="Calibri"/>
                <w:sz w:val="20"/>
              </w:rPr>
              <w:t>The applicant, Mr. Last, was convicted of assault with a weapon, aggravated sexual assault, choking to overcome resistance and breach of an undertaking.  The charges arose out of a attack on a young woman.  Mr. Last was sentenced to 17 years imprisonment for this attack and an additional 10 years consecutive for another incident, for which he was tried at the same time. But because he should not have been tried for the two incidents at the same time, this Court set aside all Mr. Last’s convictions and ordered separate retrials ([2009] 3 S.C.R. 146, 2009 SCC 45).  Following the retrial on the first incident, Mr. Last was found guilty and sentenced to 17 years again, minus 9.5 years credit for time spent in custody, for a balance of 7.5 years.  The issue is whether Mr. Last’s sentence following the retrial on the first incident was reasonable?</w:t>
            </w:r>
          </w:p>
          <w:p w:rsidR="00BA75E9" w:rsidRPr="00E007CB" w:rsidRDefault="00BA75E9" w:rsidP="00370584">
            <w:pPr>
              <w:jc w:val="both"/>
              <w:rPr>
                <w:rFonts w:eastAsia="Calibri"/>
                <w:sz w:val="20"/>
              </w:rPr>
            </w:pPr>
          </w:p>
        </w:tc>
      </w:tr>
      <w:tr w:rsidR="00BA75E9" w:rsidRPr="00E007CB" w:rsidTr="00370584">
        <w:tc>
          <w:tcPr>
            <w:tcW w:w="2427" w:type="pct"/>
          </w:tcPr>
          <w:p w:rsidR="00BA75E9" w:rsidRPr="00695043" w:rsidRDefault="00BA75E9" w:rsidP="00370584">
            <w:pPr>
              <w:jc w:val="both"/>
              <w:rPr>
                <w:rFonts w:eastAsia="Calibri"/>
                <w:sz w:val="20"/>
              </w:rPr>
            </w:pPr>
            <w:r w:rsidRPr="00695043">
              <w:rPr>
                <w:rFonts w:eastAsia="Calibri"/>
                <w:sz w:val="20"/>
              </w:rPr>
              <w:t>February 11, 2011</w:t>
            </w:r>
          </w:p>
          <w:p w:rsidR="00BA75E9" w:rsidRPr="00695043" w:rsidRDefault="00BA75E9" w:rsidP="00370584">
            <w:pPr>
              <w:jc w:val="both"/>
              <w:rPr>
                <w:rFonts w:eastAsia="Calibri"/>
                <w:sz w:val="20"/>
              </w:rPr>
            </w:pPr>
            <w:r w:rsidRPr="00695043">
              <w:rPr>
                <w:rFonts w:eastAsia="Calibri"/>
                <w:sz w:val="20"/>
              </w:rPr>
              <w:t>Ontario Superior Court of Justice</w:t>
            </w:r>
          </w:p>
          <w:p w:rsidR="00BA75E9" w:rsidRPr="00695043" w:rsidRDefault="00BA75E9" w:rsidP="00370584">
            <w:pPr>
              <w:jc w:val="both"/>
              <w:rPr>
                <w:rFonts w:eastAsia="Calibri"/>
                <w:sz w:val="20"/>
              </w:rPr>
            </w:pPr>
            <w:r w:rsidRPr="00695043">
              <w:rPr>
                <w:rFonts w:eastAsia="Calibri"/>
                <w:sz w:val="20"/>
              </w:rPr>
              <w:t>(Little J.)</w:t>
            </w:r>
          </w:p>
          <w:p w:rsidR="00BA75E9" w:rsidRPr="00695043" w:rsidRDefault="00BA75E9" w:rsidP="00370584">
            <w:pPr>
              <w:jc w:val="both"/>
              <w:rPr>
                <w:rFonts w:eastAsia="Calibri"/>
                <w:sz w:val="20"/>
              </w:rPr>
            </w:pPr>
          </w:p>
        </w:tc>
        <w:tc>
          <w:tcPr>
            <w:tcW w:w="243" w:type="pct"/>
          </w:tcPr>
          <w:p w:rsidR="00BA75E9" w:rsidRPr="00695043" w:rsidRDefault="00BA75E9" w:rsidP="00370584">
            <w:pPr>
              <w:jc w:val="both"/>
              <w:rPr>
                <w:rFonts w:eastAsia="Calibri"/>
                <w:sz w:val="20"/>
              </w:rPr>
            </w:pPr>
          </w:p>
        </w:tc>
        <w:tc>
          <w:tcPr>
            <w:tcW w:w="2330" w:type="pct"/>
          </w:tcPr>
          <w:p w:rsidR="00BA75E9" w:rsidRPr="00695043" w:rsidRDefault="00BA75E9" w:rsidP="00370584">
            <w:pPr>
              <w:jc w:val="both"/>
              <w:rPr>
                <w:rFonts w:eastAsia="Calibri"/>
                <w:sz w:val="20"/>
              </w:rPr>
            </w:pPr>
            <w:r w:rsidRPr="00695043">
              <w:rPr>
                <w:rFonts w:eastAsia="Calibri"/>
                <w:sz w:val="20"/>
              </w:rPr>
              <w:t>Applicant convicted of assault with a weapon, aggravated sexual assault, choking to overcome resistance and breach of an undertaking. Applicant sentenced to 7.5 years imprisonment, in addition to 9.5 years credit for time spent in pre-sentence custody.</w:t>
            </w:r>
          </w:p>
          <w:p w:rsidR="00BA75E9" w:rsidRPr="00695043" w:rsidRDefault="00BA75E9" w:rsidP="00370584">
            <w:pPr>
              <w:jc w:val="both"/>
              <w:rPr>
                <w:rFonts w:eastAsia="Calibri"/>
                <w:sz w:val="20"/>
              </w:rPr>
            </w:pPr>
          </w:p>
        </w:tc>
      </w:tr>
      <w:tr w:rsidR="00BA75E9" w:rsidRPr="00E007CB" w:rsidTr="00370584">
        <w:tc>
          <w:tcPr>
            <w:tcW w:w="2427" w:type="pct"/>
          </w:tcPr>
          <w:p w:rsidR="00BA75E9" w:rsidRPr="00695043" w:rsidRDefault="00BA75E9" w:rsidP="00370584">
            <w:pPr>
              <w:jc w:val="both"/>
              <w:rPr>
                <w:rFonts w:eastAsia="Calibri"/>
                <w:sz w:val="20"/>
              </w:rPr>
            </w:pPr>
            <w:r w:rsidRPr="00695043">
              <w:rPr>
                <w:rFonts w:eastAsia="Calibri"/>
                <w:sz w:val="20"/>
              </w:rPr>
              <w:t>November 20, 2012</w:t>
            </w:r>
          </w:p>
          <w:p w:rsidR="00BA75E9" w:rsidRPr="00695043" w:rsidRDefault="00BA75E9" w:rsidP="00370584">
            <w:pPr>
              <w:jc w:val="both"/>
              <w:rPr>
                <w:rFonts w:eastAsia="Calibri"/>
                <w:sz w:val="20"/>
              </w:rPr>
            </w:pPr>
            <w:r w:rsidRPr="00695043">
              <w:rPr>
                <w:rFonts w:eastAsia="Calibri"/>
                <w:sz w:val="20"/>
              </w:rPr>
              <w:t>Court of Appeal for Ontario</w:t>
            </w:r>
          </w:p>
          <w:p w:rsidR="00BA75E9" w:rsidRPr="00695043" w:rsidRDefault="00BA75E9" w:rsidP="00370584">
            <w:pPr>
              <w:jc w:val="both"/>
              <w:rPr>
                <w:rFonts w:eastAsia="Calibri"/>
                <w:sz w:val="20"/>
              </w:rPr>
            </w:pPr>
            <w:r w:rsidRPr="00695043">
              <w:rPr>
                <w:rFonts w:eastAsia="Calibri"/>
                <w:sz w:val="20"/>
              </w:rPr>
              <w:t>(Epstein, Juriansz and Watt JJ.A.)</w:t>
            </w:r>
          </w:p>
          <w:p w:rsidR="00BA75E9" w:rsidRPr="00695043" w:rsidRDefault="00BA75E9" w:rsidP="00370584">
            <w:pPr>
              <w:jc w:val="both"/>
              <w:rPr>
                <w:rFonts w:eastAsia="Calibri"/>
                <w:sz w:val="20"/>
              </w:rPr>
            </w:pPr>
          </w:p>
        </w:tc>
        <w:tc>
          <w:tcPr>
            <w:tcW w:w="243" w:type="pct"/>
          </w:tcPr>
          <w:p w:rsidR="00BA75E9" w:rsidRPr="00695043" w:rsidRDefault="00BA75E9" w:rsidP="00370584">
            <w:pPr>
              <w:jc w:val="both"/>
              <w:rPr>
                <w:rFonts w:eastAsia="Calibri"/>
                <w:sz w:val="20"/>
              </w:rPr>
            </w:pPr>
          </w:p>
        </w:tc>
        <w:tc>
          <w:tcPr>
            <w:tcW w:w="2330" w:type="pct"/>
          </w:tcPr>
          <w:p w:rsidR="00BA75E9" w:rsidRPr="00695043" w:rsidRDefault="00BA75E9" w:rsidP="00370584">
            <w:pPr>
              <w:jc w:val="both"/>
              <w:rPr>
                <w:rFonts w:eastAsia="Calibri"/>
                <w:sz w:val="20"/>
              </w:rPr>
            </w:pPr>
            <w:r w:rsidRPr="00695043">
              <w:rPr>
                <w:rFonts w:eastAsia="Calibri"/>
                <w:sz w:val="20"/>
              </w:rPr>
              <w:t>Applicant’s appeal against sentence dismissed.</w:t>
            </w:r>
          </w:p>
          <w:p w:rsidR="00BA75E9" w:rsidRPr="00695043" w:rsidRDefault="00BA75E9" w:rsidP="00370584">
            <w:pPr>
              <w:jc w:val="both"/>
              <w:rPr>
                <w:rFonts w:eastAsia="Calibri"/>
                <w:sz w:val="20"/>
              </w:rPr>
            </w:pPr>
          </w:p>
        </w:tc>
      </w:tr>
      <w:tr w:rsidR="00BA75E9" w:rsidRPr="00E007CB" w:rsidTr="00370584">
        <w:tc>
          <w:tcPr>
            <w:tcW w:w="2427" w:type="pct"/>
          </w:tcPr>
          <w:p w:rsidR="00BA75E9" w:rsidRPr="00695043" w:rsidRDefault="00BA75E9" w:rsidP="00370584">
            <w:pPr>
              <w:jc w:val="both"/>
              <w:rPr>
                <w:rFonts w:eastAsia="Calibri"/>
                <w:sz w:val="20"/>
              </w:rPr>
            </w:pPr>
            <w:r w:rsidRPr="00695043">
              <w:rPr>
                <w:rFonts w:eastAsia="Calibri"/>
                <w:sz w:val="20"/>
              </w:rPr>
              <w:lastRenderedPageBreak/>
              <w:t>January 17, 2013</w:t>
            </w:r>
          </w:p>
          <w:p w:rsidR="00BA75E9" w:rsidRPr="00695043" w:rsidRDefault="00BA75E9" w:rsidP="00370584">
            <w:pPr>
              <w:jc w:val="both"/>
              <w:rPr>
                <w:rFonts w:eastAsia="Calibri"/>
                <w:sz w:val="20"/>
              </w:rPr>
            </w:pPr>
            <w:r w:rsidRPr="00695043">
              <w:rPr>
                <w:rFonts w:eastAsia="Calibri"/>
                <w:sz w:val="20"/>
              </w:rPr>
              <w:t>Supreme Court of Canada</w:t>
            </w:r>
          </w:p>
        </w:tc>
        <w:tc>
          <w:tcPr>
            <w:tcW w:w="243" w:type="pct"/>
          </w:tcPr>
          <w:p w:rsidR="00BA75E9" w:rsidRPr="00695043" w:rsidRDefault="00BA75E9" w:rsidP="00370584">
            <w:pPr>
              <w:jc w:val="both"/>
              <w:rPr>
                <w:rFonts w:eastAsia="Calibri"/>
                <w:sz w:val="20"/>
              </w:rPr>
            </w:pPr>
          </w:p>
        </w:tc>
        <w:tc>
          <w:tcPr>
            <w:tcW w:w="2330" w:type="pct"/>
          </w:tcPr>
          <w:p w:rsidR="00BA75E9" w:rsidRPr="00695043" w:rsidRDefault="00BA75E9" w:rsidP="00370584">
            <w:pPr>
              <w:jc w:val="both"/>
              <w:rPr>
                <w:rFonts w:eastAsia="Calibri"/>
                <w:sz w:val="20"/>
              </w:rPr>
            </w:pPr>
            <w:r w:rsidRPr="00695043">
              <w:rPr>
                <w:rFonts w:eastAsia="Calibri"/>
                <w:sz w:val="20"/>
              </w:rPr>
              <w:t>Application for leave to appeal filed.</w:t>
            </w:r>
          </w:p>
          <w:p w:rsidR="00BA75E9" w:rsidRPr="00695043" w:rsidRDefault="00BA75E9" w:rsidP="00370584">
            <w:pPr>
              <w:jc w:val="both"/>
              <w:rPr>
                <w:rFonts w:eastAsia="Calibri"/>
                <w:sz w:val="20"/>
              </w:rPr>
            </w:pPr>
          </w:p>
        </w:tc>
      </w:tr>
    </w:tbl>
    <w:p w:rsidR="00BA75E9" w:rsidRDefault="00BA75E9" w:rsidP="00BA75E9">
      <w:pPr>
        <w:rPr>
          <w:sz w:val="20"/>
          <w:szCs w:val="20"/>
        </w:rPr>
      </w:pPr>
    </w:p>
    <w:p w:rsidR="00BA75E9" w:rsidRPr="00C50A5C" w:rsidRDefault="00B35B95" w:rsidP="00BA75E9">
      <w:pPr>
        <w:rPr>
          <w:sz w:val="20"/>
          <w:szCs w:val="20"/>
        </w:rPr>
      </w:pPr>
      <w:r w:rsidRPr="00B35B95">
        <w:rPr>
          <w:sz w:val="20"/>
          <w:szCs w:val="20"/>
          <w:lang w:val="fr-CA"/>
        </w:rPr>
        <w:pict>
          <v:rect id="_x0000_i1054" style="width:2in;height:1pt" o:hrpct="0" o:hralign="center" o:hrstd="t" o:hrnoshade="t" o:hr="t" fillcolor="black [3213]" stroked="f"/>
        </w:pict>
      </w:r>
    </w:p>
    <w:p w:rsidR="00BA75E9" w:rsidRDefault="00BA75E9" w:rsidP="00BA75E9">
      <w:pPr>
        <w:rPr>
          <w:sz w:val="20"/>
          <w:szCs w:val="20"/>
        </w:rPr>
      </w:pPr>
    </w:p>
    <w:p w:rsidR="00BA75E9" w:rsidRPr="001B157C" w:rsidRDefault="00BA75E9" w:rsidP="00BA75E9">
      <w:pPr>
        <w:rPr>
          <w:sz w:val="20"/>
          <w:szCs w:val="20"/>
          <w:u w:val="single"/>
          <w:lang w:val="fr-CA"/>
        </w:rPr>
      </w:pPr>
      <w:r w:rsidRPr="001B157C">
        <w:rPr>
          <w:sz w:val="20"/>
          <w:szCs w:val="20"/>
          <w:u w:val="single"/>
          <w:lang w:val="fr-CA"/>
        </w:rPr>
        <w:t>RÉSUMÉ DE L’AFFAIRE</w:t>
      </w:r>
    </w:p>
    <w:p w:rsidR="00BA75E9" w:rsidRDefault="00BA75E9" w:rsidP="00BA75E9">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BA75E9" w:rsidRPr="00EE440E" w:rsidTr="00370584">
        <w:tc>
          <w:tcPr>
            <w:tcW w:w="5000" w:type="pct"/>
            <w:gridSpan w:val="3"/>
          </w:tcPr>
          <w:p w:rsidR="00BA75E9" w:rsidRPr="00E007CB" w:rsidRDefault="00BA75E9" w:rsidP="00370584">
            <w:pPr>
              <w:jc w:val="both"/>
              <w:rPr>
                <w:rFonts w:eastAsia="Calibri"/>
                <w:smallCaps/>
                <w:sz w:val="20"/>
                <w:lang w:val="fr-CA"/>
              </w:rPr>
            </w:pPr>
            <w:r w:rsidRPr="00E007CB">
              <w:rPr>
                <w:rFonts w:eastAsia="Calibri"/>
                <w:smallCaps/>
                <w:sz w:val="20"/>
                <w:lang w:val="fr-CA"/>
              </w:rPr>
              <w:t>(Ordonnance de non-publication dans le dossier)</w:t>
            </w:r>
          </w:p>
          <w:p w:rsidR="00BA75E9" w:rsidRPr="00E007CB" w:rsidRDefault="00BA75E9" w:rsidP="00370584">
            <w:pPr>
              <w:jc w:val="both"/>
              <w:rPr>
                <w:rFonts w:eastAsia="Calibri"/>
                <w:sz w:val="20"/>
                <w:lang w:val="fr-CA"/>
              </w:rPr>
            </w:pPr>
          </w:p>
        </w:tc>
      </w:tr>
      <w:tr w:rsidR="00BA75E9" w:rsidRPr="00EE440E" w:rsidTr="00370584">
        <w:tc>
          <w:tcPr>
            <w:tcW w:w="5000" w:type="pct"/>
            <w:gridSpan w:val="3"/>
          </w:tcPr>
          <w:p w:rsidR="00BA75E9" w:rsidRPr="00E007CB" w:rsidRDefault="00BA75E9" w:rsidP="00370584">
            <w:pPr>
              <w:jc w:val="both"/>
              <w:rPr>
                <w:rFonts w:eastAsia="Calibri"/>
                <w:sz w:val="20"/>
                <w:lang w:val="fr-CA"/>
              </w:rPr>
            </w:pPr>
            <w:r w:rsidRPr="00E007CB">
              <w:rPr>
                <w:rFonts w:eastAsia="Calibri"/>
                <w:sz w:val="20"/>
                <w:lang w:val="fr-CA"/>
              </w:rPr>
              <w:t>Droit criminel — Détermination de la peine — Accusé déclaré coupable d’agression armée, d'agression sexuelle grave, d'étouffement pour vaincre la résistance et de manquement à un engagement à la suite d'une agression contre une jeune femme — Accusé condamné à une peine d'emprisonnement de 17 ans pour l'agression et d'une peine supplémentaire consécutive de 10 ans relativement à un autre incident pour lequel l'accusé a subi son procès en même temps — Parce que l'accusé n'aurait pas dû subir son procès relativement à deux incidents en même temps, la Cour suprême du Canada a annulé toutes les déclarations de culpabilité et ordonné la tenue de nouveaux procès distincts — Au terme d'un nouveau procès pour l’agression contre la jeune femme, l'accusé a été déclaré coupable et condamné de nouveau à une peine d'emprisonnement de 17 ans, moins 9,5 ans pour le temps passé en détention, c'est-à-dire une peine de 7,5 ans à purger — La peine imposée au terme du nouveau procès pour l'agression contre la jeune femme était-elle raisonnable? — La Cour d'appel a-t-elle commis une erreur de droit en omettant de considérer que, relativement au processus d'appel et de nouveau procès, il fallait prendre spécialement en considération l’incidence du temps passé en détention sur la date de libération prévue par la loi qui résultait de la peine, si l'intention déclarée du juge qui a prononcé la peine au terme du nouveau procès était de replacer l'accusé dans la même situation que celle dans laquelle il se trouvait au moment de l'imposition de la peine par l'autre juge qui a prononcé la peine au premier procès?</w:t>
            </w:r>
          </w:p>
        </w:tc>
      </w:tr>
      <w:tr w:rsidR="00BA75E9" w:rsidRPr="00EE440E" w:rsidTr="00370584">
        <w:tc>
          <w:tcPr>
            <w:tcW w:w="5000" w:type="pct"/>
            <w:gridSpan w:val="3"/>
          </w:tcPr>
          <w:p w:rsidR="00BA75E9" w:rsidRPr="00E007CB" w:rsidRDefault="00BA75E9" w:rsidP="00370584">
            <w:pPr>
              <w:jc w:val="both"/>
              <w:rPr>
                <w:rFonts w:eastAsia="Calibri"/>
                <w:sz w:val="20"/>
                <w:lang w:val="fr-CA"/>
              </w:rPr>
            </w:pPr>
          </w:p>
        </w:tc>
      </w:tr>
      <w:tr w:rsidR="00BA75E9" w:rsidRPr="00370584" w:rsidTr="00370584">
        <w:tc>
          <w:tcPr>
            <w:tcW w:w="5000" w:type="pct"/>
            <w:gridSpan w:val="3"/>
          </w:tcPr>
          <w:p w:rsidR="00BA75E9" w:rsidRPr="00E007CB" w:rsidRDefault="00BA75E9" w:rsidP="00370584">
            <w:pPr>
              <w:jc w:val="both"/>
              <w:rPr>
                <w:rFonts w:eastAsia="Calibri"/>
                <w:sz w:val="20"/>
                <w:lang w:val="fr-CA"/>
              </w:rPr>
            </w:pPr>
            <w:r w:rsidRPr="00E007CB">
              <w:rPr>
                <w:rFonts w:eastAsia="Calibri"/>
                <w:sz w:val="20"/>
                <w:lang w:val="fr-CA"/>
              </w:rPr>
              <w:t xml:space="preserve">Le demandeur, M. Last, a été déclaré coupable d’agression armée, d'agression sexuelle grave, d'étouffement pour vaincre la résistance et de manquement à un engagement.  Les accusations découlaient d'une agression contre une jeune femme.  Monsieur Last a été condamné à une peine d'emprisonnement de 17 ans pour cette agression et d'une peine supplémentaire consécutive de 10 ans relativement à un autre incident pour lequel l'accusé a subi son procès en même temps.  Parce qu’il n'aurait pas dû subir son procès relativement aux deux incidents en même temps, cette Cour a annulé toutes les déclarations de culpabilité de M. Last et a ordonné la tenue de nouveaux procès distincts ([2009] 3 R.C.S. 146, 2009 CSC 45).  Au terme du nouveau procès relativement au premier incident, M. Last a été déclaré coupable et condamné de nouveau à une peine d'emprisonnement de 17 ans, moins 9,5 ans pour le temps passé en détention, c'est-à-dire une peine de 7,5 ans à purger.  </w:t>
            </w:r>
            <w:bookmarkStart w:id="1" w:name="_GoBack"/>
            <w:bookmarkEnd w:id="1"/>
            <w:r w:rsidRPr="00E007CB">
              <w:rPr>
                <w:rFonts w:eastAsia="Calibri"/>
                <w:sz w:val="20"/>
                <w:lang w:val="fr-CA"/>
              </w:rPr>
              <w:t>La question en litige est de savoir si la peine imposée à M. Last au terme du nouveau procès pour l'agression contre la jeune femme était raisonnable?</w:t>
            </w:r>
          </w:p>
          <w:p w:rsidR="00BA75E9" w:rsidRPr="00E007CB" w:rsidRDefault="00BA75E9" w:rsidP="00370584">
            <w:pPr>
              <w:jc w:val="both"/>
              <w:rPr>
                <w:rFonts w:eastAsia="Calibri"/>
                <w:sz w:val="20"/>
                <w:lang w:val="fr-CA"/>
              </w:rPr>
            </w:pPr>
          </w:p>
        </w:tc>
      </w:tr>
      <w:tr w:rsidR="00BA75E9" w:rsidRPr="00695043" w:rsidTr="00370584">
        <w:tc>
          <w:tcPr>
            <w:tcW w:w="2427" w:type="pct"/>
          </w:tcPr>
          <w:p w:rsidR="00BA75E9" w:rsidRPr="00695043" w:rsidRDefault="00BA75E9" w:rsidP="00370584">
            <w:pPr>
              <w:jc w:val="both"/>
              <w:rPr>
                <w:rFonts w:eastAsia="Calibri"/>
                <w:sz w:val="20"/>
                <w:lang w:val="fr-CA"/>
              </w:rPr>
            </w:pPr>
            <w:r w:rsidRPr="00695043">
              <w:rPr>
                <w:rFonts w:eastAsia="Calibri"/>
                <w:sz w:val="20"/>
                <w:lang w:val="fr-CA"/>
              </w:rPr>
              <w:t>11 février 2011</w:t>
            </w:r>
          </w:p>
          <w:p w:rsidR="00BA75E9" w:rsidRPr="00695043" w:rsidRDefault="00BA75E9" w:rsidP="00370584">
            <w:pPr>
              <w:jc w:val="both"/>
              <w:rPr>
                <w:rFonts w:eastAsia="Calibri"/>
                <w:sz w:val="20"/>
                <w:lang w:val="fr-CA"/>
              </w:rPr>
            </w:pPr>
            <w:r w:rsidRPr="00695043">
              <w:rPr>
                <w:rFonts w:eastAsia="Calibri"/>
                <w:sz w:val="20"/>
                <w:lang w:val="fr-CA"/>
              </w:rPr>
              <w:t>Cour supérieure de justice de l'Ontario</w:t>
            </w:r>
          </w:p>
          <w:p w:rsidR="00BA75E9" w:rsidRPr="00695043" w:rsidRDefault="00BA75E9" w:rsidP="00370584">
            <w:pPr>
              <w:jc w:val="both"/>
              <w:rPr>
                <w:rFonts w:eastAsia="Calibri"/>
                <w:sz w:val="20"/>
                <w:lang w:val="fr-CA"/>
              </w:rPr>
            </w:pPr>
            <w:r w:rsidRPr="00695043">
              <w:rPr>
                <w:rFonts w:eastAsia="Calibri"/>
                <w:sz w:val="20"/>
                <w:lang w:val="fr-CA"/>
              </w:rPr>
              <w:t>(Juge Little)</w:t>
            </w:r>
          </w:p>
          <w:p w:rsidR="00BA75E9" w:rsidRPr="00695043" w:rsidRDefault="00BA75E9" w:rsidP="00370584">
            <w:pPr>
              <w:jc w:val="both"/>
              <w:rPr>
                <w:rFonts w:eastAsia="Calibri"/>
                <w:sz w:val="20"/>
                <w:lang w:val="fr-CA"/>
              </w:rPr>
            </w:pPr>
          </w:p>
        </w:tc>
        <w:tc>
          <w:tcPr>
            <w:tcW w:w="243" w:type="pct"/>
          </w:tcPr>
          <w:p w:rsidR="00BA75E9" w:rsidRPr="00695043" w:rsidRDefault="00BA75E9" w:rsidP="00370584">
            <w:pPr>
              <w:jc w:val="both"/>
              <w:rPr>
                <w:rFonts w:eastAsia="Calibri"/>
                <w:sz w:val="20"/>
                <w:lang w:val="fr-CA"/>
              </w:rPr>
            </w:pPr>
          </w:p>
        </w:tc>
        <w:tc>
          <w:tcPr>
            <w:tcW w:w="2330" w:type="pct"/>
          </w:tcPr>
          <w:p w:rsidR="00BA75E9" w:rsidRPr="00695043" w:rsidRDefault="00BA75E9" w:rsidP="00370584">
            <w:pPr>
              <w:jc w:val="both"/>
              <w:rPr>
                <w:rFonts w:eastAsia="Calibri"/>
                <w:sz w:val="20"/>
                <w:lang w:val="fr-CA"/>
              </w:rPr>
            </w:pPr>
            <w:r w:rsidRPr="00695043">
              <w:rPr>
                <w:rFonts w:eastAsia="Calibri"/>
                <w:sz w:val="20"/>
                <w:lang w:val="fr-CA"/>
              </w:rPr>
              <w:t>Accusé déclaré coupable d’agression armée, d'agression sexuelle grave, d'étouffement pour vaincre la résistance et de manquement à un engagement. Demandeur condamné à une peine d'emprisonnement de 7,5 ans, en sus d'une réduction de peine de 9,5 ans pour le temps passé en détention avant l'imposition de la peine.</w:t>
            </w:r>
          </w:p>
          <w:p w:rsidR="00BA75E9" w:rsidRPr="00695043" w:rsidRDefault="00BA75E9" w:rsidP="00370584">
            <w:pPr>
              <w:jc w:val="both"/>
              <w:rPr>
                <w:rFonts w:eastAsia="Calibri"/>
                <w:sz w:val="20"/>
                <w:lang w:val="fr-CA"/>
              </w:rPr>
            </w:pPr>
          </w:p>
        </w:tc>
      </w:tr>
      <w:tr w:rsidR="00BA75E9" w:rsidRPr="00695043" w:rsidTr="00370584">
        <w:tc>
          <w:tcPr>
            <w:tcW w:w="2427" w:type="pct"/>
          </w:tcPr>
          <w:p w:rsidR="00BA75E9" w:rsidRPr="00695043" w:rsidRDefault="00BA75E9" w:rsidP="00370584">
            <w:pPr>
              <w:jc w:val="both"/>
              <w:rPr>
                <w:rFonts w:eastAsia="Calibri"/>
                <w:sz w:val="20"/>
                <w:lang w:val="fr-CA"/>
              </w:rPr>
            </w:pPr>
            <w:r w:rsidRPr="00695043">
              <w:rPr>
                <w:rFonts w:eastAsia="Calibri"/>
                <w:sz w:val="20"/>
                <w:lang w:val="fr-CA"/>
              </w:rPr>
              <w:t>20 novembre 2012</w:t>
            </w:r>
          </w:p>
          <w:p w:rsidR="00BA75E9" w:rsidRPr="00695043" w:rsidRDefault="00BA75E9" w:rsidP="00370584">
            <w:pPr>
              <w:jc w:val="both"/>
              <w:rPr>
                <w:rFonts w:eastAsia="Calibri"/>
                <w:sz w:val="20"/>
                <w:lang w:val="fr-CA"/>
              </w:rPr>
            </w:pPr>
            <w:r w:rsidRPr="00695043">
              <w:rPr>
                <w:rFonts w:eastAsia="Calibri"/>
                <w:sz w:val="20"/>
                <w:lang w:val="fr-CA"/>
              </w:rPr>
              <w:t xml:space="preserve">Cour d'appel de l'Ontario </w:t>
            </w:r>
          </w:p>
          <w:p w:rsidR="00BA75E9" w:rsidRPr="00695043" w:rsidRDefault="00BA75E9" w:rsidP="00370584">
            <w:pPr>
              <w:jc w:val="both"/>
              <w:rPr>
                <w:rFonts w:eastAsia="Calibri"/>
                <w:sz w:val="20"/>
                <w:lang w:val="fr-CA"/>
              </w:rPr>
            </w:pPr>
            <w:r w:rsidRPr="00695043">
              <w:rPr>
                <w:rFonts w:eastAsia="Calibri"/>
                <w:sz w:val="20"/>
                <w:lang w:val="fr-CA"/>
              </w:rPr>
              <w:t>(Juges Epstein, Juriansz et Watt)</w:t>
            </w:r>
          </w:p>
        </w:tc>
        <w:tc>
          <w:tcPr>
            <w:tcW w:w="243" w:type="pct"/>
          </w:tcPr>
          <w:p w:rsidR="00BA75E9" w:rsidRPr="00695043" w:rsidRDefault="00BA75E9" w:rsidP="00370584">
            <w:pPr>
              <w:jc w:val="both"/>
              <w:rPr>
                <w:rFonts w:eastAsia="Calibri"/>
                <w:sz w:val="20"/>
                <w:lang w:val="fr-CA"/>
              </w:rPr>
            </w:pPr>
          </w:p>
        </w:tc>
        <w:tc>
          <w:tcPr>
            <w:tcW w:w="2330" w:type="pct"/>
          </w:tcPr>
          <w:p w:rsidR="00BA75E9" w:rsidRPr="00695043" w:rsidRDefault="00BA75E9" w:rsidP="00370584">
            <w:pPr>
              <w:jc w:val="both"/>
              <w:rPr>
                <w:rFonts w:eastAsia="Calibri"/>
                <w:sz w:val="20"/>
                <w:lang w:val="fr-CA"/>
              </w:rPr>
            </w:pPr>
            <w:r w:rsidRPr="00695043">
              <w:rPr>
                <w:rFonts w:eastAsia="Calibri"/>
                <w:sz w:val="20"/>
                <w:lang w:val="fr-CA"/>
              </w:rPr>
              <w:t>Appel de la peine interjeté par le demandeur, rejeté.</w:t>
            </w:r>
          </w:p>
          <w:p w:rsidR="00BA75E9" w:rsidRPr="00695043" w:rsidRDefault="00BA75E9" w:rsidP="00370584">
            <w:pPr>
              <w:jc w:val="both"/>
              <w:rPr>
                <w:rFonts w:eastAsia="Calibri"/>
                <w:sz w:val="20"/>
                <w:lang w:val="fr-CA"/>
              </w:rPr>
            </w:pPr>
          </w:p>
        </w:tc>
      </w:tr>
    </w:tbl>
    <w:p w:rsidR="00BA75E9" w:rsidRPr="00695043" w:rsidRDefault="00BA75E9" w:rsidP="00BA75E9">
      <w:pPr>
        <w:rPr>
          <w:lang w:val="fr-CA"/>
        </w:rPr>
      </w:pPr>
    </w:p>
    <w:p w:rsidR="00BA75E9" w:rsidRPr="00695043" w:rsidRDefault="00BA75E9" w:rsidP="00BA75E9">
      <w:pPr>
        <w:rPr>
          <w:lang w:val="fr-CA"/>
        </w:rPr>
      </w:pPr>
      <w:r w:rsidRPr="00695043">
        <w:rPr>
          <w:lang w:val="fr-CA"/>
        </w:rPr>
        <w:br w:type="page"/>
      </w:r>
    </w:p>
    <w:tbl>
      <w:tblPr>
        <w:tblW w:w="4952" w:type="pct"/>
        <w:tblLayout w:type="fixed"/>
        <w:tblCellMar>
          <w:left w:w="0" w:type="dxa"/>
          <w:bottom w:w="99" w:type="dxa"/>
          <w:right w:w="0" w:type="dxa"/>
        </w:tblCellMar>
        <w:tblLook w:val="00A0"/>
      </w:tblPr>
      <w:tblGrid>
        <w:gridCol w:w="4624"/>
        <w:gridCol w:w="463"/>
        <w:gridCol w:w="4440"/>
      </w:tblGrid>
      <w:tr w:rsidR="00BA75E9" w:rsidRPr="00E007CB" w:rsidTr="00370584">
        <w:tc>
          <w:tcPr>
            <w:tcW w:w="2427" w:type="pct"/>
          </w:tcPr>
          <w:p w:rsidR="00BA75E9" w:rsidRPr="00695043" w:rsidRDefault="00BA75E9" w:rsidP="00370584">
            <w:pPr>
              <w:jc w:val="both"/>
              <w:rPr>
                <w:rFonts w:eastAsia="Calibri"/>
                <w:sz w:val="20"/>
                <w:lang w:val="fr-CA"/>
              </w:rPr>
            </w:pPr>
            <w:r w:rsidRPr="00695043">
              <w:rPr>
                <w:rFonts w:eastAsia="Calibri"/>
                <w:sz w:val="20"/>
                <w:lang w:val="fr-CA"/>
              </w:rPr>
              <w:lastRenderedPageBreak/>
              <w:t>17 janvier 2013</w:t>
            </w:r>
          </w:p>
          <w:p w:rsidR="00BA75E9" w:rsidRPr="00695043" w:rsidRDefault="00BA75E9" w:rsidP="00370584">
            <w:pPr>
              <w:jc w:val="both"/>
              <w:rPr>
                <w:rFonts w:eastAsia="Calibri"/>
                <w:sz w:val="20"/>
                <w:lang w:val="fr-CA"/>
              </w:rPr>
            </w:pPr>
            <w:r w:rsidRPr="00695043">
              <w:rPr>
                <w:rFonts w:eastAsia="Calibri"/>
                <w:sz w:val="20"/>
                <w:lang w:val="fr-CA"/>
              </w:rPr>
              <w:t>Cour suprême du Canada</w:t>
            </w:r>
          </w:p>
        </w:tc>
        <w:tc>
          <w:tcPr>
            <w:tcW w:w="243" w:type="pct"/>
          </w:tcPr>
          <w:p w:rsidR="00BA75E9" w:rsidRPr="00695043" w:rsidRDefault="00BA75E9" w:rsidP="00370584">
            <w:pPr>
              <w:jc w:val="both"/>
              <w:rPr>
                <w:rFonts w:eastAsia="Calibri"/>
                <w:sz w:val="20"/>
                <w:lang w:val="fr-CA"/>
              </w:rPr>
            </w:pPr>
          </w:p>
        </w:tc>
        <w:tc>
          <w:tcPr>
            <w:tcW w:w="2330" w:type="pct"/>
          </w:tcPr>
          <w:p w:rsidR="00BA75E9" w:rsidRPr="00E007CB" w:rsidRDefault="00BA75E9" w:rsidP="00370584">
            <w:pPr>
              <w:jc w:val="both"/>
              <w:rPr>
                <w:rFonts w:eastAsia="Calibri"/>
                <w:sz w:val="20"/>
                <w:lang w:val="fr-CA"/>
              </w:rPr>
            </w:pPr>
            <w:r w:rsidRPr="00695043">
              <w:rPr>
                <w:rFonts w:eastAsia="Calibri"/>
                <w:sz w:val="20"/>
                <w:lang w:val="fr-CA"/>
              </w:rPr>
              <w:t>Demande d'autorisation d'appel, déposée.</w:t>
            </w:r>
          </w:p>
          <w:p w:rsidR="00BA75E9" w:rsidRPr="00E007CB" w:rsidRDefault="00BA75E9" w:rsidP="00370584">
            <w:pPr>
              <w:jc w:val="both"/>
              <w:rPr>
                <w:rFonts w:eastAsia="Calibri"/>
                <w:sz w:val="20"/>
                <w:lang w:val="fr-CA"/>
              </w:rPr>
            </w:pPr>
          </w:p>
        </w:tc>
      </w:tr>
    </w:tbl>
    <w:p w:rsidR="00BA75E9" w:rsidRDefault="00BA75E9" w:rsidP="00BA75E9">
      <w:pPr>
        <w:rPr>
          <w:sz w:val="20"/>
          <w:szCs w:val="20"/>
        </w:rPr>
      </w:pPr>
    </w:p>
    <w:p w:rsidR="00BA75E9" w:rsidRDefault="00B35B95" w:rsidP="00BA75E9">
      <w:pPr>
        <w:rPr>
          <w:sz w:val="20"/>
          <w:szCs w:val="20"/>
        </w:rPr>
      </w:pPr>
      <w:r w:rsidRPr="00B35B95">
        <w:rPr>
          <w:sz w:val="20"/>
          <w:szCs w:val="20"/>
          <w:lang w:val="fr-CA"/>
        </w:rPr>
        <w:pict>
          <v:rect id="_x0000_i1055" style="width:2in;height:1pt" o:hrpct="0" o:hralign="center" o:hrstd="t" o:hrnoshade="t" o:hr="t" fillcolor="black [3213]" stroked="f"/>
        </w:pict>
      </w:r>
    </w:p>
    <w:p w:rsidR="00BA75E9" w:rsidRDefault="00BA75E9" w:rsidP="00BA75E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A75E9" w:rsidRPr="00A73D2C" w:rsidTr="00370584">
        <w:trPr>
          <w:cantSplit/>
        </w:trPr>
        <w:tc>
          <w:tcPr>
            <w:tcW w:w="1458" w:type="dxa"/>
          </w:tcPr>
          <w:p w:rsidR="00BA75E9" w:rsidRPr="00A73D2C" w:rsidRDefault="00BA75E9" w:rsidP="00370584">
            <w:pPr>
              <w:rPr>
                <w:sz w:val="20"/>
                <w:szCs w:val="20"/>
              </w:rPr>
            </w:pPr>
            <w:r w:rsidRPr="00A73D2C">
              <w:rPr>
                <w:rStyle w:val="SCCFileNumberChar"/>
                <w:sz w:val="20"/>
                <w:szCs w:val="20"/>
              </w:rPr>
              <w:t>35212</w:t>
            </w:r>
          </w:p>
          <w:p w:rsidR="00BA75E9" w:rsidRPr="00A73D2C" w:rsidRDefault="00BA75E9" w:rsidP="00370584">
            <w:pPr>
              <w:rPr>
                <w:b/>
                <w:sz w:val="20"/>
                <w:szCs w:val="20"/>
                <w:lang w:val="fr-CA"/>
              </w:rPr>
            </w:pPr>
          </w:p>
        </w:tc>
        <w:tc>
          <w:tcPr>
            <w:tcW w:w="8118" w:type="dxa"/>
          </w:tcPr>
          <w:p w:rsidR="00BA75E9" w:rsidRPr="00A73D2C" w:rsidRDefault="00BA75E9" w:rsidP="00370584">
            <w:pPr>
              <w:rPr>
                <w:sz w:val="20"/>
                <w:szCs w:val="20"/>
              </w:rPr>
            </w:pPr>
            <w:r w:rsidRPr="00A73D2C">
              <w:rPr>
                <w:rStyle w:val="SCCLsocChar"/>
                <w:sz w:val="20"/>
                <w:szCs w:val="20"/>
                <w:lang w:val="en-CA"/>
              </w:rPr>
              <w:t>James Douglas Robertson v. Her Majesty the Queen</w:t>
            </w:r>
            <w:r w:rsidRPr="00A73D2C">
              <w:rPr>
                <w:sz w:val="20"/>
                <w:szCs w:val="20"/>
              </w:rPr>
              <w:t xml:space="preserve"> (Ont.) (Criminal) (By Leave)</w:t>
            </w:r>
          </w:p>
          <w:p w:rsidR="00BA75E9" w:rsidRPr="00A73D2C" w:rsidRDefault="00BA75E9" w:rsidP="00370584">
            <w:pPr>
              <w:rPr>
                <w:sz w:val="20"/>
                <w:szCs w:val="20"/>
              </w:rPr>
            </w:pPr>
          </w:p>
        </w:tc>
      </w:tr>
      <w:tr w:rsidR="00BA75E9" w:rsidRPr="00A73D2C" w:rsidTr="00370584">
        <w:trPr>
          <w:cantSplit/>
        </w:trPr>
        <w:tc>
          <w:tcPr>
            <w:tcW w:w="1458" w:type="dxa"/>
          </w:tcPr>
          <w:p w:rsidR="00BA75E9" w:rsidRPr="00A73D2C" w:rsidRDefault="00BA75E9" w:rsidP="00370584">
            <w:pPr>
              <w:rPr>
                <w:sz w:val="20"/>
                <w:szCs w:val="20"/>
              </w:rPr>
            </w:pPr>
            <w:r w:rsidRPr="00A73D2C">
              <w:rPr>
                <w:sz w:val="20"/>
                <w:szCs w:val="20"/>
              </w:rPr>
              <w:t>Coram :</w:t>
            </w:r>
          </w:p>
        </w:tc>
        <w:tc>
          <w:tcPr>
            <w:tcW w:w="8118" w:type="dxa"/>
          </w:tcPr>
          <w:p w:rsidR="00BA75E9" w:rsidRPr="00A73D2C" w:rsidRDefault="00BA75E9" w:rsidP="00370584">
            <w:pPr>
              <w:rPr>
                <w:sz w:val="20"/>
                <w:szCs w:val="20"/>
              </w:rPr>
            </w:pPr>
            <w:r w:rsidRPr="00A73D2C">
              <w:rPr>
                <w:rStyle w:val="SCCCoramChar"/>
                <w:sz w:val="20"/>
                <w:szCs w:val="20"/>
                <w:lang w:val="en-CA"/>
              </w:rPr>
              <w:t>Fish, Rothstein and Moldaver JJ.</w:t>
            </w:r>
          </w:p>
          <w:p w:rsidR="00BA75E9" w:rsidRPr="00A73D2C" w:rsidRDefault="00BA75E9" w:rsidP="00370584">
            <w:pPr>
              <w:rPr>
                <w:sz w:val="20"/>
                <w:szCs w:val="20"/>
                <w:u w:val="single"/>
              </w:rPr>
            </w:pPr>
          </w:p>
        </w:tc>
      </w:tr>
      <w:tr w:rsidR="00BA75E9" w:rsidRPr="00370584" w:rsidTr="00370584">
        <w:trPr>
          <w:cantSplit/>
        </w:trPr>
        <w:tc>
          <w:tcPr>
            <w:tcW w:w="9576" w:type="dxa"/>
            <w:gridSpan w:val="2"/>
          </w:tcPr>
          <w:p w:rsidR="00BA75E9" w:rsidRPr="00A73D2C" w:rsidRDefault="00BA75E9" w:rsidP="00370584">
            <w:pPr>
              <w:pStyle w:val="SCCShortJudgment"/>
              <w:rPr>
                <w:szCs w:val="20"/>
              </w:rPr>
            </w:pPr>
            <w:r w:rsidRPr="00A73D2C">
              <w:rPr>
                <w:szCs w:val="20"/>
              </w:rPr>
              <w:t>The motion for an extension of time to serve and file the application for leave to appeal is granted. The application for leave to appeal from the judgment of the Court of Appeal for Ontario, Number C48053, 2008 ONCA 684, dated September 26, 2008, is dismissed without costs.</w:t>
            </w:r>
          </w:p>
          <w:p w:rsidR="00BA75E9" w:rsidRPr="00A73D2C" w:rsidRDefault="00BA75E9" w:rsidP="00370584">
            <w:pPr>
              <w:pStyle w:val="SCCShortJudgment"/>
              <w:ind w:firstLine="0"/>
              <w:rPr>
                <w:szCs w:val="20"/>
              </w:rPr>
            </w:pPr>
          </w:p>
          <w:p w:rsidR="00BA75E9" w:rsidRPr="00A73D2C" w:rsidRDefault="00BA75E9" w:rsidP="00370584">
            <w:pPr>
              <w:pStyle w:val="SCCShortJudgment"/>
              <w:rPr>
                <w:szCs w:val="20"/>
                <w:lang w:val="fr-CA"/>
              </w:rPr>
            </w:pPr>
            <w:r w:rsidRPr="00A73D2C">
              <w:rPr>
                <w:szCs w:val="20"/>
                <w:lang w:val="fr-CA"/>
              </w:rPr>
              <w:t>La requête en prorogation du délai de signification et de dépôt de la demande d’autorisation d’appel est accueillie.  La demande d’autorisation d’appel de l’arrêt de la Cour d’appel de l’Ontario, numéro C48053, 2008 ONCA 684, daté du 26 septembre 2008, est rejetée sans dépens.</w:t>
            </w:r>
          </w:p>
        </w:tc>
      </w:tr>
    </w:tbl>
    <w:p w:rsidR="00BA75E9" w:rsidRPr="0016547E" w:rsidRDefault="00BA75E9" w:rsidP="00BA75E9">
      <w:pPr>
        <w:rPr>
          <w:sz w:val="20"/>
          <w:szCs w:val="20"/>
          <w:lang w:val="fr-CA"/>
        </w:rPr>
      </w:pPr>
    </w:p>
    <w:p w:rsidR="00BA75E9" w:rsidRPr="001B157C" w:rsidRDefault="00BA75E9" w:rsidP="00BA75E9">
      <w:pPr>
        <w:rPr>
          <w:sz w:val="20"/>
          <w:szCs w:val="20"/>
          <w:u w:val="single"/>
        </w:rPr>
      </w:pPr>
      <w:r w:rsidRPr="001B157C">
        <w:rPr>
          <w:sz w:val="20"/>
          <w:szCs w:val="20"/>
          <w:u w:val="single"/>
        </w:rPr>
        <w:t>CASE SUMMARY</w:t>
      </w:r>
    </w:p>
    <w:p w:rsidR="00BA75E9" w:rsidRDefault="00BA75E9" w:rsidP="00BA75E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A75E9" w:rsidRPr="00E007CB" w:rsidTr="00370584">
        <w:tc>
          <w:tcPr>
            <w:tcW w:w="5000" w:type="pct"/>
            <w:gridSpan w:val="3"/>
          </w:tcPr>
          <w:p w:rsidR="00BA75E9" w:rsidRPr="00E007CB" w:rsidRDefault="00BA75E9" w:rsidP="00370584">
            <w:pPr>
              <w:jc w:val="both"/>
              <w:rPr>
                <w:rFonts w:eastAsia="Calibri"/>
                <w:smallCaps/>
                <w:sz w:val="20"/>
              </w:rPr>
            </w:pPr>
            <w:r w:rsidRPr="00E007CB">
              <w:rPr>
                <w:rFonts w:eastAsia="Calibri"/>
                <w:smallCaps/>
                <w:sz w:val="20"/>
              </w:rPr>
              <w:t xml:space="preserve">(Publication </w:t>
            </w:r>
            <w:r>
              <w:rPr>
                <w:rFonts w:eastAsia="Calibri"/>
                <w:smallCaps/>
                <w:sz w:val="20"/>
              </w:rPr>
              <w:t>B</w:t>
            </w:r>
            <w:r w:rsidRPr="00E007CB">
              <w:rPr>
                <w:rFonts w:eastAsia="Calibri"/>
                <w:smallCaps/>
                <w:sz w:val="20"/>
              </w:rPr>
              <w:t xml:space="preserve">an in </w:t>
            </w:r>
            <w:r>
              <w:rPr>
                <w:rFonts w:eastAsia="Calibri"/>
                <w:smallCaps/>
                <w:sz w:val="20"/>
              </w:rPr>
              <w:t>C</w:t>
            </w:r>
            <w:r w:rsidRPr="00E007CB">
              <w:rPr>
                <w:rFonts w:eastAsia="Calibri"/>
                <w:smallCaps/>
                <w:sz w:val="20"/>
              </w:rPr>
              <w:t>ase)</w:t>
            </w:r>
          </w:p>
          <w:p w:rsidR="00BA75E9" w:rsidRPr="00E007CB" w:rsidRDefault="00BA75E9" w:rsidP="00370584">
            <w:pPr>
              <w:jc w:val="both"/>
              <w:rPr>
                <w:rFonts w:eastAsia="Calibri"/>
                <w:sz w:val="20"/>
              </w:rPr>
            </w:pPr>
          </w:p>
          <w:p w:rsidR="00BA75E9" w:rsidRPr="00E007CB" w:rsidRDefault="00BA75E9" w:rsidP="00370584">
            <w:pPr>
              <w:jc w:val="both"/>
              <w:rPr>
                <w:rFonts w:eastAsia="Calibri"/>
                <w:sz w:val="20"/>
              </w:rPr>
            </w:pPr>
            <w:r w:rsidRPr="00E007CB">
              <w:rPr>
                <w:rFonts w:eastAsia="Calibri"/>
                <w:sz w:val="20"/>
              </w:rPr>
              <w:t>Criminal Law – Appeal – Leave to Appeal – Whether applicant raises a legal issue – Whether issue is of public importance</w:t>
            </w:r>
          </w:p>
        </w:tc>
      </w:tr>
      <w:tr w:rsidR="00BA75E9" w:rsidRPr="00E007CB" w:rsidTr="00370584">
        <w:trPr>
          <w:trHeight w:val="135"/>
        </w:trPr>
        <w:tc>
          <w:tcPr>
            <w:tcW w:w="5000" w:type="pct"/>
            <w:gridSpan w:val="3"/>
          </w:tcPr>
          <w:p w:rsidR="00BA75E9" w:rsidRPr="00E007CB" w:rsidRDefault="00BA75E9" w:rsidP="00370584">
            <w:pPr>
              <w:jc w:val="both"/>
              <w:rPr>
                <w:rFonts w:eastAsia="Calibri"/>
                <w:sz w:val="20"/>
              </w:rPr>
            </w:pPr>
          </w:p>
        </w:tc>
      </w:tr>
      <w:tr w:rsidR="00BA75E9" w:rsidRPr="00E007CB" w:rsidTr="00370584">
        <w:tc>
          <w:tcPr>
            <w:tcW w:w="5000" w:type="pct"/>
            <w:gridSpan w:val="3"/>
          </w:tcPr>
          <w:p w:rsidR="00BA75E9" w:rsidRPr="00E007CB" w:rsidRDefault="00BA75E9" w:rsidP="00370584">
            <w:pPr>
              <w:jc w:val="both"/>
              <w:rPr>
                <w:rFonts w:eastAsia="Calibri"/>
                <w:sz w:val="20"/>
              </w:rPr>
            </w:pPr>
            <w:r w:rsidRPr="00E007CB">
              <w:rPr>
                <w:rFonts w:eastAsia="Calibri"/>
                <w:sz w:val="20"/>
              </w:rPr>
              <w:t xml:space="preserve">The applicant was found not criminally responsible on account of mental disorder for criminal harassment and invitation to sexual touching.  Allegedly, he sent sexually explicit letters to a neighbouring family in part inviting the sexual touching of a young girl.  In 2003, he was found guilty of criminal harassment and invitation to sexual touching.  The Crown began examining his psychiatric history and obtained court-ordered assessments that resulted in equivocating opinions regarding whether the applicant was not criminally responsible on account of mental disorder.  An </w:t>
            </w:r>
            <w:r w:rsidRPr="00E007CB">
              <w:rPr>
                <w:rFonts w:eastAsia="Calibri"/>
                <w:i/>
                <w:sz w:val="20"/>
              </w:rPr>
              <w:t>amicus curiae</w:t>
            </w:r>
            <w:r w:rsidRPr="00E007CB">
              <w:rPr>
                <w:rFonts w:eastAsia="Calibri"/>
                <w:sz w:val="20"/>
              </w:rPr>
              <w:t xml:space="preserve"> was appointed to assist the applicant.  The trial judge dismissed an application for a not criminally responsible finding.  The Court of Appeal ordered a new trial.  At the new trial, the trial judge dismissed </w:t>
            </w:r>
            <w:r w:rsidRPr="00E007CB">
              <w:rPr>
                <w:rFonts w:eastAsia="Calibri"/>
                <w:i/>
                <w:sz w:val="20"/>
              </w:rPr>
              <w:t xml:space="preserve">Charter </w:t>
            </w:r>
            <w:r w:rsidRPr="00E007CB">
              <w:rPr>
                <w:rFonts w:eastAsia="Calibri"/>
                <w:sz w:val="20"/>
              </w:rPr>
              <w:t xml:space="preserve">motions, rejected defences, found the applicant guilty of the two offences, and found the applicant not criminally responsible on account of mental disorder.  The Court of Appeal dismissed an appeal.  The Ontario Review Board ordered detention at the Oak Ridge facility at the Mental Health Centre Penetanguishene.   </w:t>
            </w:r>
          </w:p>
          <w:p w:rsidR="00BA75E9" w:rsidRPr="00E007CB" w:rsidRDefault="00BA75E9" w:rsidP="00370584">
            <w:pPr>
              <w:jc w:val="both"/>
              <w:rPr>
                <w:rFonts w:eastAsia="Calibri"/>
                <w:sz w:val="20"/>
              </w:rPr>
            </w:pPr>
          </w:p>
        </w:tc>
      </w:tr>
      <w:tr w:rsidR="00BA75E9" w:rsidRPr="00E007CB" w:rsidTr="00370584">
        <w:tc>
          <w:tcPr>
            <w:tcW w:w="2427" w:type="pct"/>
          </w:tcPr>
          <w:p w:rsidR="00BA75E9" w:rsidRPr="00E007CB" w:rsidRDefault="00BA75E9" w:rsidP="00370584">
            <w:pPr>
              <w:jc w:val="both"/>
              <w:rPr>
                <w:rFonts w:eastAsia="Calibri"/>
                <w:sz w:val="20"/>
              </w:rPr>
            </w:pPr>
            <w:r w:rsidRPr="00E007CB">
              <w:rPr>
                <w:rFonts w:eastAsia="Calibri"/>
                <w:sz w:val="20"/>
              </w:rPr>
              <w:t>October 24, 2007</w:t>
            </w:r>
          </w:p>
          <w:p w:rsidR="00BA75E9" w:rsidRPr="00E007CB" w:rsidRDefault="00BA75E9" w:rsidP="00370584">
            <w:pPr>
              <w:jc w:val="both"/>
              <w:rPr>
                <w:rFonts w:eastAsia="Calibri"/>
                <w:sz w:val="20"/>
              </w:rPr>
            </w:pPr>
            <w:r w:rsidRPr="00E007CB">
              <w:rPr>
                <w:rFonts w:eastAsia="Calibri"/>
                <w:sz w:val="20"/>
              </w:rPr>
              <w:t>Ontario Superior Court of Justice</w:t>
            </w:r>
          </w:p>
          <w:p w:rsidR="00BA75E9" w:rsidRPr="00E007CB" w:rsidRDefault="00BA75E9" w:rsidP="00370584">
            <w:pPr>
              <w:jc w:val="both"/>
              <w:rPr>
                <w:rFonts w:eastAsia="Calibri"/>
                <w:sz w:val="20"/>
              </w:rPr>
            </w:pPr>
            <w:r w:rsidRPr="00E007CB">
              <w:rPr>
                <w:rFonts w:eastAsia="Calibri"/>
                <w:sz w:val="20"/>
              </w:rPr>
              <w:t>(Dambrot J.)</w:t>
            </w:r>
          </w:p>
          <w:p w:rsidR="00BA75E9" w:rsidRPr="00E007CB" w:rsidRDefault="00BA75E9" w:rsidP="00370584">
            <w:pPr>
              <w:jc w:val="both"/>
              <w:rPr>
                <w:rFonts w:eastAsia="Calibri"/>
                <w:sz w:val="20"/>
              </w:rPr>
            </w:pP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rPr>
            </w:pPr>
            <w:r w:rsidRPr="00E007CB">
              <w:rPr>
                <w:rFonts w:eastAsia="Calibri"/>
                <w:sz w:val="20"/>
              </w:rPr>
              <w:t xml:space="preserve">Motion to stay proceedings based on alleged breaches of ss. 7, 11(b) and 12 of </w:t>
            </w:r>
            <w:r w:rsidRPr="00E007CB">
              <w:rPr>
                <w:rFonts w:eastAsia="Calibri"/>
                <w:i/>
                <w:sz w:val="20"/>
              </w:rPr>
              <w:t>Charter</w:t>
            </w:r>
            <w:r w:rsidRPr="00E007CB">
              <w:rPr>
                <w:rFonts w:eastAsia="Calibri"/>
                <w:sz w:val="20"/>
              </w:rPr>
              <w:t xml:space="preserve"> dismissed, Applicant found guilty of criminal harassment and invitation to sexual touching, Applicant found not criminally responsible on account of mental disorder</w:t>
            </w:r>
          </w:p>
          <w:p w:rsidR="00BA75E9" w:rsidRPr="00E007CB" w:rsidRDefault="00BA75E9" w:rsidP="00370584">
            <w:pPr>
              <w:jc w:val="both"/>
              <w:rPr>
                <w:rFonts w:eastAsia="Calibri"/>
                <w:sz w:val="20"/>
              </w:rPr>
            </w:pPr>
          </w:p>
        </w:tc>
      </w:tr>
      <w:tr w:rsidR="00BA75E9" w:rsidRPr="00E007CB" w:rsidTr="00370584">
        <w:tc>
          <w:tcPr>
            <w:tcW w:w="2427" w:type="pct"/>
          </w:tcPr>
          <w:p w:rsidR="00BA75E9" w:rsidRPr="00E007CB" w:rsidRDefault="00BA75E9" w:rsidP="00370584">
            <w:pPr>
              <w:jc w:val="both"/>
              <w:rPr>
                <w:rFonts w:eastAsia="Calibri"/>
                <w:sz w:val="20"/>
              </w:rPr>
            </w:pPr>
            <w:r w:rsidRPr="00E007CB">
              <w:rPr>
                <w:rFonts w:eastAsia="Calibri"/>
                <w:sz w:val="20"/>
              </w:rPr>
              <w:t xml:space="preserve"> January 7, 2008</w:t>
            </w:r>
          </w:p>
          <w:p w:rsidR="00BA75E9" w:rsidRPr="00E007CB" w:rsidRDefault="00BA75E9" w:rsidP="00370584">
            <w:pPr>
              <w:jc w:val="both"/>
              <w:rPr>
                <w:rFonts w:eastAsia="Calibri"/>
                <w:sz w:val="20"/>
              </w:rPr>
            </w:pPr>
            <w:r w:rsidRPr="00E007CB">
              <w:rPr>
                <w:rFonts w:eastAsia="Calibri"/>
                <w:sz w:val="20"/>
              </w:rPr>
              <w:t>Ontario Review Board</w:t>
            </w:r>
          </w:p>
          <w:p w:rsidR="00BA75E9" w:rsidRPr="00E007CB" w:rsidRDefault="00BA75E9" w:rsidP="00370584">
            <w:pPr>
              <w:jc w:val="both"/>
              <w:rPr>
                <w:rFonts w:eastAsia="Calibri"/>
                <w:sz w:val="20"/>
              </w:rPr>
            </w:pP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rPr>
            </w:pPr>
            <w:r w:rsidRPr="00E007CB">
              <w:rPr>
                <w:rFonts w:eastAsia="Calibri"/>
                <w:sz w:val="20"/>
              </w:rPr>
              <w:t>Detention at maximum secure psychiatric facility ordered</w:t>
            </w:r>
          </w:p>
        </w:tc>
      </w:tr>
      <w:tr w:rsidR="00BA75E9" w:rsidRPr="00E007CB" w:rsidTr="00370584">
        <w:tc>
          <w:tcPr>
            <w:tcW w:w="2427" w:type="pct"/>
          </w:tcPr>
          <w:p w:rsidR="00BA75E9" w:rsidRPr="00E007CB" w:rsidRDefault="00BA75E9" w:rsidP="00370584">
            <w:pPr>
              <w:jc w:val="both"/>
              <w:rPr>
                <w:rFonts w:eastAsia="Calibri"/>
                <w:sz w:val="20"/>
              </w:rPr>
            </w:pPr>
            <w:r w:rsidRPr="00E007CB">
              <w:rPr>
                <w:rFonts w:eastAsia="Calibri"/>
                <w:sz w:val="20"/>
              </w:rPr>
              <w:t>September 26, 2008</w:t>
            </w:r>
          </w:p>
          <w:p w:rsidR="00BA75E9" w:rsidRPr="00E007CB" w:rsidRDefault="00BA75E9" w:rsidP="00370584">
            <w:pPr>
              <w:jc w:val="both"/>
              <w:rPr>
                <w:rFonts w:eastAsia="Calibri"/>
                <w:sz w:val="20"/>
              </w:rPr>
            </w:pPr>
            <w:r w:rsidRPr="00E007CB">
              <w:rPr>
                <w:rFonts w:eastAsia="Calibri"/>
                <w:sz w:val="20"/>
              </w:rPr>
              <w:t>Court of Appeal for Ontario</w:t>
            </w:r>
          </w:p>
          <w:p w:rsidR="00BA75E9" w:rsidRPr="00E007CB" w:rsidRDefault="00BA75E9" w:rsidP="00370584">
            <w:pPr>
              <w:jc w:val="both"/>
              <w:rPr>
                <w:rFonts w:eastAsia="Calibri"/>
                <w:sz w:val="20"/>
              </w:rPr>
            </w:pPr>
            <w:r w:rsidRPr="00E007CB">
              <w:rPr>
                <w:rFonts w:eastAsia="Calibri"/>
                <w:sz w:val="20"/>
              </w:rPr>
              <w:t>(Doherty, Laskin, MacPherson JJ.A.)</w:t>
            </w:r>
          </w:p>
          <w:p w:rsidR="00BA75E9" w:rsidRPr="00E007CB" w:rsidRDefault="00BA75E9" w:rsidP="00370584">
            <w:pPr>
              <w:jc w:val="both"/>
              <w:rPr>
                <w:rFonts w:eastAsia="Calibri"/>
                <w:sz w:val="20"/>
              </w:rPr>
            </w:pPr>
            <w:r w:rsidRPr="00E007CB">
              <w:rPr>
                <w:rFonts w:eastAsia="Calibri"/>
                <w:sz w:val="20"/>
              </w:rPr>
              <w:t>2008 ONCA 684; C48053</w:t>
            </w:r>
          </w:p>
          <w:p w:rsidR="00BA75E9" w:rsidRPr="00E007CB" w:rsidRDefault="00BA75E9" w:rsidP="00370584">
            <w:pPr>
              <w:jc w:val="both"/>
              <w:rPr>
                <w:rFonts w:eastAsia="Calibri"/>
                <w:sz w:val="20"/>
              </w:rPr>
            </w:pP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rPr>
            </w:pPr>
            <w:r w:rsidRPr="00E007CB">
              <w:rPr>
                <w:rFonts w:eastAsia="Calibri"/>
                <w:sz w:val="20"/>
              </w:rPr>
              <w:t>Appeal from convictions dismissed</w:t>
            </w:r>
          </w:p>
        </w:tc>
      </w:tr>
      <w:tr w:rsidR="00BA75E9" w:rsidRPr="00E007CB" w:rsidTr="00370584">
        <w:tc>
          <w:tcPr>
            <w:tcW w:w="2427" w:type="pct"/>
          </w:tcPr>
          <w:p w:rsidR="00BA75E9" w:rsidRPr="00E007CB" w:rsidRDefault="00BA75E9" w:rsidP="00370584">
            <w:pPr>
              <w:jc w:val="both"/>
              <w:rPr>
                <w:rFonts w:eastAsia="Calibri"/>
                <w:sz w:val="20"/>
              </w:rPr>
            </w:pPr>
            <w:r w:rsidRPr="00E007CB">
              <w:rPr>
                <w:rFonts w:eastAsia="Calibri"/>
                <w:sz w:val="20"/>
              </w:rPr>
              <w:lastRenderedPageBreak/>
              <w:t>October 6, 2008</w:t>
            </w:r>
          </w:p>
          <w:p w:rsidR="00BA75E9" w:rsidRPr="00E007CB" w:rsidRDefault="00BA75E9" w:rsidP="00370584">
            <w:pPr>
              <w:jc w:val="both"/>
              <w:rPr>
                <w:rFonts w:eastAsia="Calibri"/>
                <w:sz w:val="20"/>
              </w:rPr>
            </w:pPr>
            <w:r w:rsidRPr="00E007CB">
              <w:rPr>
                <w:rFonts w:eastAsia="Calibri"/>
                <w:sz w:val="20"/>
              </w:rPr>
              <w:t>Court of Appeal for Ontario</w:t>
            </w:r>
          </w:p>
          <w:p w:rsidR="00BA75E9" w:rsidRPr="00E007CB" w:rsidRDefault="00BA75E9" w:rsidP="00370584">
            <w:pPr>
              <w:jc w:val="both"/>
              <w:rPr>
                <w:rFonts w:eastAsia="Calibri"/>
                <w:sz w:val="20"/>
              </w:rPr>
            </w:pPr>
            <w:r w:rsidRPr="00E007CB">
              <w:rPr>
                <w:rFonts w:eastAsia="Calibri"/>
                <w:sz w:val="20"/>
              </w:rPr>
              <w:t>(Doherty, Laskin, MacPherson JJ.A.)</w:t>
            </w:r>
          </w:p>
          <w:p w:rsidR="00BA75E9" w:rsidRPr="00E007CB" w:rsidRDefault="00BA75E9" w:rsidP="00370584">
            <w:pPr>
              <w:jc w:val="both"/>
              <w:rPr>
                <w:rFonts w:eastAsia="Calibri"/>
                <w:sz w:val="20"/>
              </w:rPr>
            </w:pPr>
            <w:r w:rsidRPr="00E007CB">
              <w:rPr>
                <w:rFonts w:eastAsia="Calibri"/>
                <w:sz w:val="20"/>
              </w:rPr>
              <w:t>2008 ONCA 681, C48271</w:t>
            </w:r>
          </w:p>
          <w:p w:rsidR="00BA75E9" w:rsidRPr="00E007CB" w:rsidRDefault="00BA75E9" w:rsidP="00370584">
            <w:pPr>
              <w:jc w:val="both"/>
              <w:rPr>
                <w:rFonts w:eastAsia="Calibri"/>
                <w:sz w:val="20"/>
              </w:rPr>
            </w:pP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rPr>
            </w:pPr>
            <w:r w:rsidRPr="00E007CB">
              <w:rPr>
                <w:rFonts w:eastAsia="Calibri"/>
                <w:sz w:val="20"/>
              </w:rPr>
              <w:t>Appeal from the disposition of the Ontario Review Board dismissed</w:t>
            </w:r>
          </w:p>
        </w:tc>
      </w:tr>
      <w:tr w:rsidR="00BA75E9" w:rsidRPr="00E007CB" w:rsidTr="00370584">
        <w:tc>
          <w:tcPr>
            <w:tcW w:w="2427" w:type="pct"/>
          </w:tcPr>
          <w:p w:rsidR="00BA75E9" w:rsidRPr="00E007CB" w:rsidRDefault="00BA75E9" w:rsidP="00370584">
            <w:pPr>
              <w:jc w:val="both"/>
              <w:rPr>
                <w:rFonts w:eastAsia="Calibri"/>
                <w:sz w:val="20"/>
              </w:rPr>
            </w:pPr>
            <w:r w:rsidRPr="00E007CB">
              <w:rPr>
                <w:rFonts w:eastAsia="Calibri"/>
                <w:sz w:val="20"/>
              </w:rPr>
              <w:t>January 8, 2013</w:t>
            </w:r>
          </w:p>
          <w:p w:rsidR="00BA75E9" w:rsidRPr="00E007CB" w:rsidRDefault="00BA75E9" w:rsidP="00370584">
            <w:pPr>
              <w:jc w:val="both"/>
              <w:rPr>
                <w:rFonts w:eastAsia="Calibri"/>
                <w:sz w:val="20"/>
              </w:rPr>
            </w:pPr>
            <w:r w:rsidRPr="00E007CB">
              <w:rPr>
                <w:rFonts w:eastAsia="Calibri"/>
                <w:sz w:val="20"/>
              </w:rPr>
              <w:t>Supreme Court of Canada</w:t>
            </w: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rPr>
            </w:pPr>
            <w:r w:rsidRPr="00E007CB">
              <w:rPr>
                <w:rFonts w:eastAsia="Calibri"/>
                <w:sz w:val="20"/>
              </w:rPr>
              <w:t>Motion to extend time to serve and file leave application and application for leave to appeal filed</w:t>
            </w:r>
          </w:p>
        </w:tc>
      </w:tr>
    </w:tbl>
    <w:p w:rsidR="00BA75E9" w:rsidRDefault="00BA75E9" w:rsidP="00BA75E9">
      <w:pPr>
        <w:rPr>
          <w:sz w:val="20"/>
          <w:szCs w:val="20"/>
        </w:rPr>
      </w:pPr>
    </w:p>
    <w:p w:rsidR="00BA75E9" w:rsidRPr="00C50A5C" w:rsidRDefault="00B35B95" w:rsidP="00BA75E9">
      <w:pPr>
        <w:rPr>
          <w:sz w:val="20"/>
          <w:szCs w:val="20"/>
        </w:rPr>
      </w:pPr>
      <w:r w:rsidRPr="00B35B95">
        <w:rPr>
          <w:sz w:val="20"/>
          <w:szCs w:val="20"/>
          <w:lang w:val="fr-CA"/>
        </w:rPr>
        <w:pict>
          <v:rect id="_x0000_i1056" style="width:2in;height:1pt" o:hrpct="0" o:hralign="center" o:hrstd="t" o:hrnoshade="t" o:hr="t" fillcolor="black [3213]" stroked="f"/>
        </w:pict>
      </w:r>
    </w:p>
    <w:p w:rsidR="00BA75E9" w:rsidRDefault="00BA75E9" w:rsidP="00BA75E9">
      <w:pPr>
        <w:rPr>
          <w:sz w:val="20"/>
          <w:szCs w:val="20"/>
        </w:rPr>
      </w:pPr>
    </w:p>
    <w:p w:rsidR="00BA75E9" w:rsidRPr="001B157C" w:rsidRDefault="00BA75E9" w:rsidP="00BA75E9">
      <w:pPr>
        <w:rPr>
          <w:sz w:val="20"/>
          <w:szCs w:val="20"/>
          <w:u w:val="single"/>
          <w:lang w:val="fr-CA"/>
        </w:rPr>
      </w:pPr>
      <w:r w:rsidRPr="001B157C">
        <w:rPr>
          <w:sz w:val="20"/>
          <w:szCs w:val="20"/>
          <w:u w:val="single"/>
          <w:lang w:val="fr-CA"/>
        </w:rPr>
        <w:t>RÉSUMÉ DE L’AFFAIRE</w:t>
      </w:r>
    </w:p>
    <w:p w:rsidR="00BA75E9" w:rsidRDefault="00BA75E9" w:rsidP="00BA75E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A75E9" w:rsidRPr="00370584" w:rsidTr="00370584">
        <w:tc>
          <w:tcPr>
            <w:tcW w:w="5000" w:type="pct"/>
            <w:gridSpan w:val="3"/>
          </w:tcPr>
          <w:p w:rsidR="00BA75E9" w:rsidRPr="00E007CB" w:rsidRDefault="00BA75E9" w:rsidP="00370584">
            <w:pPr>
              <w:jc w:val="both"/>
              <w:rPr>
                <w:rFonts w:eastAsia="Calibri"/>
                <w:smallCaps/>
                <w:sz w:val="20"/>
                <w:lang w:val="fr-FR"/>
              </w:rPr>
            </w:pPr>
            <w:r w:rsidRPr="00E007CB">
              <w:rPr>
                <w:rFonts w:eastAsia="Calibri"/>
                <w:smallCaps/>
                <w:sz w:val="20"/>
                <w:lang w:val="fr-FR"/>
              </w:rPr>
              <w:t>(</w:t>
            </w:r>
            <w:r>
              <w:rPr>
                <w:rFonts w:eastAsia="Calibri"/>
                <w:smallCaps/>
                <w:sz w:val="20"/>
                <w:lang w:val="fr-FR"/>
              </w:rPr>
              <w:t>O</w:t>
            </w:r>
            <w:r w:rsidRPr="00E007CB">
              <w:rPr>
                <w:rFonts w:eastAsia="Calibri"/>
                <w:smallCaps/>
                <w:sz w:val="20"/>
                <w:lang w:val="fr-FR"/>
              </w:rPr>
              <w:t>rdonnance de non-publication dans le dossier)</w:t>
            </w:r>
          </w:p>
          <w:p w:rsidR="00BA75E9" w:rsidRPr="00E007CB" w:rsidRDefault="00BA75E9" w:rsidP="00370584">
            <w:pPr>
              <w:jc w:val="both"/>
              <w:rPr>
                <w:rFonts w:eastAsia="Calibri"/>
                <w:sz w:val="20"/>
                <w:lang w:val="fr-FR"/>
              </w:rPr>
            </w:pPr>
          </w:p>
          <w:p w:rsidR="00BA75E9" w:rsidRPr="00E007CB" w:rsidRDefault="00BA75E9" w:rsidP="00370584">
            <w:pPr>
              <w:jc w:val="both"/>
              <w:rPr>
                <w:rFonts w:eastAsia="Calibri"/>
                <w:sz w:val="20"/>
                <w:lang w:val="fr-CA"/>
              </w:rPr>
            </w:pPr>
            <w:r w:rsidRPr="00E007CB">
              <w:rPr>
                <w:rFonts w:eastAsia="Calibri"/>
                <w:sz w:val="20"/>
                <w:lang w:val="fr-FR"/>
              </w:rPr>
              <w:t xml:space="preserve">Droit criminel – Appel – Autorisation d’appel – Le demandeur soulève-t-il une question de droit? – S’agit-il d’une question d’importance pour le public? </w:t>
            </w:r>
          </w:p>
        </w:tc>
      </w:tr>
      <w:tr w:rsidR="00BA75E9" w:rsidRPr="00370584" w:rsidTr="00370584">
        <w:trPr>
          <w:trHeight w:val="135"/>
        </w:trPr>
        <w:tc>
          <w:tcPr>
            <w:tcW w:w="5000" w:type="pct"/>
            <w:gridSpan w:val="3"/>
          </w:tcPr>
          <w:p w:rsidR="00BA75E9" w:rsidRPr="00E007CB" w:rsidRDefault="00BA75E9" w:rsidP="00370584">
            <w:pPr>
              <w:jc w:val="both"/>
              <w:rPr>
                <w:rFonts w:eastAsia="Calibri"/>
                <w:sz w:val="20"/>
                <w:lang w:val="fr-CA"/>
              </w:rPr>
            </w:pPr>
          </w:p>
        </w:tc>
      </w:tr>
      <w:tr w:rsidR="00BA75E9" w:rsidRPr="00370584" w:rsidTr="00370584">
        <w:tc>
          <w:tcPr>
            <w:tcW w:w="5000" w:type="pct"/>
            <w:gridSpan w:val="3"/>
          </w:tcPr>
          <w:p w:rsidR="00BA75E9" w:rsidRPr="00E007CB" w:rsidRDefault="00BA75E9" w:rsidP="00370584">
            <w:pPr>
              <w:jc w:val="both"/>
              <w:rPr>
                <w:rFonts w:eastAsia="Calibri"/>
                <w:sz w:val="20"/>
                <w:lang w:val="fr-FR"/>
              </w:rPr>
            </w:pPr>
            <w:r w:rsidRPr="00E007CB">
              <w:rPr>
                <w:rFonts w:eastAsia="Calibri"/>
                <w:sz w:val="20"/>
                <w:lang w:val="fr-FR"/>
              </w:rPr>
              <w:t xml:space="preserve">Le demandeur a été déclaré non criminellement responsable de harcèlement criminel et d’incitation à des contacts sexuels pour cause de troubles mentaux.  On lui reproche d’avoir envoyé des lettres sexuellement explicites à une famille du voisinage en partie pour l’inciter à se livrer à des attouchements sexuels sur une jeune fille.  En 2003, il a été déclaré coupable de harcèlement criminel et d’incitation à des contacts sexuels.  Le ministère public a commencé à examiner ses antécédents psychiatriques et a obtenu, sur ordonnance de la cour, des évaluations qui ont débouché sur des opinions équivoques à propos de la question de savoir si le demandeur n’était pas criminellement responsable pour cause de troubles mentaux.  Un </w:t>
            </w:r>
            <w:r w:rsidRPr="00E007CB">
              <w:rPr>
                <w:rFonts w:eastAsia="Calibri"/>
                <w:i/>
                <w:sz w:val="20"/>
                <w:lang w:val="fr-FR"/>
              </w:rPr>
              <w:t>amicus curiae</w:t>
            </w:r>
            <w:r w:rsidRPr="00E007CB">
              <w:rPr>
                <w:rFonts w:eastAsia="Calibri"/>
                <w:sz w:val="20"/>
                <w:lang w:val="fr-FR"/>
              </w:rPr>
              <w:t xml:space="preserve"> a été nommé pour aider le demandeur.  Le juge de première instance a rejeté une demande de déclaration de non-responsabilité criminelle.  La Cour d’appel a ordonné la tenue d’un nouveau procès.  Lors du deuxième procès, le juge de première instance a rejeté les moyens de défense et les requêtes fondées sur la </w:t>
            </w:r>
            <w:r w:rsidRPr="00E007CB">
              <w:rPr>
                <w:rFonts w:eastAsia="Calibri"/>
                <w:i/>
                <w:sz w:val="20"/>
                <w:lang w:val="fr-FR"/>
              </w:rPr>
              <w:t>Charte</w:t>
            </w:r>
            <w:r w:rsidRPr="00E007CB">
              <w:rPr>
                <w:rFonts w:eastAsia="Calibri"/>
                <w:sz w:val="20"/>
                <w:lang w:val="fr-FR"/>
              </w:rPr>
              <w:t xml:space="preserve">, et a déclaré le demandeur coupable des deux infractions et non criminellement responsable pour cause de troubles mentaux.  La Cour d’appel a rejeté l’appel.  La Commission ontarienne d’examen a ordonné que le demandeur soit détenu à l’établissement d’Oak Ridge du Centre de santé mentale de Penetanguishene.   </w:t>
            </w:r>
          </w:p>
          <w:p w:rsidR="00BA75E9" w:rsidRPr="00E007CB" w:rsidRDefault="00BA75E9" w:rsidP="00370584">
            <w:pPr>
              <w:jc w:val="both"/>
              <w:rPr>
                <w:rFonts w:eastAsia="Calibri"/>
                <w:sz w:val="20"/>
                <w:lang w:val="fr-FR"/>
              </w:rPr>
            </w:pPr>
          </w:p>
        </w:tc>
      </w:tr>
      <w:tr w:rsidR="00BA75E9" w:rsidRPr="00A3429F" w:rsidTr="00370584">
        <w:tc>
          <w:tcPr>
            <w:tcW w:w="2427" w:type="pct"/>
          </w:tcPr>
          <w:p w:rsidR="00BA75E9" w:rsidRPr="00E007CB" w:rsidRDefault="00BA75E9" w:rsidP="00370584">
            <w:pPr>
              <w:jc w:val="both"/>
              <w:rPr>
                <w:rFonts w:eastAsia="Calibri"/>
                <w:sz w:val="20"/>
                <w:lang w:val="fr-FR"/>
              </w:rPr>
            </w:pPr>
            <w:r w:rsidRPr="00E007CB">
              <w:rPr>
                <w:rFonts w:eastAsia="Calibri"/>
                <w:sz w:val="20"/>
                <w:lang w:val="fr-FR"/>
              </w:rPr>
              <w:t>24 octobre 2007</w:t>
            </w:r>
          </w:p>
          <w:p w:rsidR="00BA75E9" w:rsidRPr="00E007CB" w:rsidRDefault="00BA75E9" w:rsidP="00370584">
            <w:pPr>
              <w:jc w:val="both"/>
              <w:rPr>
                <w:rFonts w:eastAsia="Calibri"/>
                <w:sz w:val="20"/>
                <w:lang w:val="fr-FR"/>
              </w:rPr>
            </w:pPr>
            <w:r w:rsidRPr="00E007CB">
              <w:rPr>
                <w:rFonts w:eastAsia="Calibri"/>
                <w:sz w:val="20"/>
                <w:lang w:val="fr-FR"/>
              </w:rPr>
              <w:t xml:space="preserve">Cour supérieure de justice de l’Ontario </w:t>
            </w:r>
          </w:p>
          <w:p w:rsidR="00BA75E9" w:rsidRPr="00E007CB" w:rsidRDefault="00BA75E9" w:rsidP="00370584">
            <w:pPr>
              <w:jc w:val="both"/>
              <w:rPr>
                <w:rFonts w:eastAsia="Calibri"/>
                <w:sz w:val="20"/>
              </w:rPr>
            </w:pPr>
            <w:r w:rsidRPr="00E007CB">
              <w:rPr>
                <w:rFonts w:eastAsia="Calibri"/>
                <w:sz w:val="20"/>
              </w:rPr>
              <w:t>(Juge Dambrot)</w:t>
            </w:r>
          </w:p>
          <w:p w:rsidR="00BA75E9" w:rsidRPr="00E007CB" w:rsidRDefault="00BA75E9" w:rsidP="00370584">
            <w:pPr>
              <w:jc w:val="both"/>
              <w:rPr>
                <w:rFonts w:eastAsia="Calibri"/>
                <w:sz w:val="20"/>
              </w:rPr>
            </w:pP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lang w:val="fr-FR"/>
              </w:rPr>
            </w:pPr>
            <w:r w:rsidRPr="00E007CB">
              <w:rPr>
                <w:rFonts w:eastAsia="Calibri"/>
                <w:sz w:val="20"/>
                <w:lang w:val="fr-FR"/>
              </w:rPr>
              <w:t>Requête en arrêt des procédures fondée sur des violations alléguées des art. 7 et 12 et de l’al. 11</w:t>
            </w:r>
            <w:r w:rsidRPr="00E007CB">
              <w:rPr>
                <w:rFonts w:eastAsia="Calibri"/>
                <w:i/>
                <w:sz w:val="20"/>
                <w:lang w:val="fr-FR"/>
              </w:rPr>
              <w:t>b</w:t>
            </w:r>
            <w:r w:rsidRPr="00E007CB">
              <w:rPr>
                <w:rFonts w:eastAsia="Calibri"/>
                <w:sz w:val="20"/>
                <w:lang w:val="fr-FR"/>
              </w:rPr>
              <w:t xml:space="preserve">) de la </w:t>
            </w:r>
            <w:r w:rsidRPr="00E007CB">
              <w:rPr>
                <w:rFonts w:eastAsia="Calibri"/>
                <w:i/>
                <w:sz w:val="20"/>
                <w:lang w:val="fr-FR"/>
              </w:rPr>
              <w:t>Charte</w:t>
            </w:r>
            <w:r w:rsidRPr="00E007CB">
              <w:rPr>
                <w:rFonts w:eastAsia="Calibri"/>
                <w:sz w:val="20"/>
                <w:lang w:val="fr-FR"/>
              </w:rPr>
              <w:t xml:space="preserve"> rejetée, demandeur déclaré coupable de harcèlement criminel et d’incitation à des contacts sexuels, demandeur déclaré non criminellement responsable pour cause de troubles mentaux </w:t>
            </w:r>
          </w:p>
          <w:p w:rsidR="00BA75E9" w:rsidRPr="00E007CB" w:rsidRDefault="00BA75E9" w:rsidP="00370584">
            <w:pPr>
              <w:jc w:val="both"/>
              <w:rPr>
                <w:rFonts w:eastAsia="Calibri"/>
                <w:sz w:val="20"/>
                <w:lang w:val="fr-CA"/>
              </w:rPr>
            </w:pPr>
          </w:p>
        </w:tc>
      </w:tr>
      <w:tr w:rsidR="00BA75E9" w:rsidRPr="00370584" w:rsidTr="00370584">
        <w:tc>
          <w:tcPr>
            <w:tcW w:w="2427" w:type="pct"/>
          </w:tcPr>
          <w:p w:rsidR="00BA75E9" w:rsidRPr="00E007CB" w:rsidRDefault="00BA75E9" w:rsidP="00370584">
            <w:pPr>
              <w:jc w:val="both"/>
              <w:rPr>
                <w:rFonts w:eastAsia="Calibri"/>
                <w:sz w:val="20"/>
              </w:rPr>
            </w:pPr>
            <w:r w:rsidRPr="00E007CB">
              <w:rPr>
                <w:rFonts w:eastAsia="Calibri"/>
                <w:sz w:val="20"/>
              </w:rPr>
              <w:t>7 janvier 2008</w:t>
            </w:r>
          </w:p>
          <w:p w:rsidR="00BA75E9" w:rsidRPr="00E007CB" w:rsidRDefault="00BA75E9" w:rsidP="00370584">
            <w:pPr>
              <w:jc w:val="both"/>
              <w:rPr>
                <w:rFonts w:eastAsia="Calibri"/>
                <w:sz w:val="20"/>
              </w:rPr>
            </w:pPr>
            <w:r w:rsidRPr="00E007CB">
              <w:rPr>
                <w:rFonts w:eastAsia="Calibri"/>
                <w:sz w:val="20"/>
              </w:rPr>
              <w:t xml:space="preserve">Commission ontarienne d’examen </w:t>
            </w: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lang w:val="fr-FR"/>
              </w:rPr>
            </w:pPr>
            <w:r w:rsidRPr="00E007CB">
              <w:rPr>
                <w:rFonts w:eastAsia="Calibri"/>
                <w:sz w:val="20"/>
                <w:lang w:val="fr-FR"/>
              </w:rPr>
              <w:t>Détention à un établissement psychiatrique à sécurité maximale ordonnée</w:t>
            </w:r>
          </w:p>
          <w:p w:rsidR="00BA75E9" w:rsidRPr="00E007CB" w:rsidRDefault="00BA75E9" w:rsidP="00370584">
            <w:pPr>
              <w:jc w:val="both"/>
              <w:rPr>
                <w:rFonts w:eastAsia="Calibri"/>
                <w:sz w:val="20"/>
                <w:lang w:val="fr-FR"/>
              </w:rPr>
            </w:pPr>
          </w:p>
        </w:tc>
      </w:tr>
      <w:tr w:rsidR="00BA75E9" w:rsidRPr="00370584" w:rsidTr="00370584">
        <w:tc>
          <w:tcPr>
            <w:tcW w:w="2427" w:type="pct"/>
          </w:tcPr>
          <w:p w:rsidR="00BA75E9" w:rsidRPr="00E007CB" w:rsidRDefault="00BA75E9" w:rsidP="00370584">
            <w:pPr>
              <w:jc w:val="both"/>
              <w:rPr>
                <w:rFonts w:eastAsia="Calibri"/>
                <w:sz w:val="20"/>
                <w:lang w:val="fr-FR"/>
              </w:rPr>
            </w:pPr>
            <w:r w:rsidRPr="00E007CB">
              <w:rPr>
                <w:rFonts w:eastAsia="Calibri"/>
                <w:sz w:val="20"/>
                <w:lang w:val="fr-FR"/>
              </w:rPr>
              <w:t>26 septembre 2008</w:t>
            </w:r>
          </w:p>
          <w:p w:rsidR="00BA75E9" w:rsidRPr="00E007CB" w:rsidRDefault="00BA75E9" w:rsidP="00370584">
            <w:pPr>
              <w:jc w:val="both"/>
              <w:rPr>
                <w:rFonts w:eastAsia="Calibri"/>
                <w:sz w:val="20"/>
                <w:lang w:val="fr-FR"/>
              </w:rPr>
            </w:pPr>
            <w:r w:rsidRPr="00E007CB">
              <w:rPr>
                <w:rFonts w:eastAsia="Calibri"/>
                <w:sz w:val="20"/>
                <w:lang w:val="fr-FR"/>
              </w:rPr>
              <w:t>Cour d’appel de l’Ontario</w:t>
            </w:r>
          </w:p>
          <w:p w:rsidR="00BA75E9" w:rsidRPr="00E007CB" w:rsidRDefault="00BA75E9" w:rsidP="00370584">
            <w:pPr>
              <w:jc w:val="both"/>
              <w:rPr>
                <w:rFonts w:eastAsia="Calibri"/>
                <w:sz w:val="20"/>
                <w:lang w:val="fr-FR"/>
              </w:rPr>
            </w:pPr>
            <w:r w:rsidRPr="00E007CB">
              <w:rPr>
                <w:rFonts w:eastAsia="Calibri"/>
                <w:sz w:val="20"/>
                <w:lang w:val="fr-FR"/>
              </w:rPr>
              <w:t>(Juges Doherty, Laskin et MacPherson)</w:t>
            </w:r>
          </w:p>
          <w:p w:rsidR="00BA75E9" w:rsidRPr="00E007CB" w:rsidRDefault="00BA75E9" w:rsidP="00370584">
            <w:pPr>
              <w:jc w:val="both"/>
              <w:rPr>
                <w:rFonts w:eastAsia="Calibri"/>
                <w:sz w:val="20"/>
              </w:rPr>
            </w:pPr>
            <w:r w:rsidRPr="00E007CB">
              <w:rPr>
                <w:rFonts w:eastAsia="Calibri"/>
                <w:sz w:val="20"/>
              </w:rPr>
              <w:t>2008 ONCA 684; C48053</w:t>
            </w:r>
          </w:p>
          <w:p w:rsidR="00BA75E9" w:rsidRPr="00E007CB" w:rsidRDefault="00BA75E9" w:rsidP="00370584">
            <w:pPr>
              <w:jc w:val="both"/>
              <w:rPr>
                <w:rFonts w:eastAsia="Calibri"/>
                <w:sz w:val="20"/>
              </w:rPr>
            </w:pP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lang w:val="fr-FR"/>
              </w:rPr>
            </w:pPr>
            <w:r w:rsidRPr="00E007CB">
              <w:rPr>
                <w:rFonts w:eastAsia="Calibri"/>
                <w:sz w:val="20"/>
                <w:lang w:val="fr-FR"/>
              </w:rPr>
              <w:t xml:space="preserve">Appel des déclarations de culpabilité rejeté </w:t>
            </w:r>
          </w:p>
        </w:tc>
      </w:tr>
      <w:tr w:rsidR="00BA75E9" w:rsidRPr="00370584" w:rsidTr="00370584">
        <w:tc>
          <w:tcPr>
            <w:tcW w:w="2427" w:type="pct"/>
          </w:tcPr>
          <w:p w:rsidR="00BA75E9" w:rsidRPr="00E007CB" w:rsidRDefault="00BA75E9" w:rsidP="00370584">
            <w:pPr>
              <w:jc w:val="both"/>
              <w:rPr>
                <w:rFonts w:eastAsia="Calibri"/>
                <w:sz w:val="20"/>
                <w:lang w:val="fr-FR"/>
              </w:rPr>
            </w:pPr>
            <w:r w:rsidRPr="00E007CB">
              <w:rPr>
                <w:rFonts w:eastAsia="Calibri"/>
                <w:sz w:val="20"/>
                <w:lang w:val="fr-FR"/>
              </w:rPr>
              <w:t>6 octobre 2008</w:t>
            </w:r>
          </w:p>
          <w:p w:rsidR="00BA75E9" w:rsidRPr="00E007CB" w:rsidRDefault="00BA75E9" w:rsidP="00370584">
            <w:pPr>
              <w:jc w:val="both"/>
              <w:rPr>
                <w:rFonts w:eastAsia="Calibri"/>
                <w:sz w:val="20"/>
                <w:lang w:val="fr-FR"/>
              </w:rPr>
            </w:pPr>
            <w:r w:rsidRPr="00E007CB">
              <w:rPr>
                <w:rFonts w:eastAsia="Calibri"/>
                <w:sz w:val="20"/>
                <w:lang w:val="fr-FR"/>
              </w:rPr>
              <w:t>Cour d’appel de l’Ontario</w:t>
            </w:r>
          </w:p>
          <w:p w:rsidR="00BA75E9" w:rsidRPr="00E007CB" w:rsidRDefault="00BA75E9" w:rsidP="00370584">
            <w:pPr>
              <w:jc w:val="both"/>
              <w:rPr>
                <w:rFonts w:eastAsia="Calibri"/>
                <w:sz w:val="20"/>
                <w:lang w:val="fr-FR"/>
              </w:rPr>
            </w:pPr>
            <w:r w:rsidRPr="00E007CB">
              <w:rPr>
                <w:rFonts w:eastAsia="Calibri"/>
                <w:sz w:val="20"/>
                <w:lang w:val="fr-FR"/>
              </w:rPr>
              <w:t>(Juges Doherty, Laskin et MacPherson)</w:t>
            </w:r>
          </w:p>
          <w:p w:rsidR="00BA75E9" w:rsidRPr="00E007CB" w:rsidRDefault="00BA75E9" w:rsidP="00370584">
            <w:pPr>
              <w:jc w:val="both"/>
              <w:rPr>
                <w:rFonts w:eastAsia="Calibri"/>
                <w:sz w:val="20"/>
              </w:rPr>
            </w:pPr>
            <w:r w:rsidRPr="00E007CB">
              <w:rPr>
                <w:rFonts w:eastAsia="Calibri"/>
                <w:sz w:val="20"/>
              </w:rPr>
              <w:t>2008 ONCA 681, C48271</w:t>
            </w:r>
          </w:p>
          <w:p w:rsidR="00BA75E9" w:rsidRPr="00E007CB" w:rsidRDefault="00BA75E9" w:rsidP="00370584">
            <w:pPr>
              <w:jc w:val="both"/>
              <w:rPr>
                <w:rFonts w:eastAsia="Calibri"/>
                <w:sz w:val="20"/>
              </w:rPr>
            </w:pP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lang w:val="fr-FR"/>
              </w:rPr>
            </w:pPr>
            <w:r w:rsidRPr="00E007CB">
              <w:rPr>
                <w:rFonts w:eastAsia="Calibri"/>
                <w:sz w:val="20"/>
                <w:lang w:val="fr-FR"/>
              </w:rPr>
              <w:t xml:space="preserve">Appel de la décision de la Commission ontarienne d’examen rejeté  </w:t>
            </w:r>
          </w:p>
        </w:tc>
      </w:tr>
      <w:tr w:rsidR="00BA75E9" w:rsidRPr="00A3429F" w:rsidTr="00370584">
        <w:tc>
          <w:tcPr>
            <w:tcW w:w="2427" w:type="pct"/>
          </w:tcPr>
          <w:p w:rsidR="00BA75E9" w:rsidRPr="00E007CB" w:rsidRDefault="00BA75E9" w:rsidP="00370584">
            <w:pPr>
              <w:jc w:val="both"/>
              <w:rPr>
                <w:rFonts w:eastAsia="Calibri"/>
                <w:sz w:val="20"/>
                <w:lang w:val="fr-FR"/>
              </w:rPr>
            </w:pPr>
            <w:r w:rsidRPr="00E007CB">
              <w:rPr>
                <w:rFonts w:eastAsia="Calibri"/>
                <w:sz w:val="20"/>
                <w:lang w:val="fr-FR"/>
              </w:rPr>
              <w:lastRenderedPageBreak/>
              <w:t>8 janvier 2013</w:t>
            </w:r>
          </w:p>
          <w:p w:rsidR="00BA75E9" w:rsidRPr="00E007CB" w:rsidRDefault="00BA75E9" w:rsidP="00370584">
            <w:pPr>
              <w:jc w:val="both"/>
              <w:rPr>
                <w:rFonts w:eastAsia="Calibri"/>
                <w:sz w:val="20"/>
                <w:lang w:val="fr-FR"/>
              </w:rPr>
            </w:pPr>
            <w:r w:rsidRPr="00E007CB">
              <w:rPr>
                <w:rFonts w:eastAsia="Calibri"/>
                <w:sz w:val="20"/>
                <w:lang w:val="fr-FR"/>
              </w:rPr>
              <w:t>Cour suprême du Canada</w:t>
            </w:r>
          </w:p>
        </w:tc>
        <w:tc>
          <w:tcPr>
            <w:tcW w:w="243" w:type="pct"/>
          </w:tcPr>
          <w:p w:rsidR="00BA75E9" w:rsidRPr="00E007CB" w:rsidRDefault="00BA75E9" w:rsidP="00370584">
            <w:pPr>
              <w:jc w:val="both"/>
              <w:rPr>
                <w:rFonts w:eastAsia="Calibri"/>
                <w:sz w:val="20"/>
                <w:lang w:val="fr-FR"/>
              </w:rPr>
            </w:pPr>
          </w:p>
        </w:tc>
        <w:tc>
          <w:tcPr>
            <w:tcW w:w="2330" w:type="pct"/>
          </w:tcPr>
          <w:p w:rsidR="00BA75E9" w:rsidRPr="00E007CB" w:rsidRDefault="00BA75E9" w:rsidP="00370584">
            <w:pPr>
              <w:jc w:val="both"/>
              <w:rPr>
                <w:rFonts w:eastAsia="Calibri"/>
                <w:sz w:val="20"/>
                <w:lang w:val="fr-FR"/>
              </w:rPr>
            </w:pPr>
            <w:r w:rsidRPr="00E007CB">
              <w:rPr>
                <w:rFonts w:eastAsia="Calibri"/>
                <w:sz w:val="20"/>
                <w:lang w:val="fr-FR"/>
              </w:rPr>
              <w:t xml:space="preserve">Requête en prorogation du délai pour signifier et déposer la demande d’autorisation d’appel et demande d’autorisation d’appel déposées </w:t>
            </w:r>
          </w:p>
        </w:tc>
      </w:tr>
    </w:tbl>
    <w:p w:rsidR="00BA75E9" w:rsidRPr="007A2789" w:rsidRDefault="00BA75E9" w:rsidP="00BA75E9">
      <w:pPr>
        <w:rPr>
          <w:sz w:val="20"/>
          <w:szCs w:val="20"/>
          <w:lang w:val="fr-CA"/>
        </w:rPr>
      </w:pPr>
    </w:p>
    <w:p w:rsidR="00BA75E9" w:rsidRDefault="00B35B95" w:rsidP="00BA75E9">
      <w:pPr>
        <w:rPr>
          <w:sz w:val="20"/>
          <w:szCs w:val="20"/>
        </w:rPr>
      </w:pPr>
      <w:r w:rsidRPr="00B35B95">
        <w:rPr>
          <w:sz w:val="20"/>
          <w:szCs w:val="20"/>
          <w:lang w:val="fr-CA"/>
        </w:rPr>
        <w:pict>
          <v:rect id="_x0000_i1057" style="width:2in;height:1pt" o:hrpct="0" o:hralign="center" o:hrstd="t" o:hrnoshade="t" o:hr="t" fillcolor="black [3213]" stroked="f"/>
        </w:pict>
      </w:r>
    </w:p>
    <w:p w:rsidR="00BA75E9" w:rsidRDefault="00BA75E9" w:rsidP="00BA75E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A75E9" w:rsidRPr="00A73D2C" w:rsidTr="00370584">
        <w:trPr>
          <w:cantSplit/>
        </w:trPr>
        <w:tc>
          <w:tcPr>
            <w:tcW w:w="1458" w:type="dxa"/>
          </w:tcPr>
          <w:p w:rsidR="00BA75E9" w:rsidRPr="00A73D2C" w:rsidRDefault="00BA75E9" w:rsidP="00370584">
            <w:pPr>
              <w:rPr>
                <w:sz w:val="20"/>
                <w:szCs w:val="20"/>
              </w:rPr>
            </w:pPr>
            <w:r w:rsidRPr="00A73D2C">
              <w:rPr>
                <w:rStyle w:val="SCCFileNumberChar"/>
                <w:sz w:val="20"/>
                <w:szCs w:val="20"/>
              </w:rPr>
              <w:t>35214</w:t>
            </w:r>
          </w:p>
          <w:p w:rsidR="00BA75E9" w:rsidRPr="00A73D2C" w:rsidRDefault="00BA75E9" w:rsidP="00370584">
            <w:pPr>
              <w:rPr>
                <w:b/>
                <w:sz w:val="20"/>
                <w:szCs w:val="20"/>
                <w:lang w:val="fr-CA"/>
              </w:rPr>
            </w:pPr>
          </w:p>
        </w:tc>
        <w:tc>
          <w:tcPr>
            <w:tcW w:w="8118" w:type="dxa"/>
          </w:tcPr>
          <w:p w:rsidR="00BA75E9" w:rsidRPr="00A73D2C" w:rsidRDefault="00BA75E9" w:rsidP="00370584">
            <w:pPr>
              <w:jc w:val="both"/>
              <w:rPr>
                <w:sz w:val="20"/>
                <w:szCs w:val="20"/>
              </w:rPr>
            </w:pPr>
            <w:r w:rsidRPr="00A73D2C">
              <w:rPr>
                <w:rStyle w:val="SCCLsocChar"/>
                <w:sz w:val="20"/>
                <w:szCs w:val="20"/>
                <w:lang w:val="en-CA"/>
              </w:rPr>
              <w:t>Children</w:t>
            </w:r>
            <w:r>
              <w:rPr>
                <w:rStyle w:val="SCCLsocChar"/>
                <w:sz w:val="20"/>
                <w:szCs w:val="20"/>
                <w:lang w:val="en-CA"/>
              </w:rPr>
              <w:t>’</w:t>
            </w:r>
            <w:r w:rsidRPr="00A73D2C">
              <w:rPr>
                <w:rStyle w:val="SCCLsocChar"/>
                <w:sz w:val="20"/>
                <w:szCs w:val="20"/>
                <w:lang w:val="en-CA"/>
              </w:rPr>
              <w:t>s Lawyer on behalf of the minors, Rachel Browne, Hailey Browne, Michelle Wiley, Jessica Ashmore, Julia Mickus, Robert Mickus, Olivia Mickus, John Mickus, Marissa Lee, Erica Lee and on behalf of the unborn and unascertained beneficiaries of the Primo Poloniato Grandchildren</w:t>
            </w:r>
            <w:r>
              <w:rPr>
                <w:rStyle w:val="SCCLsocChar"/>
                <w:sz w:val="20"/>
                <w:szCs w:val="20"/>
                <w:lang w:val="en-CA"/>
              </w:rPr>
              <w:t>’</w:t>
            </w:r>
            <w:r w:rsidRPr="00A73D2C">
              <w:rPr>
                <w:rStyle w:val="SCCLsocChar"/>
                <w:sz w:val="20"/>
                <w:szCs w:val="20"/>
                <w:lang w:val="en-CA"/>
              </w:rPr>
              <w:t>s Trust v. Canada Trust Company, Trustee of the Primo Poloniato Grandchildren</w:t>
            </w:r>
            <w:r>
              <w:rPr>
                <w:rStyle w:val="SCCLsocChar"/>
                <w:sz w:val="20"/>
                <w:szCs w:val="20"/>
                <w:lang w:val="en-CA"/>
              </w:rPr>
              <w:t>’</w:t>
            </w:r>
            <w:r w:rsidRPr="00A73D2C">
              <w:rPr>
                <w:rStyle w:val="SCCLsocChar"/>
                <w:sz w:val="20"/>
                <w:szCs w:val="20"/>
                <w:lang w:val="en-CA"/>
              </w:rPr>
              <w:t>s Trust, John Mori Jr., Marla L. Ashmore and Teresa O'Neil</w:t>
            </w:r>
            <w:r w:rsidRPr="00A73D2C">
              <w:rPr>
                <w:sz w:val="20"/>
                <w:szCs w:val="20"/>
              </w:rPr>
              <w:t xml:space="preserve"> (Ont.) (Civil) (By Leave)</w:t>
            </w:r>
          </w:p>
          <w:p w:rsidR="00BA75E9" w:rsidRPr="00A73D2C" w:rsidRDefault="00BA75E9" w:rsidP="00370584">
            <w:pPr>
              <w:jc w:val="both"/>
              <w:rPr>
                <w:sz w:val="20"/>
                <w:szCs w:val="20"/>
              </w:rPr>
            </w:pPr>
          </w:p>
        </w:tc>
      </w:tr>
      <w:tr w:rsidR="00BA75E9" w:rsidRPr="00A73D2C" w:rsidTr="00370584">
        <w:trPr>
          <w:cantSplit/>
        </w:trPr>
        <w:tc>
          <w:tcPr>
            <w:tcW w:w="1458" w:type="dxa"/>
          </w:tcPr>
          <w:p w:rsidR="00BA75E9" w:rsidRPr="00A73D2C" w:rsidRDefault="00BA75E9" w:rsidP="00370584">
            <w:pPr>
              <w:rPr>
                <w:sz w:val="20"/>
                <w:szCs w:val="20"/>
              </w:rPr>
            </w:pPr>
            <w:r w:rsidRPr="00A73D2C">
              <w:rPr>
                <w:sz w:val="20"/>
                <w:szCs w:val="20"/>
              </w:rPr>
              <w:t>Coram :</w:t>
            </w:r>
          </w:p>
        </w:tc>
        <w:tc>
          <w:tcPr>
            <w:tcW w:w="8118" w:type="dxa"/>
          </w:tcPr>
          <w:p w:rsidR="00BA75E9" w:rsidRPr="00A73D2C" w:rsidRDefault="00BA75E9" w:rsidP="00370584">
            <w:pPr>
              <w:rPr>
                <w:sz w:val="20"/>
                <w:szCs w:val="20"/>
              </w:rPr>
            </w:pPr>
            <w:r w:rsidRPr="00A73D2C">
              <w:rPr>
                <w:rStyle w:val="SCCCoramChar"/>
                <w:sz w:val="20"/>
                <w:szCs w:val="20"/>
                <w:lang w:val="en-CA"/>
              </w:rPr>
              <w:t>Fish, Rothstein and Moldaver JJ.</w:t>
            </w:r>
          </w:p>
          <w:p w:rsidR="00BA75E9" w:rsidRPr="00A73D2C" w:rsidRDefault="00BA75E9" w:rsidP="00370584">
            <w:pPr>
              <w:rPr>
                <w:sz w:val="20"/>
                <w:szCs w:val="20"/>
                <w:u w:val="single"/>
              </w:rPr>
            </w:pPr>
          </w:p>
        </w:tc>
      </w:tr>
      <w:tr w:rsidR="00BA75E9" w:rsidRPr="00370584" w:rsidTr="00370584">
        <w:trPr>
          <w:cantSplit/>
        </w:trPr>
        <w:tc>
          <w:tcPr>
            <w:tcW w:w="9576" w:type="dxa"/>
            <w:gridSpan w:val="2"/>
          </w:tcPr>
          <w:p w:rsidR="00BA75E9" w:rsidRPr="00A73D2C" w:rsidRDefault="00BA75E9" w:rsidP="00370584">
            <w:pPr>
              <w:pStyle w:val="SCCShortJudgment"/>
              <w:rPr>
                <w:szCs w:val="20"/>
              </w:rPr>
            </w:pPr>
            <w:r w:rsidRPr="00A73D2C">
              <w:rPr>
                <w:szCs w:val="20"/>
              </w:rPr>
              <w:t>The motion for an extension of time to serve and file the application for leave to appeal is granted. The application for leave to appeal from the judgment of the Court of Appeal for Ontario, Number C53262, 2012 ONCA 862, dated December 7, 2012 is dismissed with costs payable from the Trust to the respondents John Mori Jr., Marla L. Ashmore and Teresa O’Neil.</w:t>
            </w:r>
          </w:p>
          <w:p w:rsidR="00BA75E9" w:rsidRPr="00A73D2C" w:rsidRDefault="00BA75E9" w:rsidP="00370584">
            <w:pPr>
              <w:pStyle w:val="SCCShortJudgment"/>
              <w:ind w:firstLine="0"/>
              <w:rPr>
                <w:szCs w:val="20"/>
              </w:rPr>
            </w:pPr>
          </w:p>
          <w:p w:rsidR="00BA75E9" w:rsidRPr="00A73D2C" w:rsidRDefault="00BA75E9" w:rsidP="00370584">
            <w:pPr>
              <w:pStyle w:val="SCCShortJudgment"/>
              <w:rPr>
                <w:szCs w:val="20"/>
                <w:lang w:val="fr-CA"/>
              </w:rPr>
            </w:pPr>
            <w:r w:rsidRPr="00A73D2C">
              <w:rPr>
                <w:szCs w:val="20"/>
                <w:lang w:val="fr-CA"/>
              </w:rPr>
              <w:t>La requête en prorogation du délai de signification et de dépôt de la demande d’autorisation d’appel est accueillie. La demande d’autorisation d’appel de l’arrêt de la Cour d’appel de l’Ontario, numéro C53262, 2012 ONCA 862, daté du 7 décembre 2012, est rejetée avec dépens payables par la fiducie aux intimés John Mori Jr., Marla L. Ashmore et Teresa O’Neil.</w:t>
            </w:r>
          </w:p>
        </w:tc>
      </w:tr>
    </w:tbl>
    <w:p w:rsidR="00BA75E9" w:rsidRPr="0016547E" w:rsidRDefault="00BA75E9" w:rsidP="00BA75E9">
      <w:pPr>
        <w:rPr>
          <w:sz w:val="20"/>
          <w:szCs w:val="20"/>
          <w:lang w:val="fr-CA"/>
        </w:rPr>
      </w:pPr>
    </w:p>
    <w:p w:rsidR="00BA75E9" w:rsidRPr="001B157C" w:rsidRDefault="00BA75E9" w:rsidP="00BA75E9">
      <w:pPr>
        <w:rPr>
          <w:sz w:val="20"/>
          <w:szCs w:val="20"/>
          <w:u w:val="single"/>
        </w:rPr>
      </w:pPr>
      <w:r w:rsidRPr="001B157C">
        <w:rPr>
          <w:sz w:val="20"/>
          <w:szCs w:val="20"/>
          <w:u w:val="single"/>
        </w:rPr>
        <w:t>CASE SUMMARY</w:t>
      </w:r>
    </w:p>
    <w:p w:rsidR="00BA75E9" w:rsidRDefault="00BA75E9" w:rsidP="00BA75E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A75E9" w:rsidRPr="00E007CB" w:rsidTr="00370584">
        <w:tc>
          <w:tcPr>
            <w:tcW w:w="5000" w:type="pct"/>
            <w:gridSpan w:val="3"/>
          </w:tcPr>
          <w:p w:rsidR="00BA75E9" w:rsidRPr="00E007CB" w:rsidRDefault="00BA75E9" w:rsidP="00370584">
            <w:pPr>
              <w:jc w:val="both"/>
              <w:rPr>
                <w:rFonts w:eastAsia="Calibri"/>
                <w:smallCaps/>
                <w:sz w:val="20"/>
              </w:rPr>
            </w:pPr>
            <w:r w:rsidRPr="00E007CB">
              <w:rPr>
                <w:rFonts w:eastAsia="Calibri"/>
                <w:smallCaps/>
                <w:sz w:val="20"/>
              </w:rPr>
              <w:t xml:space="preserve">(Sealing </w:t>
            </w:r>
            <w:r>
              <w:rPr>
                <w:rFonts w:eastAsia="Calibri"/>
                <w:smallCaps/>
                <w:sz w:val="20"/>
              </w:rPr>
              <w:t>O</w:t>
            </w:r>
            <w:r w:rsidRPr="00E007CB">
              <w:rPr>
                <w:rFonts w:eastAsia="Calibri"/>
                <w:smallCaps/>
                <w:sz w:val="20"/>
              </w:rPr>
              <w:t>rder)</w:t>
            </w:r>
          </w:p>
          <w:p w:rsidR="00BA75E9" w:rsidRPr="00E007CB" w:rsidRDefault="00BA75E9" w:rsidP="00370584">
            <w:pPr>
              <w:jc w:val="both"/>
              <w:rPr>
                <w:rFonts w:eastAsia="Calibri"/>
                <w:sz w:val="20"/>
              </w:rPr>
            </w:pPr>
          </w:p>
          <w:p w:rsidR="00BA75E9" w:rsidRPr="00E007CB" w:rsidRDefault="00BA75E9" w:rsidP="00370584">
            <w:pPr>
              <w:jc w:val="both"/>
              <w:rPr>
                <w:rFonts w:eastAsia="Calibri"/>
                <w:sz w:val="20"/>
              </w:rPr>
            </w:pPr>
            <w:r w:rsidRPr="00E007CB">
              <w:rPr>
                <w:rFonts w:eastAsia="Calibri"/>
                <w:sz w:val="20"/>
              </w:rPr>
              <w:t xml:space="preserve">Trusts – Variation – Whether the courts below erred in concluding that the </w:t>
            </w:r>
            <w:r w:rsidRPr="00E007CB">
              <w:rPr>
                <w:rFonts w:eastAsia="Calibri"/>
                <w:i/>
                <w:sz w:val="20"/>
              </w:rPr>
              <w:t>parens patriae</w:t>
            </w:r>
            <w:r w:rsidRPr="00E007CB">
              <w:rPr>
                <w:rFonts w:eastAsia="Calibri"/>
                <w:sz w:val="20"/>
              </w:rPr>
              <w:t xml:space="preserve"> jurisdiction of the court is spent when an arrangement to vary a trust affecting the interest of minors is approved – Whether the courts below erred in concluding that contractual principles should govern the interpretation of an arrangement to vary a trust when some or all of the beneficiaries are minors – Whether the courts below erred in finding that an arrangement to vary a trust can, by implication, oust the even hand principle – Whether the courts below erred in finding all safeguards inherent in a percentage trust, including the even hand principle and the fundamental premise of fairness and </w:t>
            </w:r>
            <w:r w:rsidRPr="00E007CB">
              <w:rPr>
                <w:rFonts w:eastAsia="Calibri"/>
                <w:sz w:val="20"/>
              </w:rPr>
              <w:tab/>
              <w:t>impartiality as between classes of beneficiaries, can be removed in a percentage trust involving minors.</w:t>
            </w:r>
          </w:p>
        </w:tc>
      </w:tr>
      <w:tr w:rsidR="00BA75E9" w:rsidRPr="00E007CB" w:rsidTr="00370584">
        <w:tc>
          <w:tcPr>
            <w:tcW w:w="5000" w:type="pct"/>
            <w:gridSpan w:val="3"/>
          </w:tcPr>
          <w:p w:rsidR="00BA75E9" w:rsidRPr="00E007CB" w:rsidRDefault="00BA75E9" w:rsidP="00370584">
            <w:pPr>
              <w:jc w:val="both"/>
              <w:rPr>
                <w:rFonts w:eastAsia="Calibri"/>
                <w:sz w:val="20"/>
              </w:rPr>
            </w:pPr>
          </w:p>
        </w:tc>
      </w:tr>
      <w:tr w:rsidR="00BA75E9" w:rsidRPr="00E007CB" w:rsidTr="00370584">
        <w:tc>
          <w:tcPr>
            <w:tcW w:w="5000" w:type="pct"/>
            <w:gridSpan w:val="3"/>
          </w:tcPr>
          <w:p w:rsidR="00BA75E9" w:rsidRPr="00E007CB" w:rsidRDefault="00BA75E9" w:rsidP="00370584">
            <w:pPr>
              <w:jc w:val="both"/>
              <w:rPr>
                <w:rFonts w:eastAsia="Calibri"/>
                <w:sz w:val="20"/>
              </w:rPr>
            </w:pPr>
            <w:r w:rsidRPr="00E007CB">
              <w:rPr>
                <w:rFonts w:eastAsia="Calibri"/>
                <w:sz w:val="20"/>
              </w:rPr>
              <w:t>In 1980, Primo Poloniato settled a trust in favour of his grandchildren (the income beneficiaries) and great-grandchildren (the capital beneficiaries).  The Trust was varied twice, in 1988 and in 1997.  Because of concerns with respect to the distributions to income beneficiaries following the 1997 variation, the trustee applied to the Superior Court for directions, asking the following questions:  (1) Does the trustee have the discretion to cause the Holding Company to distribute sufficient income to the Trust so as to meet the minimum annual distributions?; and (2) If so, is the trustee still subject to the duty to maintain an “even hand” between the income beneficiaries and the capital beneficiaries when exercising that discretion?  The court answered “yes” to the first question and “no” to the second question.  The Court of Appeal dismissed the appeal.</w:t>
            </w:r>
          </w:p>
          <w:p w:rsidR="00BA75E9" w:rsidRPr="00E007CB" w:rsidRDefault="00BA75E9" w:rsidP="00370584">
            <w:pPr>
              <w:jc w:val="both"/>
              <w:rPr>
                <w:rFonts w:eastAsia="Calibri"/>
                <w:sz w:val="20"/>
              </w:rPr>
            </w:pPr>
          </w:p>
        </w:tc>
      </w:tr>
      <w:tr w:rsidR="00BA75E9" w:rsidRPr="00E007CB" w:rsidTr="00370584">
        <w:tc>
          <w:tcPr>
            <w:tcW w:w="2427" w:type="pct"/>
          </w:tcPr>
          <w:p w:rsidR="00BA75E9" w:rsidRPr="00E007CB" w:rsidRDefault="00BA75E9" w:rsidP="00370584">
            <w:pPr>
              <w:jc w:val="both"/>
              <w:rPr>
                <w:rFonts w:eastAsia="Calibri"/>
                <w:sz w:val="20"/>
              </w:rPr>
            </w:pPr>
            <w:r w:rsidRPr="00E007CB">
              <w:rPr>
                <w:rFonts w:eastAsia="Calibri"/>
                <w:sz w:val="20"/>
              </w:rPr>
              <w:t>January 5, 2011</w:t>
            </w:r>
          </w:p>
          <w:p w:rsidR="00BA75E9" w:rsidRPr="00E007CB" w:rsidRDefault="00BA75E9" w:rsidP="00370584">
            <w:pPr>
              <w:jc w:val="both"/>
              <w:rPr>
                <w:rFonts w:eastAsia="Calibri"/>
                <w:sz w:val="20"/>
              </w:rPr>
            </w:pPr>
            <w:r w:rsidRPr="00E007CB">
              <w:rPr>
                <w:rFonts w:eastAsia="Calibri"/>
                <w:sz w:val="20"/>
              </w:rPr>
              <w:t>Ontario Superior Court of Justice</w:t>
            </w:r>
          </w:p>
          <w:p w:rsidR="00BA75E9" w:rsidRPr="00E007CB" w:rsidRDefault="00BA75E9" w:rsidP="00370584">
            <w:pPr>
              <w:jc w:val="both"/>
              <w:rPr>
                <w:rFonts w:eastAsia="Calibri"/>
                <w:sz w:val="20"/>
              </w:rPr>
            </w:pPr>
            <w:r w:rsidRPr="00E007CB">
              <w:rPr>
                <w:rFonts w:eastAsia="Calibri"/>
                <w:sz w:val="20"/>
              </w:rPr>
              <w:t>(Pattillo J.)</w:t>
            </w:r>
          </w:p>
          <w:p w:rsidR="00BA75E9" w:rsidRPr="00E007CB" w:rsidRDefault="00BA75E9" w:rsidP="00370584">
            <w:pPr>
              <w:jc w:val="both"/>
              <w:rPr>
                <w:rFonts w:eastAsia="Calibri"/>
                <w:sz w:val="20"/>
              </w:rPr>
            </w:pPr>
            <w:r w:rsidRPr="00E007CB">
              <w:rPr>
                <w:rFonts w:eastAsia="Calibri"/>
                <w:sz w:val="20"/>
              </w:rPr>
              <w:t>2011 ONSC 731</w:t>
            </w:r>
          </w:p>
          <w:p w:rsidR="00BA75E9" w:rsidRPr="00E007CB" w:rsidRDefault="00BA75E9" w:rsidP="00370584">
            <w:pPr>
              <w:jc w:val="both"/>
              <w:rPr>
                <w:rFonts w:eastAsia="Calibri"/>
                <w:sz w:val="20"/>
              </w:rPr>
            </w:pP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rPr>
            </w:pPr>
            <w:r w:rsidRPr="00E007CB">
              <w:rPr>
                <w:rFonts w:eastAsia="Calibri"/>
                <w:sz w:val="20"/>
              </w:rPr>
              <w:t xml:space="preserve">Questions posed by trustee in application for advice and directions answered </w:t>
            </w:r>
          </w:p>
          <w:p w:rsidR="00BA75E9" w:rsidRPr="00E007CB" w:rsidRDefault="00BA75E9" w:rsidP="00370584">
            <w:pPr>
              <w:jc w:val="both"/>
              <w:rPr>
                <w:rFonts w:eastAsia="Calibri"/>
                <w:sz w:val="20"/>
              </w:rPr>
            </w:pPr>
          </w:p>
        </w:tc>
      </w:tr>
      <w:tr w:rsidR="00BA75E9" w:rsidRPr="00E007CB" w:rsidTr="00370584">
        <w:tc>
          <w:tcPr>
            <w:tcW w:w="2427" w:type="pct"/>
          </w:tcPr>
          <w:p w:rsidR="00BA75E9" w:rsidRPr="00E007CB" w:rsidRDefault="00BA75E9" w:rsidP="00370584">
            <w:pPr>
              <w:jc w:val="both"/>
              <w:rPr>
                <w:rFonts w:eastAsia="Calibri"/>
                <w:sz w:val="20"/>
              </w:rPr>
            </w:pPr>
            <w:r w:rsidRPr="00E007CB">
              <w:rPr>
                <w:rFonts w:eastAsia="Calibri"/>
                <w:sz w:val="20"/>
              </w:rPr>
              <w:lastRenderedPageBreak/>
              <w:t>December 7, 2012</w:t>
            </w:r>
          </w:p>
          <w:p w:rsidR="00BA75E9" w:rsidRPr="00E007CB" w:rsidRDefault="00BA75E9" w:rsidP="00370584">
            <w:pPr>
              <w:jc w:val="both"/>
              <w:rPr>
                <w:rFonts w:eastAsia="Calibri"/>
                <w:sz w:val="20"/>
              </w:rPr>
            </w:pPr>
            <w:r w:rsidRPr="00E007CB">
              <w:rPr>
                <w:rFonts w:eastAsia="Calibri"/>
                <w:sz w:val="20"/>
              </w:rPr>
              <w:t>Court of Appeal for Ontario</w:t>
            </w:r>
          </w:p>
          <w:p w:rsidR="00BA75E9" w:rsidRPr="00E007CB" w:rsidRDefault="00BA75E9" w:rsidP="00370584">
            <w:pPr>
              <w:jc w:val="both"/>
              <w:rPr>
                <w:rFonts w:eastAsia="Calibri"/>
                <w:sz w:val="20"/>
              </w:rPr>
            </w:pPr>
            <w:r w:rsidRPr="00E007CB">
              <w:rPr>
                <w:rFonts w:eastAsia="Calibri"/>
                <w:sz w:val="20"/>
              </w:rPr>
              <w:t>(Feldman, Simmons and Cronk JJ.A.)</w:t>
            </w:r>
          </w:p>
          <w:p w:rsidR="00BA75E9" w:rsidRPr="00E007CB" w:rsidRDefault="00BA75E9" w:rsidP="00370584">
            <w:pPr>
              <w:jc w:val="both"/>
              <w:rPr>
                <w:rFonts w:eastAsia="Calibri"/>
                <w:sz w:val="20"/>
              </w:rPr>
            </w:pPr>
            <w:r w:rsidRPr="00E007CB">
              <w:rPr>
                <w:rFonts w:eastAsia="Calibri"/>
                <w:sz w:val="20"/>
              </w:rPr>
              <w:t>2012 ONCA 862</w:t>
            </w:r>
          </w:p>
          <w:p w:rsidR="00BA75E9" w:rsidRPr="00E007CB" w:rsidRDefault="00BA75E9" w:rsidP="00370584">
            <w:pPr>
              <w:jc w:val="both"/>
              <w:rPr>
                <w:rFonts w:eastAsia="Calibri"/>
                <w:sz w:val="20"/>
              </w:rPr>
            </w:pP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rPr>
            </w:pPr>
            <w:r w:rsidRPr="00E007CB">
              <w:rPr>
                <w:rFonts w:eastAsia="Calibri"/>
                <w:sz w:val="20"/>
              </w:rPr>
              <w:t>Appeal dismissed</w:t>
            </w:r>
          </w:p>
          <w:p w:rsidR="00BA75E9" w:rsidRPr="00E007CB" w:rsidRDefault="00BA75E9" w:rsidP="00370584">
            <w:pPr>
              <w:jc w:val="both"/>
              <w:rPr>
                <w:rFonts w:eastAsia="Calibri"/>
                <w:sz w:val="20"/>
              </w:rPr>
            </w:pPr>
          </w:p>
        </w:tc>
      </w:tr>
      <w:tr w:rsidR="00BA75E9" w:rsidRPr="00E007CB" w:rsidTr="00370584">
        <w:tc>
          <w:tcPr>
            <w:tcW w:w="2427" w:type="pct"/>
          </w:tcPr>
          <w:p w:rsidR="00BA75E9" w:rsidRPr="00E007CB" w:rsidRDefault="00BA75E9" w:rsidP="00370584">
            <w:pPr>
              <w:jc w:val="both"/>
              <w:rPr>
                <w:rFonts w:eastAsia="Calibri"/>
                <w:sz w:val="20"/>
              </w:rPr>
            </w:pPr>
            <w:r w:rsidRPr="00E007CB">
              <w:rPr>
                <w:rFonts w:eastAsia="Calibri"/>
                <w:sz w:val="20"/>
              </w:rPr>
              <w:t>February 6, 2013</w:t>
            </w:r>
          </w:p>
          <w:p w:rsidR="00BA75E9" w:rsidRPr="00E007CB" w:rsidRDefault="00BA75E9" w:rsidP="00370584">
            <w:pPr>
              <w:jc w:val="both"/>
              <w:rPr>
                <w:rFonts w:eastAsia="Calibri"/>
                <w:sz w:val="20"/>
              </w:rPr>
            </w:pPr>
            <w:r w:rsidRPr="00E007CB">
              <w:rPr>
                <w:rFonts w:eastAsia="Calibri"/>
                <w:sz w:val="20"/>
              </w:rPr>
              <w:t>Supreme Court of Canada</w:t>
            </w:r>
          </w:p>
          <w:p w:rsidR="00BA75E9" w:rsidRPr="00E007CB" w:rsidRDefault="00BA75E9" w:rsidP="00370584">
            <w:pPr>
              <w:jc w:val="both"/>
              <w:rPr>
                <w:rFonts w:eastAsia="Calibri"/>
                <w:i/>
                <w:sz w:val="20"/>
              </w:rPr>
            </w:pPr>
          </w:p>
        </w:tc>
        <w:tc>
          <w:tcPr>
            <w:tcW w:w="243" w:type="pct"/>
          </w:tcPr>
          <w:p w:rsidR="00BA75E9" w:rsidRPr="00E007CB" w:rsidRDefault="00BA75E9" w:rsidP="00370584">
            <w:pPr>
              <w:jc w:val="both"/>
              <w:rPr>
                <w:rFonts w:eastAsia="Calibri"/>
                <w:i/>
                <w:sz w:val="20"/>
              </w:rPr>
            </w:pPr>
          </w:p>
        </w:tc>
        <w:tc>
          <w:tcPr>
            <w:tcW w:w="2330" w:type="pct"/>
          </w:tcPr>
          <w:p w:rsidR="00BA75E9" w:rsidRPr="00E007CB" w:rsidRDefault="00BA75E9" w:rsidP="00370584">
            <w:pPr>
              <w:jc w:val="both"/>
              <w:rPr>
                <w:rFonts w:eastAsia="Calibri"/>
                <w:sz w:val="20"/>
              </w:rPr>
            </w:pPr>
            <w:r w:rsidRPr="00E007CB">
              <w:rPr>
                <w:rFonts w:eastAsia="Calibri"/>
                <w:sz w:val="20"/>
              </w:rPr>
              <w:t>Application for leave to appeal filed</w:t>
            </w:r>
          </w:p>
          <w:p w:rsidR="00BA75E9" w:rsidRPr="00E007CB" w:rsidRDefault="00BA75E9" w:rsidP="00370584">
            <w:pPr>
              <w:jc w:val="both"/>
              <w:rPr>
                <w:rFonts w:eastAsia="Calibri"/>
                <w:i/>
                <w:sz w:val="20"/>
              </w:rPr>
            </w:pPr>
          </w:p>
        </w:tc>
      </w:tr>
      <w:tr w:rsidR="00BA75E9" w:rsidRPr="00E007CB" w:rsidTr="00370584">
        <w:tc>
          <w:tcPr>
            <w:tcW w:w="2427" w:type="pct"/>
          </w:tcPr>
          <w:p w:rsidR="00BA75E9" w:rsidRPr="00E007CB" w:rsidRDefault="00BA75E9" w:rsidP="00370584">
            <w:pPr>
              <w:jc w:val="both"/>
              <w:rPr>
                <w:rFonts w:eastAsia="Calibri"/>
                <w:sz w:val="20"/>
              </w:rPr>
            </w:pPr>
            <w:r w:rsidRPr="00E007CB">
              <w:rPr>
                <w:rFonts w:eastAsia="Calibri"/>
                <w:sz w:val="20"/>
              </w:rPr>
              <w:t>February 21, 2013</w:t>
            </w:r>
          </w:p>
          <w:p w:rsidR="00BA75E9" w:rsidRPr="00E007CB" w:rsidRDefault="00BA75E9" w:rsidP="00370584">
            <w:pPr>
              <w:jc w:val="both"/>
              <w:rPr>
                <w:rFonts w:eastAsia="Calibri"/>
                <w:sz w:val="20"/>
              </w:rPr>
            </w:pPr>
            <w:r w:rsidRPr="00E007CB">
              <w:rPr>
                <w:rFonts w:eastAsia="Calibri"/>
                <w:sz w:val="20"/>
              </w:rPr>
              <w:t>Supreme Court of Canada</w:t>
            </w: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rPr>
            </w:pPr>
            <w:r w:rsidRPr="00E007CB">
              <w:rPr>
                <w:rFonts w:eastAsia="Calibri"/>
                <w:sz w:val="20"/>
              </w:rPr>
              <w:t>Motion for extend time to serve and file the application for leave to appeal filed</w:t>
            </w:r>
          </w:p>
        </w:tc>
      </w:tr>
    </w:tbl>
    <w:p w:rsidR="00BA75E9" w:rsidRDefault="00BA75E9" w:rsidP="00BA75E9">
      <w:pPr>
        <w:rPr>
          <w:sz w:val="20"/>
          <w:szCs w:val="20"/>
        </w:rPr>
      </w:pPr>
    </w:p>
    <w:p w:rsidR="00BA75E9" w:rsidRPr="00C50A5C" w:rsidRDefault="00B35B95" w:rsidP="00BA75E9">
      <w:pPr>
        <w:rPr>
          <w:sz w:val="20"/>
          <w:szCs w:val="20"/>
        </w:rPr>
      </w:pPr>
      <w:r w:rsidRPr="00B35B95">
        <w:rPr>
          <w:sz w:val="20"/>
          <w:szCs w:val="20"/>
          <w:lang w:val="fr-CA"/>
        </w:rPr>
        <w:pict>
          <v:rect id="_x0000_i1058" style="width:2in;height:1pt" o:hrpct="0" o:hralign="center" o:hrstd="t" o:hrnoshade="t" o:hr="t" fillcolor="black [3213]" stroked="f"/>
        </w:pict>
      </w:r>
    </w:p>
    <w:p w:rsidR="00BA75E9" w:rsidRDefault="00BA75E9" w:rsidP="00BA75E9">
      <w:pPr>
        <w:rPr>
          <w:sz w:val="20"/>
          <w:szCs w:val="20"/>
        </w:rPr>
      </w:pPr>
    </w:p>
    <w:p w:rsidR="00BA75E9" w:rsidRPr="001B157C" w:rsidRDefault="00BA75E9" w:rsidP="00BA75E9">
      <w:pPr>
        <w:rPr>
          <w:sz w:val="20"/>
          <w:szCs w:val="20"/>
          <w:u w:val="single"/>
          <w:lang w:val="fr-CA"/>
        </w:rPr>
      </w:pPr>
      <w:r w:rsidRPr="001B157C">
        <w:rPr>
          <w:sz w:val="20"/>
          <w:szCs w:val="20"/>
          <w:u w:val="single"/>
          <w:lang w:val="fr-CA"/>
        </w:rPr>
        <w:t>RÉSUMÉ DE L’AFFAIRE</w:t>
      </w:r>
    </w:p>
    <w:p w:rsidR="00BA75E9" w:rsidRDefault="00BA75E9" w:rsidP="00BA75E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A75E9" w:rsidRPr="00370584" w:rsidTr="00370584">
        <w:tc>
          <w:tcPr>
            <w:tcW w:w="5000" w:type="pct"/>
            <w:gridSpan w:val="3"/>
          </w:tcPr>
          <w:p w:rsidR="00BA75E9" w:rsidRPr="00E007CB" w:rsidRDefault="00BA75E9" w:rsidP="00370584">
            <w:pPr>
              <w:jc w:val="both"/>
              <w:rPr>
                <w:rFonts w:eastAsia="Calibri"/>
                <w:smallCaps/>
                <w:sz w:val="20"/>
                <w:lang w:val="fr-CA"/>
              </w:rPr>
            </w:pPr>
            <w:r w:rsidRPr="00E007CB">
              <w:rPr>
                <w:rFonts w:eastAsia="Calibri"/>
                <w:smallCaps/>
                <w:sz w:val="20"/>
                <w:lang w:val="fr-CA"/>
              </w:rPr>
              <w:t>(ordonnance de mise sous scellés)</w:t>
            </w:r>
          </w:p>
          <w:p w:rsidR="00BA75E9" w:rsidRPr="00E007CB" w:rsidRDefault="00BA75E9" w:rsidP="00370584">
            <w:pPr>
              <w:jc w:val="both"/>
              <w:rPr>
                <w:rFonts w:eastAsia="Calibri"/>
                <w:sz w:val="20"/>
                <w:lang w:val="fr-FR"/>
              </w:rPr>
            </w:pPr>
          </w:p>
          <w:p w:rsidR="00BA75E9" w:rsidRPr="00E007CB" w:rsidRDefault="00BA75E9" w:rsidP="00370584">
            <w:pPr>
              <w:jc w:val="both"/>
              <w:rPr>
                <w:rFonts w:eastAsia="Calibri"/>
                <w:sz w:val="20"/>
                <w:lang w:val="fr-FR"/>
              </w:rPr>
            </w:pPr>
            <w:r w:rsidRPr="00E007CB">
              <w:rPr>
                <w:rFonts w:eastAsia="Calibri"/>
                <w:sz w:val="20"/>
                <w:lang w:val="fr-FR"/>
              </w:rPr>
              <w:t xml:space="preserve">Fiducies – Modification – Les juridictions inférieures ont-elles commis une erreur en concluant que le tribunal perd sa compétence </w:t>
            </w:r>
            <w:r w:rsidRPr="00E007CB">
              <w:rPr>
                <w:rFonts w:eastAsia="Calibri"/>
                <w:i/>
                <w:sz w:val="20"/>
                <w:lang w:val="fr-FR"/>
              </w:rPr>
              <w:t>parens patriae</w:t>
            </w:r>
            <w:r w:rsidRPr="00E007CB">
              <w:rPr>
                <w:rFonts w:eastAsia="Calibri"/>
                <w:sz w:val="20"/>
                <w:lang w:val="fr-FR"/>
              </w:rPr>
              <w:t xml:space="preserve"> lorsqu’il y a approbation d’une entente visant la modification d’une fiducie qui touche l’intérêt de mineurs?  Les juridictions inférieures ont</w:t>
            </w:r>
            <w:r w:rsidRPr="00E007CB">
              <w:rPr>
                <w:rFonts w:eastAsia="Calibri"/>
                <w:sz w:val="20"/>
                <w:lang w:val="fr-FR"/>
              </w:rPr>
              <w:noBreakHyphen/>
              <w:t xml:space="preserve">elles eu tort de conclure que les principes en matière contractuelle doivent régir l’interprétation d’une entente visant la modification d’une fiducie dont une partie ou l’ensemble des bénéficiaires sont mineurs? – Les juridictions inférieures ont-elles commis une erreur en concluant qu’une entente visant la modification d’une fiducie peut écarter implicitement le principe d’égalité? – Les juridictions inférieures ont-elles eu tort de conclure à la possibilité d’exclure toutes les garanties inhérentes à une fiducie répartie selon des pourcentages fixes, y compris le principe d’égalité et le principe fondamental de l’équité et de l’impartialité entre les catégories de bénéficiaires, lorsqu’il s’agit d’une fiducie de ce genre concernant des mineurs? </w:t>
            </w:r>
          </w:p>
        </w:tc>
      </w:tr>
      <w:tr w:rsidR="00BA75E9" w:rsidRPr="00370584" w:rsidTr="00370584">
        <w:tc>
          <w:tcPr>
            <w:tcW w:w="5000" w:type="pct"/>
            <w:gridSpan w:val="3"/>
          </w:tcPr>
          <w:p w:rsidR="00BA75E9" w:rsidRPr="00E007CB" w:rsidRDefault="00BA75E9" w:rsidP="00370584">
            <w:pPr>
              <w:jc w:val="both"/>
              <w:rPr>
                <w:rFonts w:eastAsia="Calibri"/>
                <w:sz w:val="20"/>
                <w:lang w:val="fr-FR"/>
              </w:rPr>
            </w:pPr>
          </w:p>
        </w:tc>
      </w:tr>
      <w:tr w:rsidR="00BA75E9" w:rsidRPr="00E007CB" w:rsidTr="00370584">
        <w:tc>
          <w:tcPr>
            <w:tcW w:w="5000" w:type="pct"/>
            <w:gridSpan w:val="3"/>
          </w:tcPr>
          <w:p w:rsidR="00BA75E9" w:rsidRPr="00E007CB" w:rsidRDefault="00BA75E9" w:rsidP="00370584">
            <w:pPr>
              <w:jc w:val="both"/>
              <w:rPr>
                <w:rFonts w:eastAsia="Calibri"/>
                <w:sz w:val="20"/>
                <w:lang w:val="fr-CA"/>
              </w:rPr>
            </w:pPr>
            <w:r w:rsidRPr="00E007CB">
              <w:rPr>
                <w:rFonts w:eastAsia="Calibri"/>
                <w:sz w:val="20"/>
                <w:lang w:val="fr-FR"/>
              </w:rPr>
              <w:t xml:space="preserve">Primo Poloniato a créé une fiducie en faveur de ses petits-enfants (les bénéficiaires du revenu) et arrière-petits-enfants (les bénéficiaires du capital) en 1980.  La fiducie a été modifiée deux fois, soit en 1988 et en 1997.  Étant donné les préoccupations relatives aux sommes réparties entre les bénéficiaires du revenu à la suite de la modification de 1997, le fiduciaire a demandé des directives à la Cour supérieure en lui posant les questions suivantes : (1) Le fiduciaire a-t-il le pouvoir discrétionnaire de faire en sorte que la société de portefeuille verse un revenu suffisant à la fiducie pour remettre aux bénéficiaires les sommes minimales auxquelles ils ont droit chaque année?; (2) Dans l’affirmative, le fiduciaire est-il néanmoins tenu, dans l’exercice de ce pouvoir discrétionnaire, de faire preuve d’équité entre les bénéficiaires du revenu et ceux du capital?  La Cour supérieure a répondu « oui » à la première question et « non » à la deuxième question.  La </w:t>
            </w:r>
            <w:r w:rsidRPr="00E007CB">
              <w:rPr>
                <w:rFonts w:eastAsia="Calibri"/>
                <w:sz w:val="20"/>
                <w:lang w:val="fr-CA"/>
              </w:rPr>
              <w:t>Cour d’appel a rejeté l’appel.</w:t>
            </w:r>
          </w:p>
          <w:p w:rsidR="00BA75E9" w:rsidRPr="00E007CB" w:rsidRDefault="00BA75E9" w:rsidP="00370584">
            <w:pPr>
              <w:jc w:val="both"/>
              <w:rPr>
                <w:rFonts w:eastAsia="Calibri"/>
                <w:sz w:val="20"/>
                <w:lang w:val="fr-CA"/>
              </w:rPr>
            </w:pPr>
          </w:p>
        </w:tc>
      </w:tr>
      <w:tr w:rsidR="00BA75E9" w:rsidRPr="00370584" w:rsidTr="00370584">
        <w:tc>
          <w:tcPr>
            <w:tcW w:w="2427" w:type="pct"/>
          </w:tcPr>
          <w:p w:rsidR="00BA75E9" w:rsidRPr="00E007CB" w:rsidRDefault="00BA75E9" w:rsidP="00370584">
            <w:pPr>
              <w:jc w:val="both"/>
              <w:rPr>
                <w:rFonts w:eastAsia="Calibri"/>
                <w:sz w:val="20"/>
                <w:lang w:val="fr-FR"/>
              </w:rPr>
            </w:pPr>
            <w:r w:rsidRPr="00E007CB">
              <w:rPr>
                <w:rFonts w:eastAsia="Calibri"/>
                <w:sz w:val="20"/>
                <w:lang w:val="fr-FR"/>
              </w:rPr>
              <w:t>5 janvier 2011</w:t>
            </w:r>
          </w:p>
          <w:p w:rsidR="00BA75E9" w:rsidRPr="00E007CB" w:rsidRDefault="00BA75E9" w:rsidP="00370584">
            <w:pPr>
              <w:jc w:val="both"/>
              <w:rPr>
                <w:rFonts w:eastAsia="Calibri"/>
                <w:sz w:val="20"/>
                <w:lang w:val="fr-FR"/>
              </w:rPr>
            </w:pPr>
            <w:r w:rsidRPr="00E007CB">
              <w:rPr>
                <w:rFonts w:eastAsia="Calibri"/>
                <w:sz w:val="20"/>
                <w:lang w:val="fr-FR"/>
              </w:rPr>
              <w:t xml:space="preserve">Cour supérieure de justice de l’Ontario </w:t>
            </w:r>
          </w:p>
          <w:p w:rsidR="00BA75E9" w:rsidRPr="00E007CB" w:rsidRDefault="00BA75E9" w:rsidP="00370584">
            <w:pPr>
              <w:jc w:val="both"/>
              <w:rPr>
                <w:rFonts w:eastAsia="Calibri"/>
                <w:sz w:val="20"/>
              </w:rPr>
            </w:pPr>
            <w:r w:rsidRPr="00E007CB">
              <w:rPr>
                <w:rFonts w:eastAsia="Calibri"/>
                <w:sz w:val="20"/>
              </w:rPr>
              <w:t>(Juge Pattillo)</w:t>
            </w:r>
          </w:p>
          <w:p w:rsidR="00BA75E9" w:rsidRPr="00E007CB" w:rsidRDefault="00BA75E9" w:rsidP="00370584">
            <w:pPr>
              <w:jc w:val="both"/>
              <w:rPr>
                <w:rFonts w:eastAsia="Calibri"/>
                <w:sz w:val="20"/>
              </w:rPr>
            </w:pPr>
            <w:r w:rsidRPr="00E007CB">
              <w:rPr>
                <w:rFonts w:eastAsia="Calibri"/>
                <w:sz w:val="20"/>
              </w:rPr>
              <w:t>2011 ONSC 731</w:t>
            </w:r>
          </w:p>
          <w:p w:rsidR="00BA75E9" w:rsidRPr="00E007CB" w:rsidRDefault="00BA75E9" w:rsidP="00370584">
            <w:pPr>
              <w:jc w:val="both"/>
              <w:rPr>
                <w:rFonts w:eastAsia="Calibri"/>
                <w:sz w:val="20"/>
              </w:rPr>
            </w:pP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lang w:val="fr-FR"/>
              </w:rPr>
            </w:pPr>
            <w:r w:rsidRPr="00E007CB">
              <w:rPr>
                <w:rFonts w:eastAsia="Calibri"/>
                <w:sz w:val="20"/>
                <w:lang w:val="fr-FR"/>
              </w:rPr>
              <w:t xml:space="preserve">Réponses aux questions posées par le fiduciaire dans sa demande de conseils et de directives </w:t>
            </w:r>
          </w:p>
          <w:p w:rsidR="00BA75E9" w:rsidRPr="00E007CB" w:rsidRDefault="00BA75E9" w:rsidP="00370584">
            <w:pPr>
              <w:jc w:val="both"/>
              <w:rPr>
                <w:rFonts w:eastAsia="Calibri"/>
                <w:sz w:val="20"/>
                <w:lang w:val="fr-FR"/>
              </w:rPr>
            </w:pPr>
          </w:p>
        </w:tc>
      </w:tr>
      <w:tr w:rsidR="00BA75E9" w:rsidRPr="00E007CB" w:rsidTr="00370584">
        <w:tc>
          <w:tcPr>
            <w:tcW w:w="2427" w:type="pct"/>
          </w:tcPr>
          <w:p w:rsidR="00BA75E9" w:rsidRPr="00E007CB" w:rsidRDefault="00BA75E9" w:rsidP="00370584">
            <w:pPr>
              <w:jc w:val="both"/>
              <w:rPr>
                <w:rFonts w:eastAsia="Calibri"/>
                <w:sz w:val="20"/>
                <w:lang w:val="fr-FR"/>
              </w:rPr>
            </w:pPr>
            <w:r w:rsidRPr="00E007CB">
              <w:rPr>
                <w:rFonts w:eastAsia="Calibri"/>
                <w:sz w:val="20"/>
                <w:lang w:val="fr-FR"/>
              </w:rPr>
              <w:t>7 décembre 2012</w:t>
            </w:r>
          </w:p>
          <w:p w:rsidR="00BA75E9" w:rsidRPr="00E007CB" w:rsidRDefault="00BA75E9" w:rsidP="00370584">
            <w:pPr>
              <w:jc w:val="both"/>
              <w:rPr>
                <w:rFonts w:eastAsia="Calibri"/>
                <w:sz w:val="20"/>
                <w:lang w:val="fr-FR"/>
              </w:rPr>
            </w:pPr>
            <w:r w:rsidRPr="00E007CB">
              <w:rPr>
                <w:rFonts w:eastAsia="Calibri"/>
                <w:sz w:val="20"/>
                <w:lang w:val="fr-FR"/>
              </w:rPr>
              <w:t>Cour d’appel de l’Ontario</w:t>
            </w:r>
          </w:p>
          <w:p w:rsidR="00BA75E9" w:rsidRPr="00E007CB" w:rsidRDefault="00BA75E9" w:rsidP="00370584">
            <w:pPr>
              <w:jc w:val="both"/>
              <w:rPr>
                <w:rFonts w:eastAsia="Calibri"/>
                <w:sz w:val="20"/>
                <w:lang w:val="fr-FR"/>
              </w:rPr>
            </w:pPr>
            <w:r w:rsidRPr="00E007CB">
              <w:rPr>
                <w:rFonts w:eastAsia="Calibri"/>
                <w:sz w:val="20"/>
                <w:lang w:val="fr-FR"/>
              </w:rPr>
              <w:t>(Juges Feldman, Simmons et Cronk)</w:t>
            </w:r>
          </w:p>
          <w:p w:rsidR="00BA75E9" w:rsidRPr="00E007CB" w:rsidRDefault="00BA75E9" w:rsidP="00370584">
            <w:pPr>
              <w:jc w:val="both"/>
              <w:rPr>
                <w:rFonts w:eastAsia="Calibri"/>
                <w:sz w:val="20"/>
              </w:rPr>
            </w:pPr>
            <w:r w:rsidRPr="00E007CB">
              <w:rPr>
                <w:rFonts w:eastAsia="Calibri"/>
                <w:sz w:val="20"/>
              </w:rPr>
              <w:t>2012 ONCA 862</w:t>
            </w:r>
          </w:p>
          <w:p w:rsidR="00BA75E9" w:rsidRPr="00E007CB" w:rsidRDefault="00BA75E9" w:rsidP="00370584">
            <w:pPr>
              <w:jc w:val="both"/>
              <w:rPr>
                <w:rFonts w:eastAsia="Calibri"/>
                <w:sz w:val="20"/>
              </w:rPr>
            </w:pP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lang w:val="fr-CA"/>
              </w:rPr>
            </w:pPr>
            <w:r w:rsidRPr="00E007CB">
              <w:rPr>
                <w:rFonts w:eastAsia="Calibri"/>
                <w:sz w:val="20"/>
                <w:lang w:val="fr-CA"/>
              </w:rPr>
              <w:t>Appel rejeté</w:t>
            </w:r>
          </w:p>
          <w:p w:rsidR="00BA75E9" w:rsidRPr="00E007CB" w:rsidRDefault="00BA75E9" w:rsidP="00370584">
            <w:pPr>
              <w:jc w:val="both"/>
              <w:rPr>
                <w:rFonts w:eastAsia="Calibri"/>
                <w:sz w:val="20"/>
              </w:rPr>
            </w:pPr>
          </w:p>
        </w:tc>
      </w:tr>
      <w:tr w:rsidR="00BA75E9" w:rsidRPr="00E007CB" w:rsidTr="00370584">
        <w:tc>
          <w:tcPr>
            <w:tcW w:w="2427" w:type="pct"/>
          </w:tcPr>
          <w:p w:rsidR="00BA75E9" w:rsidRPr="00E007CB" w:rsidRDefault="00BA75E9" w:rsidP="00370584">
            <w:pPr>
              <w:jc w:val="both"/>
              <w:rPr>
                <w:rFonts w:eastAsia="Calibri"/>
                <w:sz w:val="20"/>
                <w:lang w:val="fr-CA"/>
              </w:rPr>
            </w:pPr>
            <w:r w:rsidRPr="00E007CB">
              <w:rPr>
                <w:rFonts w:eastAsia="Calibri"/>
                <w:sz w:val="20"/>
                <w:lang w:val="fr-CA"/>
              </w:rPr>
              <w:t>6 février 2013</w:t>
            </w:r>
          </w:p>
          <w:p w:rsidR="00BA75E9" w:rsidRPr="00E007CB" w:rsidRDefault="00BA75E9" w:rsidP="00370584">
            <w:pPr>
              <w:jc w:val="both"/>
              <w:rPr>
                <w:rFonts w:eastAsia="Calibri"/>
                <w:sz w:val="20"/>
                <w:lang w:val="fr-CA"/>
              </w:rPr>
            </w:pPr>
            <w:r w:rsidRPr="00E007CB">
              <w:rPr>
                <w:rFonts w:eastAsia="Calibri"/>
                <w:sz w:val="20"/>
                <w:lang w:val="fr-CA"/>
              </w:rPr>
              <w:t>Cour suprême du Canada</w:t>
            </w:r>
          </w:p>
          <w:p w:rsidR="00BA75E9" w:rsidRPr="00E007CB" w:rsidRDefault="00BA75E9" w:rsidP="00370584">
            <w:pPr>
              <w:jc w:val="both"/>
              <w:rPr>
                <w:rFonts w:eastAsia="Calibri"/>
                <w:i/>
                <w:sz w:val="20"/>
                <w:lang w:val="fr-CA"/>
              </w:rPr>
            </w:pPr>
          </w:p>
        </w:tc>
        <w:tc>
          <w:tcPr>
            <w:tcW w:w="243" w:type="pct"/>
          </w:tcPr>
          <w:p w:rsidR="00BA75E9" w:rsidRPr="00E007CB" w:rsidRDefault="00BA75E9" w:rsidP="00370584">
            <w:pPr>
              <w:jc w:val="both"/>
              <w:rPr>
                <w:rFonts w:eastAsia="Calibri"/>
                <w:i/>
                <w:sz w:val="20"/>
                <w:lang w:val="fr-CA"/>
              </w:rPr>
            </w:pPr>
          </w:p>
        </w:tc>
        <w:tc>
          <w:tcPr>
            <w:tcW w:w="2330" w:type="pct"/>
          </w:tcPr>
          <w:p w:rsidR="00BA75E9" w:rsidRPr="00E007CB" w:rsidRDefault="00BA75E9" w:rsidP="00370584">
            <w:pPr>
              <w:jc w:val="both"/>
              <w:rPr>
                <w:rFonts w:eastAsia="Calibri"/>
                <w:sz w:val="20"/>
                <w:lang w:val="fr-CA"/>
              </w:rPr>
            </w:pPr>
            <w:r w:rsidRPr="00E007CB">
              <w:rPr>
                <w:rFonts w:eastAsia="Calibri"/>
                <w:sz w:val="20"/>
                <w:lang w:val="fr-CA"/>
              </w:rPr>
              <w:t xml:space="preserve">Demande d’autorisation d’appel déposée </w:t>
            </w:r>
          </w:p>
          <w:p w:rsidR="00BA75E9" w:rsidRPr="00E007CB" w:rsidRDefault="00BA75E9" w:rsidP="00370584">
            <w:pPr>
              <w:jc w:val="both"/>
              <w:rPr>
                <w:rFonts w:eastAsia="Calibri"/>
                <w:i/>
                <w:sz w:val="20"/>
              </w:rPr>
            </w:pPr>
          </w:p>
        </w:tc>
      </w:tr>
      <w:tr w:rsidR="00BA75E9" w:rsidRPr="00370584" w:rsidTr="00370584">
        <w:tc>
          <w:tcPr>
            <w:tcW w:w="2427" w:type="pct"/>
          </w:tcPr>
          <w:p w:rsidR="00BA75E9" w:rsidRPr="00E007CB" w:rsidRDefault="00BA75E9" w:rsidP="00370584">
            <w:pPr>
              <w:jc w:val="both"/>
              <w:rPr>
                <w:rFonts w:eastAsia="Calibri"/>
                <w:sz w:val="20"/>
                <w:lang w:val="fr-CA"/>
              </w:rPr>
            </w:pPr>
            <w:r w:rsidRPr="00E007CB">
              <w:rPr>
                <w:rFonts w:eastAsia="Calibri"/>
                <w:sz w:val="20"/>
                <w:lang w:val="fr-CA"/>
              </w:rPr>
              <w:lastRenderedPageBreak/>
              <w:t xml:space="preserve">21 février 2013 </w:t>
            </w:r>
          </w:p>
          <w:p w:rsidR="00BA75E9" w:rsidRPr="008D7178" w:rsidRDefault="00BA75E9" w:rsidP="00370584">
            <w:pPr>
              <w:jc w:val="both"/>
              <w:rPr>
                <w:rFonts w:eastAsia="Calibri"/>
                <w:sz w:val="20"/>
                <w:lang w:val="fr-CA"/>
              </w:rPr>
            </w:pPr>
            <w:r w:rsidRPr="00E007CB">
              <w:rPr>
                <w:rFonts w:eastAsia="Calibri"/>
                <w:sz w:val="20"/>
                <w:lang w:val="fr-CA"/>
              </w:rPr>
              <w:t>Cour suprême du Canada</w:t>
            </w:r>
          </w:p>
        </w:tc>
        <w:tc>
          <w:tcPr>
            <w:tcW w:w="243" w:type="pct"/>
          </w:tcPr>
          <w:p w:rsidR="00BA75E9" w:rsidRPr="008D7178" w:rsidRDefault="00BA75E9" w:rsidP="00370584">
            <w:pPr>
              <w:jc w:val="both"/>
              <w:rPr>
                <w:rFonts w:eastAsia="Calibri"/>
                <w:sz w:val="20"/>
                <w:lang w:val="fr-CA"/>
              </w:rPr>
            </w:pPr>
          </w:p>
        </w:tc>
        <w:tc>
          <w:tcPr>
            <w:tcW w:w="2330" w:type="pct"/>
          </w:tcPr>
          <w:p w:rsidR="00BA75E9" w:rsidRPr="00E007CB" w:rsidRDefault="00BA75E9" w:rsidP="00370584">
            <w:pPr>
              <w:jc w:val="both"/>
              <w:rPr>
                <w:rFonts w:eastAsia="Calibri"/>
                <w:sz w:val="20"/>
                <w:lang w:val="fr-FR"/>
              </w:rPr>
            </w:pPr>
            <w:r w:rsidRPr="00E007CB">
              <w:rPr>
                <w:rFonts w:eastAsia="Calibri"/>
                <w:sz w:val="20"/>
                <w:lang w:val="fr-FR"/>
              </w:rPr>
              <w:t xml:space="preserve">Requête en prorogation du délai pour signifier et déposer la demande d’autorisation d’appel déposée </w:t>
            </w:r>
          </w:p>
        </w:tc>
      </w:tr>
    </w:tbl>
    <w:p w:rsidR="00BA75E9" w:rsidRPr="007A2789" w:rsidRDefault="00BA75E9" w:rsidP="00BA75E9">
      <w:pPr>
        <w:rPr>
          <w:sz w:val="20"/>
          <w:szCs w:val="20"/>
          <w:lang w:val="fr-CA"/>
        </w:rPr>
      </w:pPr>
    </w:p>
    <w:p w:rsidR="00BA75E9" w:rsidRDefault="00B35B95" w:rsidP="00BA75E9">
      <w:pPr>
        <w:rPr>
          <w:sz w:val="20"/>
          <w:szCs w:val="20"/>
        </w:rPr>
      </w:pPr>
      <w:r w:rsidRPr="00B35B95">
        <w:rPr>
          <w:sz w:val="20"/>
          <w:szCs w:val="20"/>
          <w:lang w:val="fr-CA"/>
        </w:rPr>
        <w:pict>
          <v:rect id="_x0000_i1059" style="width:2in;height:1pt" o:hrpct="0" o:hralign="center" o:hrstd="t" o:hrnoshade="t" o:hr="t" fillcolor="black [3213]" stroked="f"/>
        </w:pict>
      </w:r>
    </w:p>
    <w:p w:rsidR="00BA75E9" w:rsidRDefault="00BA75E9" w:rsidP="00BA75E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A75E9" w:rsidRPr="00A73D2C" w:rsidTr="00370584">
        <w:trPr>
          <w:cantSplit/>
        </w:trPr>
        <w:tc>
          <w:tcPr>
            <w:tcW w:w="1458" w:type="dxa"/>
          </w:tcPr>
          <w:p w:rsidR="00BA75E9" w:rsidRPr="00A73D2C" w:rsidRDefault="00BA75E9" w:rsidP="00370584">
            <w:pPr>
              <w:rPr>
                <w:sz w:val="20"/>
                <w:szCs w:val="20"/>
              </w:rPr>
            </w:pPr>
            <w:r w:rsidRPr="00A73D2C">
              <w:rPr>
                <w:rStyle w:val="SCCFileNumberChar"/>
                <w:sz w:val="20"/>
                <w:szCs w:val="20"/>
              </w:rPr>
              <w:t>35220</w:t>
            </w:r>
          </w:p>
          <w:p w:rsidR="00BA75E9" w:rsidRPr="00A73D2C" w:rsidRDefault="00BA75E9" w:rsidP="00370584">
            <w:pPr>
              <w:rPr>
                <w:b/>
                <w:sz w:val="20"/>
                <w:szCs w:val="20"/>
                <w:lang w:val="fr-CA"/>
              </w:rPr>
            </w:pPr>
          </w:p>
        </w:tc>
        <w:tc>
          <w:tcPr>
            <w:tcW w:w="8118" w:type="dxa"/>
          </w:tcPr>
          <w:p w:rsidR="00BA75E9" w:rsidRPr="00A73D2C" w:rsidRDefault="00BA75E9" w:rsidP="00370584">
            <w:pPr>
              <w:rPr>
                <w:sz w:val="20"/>
                <w:szCs w:val="20"/>
              </w:rPr>
            </w:pPr>
            <w:r w:rsidRPr="00A73D2C">
              <w:rPr>
                <w:rStyle w:val="SCCLsocChar"/>
                <w:sz w:val="20"/>
                <w:szCs w:val="20"/>
                <w:lang w:val="en-CA"/>
              </w:rPr>
              <w:t>James Douglas Robertson v. Her Majesty the Queen</w:t>
            </w:r>
            <w:r w:rsidRPr="00A73D2C">
              <w:rPr>
                <w:sz w:val="20"/>
                <w:szCs w:val="20"/>
              </w:rPr>
              <w:t xml:space="preserve"> (Ont.) (Criminal) (By Leave)</w:t>
            </w:r>
          </w:p>
          <w:p w:rsidR="00BA75E9" w:rsidRPr="00A73D2C" w:rsidRDefault="00BA75E9" w:rsidP="00370584">
            <w:pPr>
              <w:rPr>
                <w:sz w:val="20"/>
                <w:szCs w:val="20"/>
              </w:rPr>
            </w:pPr>
          </w:p>
        </w:tc>
      </w:tr>
      <w:tr w:rsidR="00BA75E9" w:rsidRPr="00A73D2C" w:rsidTr="00370584">
        <w:trPr>
          <w:cantSplit/>
        </w:trPr>
        <w:tc>
          <w:tcPr>
            <w:tcW w:w="1458" w:type="dxa"/>
          </w:tcPr>
          <w:p w:rsidR="00BA75E9" w:rsidRPr="00A73D2C" w:rsidRDefault="00BA75E9" w:rsidP="00370584">
            <w:pPr>
              <w:rPr>
                <w:sz w:val="20"/>
                <w:szCs w:val="20"/>
              </w:rPr>
            </w:pPr>
            <w:r w:rsidRPr="00A73D2C">
              <w:rPr>
                <w:sz w:val="20"/>
                <w:szCs w:val="20"/>
              </w:rPr>
              <w:t>Coram :</w:t>
            </w:r>
          </w:p>
        </w:tc>
        <w:tc>
          <w:tcPr>
            <w:tcW w:w="8118" w:type="dxa"/>
          </w:tcPr>
          <w:p w:rsidR="00BA75E9" w:rsidRPr="00A73D2C" w:rsidRDefault="00BA75E9" w:rsidP="00370584">
            <w:pPr>
              <w:rPr>
                <w:sz w:val="20"/>
                <w:szCs w:val="20"/>
              </w:rPr>
            </w:pPr>
            <w:r w:rsidRPr="00A73D2C">
              <w:rPr>
                <w:rStyle w:val="SCCCoramChar"/>
                <w:sz w:val="20"/>
                <w:szCs w:val="20"/>
                <w:lang w:val="en-CA"/>
              </w:rPr>
              <w:t>Fish, Rothstein and Moldaver JJ.</w:t>
            </w:r>
          </w:p>
          <w:p w:rsidR="00BA75E9" w:rsidRPr="00A73D2C" w:rsidRDefault="00BA75E9" w:rsidP="00370584">
            <w:pPr>
              <w:rPr>
                <w:sz w:val="20"/>
                <w:szCs w:val="20"/>
                <w:u w:val="single"/>
              </w:rPr>
            </w:pPr>
          </w:p>
        </w:tc>
      </w:tr>
      <w:tr w:rsidR="00BA75E9" w:rsidRPr="00370584" w:rsidTr="00370584">
        <w:trPr>
          <w:cantSplit/>
        </w:trPr>
        <w:tc>
          <w:tcPr>
            <w:tcW w:w="9576" w:type="dxa"/>
            <w:gridSpan w:val="2"/>
          </w:tcPr>
          <w:p w:rsidR="00BA75E9" w:rsidRPr="00A73D2C" w:rsidRDefault="00BA75E9" w:rsidP="00370584">
            <w:pPr>
              <w:pStyle w:val="SCCShortJudgment"/>
              <w:rPr>
                <w:szCs w:val="20"/>
              </w:rPr>
            </w:pPr>
            <w:r w:rsidRPr="00A73D2C">
              <w:rPr>
                <w:szCs w:val="20"/>
              </w:rPr>
              <w:t>The motion for an extension of time to serve and file the application for leave to appeal is granted. The application for leave to appeal from the judgment of the Court of Appeal for Ontario, Number C48271, 2008 ONCA 681, dated October 6, 2008, is dismissed without costs.</w:t>
            </w:r>
          </w:p>
          <w:p w:rsidR="00BA75E9" w:rsidRPr="00A73D2C" w:rsidRDefault="00BA75E9" w:rsidP="00370584">
            <w:pPr>
              <w:pStyle w:val="SCCShortJudgment"/>
              <w:ind w:firstLine="0"/>
              <w:rPr>
                <w:szCs w:val="20"/>
              </w:rPr>
            </w:pPr>
          </w:p>
          <w:p w:rsidR="00BA75E9" w:rsidRPr="00A73D2C" w:rsidRDefault="00BA75E9" w:rsidP="00370584">
            <w:pPr>
              <w:pStyle w:val="SCCShortJudgment"/>
              <w:rPr>
                <w:szCs w:val="20"/>
                <w:lang w:val="fr-CA"/>
              </w:rPr>
            </w:pPr>
            <w:r w:rsidRPr="00A73D2C">
              <w:rPr>
                <w:szCs w:val="20"/>
                <w:lang w:val="fr-CA"/>
              </w:rPr>
              <w:t>La requête en prorogation du délai de signification et de dépôt de la demande d’autorisation d’appel est accueillie. La demande d’autorisation d’appel de l’arrêt de la Cour d’appel de l’Ontario, numéro C48271, 2008 ONCA 681, daté du 6 octobre 2008, est rejetée sans dépens</w:t>
            </w:r>
            <w:r>
              <w:rPr>
                <w:szCs w:val="20"/>
                <w:lang w:val="fr-CA"/>
              </w:rPr>
              <w:t>.</w:t>
            </w:r>
          </w:p>
        </w:tc>
      </w:tr>
    </w:tbl>
    <w:p w:rsidR="00BA75E9" w:rsidRPr="0016547E" w:rsidRDefault="00BA75E9" w:rsidP="00BA75E9">
      <w:pPr>
        <w:rPr>
          <w:sz w:val="20"/>
          <w:szCs w:val="20"/>
          <w:lang w:val="fr-CA"/>
        </w:rPr>
      </w:pPr>
    </w:p>
    <w:p w:rsidR="00BA75E9" w:rsidRPr="001B157C" w:rsidRDefault="00BA75E9" w:rsidP="00BA75E9">
      <w:pPr>
        <w:rPr>
          <w:sz w:val="20"/>
          <w:szCs w:val="20"/>
          <w:u w:val="single"/>
        </w:rPr>
      </w:pPr>
      <w:r w:rsidRPr="001B157C">
        <w:rPr>
          <w:sz w:val="20"/>
          <w:szCs w:val="20"/>
          <w:u w:val="single"/>
        </w:rPr>
        <w:t>CASE SUMMARY</w:t>
      </w:r>
    </w:p>
    <w:p w:rsidR="00BA75E9" w:rsidRDefault="00BA75E9" w:rsidP="00BA75E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A75E9" w:rsidRPr="00E007CB" w:rsidTr="00370584">
        <w:tc>
          <w:tcPr>
            <w:tcW w:w="5000" w:type="pct"/>
            <w:gridSpan w:val="3"/>
          </w:tcPr>
          <w:p w:rsidR="00BA75E9" w:rsidRPr="00E007CB" w:rsidRDefault="00BA75E9" w:rsidP="00370584">
            <w:pPr>
              <w:jc w:val="both"/>
              <w:rPr>
                <w:rFonts w:eastAsia="Calibri"/>
                <w:smallCaps/>
                <w:sz w:val="20"/>
              </w:rPr>
            </w:pPr>
            <w:r w:rsidRPr="00E007CB">
              <w:rPr>
                <w:rFonts w:eastAsia="Calibri"/>
                <w:smallCaps/>
                <w:sz w:val="20"/>
              </w:rPr>
              <w:t xml:space="preserve">(Publication </w:t>
            </w:r>
            <w:r>
              <w:rPr>
                <w:rFonts w:eastAsia="Calibri"/>
                <w:smallCaps/>
                <w:sz w:val="20"/>
              </w:rPr>
              <w:t>B</w:t>
            </w:r>
            <w:r w:rsidRPr="00E007CB">
              <w:rPr>
                <w:rFonts w:eastAsia="Calibri"/>
                <w:smallCaps/>
                <w:sz w:val="20"/>
              </w:rPr>
              <w:t xml:space="preserve">an in </w:t>
            </w:r>
            <w:r>
              <w:rPr>
                <w:rFonts w:eastAsia="Calibri"/>
                <w:smallCaps/>
                <w:sz w:val="20"/>
              </w:rPr>
              <w:t>C</w:t>
            </w:r>
            <w:r w:rsidRPr="00E007CB">
              <w:rPr>
                <w:rFonts w:eastAsia="Calibri"/>
                <w:smallCaps/>
                <w:sz w:val="20"/>
              </w:rPr>
              <w:t>ase)</w:t>
            </w:r>
          </w:p>
          <w:p w:rsidR="00BA75E9" w:rsidRPr="00E007CB" w:rsidRDefault="00BA75E9" w:rsidP="00370584">
            <w:pPr>
              <w:jc w:val="both"/>
              <w:rPr>
                <w:rFonts w:eastAsia="Calibri"/>
                <w:sz w:val="20"/>
              </w:rPr>
            </w:pPr>
          </w:p>
          <w:p w:rsidR="00BA75E9" w:rsidRPr="00E007CB" w:rsidRDefault="00BA75E9" w:rsidP="00370584">
            <w:pPr>
              <w:jc w:val="both"/>
              <w:rPr>
                <w:rFonts w:eastAsia="Calibri"/>
                <w:sz w:val="20"/>
              </w:rPr>
            </w:pPr>
            <w:r w:rsidRPr="00E007CB">
              <w:rPr>
                <w:rFonts w:eastAsia="Calibri"/>
                <w:sz w:val="20"/>
              </w:rPr>
              <w:t>Criminal Law – Appeal – Leave to Appeal – Whether applicant raises a legal issue – Whether issue is of public importance</w:t>
            </w:r>
          </w:p>
        </w:tc>
      </w:tr>
      <w:tr w:rsidR="00BA75E9" w:rsidRPr="00E007CB" w:rsidTr="00370584">
        <w:tc>
          <w:tcPr>
            <w:tcW w:w="5000" w:type="pct"/>
            <w:gridSpan w:val="3"/>
          </w:tcPr>
          <w:p w:rsidR="00BA75E9" w:rsidRPr="00E007CB" w:rsidRDefault="00BA75E9" w:rsidP="00370584">
            <w:pPr>
              <w:jc w:val="both"/>
              <w:rPr>
                <w:rFonts w:eastAsia="Calibri"/>
                <w:sz w:val="20"/>
              </w:rPr>
            </w:pPr>
          </w:p>
        </w:tc>
      </w:tr>
      <w:tr w:rsidR="00BA75E9" w:rsidRPr="00E007CB" w:rsidTr="00370584">
        <w:tc>
          <w:tcPr>
            <w:tcW w:w="5000" w:type="pct"/>
            <w:gridSpan w:val="3"/>
          </w:tcPr>
          <w:p w:rsidR="00BA75E9" w:rsidRPr="00E007CB" w:rsidRDefault="00BA75E9" w:rsidP="00370584">
            <w:pPr>
              <w:jc w:val="both"/>
              <w:rPr>
                <w:rFonts w:eastAsia="Calibri"/>
                <w:sz w:val="20"/>
              </w:rPr>
            </w:pPr>
            <w:r w:rsidRPr="00E007CB">
              <w:rPr>
                <w:rFonts w:eastAsia="Calibri"/>
                <w:sz w:val="20"/>
              </w:rPr>
              <w:t xml:space="preserve">The applicant was found not criminally responsible on account of mental disorder for criminal harassment and invitation to sexual touching.  Allegedly, he sent sexually explicit letters to a neighbouring family in part inviting the sexual touching of a young girl.  In 2003, he was found guilty of criminal harassment and invitation to sexual touching.  The Crown began examining his psychiatric history and obtained court-ordered assessments that resulted in equivocating opinions regarding whether the applicant was not criminally responsible on account of mental disorder.  An </w:t>
            </w:r>
            <w:r w:rsidRPr="00E007CB">
              <w:rPr>
                <w:rFonts w:eastAsia="Calibri"/>
                <w:i/>
                <w:sz w:val="20"/>
              </w:rPr>
              <w:t>amicus curiae</w:t>
            </w:r>
            <w:r w:rsidRPr="00E007CB">
              <w:rPr>
                <w:rFonts w:eastAsia="Calibri"/>
                <w:sz w:val="20"/>
              </w:rPr>
              <w:t xml:space="preserve"> was appointed to assist the applicant.  The trial judge dismissed an application for a not criminally responsible finding.  The Court of Appeal ordered a new trial.  At the new trial, the trial judge dismissed </w:t>
            </w:r>
            <w:r w:rsidRPr="00E007CB">
              <w:rPr>
                <w:rFonts w:eastAsia="Calibri"/>
                <w:i/>
                <w:sz w:val="20"/>
              </w:rPr>
              <w:t xml:space="preserve">Charter </w:t>
            </w:r>
            <w:r w:rsidRPr="00E007CB">
              <w:rPr>
                <w:rFonts w:eastAsia="Calibri"/>
                <w:sz w:val="20"/>
              </w:rPr>
              <w:t xml:space="preserve">motions, rejected defences, found the applicant guilty of the two offences, and found the applicant not criminally responsible on account of mental disorder.  The Court of Appeal dismissed an appeal.  The Ontario Review Board ordered detention at the Oak Ridge facility at the Mental Health Centre Penetanguishene.   </w:t>
            </w:r>
          </w:p>
          <w:p w:rsidR="00BA75E9" w:rsidRPr="00E007CB" w:rsidRDefault="00BA75E9" w:rsidP="00370584">
            <w:pPr>
              <w:jc w:val="both"/>
              <w:rPr>
                <w:rFonts w:eastAsia="Calibri"/>
                <w:sz w:val="20"/>
              </w:rPr>
            </w:pPr>
          </w:p>
        </w:tc>
      </w:tr>
      <w:tr w:rsidR="00BA75E9" w:rsidRPr="00E007CB" w:rsidTr="00370584">
        <w:tc>
          <w:tcPr>
            <w:tcW w:w="2427" w:type="pct"/>
          </w:tcPr>
          <w:p w:rsidR="00BA75E9" w:rsidRPr="00E007CB" w:rsidRDefault="00BA75E9" w:rsidP="00370584">
            <w:pPr>
              <w:jc w:val="both"/>
              <w:rPr>
                <w:rFonts w:eastAsia="Calibri"/>
                <w:sz w:val="20"/>
              </w:rPr>
            </w:pPr>
            <w:r w:rsidRPr="00E007CB">
              <w:rPr>
                <w:rFonts w:eastAsia="Calibri"/>
                <w:sz w:val="20"/>
              </w:rPr>
              <w:t>October 24, 2007</w:t>
            </w:r>
          </w:p>
          <w:p w:rsidR="00BA75E9" w:rsidRPr="00E007CB" w:rsidRDefault="00BA75E9" w:rsidP="00370584">
            <w:pPr>
              <w:jc w:val="both"/>
              <w:rPr>
                <w:rFonts w:eastAsia="Calibri"/>
                <w:sz w:val="20"/>
              </w:rPr>
            </w:pPr>
            <w:r w:rsidRPr="00E007CB">
              <w:rPr>
                <w:rFonts w:eastAsia="Calibri"/>
                <w:sz w:val="20"/>
              </w:rPr>
              <w:t>Ontario Superior Court of Justice</w:t>
            </w:r>
          </w:p>
          <w:p w:rsidR="00BA75E9" w:rsidRPr="00E007CB" w:rsidRDefault="00BA75E9" w:rsidP="00370584">
            <w:pPr>
              <w:jc w:val="both"/>
              <w:rPr>
                <w:rFonts w:eastAsia="Calibri"/>
                <w:sz w:val="20"/>
              </w:rPr>
            </w:pPr>
            <w:r w:rsidRPr="00E007CB">
              <w:rPr>
                <w:rFonts w:eastAsia="Calibri"/>
                <w:sz w:val="20"/>
              </w:rPr>
              <w:t>(Dambrot J.)</w:t>
            </w:r>
          </w:p>
          <w:p w:rsidR="00BA75E9" w:rsidRPr="00E007CB" w:rsidRDefault="00BA75E9" w:rsidP="00370584">
            <w:pPr>
              <w:jc w:val="both"/>
              <w:rPr>
                <w:rFonts w:eastAsia="Calibri"/>
                <w:sz w:val="20"/>
              </w:rPr>
            </w:pP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rPr>
            </w:pPr>
            <w:r w:rsidRPr="00E007CB">
              <w:rPr>
                <w:rFonts w:eastAsia="Calibri"/>
                <w:sz w:val="20"/>
              </w:rPr>
              <w:t xml:space="preserve">Motion to stay proceedings based on alleged breaches of ss. 7, 11(b) and 12 of </w:t>
            </w:r>
            <w:r w:rsidRPr="00E007CB">
              <w:rPr>
                <w:rFonts w:eastAsia="Calibri"/>
                <w:i/>
                <w:sz w:val="20"/>
              </w:rPr>
              <w:t xml:space="preserve"> Charter</w:t>
            </w:r>
            <w:r w:rsidRPr="00E007CB">
              <w:rPr>
                <w:rFonts w:eastAsia="Calibri"/>
                <w:sz w:val="20"/>
              </w:rPr>
              <w:t xml:space="preserve"> dismissed, Applicant found guilty of criminal harassment and invitation to sexual touching, Applicant found not criminally responsible on account of mental disorder</w:t>
            </w:r>
          </w:p>
          <w:p w:rsidR="00BA75E9" w:rsidRPr="00E007CB" w:rsidRDefault="00BA75E9" w:rsidP="00370584">
            <w:pPr>
              <w:jc w:val="both"/>
              <w:rPr>
                <w:rFonts w:eastAsia="Calibri"/>
                <w:sz w:val="20"/>
              </w:rPr>
            </w:pPr>
          </w:p>
        </w:tc>
      </w:tr>
      <w:tr w:rsidR="00BA75E9" w:rsidRPr="00E007CB" w:rsidTr="00370584">
        <w:tc>
          <w:tcPr>
            <w:tcW w:w="2427" w:type="pct"/>
          </w:tcPr>
          <w:p w:rsidR="00BA75E9" w:rsidRPr="00E007CB" w:rsidRDefault="00BA75E9" w:rsidP="00370584">
            <w:pPr>
              <w:jc w:val="both"/>
              <w:rPr>
                <w:rFonts w:eastAsia="Calibri"/>
                <w:sz w:val="20"/>
              </w:rPr>
            </w:pPr>
            <w:r w:rsidRPr="00E007CB">
              <w:rPr>
                <w:rFonts w:eastAsia="Calibri"/>
                <w:sz w:val="20"/>
              </w:rPr>
              <w:t>January 7, 2008</w:t>
            </w:r>
          </w:p>
          <w:p w:rsidR="00BA75E9" w:rsidRPr="00E007CB" w:rsidRDefault="00BA75E9" w:rsidP="00370584">
            <w:pPr>
              <w:jc w:val="both"/>
              <w:rPr>
                <w:rFonts w:eastAsia="Calibri"/>
                <w:sz w:val="20"/>
              </w:rPr>
            </w:pPr>
            <w:r w:rsidRPr="00E007CB">
              <w:rPr>
                <w:rFonts w:eastAsia="Calibri"/>
                <w:sz w:val="20"/>
              </w:rPr>
              <w:t>Ontario Review Board</w:t>
            </w:r>
          </w:p>
          <w:p w:rsidR="00BA75E9" w:rsidRPr="00E007CB" w:rsidRDefault="00BA75E9" w:rsidP="00370584">
            <w:pPr>
              <w:jc w:val="both"/>
              <w:rPr>
                <w:rFonts w:eastAsia="Calibri"/>
                <w:sz w:val="20"/>
              </w:rPr>
            </w:pP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rPr>
            </w:pPr>
            <w:r w:rsidRPr="00E007CB">
              <w:rPr>
                <w:rFonts w:eastAsia="Calibri"/>
                <w:sz w:val="20"/>
              </w:rPr>
              <w:t>Detention at maximum secure psychiatric facility ordered</w:t>
            </w:r>
          </w:p>
        </w:tc>
      </w:tr>
      <w:tr w:rsidR="00BA75E9" w:rsidRPr="00E007CB" w:rsidTr="00370584">
        <w:tc>
          <w:tcPr>
            <w:tcW w:w="2427" w:type="pct"/>
          </w:tcPr>
          <w:p w:rsidR="00BA75E9" w:rsidRPr="00E007CB" w:rsidRDefault="00BA75E9" w:rsidP="00370584">
            <w:pPr>
              <w:jc w:val="both"/>
              <w:rPr>
                <w:rFonts w:eastAsia="Calibri"/>
                <w:sz w:val="20"/>
              </w:rPr>
            </w:pPr>
            <w:r w:rsidRPr="00E007CB">
              <w:rPr>
                <w:rFonts w:eastAsia="Calibri"/>
                <w:sz w:val="20"/>
              </w:rPr>
              <w:t>September 26, 2008</w:t>
            </w:r>
          </w:p>
          <w:p w:rsidR="00BA75E9" w:rsidRPr="00E007CB" w:rsidRDefault="00BA75E9" w:rsidP="00370584">
            <w:pPr>
              <w:jc w:val="both"/>
              <w:rPr>
                <w:rFonts w:eastAsia="Calibri"/>
                <w:sz w:val="20"/>
              </w:rPr>
            </w:pPr>
            <w:r w:rsidRPr="00E007CB">
              <w:rPr>
                <w:rFonts w:eastAsia="Calibri"/>
                <w:sz w:val="20"/>
              </w:rPr>
              <w:t>Court of Appeal for Ontario</w:t>
            </w:r>
          </w:p>
          <w:p w:rsidR="00BA75E9" w:rsidRPr="00E007CB" w:rsidRDefault="00BA75E9" w:rsidP="00370584">
            <w:pPr>
              <w:jc w:val="both"/>
              <w:rPr>
                <w:rFonts w:eastAsia="Calibri"/>
                <w:sz w:val="20"/>
              </w:rPr>
            </w:pPr>
            <w:r w:rsidRPr="00E007CB">
              <w:rPr>
                <w:rFonts w:eastAsia="Calibri"/>
                <w:sz w:val="20"/>
              </w:rPr>
              <w:t>(Doherty, Laskin, MacPherson JJ.A.)</w:t>
            </w:r>
          </w:p>
          <w:p w:rsidR="00BA75E9" w:rsidRPr="00E007CB" w:rsidRDefault="00BA75E9" w:rsidP="00370584">
            <w:pPr>
              <w:jc w:val="both"/>
              <w:rPr>
                <w:rFonts w:eastAsia="Calibri"/>
                <w:sz w:val="20"/>
              </w:rPr>
            </w:pPr>
            <w:r w:rsidRPr="00E007CB">
              <w:rPr>
                <w:rFonts w:eastAsia="Calibri"/>
                <w:sz w:val="20"/>
              </w:rPr>
              <w:t>2008 ONCA 684; C48053</w:t>
            </w:r>
          </w:p>
          <w:p w:rsidR="00BA75E9" w:rsidRPr="00E007CB" w:rsidRDefault="00BA75E9" w:rsidP="00370584">
            <w:pPr>
              <w:jc w:val="both"/>
              <w:rPr>
                <w:rFonts w:eastAsia="Calibri"/>
                <w:sz w:val="20"/>
              </w:rPr>
            </w:pP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rPr>
            </w:pPr>
            <w:r w:rsidRPr="00E007CB">
              <w:rPr>
                <w:rFonts w:eastAsia="Calibri"/>
                <w:sz w:val="20"/>
              </w:rPr>
              <w:t>Appeal from convictions dismissed</w:t>
            </w:r>
          </w:p>
        </w:tc>
      </w:tr>
      <w:tr w:rsidR="00BA75E9" w:rsidRPr="00E007CB" w:rsidTr="00370584">
        <w:tc>
          <w:tcPr>
            <w:tcW w:w="2427" w:type="pct"/>
          </w:tcPr>
          <w:p w:rsidR="00BA75E9" w:rsidRPr="00E007CB" w:rsidRDefault="00BA75E9" w:rsidP="00370584">
            <w:pPr>
              <w:jc w:val="both"/>
              <w:rPr>
                <w:rFonts w:eastAsia="Calibri"/>
                <w:sz w:val="20"/>
              </w:rPr>
            </w:pPr>
            <w:r w:rsidRPr="00E007CB">
              <w:rPr>
                <w:rFonts w:eastAsia="Calibri"/>
                <w:sz w:val="20"/>
              </w:rPr>
              <w:lastRenderedPageBreak/>
              <w:t>October 6, 2008</w:t>
            </w:r>
          </w:p>
          <w:p w:rsidR="00BA75E9" w:rsidRPr="00E007CB" w:rsidRDefault="00BA75E9" w:rsidP="00370584">
            <w:pPr>
              <w:jc w:val="both"/>
              <w:rPr>
                <w:rFonts w:eastAsia="Calibri"/>
                <w:sz w:val="20"/>
              </w:rPr>
            </w:pPr>
            <w:r w:rsidRPr="00E007CB">
              <w:rPr>
                <w:rFonts w:eastAsia="Calibri"/>
                <w:sz w:val="20"/>
              </w:rPr>
              <w:t>Court of Appeal for Ontario</w:t>
            </w:r>
          </w:p>
          <w:p w:rsidR="00BA75E9" w:rsidRPr="00E007CB" w:rsidRDefault="00BA75E9" w:rsidP="00370584">
            <w:pPr>
              <w:jc w:val="both"/>
              <w:rPr>
                <w:rFonts w:eastAsia="Calibri"/>
                <w:sz w:val="20"/>
              </w:rPr>
            </w:pPr>
            <w:r w:rsidRPr="00E007CB">
              <w:rPr>
                <w:rFonts w:eastAsia="Calibri"/>
                <w:sz w:val="20"/>
              </w:rPr>
              <w:t>(Doherty, Laskin, MacPherson JJ.A.)</w:t>
            </w:r>
          </w:p>
          <w:p w:rsidR="00BA75E9" w:rsidRPr="00E007CB" w:rsidRDefault="00BA75E9" w:rsidP="00370584">
            <w:pPr>
              <w:jc w:val="both"/>
              <w:rPr>
                <w:rFonts w:eastAsia="Calibri"/>
                <w:sz w:val="20"/>
              </w:rPr>
            </w:pPr>
            <w:r w:rsidRPr="00E007CB">
              <w:rPr>
                <w:rFonts w:eastAsia="Calibri"/>
                <w:sz w:val="20"/>
              </w:rPr>
              <w:t>2008 ONCA 681, C48271</w:t>
            </w:r>
          </w:p>
          <w:p w:rsidR="00BA75E9" w:rsidRPr="00E007CB" w:rsidRDefault="00BA75E9" w:rsidP="00370584">
            <w:pPr>
              <w:jc w:val="both"/>
              <w:rPr>
                <w:rFonts w:eastAsia="Calibri"/>
                <w:sz w:val="20"/>
              </w:rPr>
            </w:pP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rPr>
            </w:pPr>
            <w:r w:rsidRPr="00E007CB">
              <w:rPr>
                <w:rFonts w:eastAsia="Calibri"/>
                <w:sz w:val="20"/>
              </w:rPr>
              <w:t>Appeal from the disposition of the Ontario Review Board dismissed</w:t>
            </w:r>
          </w:p>
        </w:tc>
      </w:tr>
      <w:tr w:rsidR="00BA75E9" w:rsidRPr="00E007CB" w:rsidTr="00370584">
        <w:tc>
          <w:tcPr>
            <w:tcW w:w="2427" w:type="pct"/>
          </w:tcPr>
          <w:p w:rsidR="00BA75E9" w:rsidRPr="00E007CB" w:rsidRDefault="00BA75E9" w:rsidP="00370584">
            <w:pPr>
              <w:jc w:val="both"/>
              <w:rPr>
                <w:rFonts w:eastAsia="Calibri"/>
                <w:sz w:val="20"/>
              </w:rPr>
            </w:pPr>
            <w:r w:rsidRPr="00E007CB">
              <w:rPr>
                <w:rFonts w:eastAsia="Calibri"/>
                <w:sz w:val="20"/>
              </w:rPr>
              <w:t>January 8, 2013</w:t>
            </w:r>
          </w:p>
          <w:p w:rsidR="00BA75E9" w:rsidRPr="00E007CB" w:rsidRDefault="00BA75E9" w:rsidP="00370584">
            <w:pPr>
              <w:jc w:val="both"/>
              <w:rPr>
                <w:rFonts w:eastAsia="Calibri"/>
                <w:sz w:val="20"/>
              </w:rPr>
            </w:pPr>
            <w:r w:rsidRPr="00E007CB">
              <w:rPr>
                <w:rFonts w:eastAsia="Calibri"/>
                <w:sz w:val="20"/>
              </w:rPr>
              <w:t>Supreme Court of Canada</w:t>
            </w: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rPr>
            </w:pPr>
            <w:r w:rsidRPr="00E007CB">
              <w:rPr>
                <w:rFonts w:eastAsia="Calibri"/>
                <w:sz w:val="20"/>
              </w:rPr>
              <w:t>Motion to extend to serve and file leave application and application for leave to appeal filed</w:t>
            </w:r>
          </w:p>
        </w:tc>
      </w:tr>
    </w:tbl>
    <w:p w:rsidR="00BA75E9" w:rsidRDefault="00BA75E9" w:rsidP="00BA75E9">
      <w:pPr>
        <w:rPr>
          <w:sz w:val="20"/>
          <w:szCs w:val="20"/>
        </w:rPr>
      </w:pPr>
    </w:p>
    <w:p w:rsidR="00BA75E9" w:rsidRPr="00C50A5C" w:rsidRDefault="00B35B95" w:rsidP="00BA75E9">
      <w:pPr>
        <w:rPr>
          <w:sz w:val="20"/>
          <w:szCs w:val="20"/>
        </w:rPr>
      </w:pPr>
      <w:r w:rsidRPr="00B35B95">
        <w:rPr>
          <w:sz w:val="20"/>
          <w:szCs w:val="20"/>
          <w:lang w:val="fr-CA"/>
        </w:rPr>
        <w:pict>
          <v:rect id="_x0000_i1060" style="width:2in;height:1pt" o:hrpct="0" o:hralign="center" o:hrstd="t" o:hrnoshade="t" o:hr="t" fillcolor="black [3213]" stroked="f"/>
        </w:pict>
      </w:r>
    </w:p>
    <w:p w:rsidR="00BA75E9" w:rsidRDefault="00BA75E9" w:rsidP="00BA75E9">
      <w:pPr>
        <w:rPr>
          <w:sz w:val="20"/>
          <w:szCs w:val="20"/>
        </w:rPr>
      </w:pPr>
    </w:p>
    <w:p w:rsidR="00BA75E9" w:rsidRPr="001B157C" w:rsidRDefault="00BA75E9" w:rsidP="00BA75E9">
      <w:pPr>
        <w:rPr>
          <w:sz w:val="20"/>
          <w:szCs w:val="20"/>
          <w:u w:val="single"/>
          <w:lang w:val="fr-CA"/>
        </w:rPr>
      </w:pPr>
      <w:r w:rsidRPr="001B157C">
        <w:rPr>
          <w:sz w:val="20"/>
          <w:szCs w:val="20"/>
          <w:u w:val="single"/>
          <w:lang w:val="fr-CA"/>
        </w:rPr>
        <w:t>RÉSUMÉ DE L’AFFAIRE</w:t>
      </w:r>
    </w:p>
    <w:p w:rsidR="00BA75E9" w:rsidRDefault="00BA75E9" w:rsidP="00BA75E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A75E9" w:rsidRPr="00370584" w:rsidTr="00370584">
        <w:tc>
          <w:tcPr>
            <w:tcW w:w="5000" w:type="pct"/>
            <w:gridSpan w:val="3"/>
          </w:tcPr>
          <w:p w:rsidR="00BA75E9" w:rsidRPr="00E007CB" w:rsidRDefault="00BA75E9" w:rsidP="00370584">
            <w:pPr>
              <w:jc w:val="both"/>
              <w:rPr>
                <w:rFonts w:eastAsia="Calibri"/>
                <w:smallCaps/>
                <w:sz w:val="20"/>
                <w:lang w:val="fr-FR"/>
              </w:rPr>
            </w:pPr>
            <w:r w:rsidRPr="00E007CB">
              <w:rPr>
                <w:rFonts w:eastAsia="Calibri"/>
                <w:smallCaps/>
                <w:sz w:val="20"/>
                <w:lang w:val="fr-FR"/>
              </w:rPr>
              <w:t>(ordonnance de non-publication dans le dossier)</w:t>
            </w:r>
          </w:p>
          <w:p w:rsidR="00BA75E9" w:rsidRPr="00E007CB" w:rsidRDefault="00BA75E9" w:rsidP="00370584">
            <w:pPr>
              <w:jc w:val="both"/>
              <w:rPr>
                <w:rFonts w:eastAsia="Calibri"/>
                <w:sz w:val="20"/>
                <w:lang w:val="fr-FR"/>
              </w:rPr>
            </w:pPr>
          </w:p>
          <w:p w:rsidR="00BA75E9" w:rsidRPr="00E007CB" w:rsidRDefault="00BA75E9" w:rsidP="00370584">
            <w:pPr>
              <w:jc w:val="both"/>
              <w:rPr>
                <w:rFonts w:eastAsia="Calibri"/>
                <w:sz w:val="20"/>
                <w:lang w:val="fr-FR"/>
              </w:rPr>
            </w:pPr>
            <w:r w:rsidRPr="00E007CB">
              <w:rPr>
                <w:rFonts w:eastAsia="Calibri"/>
                <w:sz w:val="20"/>
                <w:lang w:val="fr-FR"/>
              </w:rPr>
              <w:t>Droit criminel – Appel – Autorisation d’appel – Le demandeur soulève-t-il une question de droit? – S’agit-il d’une question d’importance pour le public?</w:t>
            </w:r>
          </w:p>
        </w:tc>
      </w:tr>
      <w:tr w:rsidR="00BA75E9" w:rsidRPr="00370584" w:rsidTr="00370584">
        <w:tc>
          <w:tcPr>
            <w:tcW w:w="5000" w:type="pct"/>
            <w:gridSpan w:val="3"/>
          </w:tcPr>
          <w:p w:rsidR="00BA75E9" w:rsidRPr="00E007CB" w:rsidRDefault="00BA75E9" w:rsidP="00370584">
            <w:pPr>
              <w:jc w:val="both"/>
              <w:rPr>
                <w:rFonts w:eastAsia="Calibri"/>
                <w:sz w:val="20"/>
                <w:lang w:val="fr-FR"/>
              </w:rPr>
            </w:pPr>
          </w:p>
        </w:tc>
      </w:tr>
      <w:tr w:rsidR="00BA75E9" w:rsidRPr="00370584" w:rsidTr="00370584">
        <w:tc>
          <w:tcPr>
            <w:tcW w:w="5000" w:type="pct"/>
            <w:gridSpan w:val="3"/>
          </w:tcPr>
          <w:p w:rsidR="00BA75E9" w:rsidRPr="00E007CB" w:rsidRDefault="00BA75E9" w:rsidP="00370584">
            <w:pPr>
              <w:jc w:val="both"/>
              <w:rPr>
                <w:rFonts w:eastAsia="Calibri"/>
                <w:sz w:val="20"/>
                <w:lang w:val="fr-FR"/>
              </w:rPr>
            </w:pPr>
            <w:r w:rsidRPr="00E007CB">
              <w:rPr>
                <w:rFonts w:eastAsia="Calibri"/>
                <w:sz w:val="20"/>
                <w:lang w:val="fr-FR"/>
              </w:rPr>
              <w:t xml:space="preserve">Le demandeur a été déclaré non criminellement responsable de harcèlement criminel et d’incitation à des contacts sexuels pour cause de troubles mentaux.  On lui reproche d’avoir envoyé des lettres sexuellement explicites à une famille du voisinage en partie pour l’inciter à se livrer à des attouchements sexuels sur une jeune fille.  En 2003, il a été déclaré coupable de harcèlement criminel et d’incitation à des contacts sexuels.  Le ministère public a commencé à examiner ses antécédents psychiatriques et a obtenu, sur ordonnance de la cour, des évaluations qui ont débouché sur des opinions équivoques à propos de la question de savoir si le demandeur n’était pas criminellement responsable pour cause de troubles mentaux.  Un </w:t>
            </w:r>
            <w:r w:rsidRPr="00E007CB">
              <w:rPr>
                <w:rFonts w:eastAsia="Calibri"/>
                <w:i/>
                <w:sz w:val="20"/>
                <w:lang w:val="fr-FR"/>
              </w:rPr>
              <w:t>amicus curiae</w:t>
            </w:r>
            <w:r w:rsidRPr="00E007CB">
              <w:rPr>
                <w:rFonts w:eastAsia="Calibri"/>
                <w:sz w:val="20"/>
                <w:lang w:val="fr-FR"/>
              </w:rPr>
              <w:t xml:space="preserve"> a été nommé pour aider le demandeur.  Le juge de première instance a rejeté une demande de déclaration de non-responsabilité criminelle.  La Cour d’appel a ordonné la tenue d’un nouveau procès.  Lors du deuxième procès, le juge de première instance a rejeté les moyens de défense et les requêtes fondées sur la </w:t>
            </w:r>
            <w:r w:rsidRPr="00E007CB">
              <w:rPr>
                <w:rFonts w:eastAsia="Calibri"/>
                <w:i/>
                <w:sz w:val="20"/>
                <w:lang w:val="fr-FR"/>
              </w:rPr>
              <w:t>Charte</w:t>
            </w:r>
            <w:r w:rsidRPr="00E007CB">
              <w:rPr>
                <w:rFonts w:eastAsia="Calibri"/>
                <w:sz w:val="20"/>
                <w:lang w:val="fr-FR"/>
              </w:rPr>
              <w:t xml:space="preserve">, et a déclaré le demandeur coupable des deux infractions et non criminellement responsable pour cause de troubles mentaux.  La Cour d’appel a rejeté l’appel.  La Commission ontarienne d’examen a ordonné que le demandeur soit détenu à l’établissement d’Oak Ridge du Centre de santé mentale de Penetanguishene.   </w:t>
            </w:r>
          </w:p>
          <w:p w:rsidR="00BA75E9" w:rsidRPr="00E007CB" w:rsidRDefault="00BA75E9" w:rsidP="00370584">
            <w:pPr>
              <w:jc w:val="both"/>
              <w:rPr>
                <w:rFonts w:eastAsia="Calibri"/>
                <w:sz w:val="20"/>
                <w:lang w:val="fr-FR"/>
              </w:rPr>
            </w:pPr>
          </w:p>
        </w:tc>
      </w:tr>
      <w:tr w:rsidR="00BA75E9" w:rsidRPr="00A3429F" w:rsidTr="00370584">
        <w:tc>
          <w:tcPr>
            <w:tcW w:w="2427" w:type="pct"/>
          </w:tcPr>
          <w:p w:rsidR="00BA75E9" w:rsidRPr="00E007CB" w:rsidRDefault="00BA75E9" w:rsidP="00370584">
            <w:pPr>
              <w:jc w:val="both"/>
              <w:rPr>
                <w:rFonts w:eastAsia="Calibri"/>
                <w:sz w:val="20"/>
                <w:lang w:val="fr-FR"/>
              </w:rPr>
            </w:pPr>
            <w:r w:rsidRPr="00E007CB">
              <w:rPr>
                <w:rFonts w:eastAsia="Calibri"/>
                <w:sz w:val="20"/>
                <w:lang w:val="fr-FR"/>
              </w:rPr>
              <w:t>24 octobre 2007</w:t>
            </w:r>
          </w:p>
          <w:p w:rsidR="00BA75E9" w:rsidRPr="00E007CB" w:rsidRDefault="00BA75E9" w:rsidP="00370584">
            <w:pPr>
              <w:jc w:val="both"/>
              <w:rPr>
                <w:rFonts w:eastAsia="Calibri"/>
                <w:sz w:val="20"/>
                <w:lang w:val="fr-FR"/>
              </w:rPr>
            </w:pPr>
            <w:r w:rsidRPr="00E007CB">
              <w:rPr>
                <w:rFonts w:eastAsia="Calibri"/>
                <w:sz w:val="20"/>
                <w:lang w:val="fr-FR"/>
              </w:rPr>
              <w:t xml:space="preserve">Cour supérieure de justice de l’Ontario </w:t>
            </w:r>
          </w:p>
          <w:p w:rsidR="00BA75E9" w:rsidRPr="00E007CB" w:rsidRDefault="00BA75E9" w:rsidP="00370584">
            <w:pPr>
              <w:jc w:val="both"/>
              <w:rPr>
                <w:rFonts w:eastAsia="Calibri"/>
                <w:sz w:val="20"/>
              </w:rPr>
            </w:pPr>
            <w:r w:rsidRPr="00E007CB">
              <w:rPr>
                <w:rFonts w:eastAsia="Calibri"/>
                <w:sz w:val="20"/>
              </w:rPr>
              <w:t>(Juge Dambrot)</w:t>
            </w:r>
          </w:p>
          <w:p w:rsidR="00BA75E9" w:rsidRPr="00E007CB" w:rsidRDefault="00BA75E9" w:rsidP="00370584">
            <w:pPr>
              <w:jc w:val="both"/>
              <w:rPr>
                <w:rFonts w:eastAsia="Calibri"/>
                <w:sz w:val="20"/>
              </w:rPr>
            </w:pP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lang w:val="fr-FR"/>
              </w:rPr>
            </w:pPr>
            <w:r w:rsidRPr="00E007CB">
              <w:rPr>
                <w:rFonts w:eastAsia="Calibri"/>
                <w:sz w:val="20"/>
                <w:lang w:val="fr-FR"/>
              </w:rPr>
              <w:t>Requête en arrêt des procédures fondée sur des violations alléguées des art. 7 et 12 et de l’al. 11</w:t>
            </w:r>
            <w:r w:rsidRPr="00E007CB">
              <w:rPr>
                <w:rFonts w:eastAsia="Calibri"/>
                <w:i/>
                <w:sz w:val="20"/>
                <w:lang w:val="fr-FR"/>
              </w:rPr>
              <w:t>b</w:t>
            </w:r>
            <w:r w:rsidRPr="00E007CB">
              <w:rPr>
                <w:rFonts w:eastAsia="Calibri"/>
                <w:sz w:val="20"/>
                <w:lang w:val="fr-FR"/>
              </w:rPr>
              <w:t xml:space="preserve">) de la </w:t>
            </w:r>
            <w:r w:rsidRPr="00E007CB">
              <w:rPr>
                <w:rFonts w:eastAsia="Calibri"/>
                <w:i/>
                <w:sz w:val="20"/>
                <w:lang w:val="fr-FR"/>
              </w:rPr>
              <w:t>Charte</w:t>
            </w:r>
            <w:r w:rsidRPr="00E007CB">
              <w:rPr>
                <w:rFonts w:eastAsia="Calibri"/>
                <w:sz w:val="20"/>
                <w:lang w:val="fr-FR"/>
              </w:rPr>
              <w:t xml:space="preserve"> rejetée, demandeur déclaré coupable de harcèlement criminel et d’incitation à des contacts sexuels, demandeur déclaré non criminellement responsable pour cause de troubles mentaux </w:t>
            </w:r>
          </w:p>
          <w:p w:rsidR="00BA75E9" w:rsidRPr="00E007CB" w:rsidRDefault="00BA75E9" w:rsidP="00370584">
            <w:pPr>
              <w:jc w:val="both"/>
              <w:rPr>
                <w:rFonts w:eastAsia="Calibri"/>
                <w:sz w:val="20"/>
                <w:lang w:val="fr-FR"/>
              </w:rPr>
            </w:pPr>
          </w:p>
        </w:tc>
      </w:tr>
      <w:tr w:rsidR="00BA75E9" w:rsidRPr="00370584" w:rsidTr="00370584">
        <w:tc>
          <w:tcPr>
            <w:tcW w:w="2427" w:type="pct"/>
          </w:tcPr>
          <w:p w:rsidR="00BA75E9" w:rsidRPr="00E007CB" w:rsidRDefault="00BA75E9" w:rsidP="00370584">
            <w:pPr>
              <w:jc w:val="both"/>
              <w:rPr>
                <w:rFonts w:eastAsia="Calibri"/>
                <w:sz w:val="20"/>
              </w:rPr>
            </w:pPr>
            <w:r w:rsidRPr="00E007CB">
              <w:rPr>
                <w:rFonts w:eastAsia="Calibri"/>
                <w:sz w:val="20"/>
              </w:rPr>
              <w:t>7 janvier 2008</w:t>
            </w:r>
          </w:p>
          <w:p w:rsidR="00BA75E9" w:rsidRPr="00E007CB" w:rsidRDefault="00BA75E9" w:rsidP="00370584">
            <w:pPr>
              <w:jc w:val="both"/>
              <w:rPr>
                <w:rFonts w:eastAsia="Calibri"/>
                <w:sz w:val="20"/>
              </w:rPr>
            </w:pPr>
            <w:r w:rsidRPr="00E007CB">
              <w:rPr>
                <w:rFonts w:eastAsia="Calibri"/>
                <w:sz w:val="20"/>
              </w:rPr>
              <w:t>Commission ontarienne d’examen</w:t>
            </w:r>
          </w:p>
          <w:p w:rsidR="00BA75E9" w:rsidRPr="00E007CB" w:rsidRDefault="00BA75E9" w:rsidP="00370584">
            <w:pPr>
              <w:jc w:val="both"/>
              <w:rPr>
                <w:rFonts w:eastAsia="Calibri"/>
                <w:sz w:val="20"/>
              </w:rPr>
            </w:pP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lang w:val="fr-FR"/>
              </w:rPr>
            </w:pPr>
            <w:r w:rsidRPr="00E007CB">
              <w:rPr>
                <w:rFonts w:eastAsia="Calibri"/>
                <w:sz w:val="20"/>
                <w:lang w:val="fr-FR"/>
              </w:rPr>
              <w:t xml:space="preserve">Détention à un établissement psychiatrique à sécurité maximale ordonnée </w:t>
            </w:r>
          </w:p>
        </w:tc>
      </w:tr>
      <w:tr w:rsidR="00BA75E9" w:rsidRPr="00370584" w:rsidTr="00370584">
        <w:tc>
          <w:tcPr>
            <w:tcW w:w="2427" w:type="pct"/>
          </w:tcPr>
          <w:p w:rsidR="00BA75E9" w:rsidRPr="00E007CB" w:rsidRDefault="00BA75E9" w:rsidP="00370584">
            <w:pPr>
              <w:jc w:val="both"/>
              <w:rPr>
                <w:rFonts w:eastAsia="Calibri"/>
                <w:sz w:val="20"/>
                <w:lang w:val="fr-FR"/>
              </w:rPr>
            </w:pPr>
            <w:r w:rsidRPr="00E007CB">
              <w:rPr>
                <w:rFonts w:eastAsia="Calibri"/>
                <w:sz w:val="20"/>
                <w:lang w:val="fr-FR"/>
              </w:rPr>
              <w:t>26 septembre 2008</w:t>
            </w:r>
          </w:p>
          <w:p w:rsidR="00BA75E9" w:rsidRPr="00E007CB" w:rsidRDefault="00BA75E9" w:rsidP="00370584">
            <w:pPr>
              <w:jc w:val="both"/>
              <w:rPr>
                <w:rFonts w:eastAsia="Calibri"/>
                <w:sz w:val="20"/>
                <w:lang w:val="fr-FR"/>
              </w:rPr>
            </w:pPr>
            <w:r w:rsidRPr="00E007CB">
              <w:rPr>
                <w:rFonts w:eastAsia="Calibri"/>
                <w:sz w:val="20"/>
                <w:lang w:val="fr-FR"/>
              </w:rPr>
              <w:t>Cour d’appel de l’Ontario</w:t>
            </w:r>
          </w:p>
          <w:p w:rsidR="00BA75E9" w:rsidRPr="00E007CB" w:rsidRDefault="00BA75E9" w:rsidP="00370584">
            <w:pPr>
              <w:jc w:val="both"/>
              <w:rPr>
                <w:rFonts w:eastAsia="Calibri"/>
                <w:sz w:val="20"/>
                <w:lang w:val="fr-FR"/>
              </w:rPr>
            </w:pPr>
            <w:r w:rsidRPr="00E007CB">
              <w:rPr>
                <w:rFonts w:eastAsia="Calibri"/>
                <w:sz w:val="20"/>
                <w:lang w:val="fr-FR"/>
              </w:rPr>
              <w:t>(Juges Doherty, Laskin et MacPherson)</w:t>
            </w:r>
          </w:p>
          <w:p w:rsidR="00BA75E9" w:rsidRPr="00E007CB" w:rsidRDefault="00BA75E9" w:rsidP="00370584">
            <w:pPr>
              <w:jc w:val="both"/>
              <w:rPr>
                <w:rFonts w:eastAsia="Calibri"/>
                <w:sz w:val="20"/>
              </w:rPr>
            </w:pPr>
            <w:r w:rsidRPr="00E007CB">
              <w:rPr>
                <w:rFonts w:eastAsia="Calibri"/>
                <w:sz w:val="20"/>
              </w:rPr>
              <w:t>2008 ONCA 684; C48053</w:t>
            </w:r>
          </w:p>
          <w:p w:rsidR="00BA75E9" w:rsidRPr="00E007CB" w:rsidRDefault="00BA75E9" w:rsidP="00370584">
            <w:pPr>
              <w:jc w:val="both"/>
              <w:rPr>
                <w:rFonts w:eastAsia="Calibri"/>
                <w:sz w:val="20"/>
              </w:rPr>
            </w:pP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lang w:val="fr-FR"/>
              </w:rPr>
            </w:pPr>
            <w:r w:rsidRPr="00E007CB">
              <w:rPr>
                <w:rFonts w:eastAsia="Calibri"/>
                <w:sz w:val="20"/>
                <w:lang w:val="fr-FR"/>
              </w:rPr>
              <w:t>Appel des déclarations de culpabilité rejeté</w:t>
            </w:r>
          </w:p>
        </w:tc>
      </w:tr>
      <w:tr w:rsidR="00BA75E9" w:rsidRPr="00370584" w:rsidTr="00370584">
        <w:tc>
          <w:tcPr>
            <w:tcW w:w="2427" w:type="pct"/>
          </w:tcPr>
          <w:p w:rsidR="00BA75E9" w:rsidRPr="00E007CB" w:rsidRDefault="00BA75E9" w:rsidP="00370584">
            <w:pPr>
              <w:jc w:val="both"/>
              <w:rPr>
                <w:rFonts w:eastAsia="Calibri"/>
                <w:sz w:val="20"/>
                <w:lang w:val="fr-FR"/>
              </w:rPr>
            </w:pPr>
            <w:r w:rsidRPr="00E007CB">
              <w:rPr>
                <w:rFonts w:eastAsia="Calibri"/>
                <w:sz w:val="20"/>
                <w:lang w:val="fr-FR"/>
              </w:rPr>
              <w:t>6 octobre 2008</w:t>
            </w:r>
          </w:p>
          <w:p w:rsidR="00BA75E9" w:rsidRPr="00E007CB" w:rsidRDefault="00BA75E9" w:rsidP="00370584">
            <w:pPr>
              <w:jc w:val="both"/>
              <w:rPr>
                <w:rFonts w:eastAsia="Calibri"/>
                <w:sz w:val="20"/>
                <w:lang w:val="fr-FR"/>
              </w:rPr>
            </w:pPr>
            <w:r w:rsidRPr="00E007CB">
              <w:rPr>
                <w:rFonts w:eastAsia="Calibri"/>
                <w:sz w:val="20"/>
                <w:lang w:val="fr-FR"/>
              </w:rPr>
              <w:t>Cour d’appel de l’Ontario</w:t>
            </w:r>
          </w:p>
          <w:p w:rsidR="00BA75E9" w:rsidRPr="00E007CB" w:rsidRDefault="00BA75E9" w:rsidP="00370584">
            <w:pPr>
              <w:jc w:val="both"/>
              <w:rPr>
                <w:rFonts w:eastAsia="Calibri"/>
                <w:sz w:val="20"/>
                <w:lang w:val="fr-FR"/>
              </w:rPr>
            </w:pPr>
            <w:r w:rsidRPr="00E007CB">
              <w:rPr>
                <w:rFonts w:eastAsia="Calibri"/>
                <w:sz w:val="20"/>
                <w:lang w:val="fr-FR"/>
              </w:rPr>
              <w:t>(Juges Doherty, Laskin et MacPherson)</w:t>
            </w:r>
          </w:p>
          <w:p w:rsidR="00BA75E9" w:rsidRPr="00E007CB" w:rsidRDefault="00BA75E9" w:rsidP="00370584">
            <w:pPr>
              <w:jc w:val="both"/>
              <w:rPr>
                <w:rFonts w:eastAsia="Calibri"/>
                <w:sz w:val="20"/>
              </w:rPr>
            </w:pPr>
            <w:r w:rsidRPr="00E007CB">
              <w:rPr>
                <w:rFonts w:eastAsia="Calibri"/>
                <w:sz w:val="20"/>
              </w:rPr>
              <w:t>2008 ONCA 681, C48271</w:t>
            </w:r>
          </w:p>
          <w:p w:rsidR="00BA75E9" w:rsidRPr="00E007CB" w:rsidRDefault="00BA75E9" w:rsidP="00370584">
            <w:pPr>
              <w:jc w:val="both"/>
              <w:rPr>
                <w:rFonts w:eastAsia="Calibri"/>
                <w:sz w:val="20"/>
              </w:rPr>
            </w:pP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lang w:val="fr-FR"/>
              </w:rPr>
            </w:pPr>
            <w:r w:rsidRPr="00E007CB">
              <w:rPr>
                <w:rFonts w:eastAsia="Calibri"/>
                <w:sz w:val="20"/>
                <w:lang w:val="fr-FR"/>
              </w:rPr>
              <w:t xml:space="preserve">Appel de la décision de la Commission ontarienne d’examen rejeté </w:t>
            </w:r>
          </w:p>
        </w:tc>
      </w:tr>
      <w:tr w:rsidR="00BA75E9" w:rsidRPr="00A3429F" w:rsidTr="00370584">
        <w:tc>
          <w:tcPr>
            <w:tcW w:w="2427" w:type="pct"/>
          </w:tcPr>
          <w:p w:rsidR="00BA75E9" w:rsidRPr="00E007CB" w:rsidRDefault="00BA75E9" w:rsidP="00370584">
            <w:pPr>
              <w:jc w:val="both"/>
              <w:rPr>
                <w:rFonts w:eastAsia="Calibri"/>
                <w:sz w:val="20"/>
                <w:lang w:val="fr-FR"/>
              </w:rPr>
            </w:pPr>
            <w:r w:rsidRPr="00E007CB">
              <w:rPr>
                <w:rFonts w:eastAsia="Calibri"/>
                <w:sz w:val="20"/>
                <w:lang w:val="fr-CA"/>
              </w:rPr>
              <w:lastRenderedPageBreak/>
              <w:br w:type="page"/>
            </w:r>
            <w:r w:rsidRPr="00E007CB">
              <w:rPr>
                <w:rFonts w:eastAsia="Calibri"/>
                <w:sz w:val="20"/>
                <w:lang w:val="fr-FR"/>
              </w:rPr>
              <w:t>8 janvier 2013</w:t>
            </w:r>
          </w:p>
          <w:p w:rsidR="00BA75E9" w:rsidRPr="00E007CB" w:rsidRDefault="00BA75E9" w:rsidP="00370584">
            <w:pPr>
              <w:jc w:val="both"/>
              <w:rPr>
                <w:rFonts w:eastAsia="Calibri"/>
                <w:sz w:val="20"/>
                <w:lang w:val="fr-FR"/>
              </w:rPr>
            </w:pPr>
            <w:r w:rsidRPr="00E007CB">
              <w:rPr>
                <w:rFonts w:eastAsia="Calibri"/>
                <w:sz w:val="20"/>
                <w:lang w:val="fr-FR"/>
              </w:rPr>
              <w:t>Cour suprême du Canada</w:t>
            </w:r>
          </w:p>
        </w:tc>
        <w:tc>
          <w:tcPr>
            <w:tcW w:w="243" w:type="pct"/>
          </w:tcPr>
          <w:p w:rsidR="00BA75E9" w:rsidRPr="00E007CB" w:rsidRDefault="00BA75E9" w:rsidP="00370584">
            <w:pPr>
              <w:jc w:val="both"/>
              <w:rPr>
                <w:rFonts w:eastAsia="Calibri"/>
                <w:sz w:val="20"/>
                <w:lang w:val="fr-FR"/>
              </w:rPr>
            </w:pPr>
          </w:p>
        </w:tc>
        <w:tc>
          <w:tcPr>
            <w:tcW w:w="2330" w:type="pct"/>
          </w:tcPr>
          <w:p w:rsidR="00BA75E9" w:rsidRPr="00E007CB" w:rsidRDefault="00BA75E9" w:rsidP="00370584">
            <w:pPr>
              <w:jc w:val="both"/>
              <w:rPr>
                <w:rFonts w:eastAsia="Calibri"/>
                <w:sz w:val="20"/>
                <w:lang w:val="fr-FR"/>
              </w:rPr>
            </w:pPr>
            <w:r w:rsidRPr="00E007CB">
              <w:rPr>
                <w:rFonts w:eastAsia="Calibri"/>
                <w:sz w:val="20"/>
                <w:lang w:val="fr-FR"/>
              </w:rPr>
              <w:t xml:space="preserve">Requête en prorogation du délai pour signifier et déposer la demande d’autorisation d’appel et demande d’autorisation d’appel déposées </w:t>
            </w:r>
          </w:p>
        </w:tc>
      </w:tr>
    </w:tbl>
    <w:p w:rsidR="00BA75E9" w:rsidRPr="007A2789" w:rsidRDefault="00BA75E9" w:rsidP="00BA75E9">
      <w:pPr>
        <w:rPr>
          <w:sz w:val="20"/>
          <w:szCs w:val="20"/>
          <w:lang w:val="fr-CA"/>
        </w:rPr>
      </w:pPr>
    </w:p>
    <w:p w:rsidR="00BA75E9" w:rsidRDefault="00B35B95" w:rsidP="00BA75E9">
      <w:pPr>
        <w:rPr>
          <w:sz w:val="20"/>
          <w:szCs w:val="20"/>
        </w:rPr>
      </w:pPr>
      <w:r w:rsidRPr="00B35B95">
        <w:rPr>
          <w:sz w:val="20"/>
          <w:szCs w:val="20"/>
          <w:lang w:val="fr-CA"/>
        </w:rPr>
        <w:pict>
          <v:rect id="_x0000_i1061" style="width:2in;height:1pt" o:hrpct="0" o:hralign="center" o:hrstd="t" o:hrnoshade="t" o:hr="t" fillcolor="black [3213]" stroked="f"/>
        </w:pict>
      </w:r>
    </w:p>
    <w:p w:rsidR="00BA75E9" w:rsidRDefault="00BA75E9" w:rsidP="00BA75E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A75E9" w:rsidRPr="00370584" w:rsidTr="00370584">
        <w:trPr>
          <w:cantSplit/>
        </w:trPr>
        <w:tc>
          <w:tcPr>
            <w:tcW w:w="1458" w:type="dxa"/>
          </w:tcPr>
          <w:p w:rsidR="00BA75E9" w:rsidRPr="00A73D2C" w:rsidRDefault="00BA75E9" w:rsidP="00370584">
            <w:pPr>
              <w:rPr>
                <w:sz w:val="20"/>
                <w:szCs w:val="20"/>
              </w:rPr>
            </w:pPr>
            <w:r w:rsidRPr="00A73D2C">
              <w:rPr>
                <w:rStyle w:val="SCCFileNumberChar"/>
                <w:sz w:val="20"/>
                <w:szCs w:val="20"/>
              </w:rPr>
              <w:t>35223</w:t>
            </w:r>
          </w:p>
          <w:p w:rsidR="00BA75E9" w:rsidRPr="00A73D2C" w:rsidRDefault="00BA75E9" w:rsidP="00370584">
            <w:pPr>
              <w:rPr>
                <w:b/>
                <w:sz w:val="20"/>
                <w:szCs w:val="20"/>
                <w:lang w:val="fr-CA"/>
              </w:rPr>
            </w:pPr>
          </w:p>
        </w:tc>
        <w:tc>
          <w:tcPr>
            <w:tcW w:w="8118" w:type="dxa"/>
          </w:tcPr>
          <w:p w:rsidR="00BA75E9" w:rsidRPr="00A73D2C" w:rsidRDefault="00BA75E9" w:rsidP="00370584">
            <w:pPr>
              <w:jc w:val="both"/>
              <w:rPr>
                <w:sz w:val="20"/>
                <w:szCs w:val="20"/>
                <w:lang w:val="fr-CA"/>
              </w:rPr>
            </w:pPr>
            <w:r w:rsidRPr="00A73D2C">
              <w:rPr>
                <w:rStyle w:val="SCCLsocChar"/>
                <w:sz w:val="20"/>
                <w:szCs w:val="20"/>
              </w:rPr>
              <w:t>Lise Trudel Thibault c. Sa Majesté la Reine et Directeur des poursuites criminelles et pénales</w:t>
            </w:r>
            <w:r w:rsidRPr="00A73D2C">
              <w:rPr>
                <w:sz w:val="20"/>
                <w:szCs w:val="20"/>
                <w:lang w:val="fr-CA"/>
              </w:rPr>
              <w:t xml:space="preserve"> (Qc) (Criminelle) (Autorisation)</w:t>
            </w:r>
          </w:p>
          <w:p w:rsidR="00BA75E9" w:rsidRPr="00A73D2C" w:rsidRDefault="00BA75E9" w:rsidP="00370584">
            <w:pPr>
              <w:jc w:val="both"/>
              <w:rPr>
                <w:sz w:val="20"/>
                <w:szCs w:val="20"/>
                <w:lang w:val="fr-CA"/>
              </w:rPr>
            </w:pPr>
          </w:p>
        </w:tc>
      </w:tr>
      <w:tr w:rsidR="00BA75E9" w:rsidRPr="00370584" w:rsidTr="00370584">
        <w:trPr>
          <w:cantSplit/>
        </w:trPr>
        <w:tc>
          <w:tcPr>
            <w:tcW w:w="1458" w:type="dxa"/>
          </w:tcPr>
          <w:p w:rsidR="00BA75E9" w:rsidRPr="00A73D2C" w:rsidRDefault="00BA75E9" w:rsidP="00370584">
            <w:pPr>
              <w:rPr>
                <w:sz w:val="20"/>
                <w:szCs w:val="20"/>
              </w:rPr>
            </w:pPr>
            <w:r w:rsidRPr="00A73D2C">
              <w:rPr>
                <w:sz w:val="20"/>
                <w:szCs w:val="20"/>
              </w:rPr>
              <w:t>Coram :</w:t>
            </w:r>
          </w:p>
        </w:tc>
        <w:tc>
          <w:tcPr>
            <w:tcW w:w="8118" w:type="dxa"/>
          </w:tcPr>
          <w:p w:rsidR="00BA75E9" w:rsidRPr="00A73D2C" w:rsidRDefault="00BA75E9" w:rsidP="00370584">
            <w:pPr>
              <w:rPr>
                <w:sz w:val="20"/>
                <w:szCs w:val="20"/>
                <w:lang w:val="fr-CA"/>
              </w:rPr>
            </w:pPr>
            <w:r w:rsidRPr="00A73D2C">
              <w:rPr>
                <w:rStyle w:val="SCCCoramChar"/>
                <w:sz w:val="20"/>
                <w:szCs w:val="20"/>
              </w:rPr>
              <w:t>Les juges Abella, Karakatsanis et Wagner</w:t>
            </w:r>
          </w:p>
          <w:p w:rsidR="00BA75E9" w:rsidRPr="00A73D2C" w:rsidRDefault="00BA75E9" w:rsidP="00370584">
            <w:pPr>
              <w:rPr>
                <w:sz w:val="20"/>
                <w:szCs w:val="20"/>
                <w:u w:val="single"/>
                <w:lang w:val="fr-CA"/>
              </w:rPr>
            </w:pPr>
          </w:p>
        </w:tc>
      </w:tr>
      <w:tr w:rsidR="00BA75E9" w:rsidRPr="00A73D2C" w:rsidTr="00370584">
        <w:trPr>
          <w:cantSplit/>
        </w:trPr>
        <w:tc>
          <w:tcPr>
            <w:tcW w:w="9576" w:type="dxa"/>
            <w:gridSpan w:val="2"/>
          </w:tcPr>
          <w:p w:rsidR="00BA75E9" w:rsidRPr="00A73D2C" w:rsidRDefault="00BA75E9" w:rsidP="00370584">
            <w:pPr>
              <w:pStyle w:val="SCCShortJudgment"/>
              <w:rPr>
                <w:szCs w:val="20"/>
                <w:lang w:val="fr-CA"/>
              </w:rPr>
            </w:pPr>
            <w:r w:rsidRPr="00A73D2C">
              <w:rPr>
                <w:szCs w:val="20"/>
                <w:lang w:val="fr-CA"/>
              </w:rPr>
              <w:t>La demande d’autorisation d’appel de l’arrêt de la Cour d’appel du Québec (Québec), numéro 200-10-002859-127, 2012 QCCA 2212, daté du 12 décembre 2012, est rejetée sans dépens</w:t>
            </w:r>
            <w:r>
              <w:rPr>
                <w:szCs w:val="20"/>
                <w:lang w:val="fr-CA"/>
              </w:rPr>
              <w:t>.</w:t>
            </w:r>
          </w:p>
          <w:p w:rsidR="00BA75E9" w:rsidRPr="00A73D2C" w:rsidRDefault="00BA75E9" w:rsidP="00370584">
            <w:pPr>
              <w:pStyle w:val="SCCShortJudgment"/>
              <w:ind w:firstLine="0"/>
              <w:rPr>
                <w:szCs w:val="20"/>
                <w:lang w:val="fr-CA"/>
              </w:rPr>
            </w:pPr>
          </w:p>
          <w:p w:rsidR="00BA75E9" w:rsidRPr="00A73D2C" w:rsidRDefault="00BA75E9" w:rsidP="00370584">
            <w:pPr>
              <w:pStyle w:val="SCCShortJudgment"/>
              <w:rPr>
                <w:szCs w:val="20"/>
              </w:rPr>
            </w:pPr>
            <w:r w:rsidRPr="00A73D2C">
              <w:rPr>
                <w:szCs w:val="20"/>
              </w:rPr>
              <w:t>The application for leave to appeal from the judgment of the Court of Appeal of Quebec (Québec), Number 200-10-002859-127, 2012 QCCA 2212, dated December 12, 2012, is dismissed without costs.</w:t>
            </w:r>
          </w:p>
        </w:tc>
      </w:tr>
    </w:tbl>
    <w:p w:rsidR="00BA75E9" w:rsidRDefault="00BA75E9" w:rsidP="00BA75E9">
      <w:pPr>
        <w:rPr>
          <w:sz w:val="20"/>
          <w:szCs w:val="20"/>
        </w:rPr>
      </w:pPr>
    </w:p>
    <w:p w:rsidR="00BA75E9" w:rsidRPr="001B157C" w:rsidRDefault="00BA75E9" w:rsidP="00BA75E9">
      <w:pPr>
        <w:rPr>
          <w:sz w:val="20"/>
          <w:szCs w:val="20"/>
          <w:u w:val="single"/>
        </w:rPr>
      </w:pPr>
      <w:r w:rsidRPr="001B157C">
        <w:rPr>
          <w:sz w:val="20"/>
          <w:szCs w:val="20"/>
          <w:u w:val="single"/>
        </w:rPr>
        <w:t>CASE SUMMARY</w:t>
      </w:r>
    </w:p>
    <w:p w:rsidR="00BA75E9" w:rsidRDefault="00BA75E9" w:rsidP="00BA75E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A75E9" w:rsidRPr="00E007CB" w:rsidTr="00370584">
        <w:tc>
          <w:tcPr>
            <w:tcW w:w="5000" w:type="pct"/>
            <w:gridSpan w:val="3"/>
          </w:tcPr>
          <w:p w:rsidR="00BA75E9" w:rsidRPr="00E007CB" w:rsidRDefault="00BA75E9" w:rsidP="00370584">
            <w:pPr>
              <w:jc w:val="both"/>
              <w:rPr>
                <w:rFonts w:eastAsia="Calibri"/>
                <w:smallCaps/>
                <w:sz w:val="20"/>
              </w:rPr>
            </w:pPr>
            <w:r w:rsidRPr="00E007CB">
              <w:rPr>
                <w:rFonts w:eastAsia="Calibri"/>
                <w:smallCaps/>
                <w:sz w:val="20"/>
              </w:rPr>
              <w:t>(Publication Ban in Case)</w:t>
            </w:r>
          </w:p>
          <w:p w:rsidR="00BA75E9" w:rsidRPr="00E007CB" w:rsidRDefault="00BA75E9" w:rsidP="00370584">
            <w:pPr>
              <w:jc w:val="both"/>
              <w:rPr>
                <w:rFonts w:eastAsia="Calibri"/>
                <w:sz w:val="20"/>
              </w:rPr>
            </w:pPr>
          </w:p>
          <w:p w:rsidR="00BA75E9" w:rsidRPr="00E007CB" w:rsidRDefault="00BA75E9" w:rsidP="00370584">
            <w:pPr>
              <w:jc w:val="both"/>
              <w:rPr>
                <w:rFonts w:eastAsia="Calibri"/>
                <w:sz w:val="20"/>
              </w:rPr>
            </w:pPr>
            <w:r w:rsidRPr="00E007CB">
              <w:rPr>
                <w:rFonts w:eastAsia="Calibri"/>
                <w:sz w:val="20"/>
              </w:rPr>
              <w:t xml:space="preserve">Crown law – Prerogatives – Immunity – Applicant appearing on criminal charges for acts committed while she held office of Lieutenant Governor – As Lieutenant Governor, whether applicant had absolute immunity from criminal prosecution – </w:t>
            </w:r>
            <w:r w:rsidRPr="00E007CB">
              <w:rPr>
                <w:rFonts w:eastAsia="Calibri"/>
                <w:i/>
                <w:sz w:val="20"/>
              </w:rPr>
              <w:t>Interpretation Act</w:t>
            </w:r>
            <w:r w:rsidRPr="00E007CB">
              <w:rPr>
                <w:rFonts w:eastAsia="Calibri"/>
                <w:sz w:val="20"/>
              </w:rPr>
              <w:t>, R.S.C. 1985, c. I</w:t>
            </w:r>
            <w:r w:rsidRPr="00E007CB">
              <w:rPr>
                <w:rFonts w:eastAsia="Calibri"/>
                <w:sz w:val="20"/>
              </w:rPr>
              <w:noBreakHyphen/>
              <w:t>21, s. 17.</w:t>
            </w:r>
          </w:p>
        </w:tc>
      </w:tr>
      <w:tr w:rsidR="00BA75E9" w:rsidRPr="00E007CB" w:rsidTr="00370584">
        <w:tc>
          <w:tcPr>
            <w:tcW w:w="5000" w:type="pct"/>
            <w:gridSpan w:val="3"/>
          </w:tcPr>
          <w:p w:rsidR="00BA75E9" w:rsidRPr="00E007CB" w:rsidRDefault="00BA75E9" w:rsidP="00370584">
            <w:pPr>
              <w:jc w:val="both"/>
              <w:rPr>
                <w:rFonts w:eastAsia="Calibri"/>
                <w:sz w:val="20"/>
              </w:rPr>
            </w:pPr>
          </w:p>
        </w:tc>
      </w:tr>
      <w:tr w:rsidR="00BA75E9" w:rsidRPr="00E007CB" w:rsidTr="00370584">
        <w:tc>
          <w:tcPr>
            <w:tcW w:w="5000" w:type="pct"/>
            <w:gridSpan w:val="3"/>
          </w:tcPr>
          <w:p w:rsidR="00BA75E9" w:rsidRPr="00E007CB" w:rsidRDefault="00BA75E9" w:rsidP="00370584">
            <w:pPr>
              <w:jc w:val="both"/>
              <w:rPr>
                <w:rFonts w:eastAsia="Calibri"/>
                <w:sz w:val="20"/>
              </w:rPr>
            </w:pPr>
            <w:r w:rsidRPr="00E007CB">
              <w:rPr>
                <w:rFonts w:eastAsia="Calibri"/>
                <w:sz w:val="20"/>
              </w:rPr>
              <w:t xml:space="preserve">From 1997 to 2007, the applicant Ms. Thibault held the office of Lieutenant Governor of Quebec.  In 2009, she appeared in the Court of Québec on charges of abuse of trust, forgery, uttering a forged document and fraud.  At the end of the preliminary inquiry, Judge Auger committed Ms. Thibault for trial on the six counts and specified the events alleged. </w:t>
            </w:r>
          </w:p>
          <w:p w:rsidR="00BA75E9" w:rsidRPr="00E007CB" w:rsidRDefault="00BA75E9" w:rsidP="00370584">
            <w:pPr>
              <w:jc w:val="both"/>
              <w:rPr>
                <w:rFonts w:eastAsia="Calibri"/>
                <w:sz w:val="20"/>
              </w:rPr>
            </w:pPr>
          </w:p>
          <w:p w:rsidR="00BA75E9" w:rsidRPr="00E007CB" w:rsidRDefault="00BA75E9" w:rsidP="00370584">
            <w:pPr>
              <w:jc w:val="both"/>
              <w:rPr>
                <w:rFonts w:eastAsia="Calibri"/>
                <w:sz w:val="20"/>
              </w:rPr>
            </w:pPr>
            <w:r w:rsidRPr="00E007CB">
              <w:rPr>
                <w:rFonts w:eastAsia="Calibri"/>
                <w:sz w:val="20"/>
              </w:rPr>
              <w:t xml:space="preserve">Ms. Thibault then filed a motion in the Superior Court for a writ of </w:t>
            </w:r>
            <w:r w:rsidRPr="00E007CB">
              <w:rPr>
                <w:rFonts w:eastAsia="Calibri"/>
                <w:i/>
                <w:sz w:val="20"/>
              </w:rPr>
              <w:t>certiorari</w:t>
            </w:r>
            <w:r w:rsidRPr="00E007CB">
              <w:rPr>
                <w:rFonts w:eastAsia="Calibri"/>
                <w:sz w:val="20"/>
              </w:rPr>
              <w:t>.  She argued that Judge Auger had exceeded his jurisdiction by committing her for trial because, as Lieutenant Governor, she was the representative of the Queen of England in Quebec and as such was not subject to the criminal justice system, in light of the principle that “the King can do no wrong”.</w:t>
            </w:r>
          </w:p>
          <w:p w:rsidR="00BA75E9" w:rsidRPr="00E007CB" w:rsidRDefault="00BA75E9" w:rsidP="00370584">
            <w:pPr>
              <w:jc w:val="both"/>
              <w:rPr>
                <w:rFonts w:eastAsia="Calibri"/>
                <w:sz w:val="20"/>
              </w:rPr>
            </w:pPr>
          </w:p>
          <w:p w:rsidR="00BA75E9" w:rsidRPr="00E007CB" w:rsidRDefault="00BA75E9" w:rsidP="00370584">
            <w:pPr>
              <w:jc w:val="both"/>
              <w:rPr>
                <w:rFonts w:eastAsia="Calibri"/>
                <w:sz w:val="20"/>
              </w:rPr>
            </w:pPr>
            <w:r w:rsidRPr="00E007CB">
              <w:rPr>
                <w:rFonts w:eastAsia="Calibri"/>
                <w:sz w:val="20"/>
              </w:rPr>
              <w:t xml:space="preserve">Grenier J. of the Superior Court found that Ms. Thibault did not enjoy absolute immunity.  Rather, her immunity attached to the performance of her functions.  He held that the scope of the relative immunity enjoyed by Ms. Thibault at the relevant time was an issue that should be decided by the trial judge on the basis of the evidence, so he referred the motion for a writ of </w:t>
            </w:r>
            <w:r w:rsidRPr="00E007CB">
              <w:rPr>
                <w:rFonts w:eastAsia="Calibri"/>
                <w:i/>
                <w:sz w:val="20"/>
              </w:rPr>
              <w:t>certiorari</w:t>
            </w:r>
            <w:r w:rsidRPr="00E007CB">
              <w:rPr>
                <w:rFonts w:eastAsia="Calibri"/>
                <w:sz w:val="20"/>
              </w:rPr>
              <w:t xml:space="preserve"> to that judge.  The Court of Appeal dismissed Ms. Thibault’s appeal.</w:t>
            </w:r>
          </w:p>
          <w:p w:rsidR="00BA75E9" w:rsidRPr="00E007CB" w:rsidRDefault="00BA75E9" w:rsidP="00370584">
            <w:pPr>
              <w:jc w:val="both"/>
              <w:rPr>
                <w:rFonts w:eastAsia="Calibri"/>
                <w:sz w:val="20"/>
              </w:rPr>
            </w:pPr>
          </w:p>
        </w:tc>
      </w:tr>
      <w:tr w:rsidR="00BA75E9" w:rsidRPr="00E007CB" w:rsidTr="00370584">
        <w:tc>
          <w:tcPr>
            <w:tcW w:w="2427" w:type="pct"/>
          </w:tcPr>
          <w:p w:rsidR="00BA75E9" w:rsidRPr="00E007CB" w:rsidRDefault="00BA75E9" w:rsidP="00370584">
            <w:pPr>
              <w:jc w:val="both"/>
              <w:rPr>
                <w:rFonts w:eastAsia="Calibri"/>
                <w:sz w:val="20"/>
              </w:rPr>
            </w:pPr>
            <w:r w:rsidRPr="00E007CB">
              <w:rPr>
                <w:rFonts w:eastAsia="Calibri"/>
                <w:sz w:val="20"/>
              </w:rPr>
              <w:t>August 27, 2012</w:t>
            </w:r>
          </w:p>
          <w:p w:rsidR="00BA75E9" w:rsidRPr="00E007CB" w:rsidRDefault="00BA75E9" w:rsidP="00370584">
            <w:pPr>
              <w:jc w:val="both"/>
              <w:rPr>
                <w:rFonts w:eastAsia="Calibri"/>
                <w:sz w:val="20"/>
              </w:rPr>
            </w:pPr>
            <w:r w:rsidRPr="00E007CB">
              <w:rPr>
                <w:rFonts w:eastAsia="Calibri"/>
                <w:sz w:val="20"/>
              </w:rPr>
              <w:t>Quebec Superior Court</w:t>
            </w:r>
          </w:p>
          <w:p w:rsidR="00BA75E9" w:rsidRPr="00E007CB" w:rsidRDefault="00BA75E9" w:rsidP="00370584">
            <w:pPr>
              <w:jc w:val="both"/>
              <w:rPr>
                <w:rFonts w:eastAsia="Calibri"/>
                <w:sz w:val="20"/>
              </w:rPr>
            </w:pPr>
            <w:r w:rsidRPr="00E007CB">
              <w:rPr>
                <w:rFonts w:eastAsia="Calibri"/>
                <w:sz w:val="20"/>
              </w:rPr>
              <w:t>(Grenier J.)</w:t>
            </w:r>
          </w:p>
          <w:p w:rsidR="00BA75E9" w:rsidRPr="00E007CB" w:rsidRDefault="00BA75E9" w:rsidP="00370584">
            <w:pPr>
              <w:jc w:val="both"/>
              <w:rPr>
                <w:rFonts w:eastAsia="Calibri"/>
                <w:sz w:val="20"/>
              </w:rPr>
            </w:pP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rPr>
            </w:pPr>
            <w:r w:rsidRPr="00E007CB">
              <w:rPr>
                <w:rFonts w:eastAsia="Calibri"/>
                <w:sz w:val="20"/>
              </w:rPr>
              <w:t xml:space="preserve">Motion for writ of </w:t>
            </w:r>
            <w:r w:rsidRPr="00E007CB">
              <w:rPr>
                <w:rFonts w:eastAsia="Calibri"/>
                <w:i/>
                <w:sz w:val="20"/>
              </w:rPr>
              <w:t>certiorari</w:t>
            </w:r>
            <w:r w:rsidRPr="00E007CB">
              <w:rPr>
                <w:rFonts w:eastAsia="Calibri"/>
                <w:sz w:val="20"/>
              </w:rPr>
              <w:t xml:space="preserve"> referred to trial judge</w:t>
            </w:r>
          </w:p>
          <w:p w:rsidR="00BA75E9" w:rsidRPr="00E007CB" w:rsidRDefault="00BA75E9" w:rsidP="00370584">
            <w:pPr>
              <w:jc w:val="both"/>
              <w:rPr>
                <w:rFonts w:eastAsia="Calibri"/>
                <w:sz w:val="20"/>
              </w:rPr>
            </w:pPr>
          </w:p>
        </w:tc>
      </w:tr>
      <w:tr w:rsidR="00BA75E9" w:rsidRPr="00E007CB" w:rsidTr="00370584">
        <w:tc>
          <w:tcPr>
            <w:tcW w:w="2427" w:type="pct"/>
          </w:tcPr>
          <w:p w:rsidR="00BA75E9" w:rsidRPr="00E007CB" w:rsidRDefault="00BA75E9" w:rsidP="00370584">
            <w:pPr>
              <w:jc w:val="both"/>
              <w:rPr>
                <w:rFonts w:eastAsia="Calibri"/>
                <w:sz w:val="20"/>
              </w:rPr>
            </w:pPr>
            <w:r w:rsidRPr="00E007CB">
              <w:rPr>
                <w:rFonts w:eastAsia="Calibri"/>
                <w:sz w:val="20"/>
              </w:rPr>
              <w:t>December 12, 2012</w:t>
            </w:r>
          </w:p>
          <w:p w:rsidR="00BA75E9" w:rsidRPr="00E007CB" w:rsidRDefault="00BA75E9" w:rsidP="00370584">
            <w:pPr>
              <w:jc w:val="both"/>
              <w:rPr>
                <w:rFonts w:eastAsia="Calibri"/>
                <w:sz w:val="20"/>
              </w:rPr>
            </w:pPr>
            <w:r w:rsidRPr="00E007CB">
              <w:rPr>
                <w:rFonts w:eastAsia="Calibri"/>
                <w:sz w:val="20"/>
              </w:rPr>
              <w:t>Quebec Court of Appeal (Québec)</w:t>
            </w:r>
          </w:p>
          <w:p w:rsidR="00BA75E9" w:rsidRPr="00E007CB" w:rsidRDefault="00BA75E9" w:rsidP="00370584">
            <w:pPr>
              <w:jc w:val="both"/>
              <w:rPr>
                <w:rFonts w:eastAsia="Calibri"/>
                <w:sz w:val="20"/>
              </w:rPr>
            </w:pPr>
            <w:r w:rsidRPr="00E007CB">
              <w:rPr>
                <w:rFonts w:eastAsia="Calibri"/>
                <w:sz w:val="20"/>
              </w:rPr>
              <w:t>(Thibault, Dutil and Fournier JJ.A.)</w:t>
            </w:r>
          </w:p>
          <w:p w:rsidR="00BA75E9" w:rsidRPr="00E007CB" w:rsidRDefault="00BA75E9" w:rsidP="00370584">
            <w:pPr>
              <w:jc w:val="both"/>
              <w:rPr>
                <w:rFonts w:eastAsia="Calibri"/>
                <w:sz w:val="20"/>
              </w:rPr>
            </w:pPr>
            <w:r w:rsidRPr="00E007CB">
              <w:rPr>
                <w:rFonts w:eastAsia="Calibri"/>
                <w:sz w:val="20"/>
              </w:rPr>
              <w:t>200-10-002859-127; 2012 QCCA 2212</w:t>
            </w:r>
          </w:p>
          <w:p w:rsidR="00BA75E9" w:rsidRPr="00E007CB" w:rsidRDefault="00BA75E9" w:rsidP="00370584">
            <w:pPr>
              <w:jc w:val="both"/>
              <w:rPr>
                <w:rFonts w:eastAsia="Calibri"/>
                <w:sz w:val="20"/>
              </w:rPr>
            </w:pP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rPr>
            </w:pPr>
            <w:r w:rsidRPr="00E007CB">
              <w:rPr>
                <w:rFonts w:eastAsia="Calibri"/>
                <w:sz w:val="20"/>
              </w:rPr>
              <w:t>Appeal dismissed</w:t>
            </w:r>
          </w:p>
          <w:p w:rsidR="00BA75E9" w:rsidRPr="00E007CB" w:rsidRDefault="00BA75E9" w:rsidP="00370584">
            <w:pPr>
              <w:jc w:val="both"/>
              <w:rPr>
                <w:rFonts w:eastAsia="Calibri"/>
                <w:sz w:val="20"/>
              </w:rPr>
            </w:pPr>
          </w:p>
        </w:tc>
      </w:tr>
      <w:tr w:rsidR="00BA75E9" w:rsidRPr="00E007CB" w:rsidTr="00370584">
        <w:trPr>
          <w:cantSplit/>
        </w:trPr>
        <w:tc>
          <w:tcPr>
            <w:tcW w:w="2427" w:type="pct"/>
          </w:tcPr>
          <w:p w:rsidR="00BA75E9" w:rsidRPr="00E007CB" w:rsidRDefault="00BA75E9" w:rsidP="00370584">
            <w:pPr>
              <w:jc w:val="both"/>
              <w:rPr>
                <w:rFonts w:eastAsia="Calibri"/>
                <w:sz w:val="20"/>
              </w:rPr>
            </w:pPr>
            <w:r w:rsidRPr="00E007CB">
              <w:rPr>
                <w:rFonts w:eastAsia="Calibri"/>
                <w:sz w:val="20"/>
              </w:rPr>
              <w:lastRenderedPageBreak/>
              <w:t>February 11, 2013</w:t>
            </w:r>
          </w:p>
          <w:p w:rsidR="00BA75E9" w:rsidRPr="00E007CB" w:rsidRDefault="00BA75E9" w:rsidP="00370584">
            <w:pPr>
              <w:jc w:val="both"/>
              <w:rPr>
                <w:rFonts w:eastAsia="Calibri"/>
                <w:sz w:val="20"/>
              </w:rPr>
            </w:pPr>
            <w:r w:rsidRPr="00E007CB">
              <w:rPr>
                <w:rFonts w:eastAsia="Calibri"/>
                <w:sz w:val="20"/>
              </w:rPr>
              <w:t>Supreme Court of Canada</w:t>
            </w: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rPr>
            </w:pPr>
            <w:r w:rsidRPr="00E007CB">
              <w:rPr>
                <w:rFonts w:eastAsia="Calibri"/>
                <w:sz w:val="20"/>
              </w:rPr>
              <w:t>Application for leave to appeal filed</w:t>
            </w:r>
          </w:p>
        </w:tc>
      </w:tr>
    </w:tbl>
    <w:p w:rsidR="00BA75E9" w:rsidRDefault="00BA75E9" w:rsidP="00BA75E9">
      <w:pPr>
        <w:rPr>
          <w:sz w:val="20"/>
          <w:szCs w:val="20"/>
        </w:rPr>
      </w:pPr>
    </w:p>
    <w:p w:rsidR="00BA75E9" w:rsidRPr="00C50A5C" w:rsidRDefault="00B35B95" w:rsidP="00BA75E9">
      <w:pPr>
        <w:rPr>
          <w:sz w:val="20"/>
          <w:szCs w:val="20"/>
        </w:rPr>
      </w:pPr>
      <w:r w:rsidRPr="00B35B95">
        <w:rPr>
          <w:sz w:val="20"/>
          <w:szCs w:val="20"/>
          <w:lang w:val="fr-CA"/>
        </w:rPr>
        <w:pict>
          <v:rect id="_x0000_i1062" style="width:2in;height:1pt" o:hrpct="0" o:hralign="center" o:hrstd="t" o:hrnoshade="t" o:hr="t" fillcolor="black [3213]" stroked="f"/>
        </w:pict>
      </w:r>
    </w:p>
    <w:p w:rsidR="00BA75E9" w:rsidRDefault="00BA75E9" w:rsidP="00BA75E9">
      <w:pPr>
        <w:rPr>
          <w:sz w:val="20"/>
          <w:szCs w:val="20"/>
        </w:rPr>
      </w:pPr>
    </w:p>
    <w:p w:rsidR="00BA75E9" w:rsidRPr="001B157C" w:rsidRDefault="00BA75E9" w:rsidP="00BA75E9">
      <w:pPr>
        <w:rPr>
          <w:sz w:val="20"/>
          <w:szCs w:val="20"/>
          <w:u w:val="single"/>
          <w:lang w:val="fr-CA"/>
        </w:rPr>
      </w:pPr>
      <w:r w:rsidRPr="001B157C">
        <w:rPr>
          <w:sz w:val="20"/>
          <w:szCs w:val="20"/>
          <w:u w:val="single"/>
          <w:lang w:val="fr-CA"/>
        </w:rPr>
        <w:t>RÉSUMÉ DE L’AFFAIRE</w:t>
      </w:r>
    </w:p>
    <w:p w:rsidR="00BA75E9" w:rsidRDefault="00BA75E9" w:rsidP="00BA75E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A75E9" w:rsidRPr="00E007CB" w:rsidTr="00370584">
        <w:tc>
          <w:tcPr>
            <w:tcW w:w="5000" w:type="pct"/>
            <w:gridSpan w:val="3"/>
          </w:tcPr>
          <w:p w:rsidR="00BA75E9" w:rsidRPr="00E007CB" w:rsidRDefault="00BA75E9" w:rsidP="00370584">
            <w:pPr>
              <w:jc w:val="both"/>
              <w:rPr>
                <w:rFonts w:eastAsia="Calibri"/>
                <w:smallCaps/>
                <w:sz w:val="20"/>
                <w:lang w:val="fr-CA"/>
              </w:rPr>
            </w:pPr>
            <w:r w:rsidRPr="00E007CB">
              <w:rPr>
                <w:rFonts w:eastAsia="Calibri"/>
                <w:smallCaps/>
                <w:sz w:val="20"/>
                <w:lang w:val="fr-CA"/>
              </w:rPr>
              <w:t>(Ordonnance de non-publication dans le dossier)</w:t>
            </w:r>
          </w:p>
          <w:p w:rsidR="00BA75E9" w:rsidRPr="00E007CB" w:rsidRDefault="00BA75E9" w:rsidP="00370584">
            <w:pPr>
              <w:jc w:val="both"/>
              <w:rPr>
                <w:rFonts w:eastAsia="Calibri"/>
                <w:sz w:val="20"/>
                <w:lang w:val="fr-CA"/>
              </w:rPr>
            </w:pPr>
          </w:p>
          <w:p w:rsidR="00BA75E9" w:rsidRPr="00E007CB" w:rsidRDefault="00BA75E9" w:rsidP="00370584">
            <w:pPr>
              <w:jc w:val="both"/>
              <w:rPr>
                <w:rFonts w:eastAsia="Calibri"/>
                <w:sz w:val="20"/>
                <w:lang w:val="fr-CA"/>
              </w:rPr>
            </w:pPr>
            <w:r w:rsidRPr="00E007CB">
              <w:rPr>
                <w:rFonts w:eastAsia="Calibri"/>
                <w:sz w:val="20"/>
                <w:lang w:val="fr-CA"/>
              </w:rPr>
              <w:t>Droit de la Couronne – Prérogatives – Immunité – Demanderesse comparaissant relativement à des accusations criminelles pour des actes posés lorsqu’elle occupait la charge de lieutenant</w:t>
            </w:r>
            <w:r w:rsidRPr="00E007CB">
              <w:rPr>
                <w:rFonts w:eastAsia="Calibri"/>
                <w:sz w:val="20"/>
                <w:lang w:val="fr-CA"/>
              </w:rPr>
              <w:noBreakHyphen/>
              <w:t xml:space="preserve">gouverneur – À titre de lieutenante-gouverneure, la demanderesse bénéficiait-elle d’une immunité absolue vis-à-vis des poursuites criminelles? – </w:t>
            </w:r>
            <w:r w:rsidRPr="00E007CB">
              <w:rPr>
                <w:rFonts w:eastAsia="Calibri"/>
                <w:i/>
                <w:sz w:val="20"/>
                <w:lang w:val="fr-CA"/>
              </w:rPr>
              <w:t>Loi d’interprétation</w:t>
            </w:r>
            <w:r w:rsidRPr="00E007CB">
              <w:rPr>
                <w:rFonts w:eastAsia="Calibri"/>
                <w:sz w:val="20"/>
                <w:lang w:val="fr-CA"/>
              </w:rPr>
              <w:t>, L.R.C. 1985, ch. I-21, art. 17.</w:t>
            </w:r>
          </w:p>
        </w:tc>
      </w:tr>
      <w:tr w:rsidR="00BA75E9" w:rsidRPr="00E007CB" w:rsidTr="00370584">
        <w:tc>
          <w:tcPr>
            <w:tcW w:w="5000" w:type="pct"/>
            <w:gridSpan w:val="3"/>
          </w:tcPr>
          <w:p w:rsidR="00BA75E9" w:rsidRPr="00E007CB" w:rsidRDefault="00BA75E9" w:rsidP="00370584">
            <w:pPr>
              <w:jc w:val="both"/>
              <w:rPr>
                <w:rFonts w:eastAsia="Calibri"/>
                <w:sz w:val="20"/>
                <w:lang w:val="fr-CA"/>
              </w:rPr>
            </w:pPr>
          </w:p>
        </w:tc>
      </w:tr>
      <w:tr w:rsidR="00BA75E9" w:rsidRPr="00E007CB" w:rsidTr="00370584">
        <w:tc>
          <w:tcPr>
            <w:tcW w:w="5000" w:type="pct"/>
            <w:gridSpan w:val="3"/>
          </w:tcPr>
          <w:p w:rsidR="00BA75E9" w:rsidRPr="00E007CB" w:rsidRDefault="00BA75E9" w:rsidP="00370584">
            <w:pPr>
              <w:jc w:val="both"/>
              <w:rPr>
                <w:rFonts w:eastAsia="Calibri"/>
                <w:sz w:val="20"/>
                <w:lang w:val="fr-CA"/>
              </w:rPr>
            </w:pPr>
            <w:r w:rsidRPr="00E007CB">
              <w:rPr>
                <w:rFonts w:eastAsia="Calibri"/>
                <w:sz w:val="20"/>
                <w:lang w:val="fr-CA"/>
              </w:rPr>
              <w:t xml:space="preserve">De 1997 à 2007, la demanderesse, Mme Thibault, occupait la fonction de lieutenant-gouverneur du Québec.  En 2009, elle comparaît devant la Cour du Québec relativement à des accusations d’abus de confiance, de fabrication et d’usage de faux et de fraude.  Au terme de l’enquête préliminaire, le juge Auger cite Mme Thibault à procès sur les six chefs d’accusation et précise les événements reprochés. </w:t>
            </w:r>
          </w:p>
          <w:p w:rsidR="00BA75E9" w:rsidRPr="00E007CB" w:rsidRDefault="00BA75E9" w:rsidP="00370584">
            <w:pPr>
              <w:jc w:val="both"/>
              <w:rPr>
                <w:rFonts w:eastAsia="Calibri"/>
                <w:sz w:val="20"/>
                <w:lang w:val="fr-CA"/>
              </w:rPr>
            </w:pPr>
          </w:p>
          <w:p w:rsidR="00BA75E9" w:rsidRPr="00E007CB" w:rsidRDefault="00BA75E9" w:rsidP="00370584">
            <w:pPr>
              <w:jc w:val="both"/>
              <w:rPr>
                <w:rFonts w:eastAsia="Calibri"/>
                <w:sz w:val="20"/>
                <w:lang w:val="fr-CA"/>
              </w:rPr>
            </w:pPr>
            <w:r w:rsidRPr="00E007CB">
              <w:rPr>
                <w:rFonts w:eastAsia="Calibri"/>
                <w:sz w:val="20"/>
                <w:lang w:val="fr-CA"/>
              </w:rPr>
              <w:t xml:space="preserve">Mme Thibault dépose alors devant la Cour supérieure une requête pour la délivrance d’un bref de </w:t>
            </w:r>
            <w:r w:rsidRPr="00E007CB">
              <w:rPr>
                <w:rFonts w:eastAsia="Calibri"/>
                <w:i/>
                <w:sz w:val="20"/>
                <w:lang w:val="fr-CA"/>
              </w:rPr>
              <w:t>certiorari</w:t>
            </w:r>
            <w:r w:rsidRPr="00E007CB">
              <w:rPr>
                <w:rFonts w:eastAsia="Calibri"/>
                <w:sz w:val="20"/>
                <w:lang w:val="fr-CA"/>
              </w:rPr>
              <w:t>.  Elle soutient que le juge Auger a outrepassé sa compétence en la citant à procès, car, en tant que lieutenante-gouverneure, elle est la représentante de la reine d’Angleterre au Québec et, vu le principe « </w:t>
            </w:r>
            <w:r w:rsidRPr="00E007CB">
              <w:rPr>
                <w:rFonts w:eastAsia="Calibri"/>
                <w:i/>
                <w:sz w:val="20"/>
                <w:lang w:val="fr-CA"/>
              </w:rPr>
              <w:t>The King can do no wrong</w:t>
            </w:r>
            <w:r w:rsidRPr="00E007CB">
              <w:rPr>
                <w:rFonts w:eastAsia="Calibri"/>
                <w:sz w:val="20"/>
                <w:lang w:val="fr-CA"/>
              </w:rPr>
              <w:t> », elle n’est pas, à ce titre, assujettie à la justice criminelle.</w:t>
            </w:r>
          </w:p>
          <w:p w:rsidR="00BA75E9" w:rsidRPr="00E007CB" w:rsidRDefault="00BA75E9" w:rsidP="00370584">
            <w:pPr>
              <w:jc w:val="both"/>
              <w:rPr>
                <w:rFonts w:eastAsia="Calibri"/>
                <w:sz w:val="20"/>
                <w:lang w:val="fr-CA"/>
              </w:rPr>
            </w:pPr>
          </w:p>
          <w:p w:rsidR="00BA75E9" w:rsidRPr="00E007CB" w:rsidRDefault="00BA75E9" w:rsidP="00370584">
            <w:pPr>
              <w:jc w:val="both"/>
              <w:rPr>
                <w:rFonts w:eastAsia="Calibri"/>
                <w:sz w:val="20"/>
                <w:lang w:val="fr-CA"/>
              </w:rPr>
            </w:pPr>
            <w:r w:rsidRPr="00E007CB">
              <w:rPr>
                <w:rFonts w:eastAsia="Calibri"/>
                <w:sz w:val="20"/>
                <w:lang w:val="fr-CA"/>
              </w:rPr>
              <w:t xml:space="preserve">Le juge Grenier de la Cour supérieure conclut que Mme Thibault ne bénéficie pas d’une immunité absolue.  Plutôt, son immunité se rattache à l’exécution de ses fonctions.  Il juge que la portée de l’immunité relative dont jouissait Mme Thibault à l’époque pertinente est une question qui devrait être tranchée par le juge du procès, à la lumière de la preuve.  En conséquence, il réfère la requête pour la délivrance d’un bref de </w:t>
            </w:r>
            <w:r w:rsidRPr="00E007CB">
              <w:rPr>
                <w:rFonts w:eastAsia="Calibri"/>
                <w:i/>
                <w:sz w:val="20"/>
                <w:lang w:val="fr-CA"/>
              </w:rPr>
              <w:t>certiorari</w:t>
            </w:r>
            <w:r w:rsidRPr="00E007CB">
              <w:rPr>
                <w:rFonts w:eastAsia="Calibri"/>
                <w:sz w:val="20"/>
                <w:lang w:val="fr-CA"/>
              </w:rPr>
              <w:t xml:space="preserve"> à ce juge.  La Cour d’appel rejette l’appel de Mme Thibault.</w:t>
            </w:r>
          </w:p>
          <w:p w:rsidR="00BA75E9" w:rsidRPr="00E007CB" w:rsidRDefault="00BA75E9" w:rsidP="00370584">
            <w:pPr>
              <w:jc w:val="both"/>
              <w:rPr>
                <w:rFonts w:eastAsia="Calibri"/>
                <w:sz w:val="20"/>
                <w:lang w:val="fr-CA"/>
              </w:rPr>
            </w:pPr>
          </w:p>
        </w:tc>
      </w:tr>
      <w:tr w:rsidR="00BA75E9" w:rsidRPr="00370584" w:rsidTr="00370584">
        <w:tc>
          <w:tcPr>
            <w:tcW w:w="2427" w:type="pct"/>
          </w:tcPr>
          <w:p w:rsidR="00BA75E9" w:rsidRPr="00E007CB" w:rsidRDefault="00BA75E9" w:rsidP="00370584">
            <w:pPr>
              <w:jc w:val="both"/>
              <w:rPr>
                <w:rFonts w:eastAsia="Calibri"/>
                <w:sz w:val="20"/>
                <w:lang w:val="fr-CA"/>
              </w:rPr>
            </w:pPr>
            <w:r w:rsidRPr="00E007CB">
              <w:rPr>
                <w:rFonts w:eastAsia="Calibri"/>
                <w:sz w:val="20"/>
                <w:lang w:val="fr-CA"/>
              </w:rPr>
              <w:t>Le 27 août 2012</w:t>
            </w:r>
          </w:p>
          <w:p w:rsidR="00BA75E9" w:rsidRPr="00E007CB" w:rsidRDefault="00BA75E9" w:rsidP="00370584">
            <w:pPr>
              <w:jc w:val="both"/>
              <w:rPr>
                <w:rFonts w:eastAsia="Calibri"/>
                <w:sz w:val="20"/>
                <w:lang w:val="fr-CA"/>
              </w:rPr>
            </w:pPr>
            <w:r w:rsidRPr="00E007CB">
              <w:rPr>
                <w:rFonts w:eastAsia="Calibri"/>
                <w:sz w:val="20"/>
                <w:lang w:val="fr-CA"/>
              </w:rPr>
              <w:t>Cour supérieure du Québec</w:t>
            </w:r>
          </w:p>
          <w:p w:rsidR="00BA75E9" w:rsidRPr="00E007CB" w:rsidRDefault="00BA75E9" w:rsidP="00370584">
            <w:pPr>
              <w:jc w:val="both"/>
              <w:rPr>
                <w:rFonts w:eastAsia="Calibri"/>
                <w:sz w:val="20"/>
                <w:lang w:val="fr-CA"/>
              </w:rPr>
            </w:pPr>
            <w:r w:rsidRPr="00E007CB">
              <w:rPr>
                <w:rFonts w:eastAsia="Calibri"/>
                <w:sz w:val="20"/>
                <w:lang w:val="fr-CA"/>
              </w:rPr>
              <w:t>(Le juge Grenier)</w:t>
            </w:r>
          </w:p>
          <w:p w:rsidR="00BA75E9" w:rsidRPr="00E007CB" w:rsidRDefault="00BA75E9" w:rsidP="00370584">
            <w:pPr>
              <w:jc w:val="both"/>
              <w:rPr>
                <w:rFonts w:eastAsia="Calibri"/>
                <w:sz w:val="20"/>
              </w:rPr>
            </w:pP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lang w:val="fr-CA"/>
              </w:rPr>
            </w:pPr>
            <w:r w:rsidRPr="00E007CB">
              <w:rPr>
                <w:rFonts w:eastAsia="Calibri"/>
                <w:sz w:val="20"/>
                <w:lang w:val="fr-CA"/>
              </w:rPr>
              <w:t xml:space="preserve">Requête pour l’émission d’un bref de </w:t>
            </w:r>
            <w:r w:rsidRPr="00E007CB">
              <w:rPr>
                <w:rFonts w:eastAsia="Calibri"/>
                <w:i/>
                <w:sz w:val="20"/>
                <w:lang w:val="fr-CA"/>
              </w:rPr>
              <w:t>certiorari</w:t>
            </w:r>
            <w:r w:rsidRPr="00E007CB">
              <w:rPr>
                <w:rFonts w:eastAsia="Calibri"/>
                <w:sz w:val="20"/>
                <w:lang w:val="fr-CA"/>
              </w:rPr>
              <w:t xml:space="preserve"> référée au juge du procès</w:t>
            </w:r>
          </w:p>
          <w:p w:rsidR="00BA75E9" w:rsidRPr="00E007CB" w:rsidRDefault="00BA75E9" w:rsidP="00370584">
            <w:pPr>
              <w:jc w:val="both"/>
              <w:rPr>
                <w:rFonts w:eastAsia="Calibri"/>
                <w:sz w:val="20"/>
                <w:lang w:val="fr-CA"/>
              </w:rPr>
            </w:pPr>
          </w:p>
        </w:tc>
      </w:tr>
      <w:tr w:rsidR="00BA75E9" w:rsidRPr="00E007CB" w:rsidTr="00370584">
        <w:tc>
          <w:tcPr>
            <w:tcW w:w="2427" w:type="pct"/>
          </w:tcPr>
          <w:p w:rsidR="00BA75E9" w:rsidRPr="00E007CB" w:rsidRDefault="00BA75E9" w:rsidP="00370584">
            <w:pPr>
              <w:jc w:val="both"/>
              <w:rPr>
                <w:rFonts w:eastAsia="Calibri"/>
                <w:sz w:val="20"/>
                <w:lang w:val="fr-CA"/>
              </w:rPr>
            </w:pPr>
            <w:r w:rsidRPr="00E007CB">
              <w:rPr>
                <w:rFonts w:eastAsia="Calibri"/>
                <w:sz w:val="20"/>
                <w:lang w:val="fr-CA"/>
              </w:rPr>
              <w:t>Le 12 décembre 2012</w:t>
            </w:r>
          </w:p>
          <w:p w:rsidR="00BA75E9" w:rsidRPr="00E007CB" w:rsidRDefault="00BA75E9" w:rsidP="00370584">
            <w:pPr>
              <w:jc w:val="both"/>
              <w:rPr>
                <w:rFonts w:eastAsia="Calibri"/>
                <w:sz w:val="20"/>
                <w:lang w:val="fr-CA"/>
              </w:rPr>
            </w:pPr>
            <w:r w:rsidRPr="00E007CB">
              <w:rPr>
                <w:rFonts w:eastAsia="Calibri"/>
                <w:sz w:val="20"/>
                <w:lang w:val="fr-CA"/>
              </w:rPr>
              <w:t>Cour d’appel du Québec (Québec)</w:t>
            </w:r>
          </w:p>
          <w:p w:rsidR="00BA75E9" w:rsidRPr="00E007CB" w:rsidRDefault="00BA75E9" w:rsidP="00370584">
            <w:pPr>
              <w:jc w:val="both"/>
              <w:rPr>
                <w:rFonts w:eastAsia="Calibri"/>
                <w:sz w:val="20"/>
                <w:lang w:val="fr-CA"/>
              </w:rPr>
            </w:pPr>
            <w:r w:rsidRPr="00E007CB">
              <w:rPr>
                <w:rFonts w:eastAsia="Calibri"/>
                <w:sz w:val="20"/>
                <w:lang w:val="fr-CA"/>
              </w:rPr>
              <w:t>(Les juges Thibault, Dutil et Fournier)</w:t>
            </w:r>
          </w:p>
          <w:p w:rsidR="00BA75E9" w:rsidRPr="00E007CB" w:rsidRDefault="00BA75E9" w:rsidP="00370584">
            <w:pPr>
              <w:jc w:val="both"/>
              <w:rPr>
                <w:rFonts w:eastAsia="Calibri"/>
                <w:sz w:val="20"/>
                <w:lang w:val="fr-CA"/>
              </w:rPr>
            </w:pPr>
            <w:r w:rsidRPr="00E007CB">
              <w:rPr>
                <w:rFonts w:eastAsia="Calibri"/>
                <w:sz w:val="20"/>
                <w:lang w:val="fr-CA"/>
              </w:rPr>
              <w:t>200-10-002859-127; 2012 QCCA 2212</w:t>
            </w:r>
          </w:p>
          <w:p w:rsidR="00BA75E9" w:rsidRPr="00E007CB" w:rsidRDefault="00BA75E9" w:rsidP="00370584">
            <w:pPr>
              <w:jc w:val="both"/>
              <w:rPr>
                <w:rFonts w:eastAsia="Calibri"/>
                <w:sz w:val="20"/>
              </w:rPr>
            </w:pP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lang w:val="fr-CA"/>
              </w:rPr>
            </w:pPr>
            <w:r w:rsidRPr="00E007CB">
              <w:rPr>
                <w:rFonts w:eastAsia="Calibri"/>
                <w:sz w:val="20"/>
                <w:lang w:val="fr-CA"/>
              </w:rPr>
              <w:t>Appel rejeté</w:t>
            </w:r>
          </w:p>
          <w:p w:rsidR="00BA75E9" w:rsidRPr="00E007CB" w:rsidRDefault="00BA75E9" w:rsidP="00370584">
            <w:pPr>
              <w:jc w:val="both"/>
              <w:rPr>
                <w:rFonts w:eastAsia="Calibri"/>
                <w:sz w:val="20"/>
                <w:lang w:val="fr-CA"/>
              </w:rPr>
            </w:pPr>
          </w:p>
        </w:tc>
      </w:tr>
      <w:tr w:rsidR="00BA75E9" w:rsidRPr="00E007CB" w:rsidTr="00370584">
        <w:tc>
          <w:tcPr>
            <w:tcW w:w="2427" w:type="pct"/>
          </w:tcPr>
          <w:p w:rsidR="00BA75E9" w:rsidRPr="00E007CB" w:rsidRDefault="00BA75E9" w:rsidP="00370584">
            <w:pPr>
              <w:jc w:val="both"/>
              <w:rPr>
                <w:rFonts w:eastAsia="Calibri"/>
                <w:sz w:val="20"/>
                <w:lang w:val="fr-CA"/>
              </w:rPr>
            </w:pPr>
            <w:r w:rsidRPr="00E007CB">
              <w:rPr>
                <w:rFonts w:eastAsia="Calibri"/>
                <w:sz w:val="20"/>
                <w:lang w:val="fr-CA"/>
              </w:rPr>
              <w:t>Le 11 février 2013</w:t>
            </w:r>
          </w:p>
          <w:p w:rsidR="00BA75E9" w:rsidRPr="00E007CB" w:rsidRDefault="00BA75E9" w:rsidP="00370584">
            <w:pPr>
              <w:jc w:val="both"/>
              <w:rPr>
                <w:rFonts w:eastAsia="Calibri"/>
                <w:sz w:val="20"/>
                <w:lang w:val="fr-CA"/>
              </w:rPr>
            </w:pPr>
            <w:r w:rsidRPr="00E007CB">
              <w:rPr>
                <w:rFonts w:eastAsia="Calibri"/>
                <w:sz w:val="20"/>
                <w:lang w:val="fr-CA"/>
              </w:rPr>
              <w:t>Cour suprême du Canada</w:t>
            </w:r>
          </w:p>
        </w:tc>
        <w:tc>
          <w:tcPr>
            <w:tcW w:w="243" w:type="pct"/>
          </w:tcPr>
          <w:p w:rsidR="00BA75E9" w:rsidRPr="00E007CB" w:rsidRDefault="00BA75E9" w:rsidP="00370584">
            <w:pPr>
              <w:jc w:val="both"/>
              <w:rPr>
                <w:rFonts w:eastAsia="Calibri"/>
                <w:sz w:val="20"/>
                <w:lang w:val="fr-CA"/>
              </w:rPr>
            </w:pPr>
          </w:p>
        </w:tc>
        <w:tc>
          <w:tcPr>
            <w:tcW w:w="2330" w:type="pct"/>
          </w:tcPr>
          <w:p w:rsidR="00BA75E9" w:rsidRPr="00E007CB" w:rsidRDefault="00BA75E9" w:rsidP="00370584">
            <w:pPr>
              <w:jc w:val="both"/>
              <w:rPr>
                <w:rFonts w:eastAsia="Calibri"/>
                <w:sz w:val="20"/>
                <w:lang w:val="fr-CA"/>
              </w:rPr>
            </w:pPr>
            <w:r w:rsidRPr="00E007CB">
              <w:rPr>
                <w:rFonts w:eastAsia="Calibri"/>
                <w:sz w:val="20"/>
                <w:lang w:val="fr-CA"/>
              </w:rPr>
              <w:t>Demande d'autorisation d'appel déposée</w:t>
            </w:r>
          </w:p>
        </w:tc>
      </w:tr>
    </w:tbl>
    <w:p w:rsidR="00BA75E9" w:rsidRDefault="00BA75E9" w:rsidP="00BA75E9">
      <w:pPr>
        <w:rPr>
          <w:sz w:val="20"/>
          <w:szCs w:val="20"/>
        </w:rPr>
      </w:pPr>
    </w:p>
    <w:p w:rsidR="00BA75E9" w:rsidRDefault="00B35B95" w:rsidP="00BA75E9">
      <w:pPr>
        <w:rPr>
          <w:sz w:val="20"/>
          <w:szCs w:val="20"/>
        </w:rPr>
      </w:pPr>
      <w:r w:rsidRPr="00B35B95">
        <w:rPr>
          <w:sz w:val="20"/>
          <w:szCs w:val="20"/>
          <w:lang w:val="fr-CA"/>
        </w:rPr>
        <w:pict>
          <v:rect id="_x0000_i1063" style="width:2in;height:1pt" o:hrpct="0" o:hralign="center" o:hrstd="t" o:hrnoshade="t" o:hr="t" fillcolor="black [3213]" stroked="f"/>
        </w:pict>
      </w:r>
    </w:p>
    <w:p w:rsidR="00BA75E9" w:rsidRDefault="00BA75E9" w:rsidP="00BA75E9">
      <w:pPr>
        <w:rPr>
          <w:sz w:val="20"/>
          <w:szCs w:val="20"/>
        </w:rPr>
      </w:pPr>
    </w:p>
    <w:p w:rsidR="00BA75E9" w:rsidRDefault="00BA75E9" w:rsidP="00BA75E9">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A75E9" w:rsidRPr="00370584" w:rsidTr="00370584">
        <w:trPr>
          <w:cantSplit/>
        </w:trPr>
        <w:tc>
          <w:tcPr>
            <w:tcW w:w="1458" w:type="dxa"/>
          </w:tcPr>
          <w:p w:rsidR="00BA75E9" w:rsidRPr="00A73D2C" w:rsidRDefault="00BA75E9" w:rsidP="00370584">
            <w:pPr>
              <w:rPr>
                <w:sz w:val="20"/>
                <w:szCs w:val="20"/>
              </w:rPr>
            </w:pPr>
            <w:r w:rsidRPr="00A73D2C">
              <w:rPr>
                <w:rStyle w:val="SCCFileNumberChar"/>
                <w:sz w:val="20"/>
                <w:szCs w:val="20"/>
              </w:rPr>
              <w:lastRenderedPageBreak/>
              <w:t>35225</w:t>
            </w:r>
          </w:p>
          <w:p w:rsidR="00BA75E9" w:rsidRPr="00A73D2C" w:rsidRDefault="00BA75E9" w:rsidP="00370584">
            <w:pPr>
              <w:rPr>
                <w:b/>
                <w:sz w:val="20"/>
                <w:szCs w:val="20"/>
                <w:lang w:val="fr-CA"/>
              </w:rPr>
            </w:pPr>
          </w:p>
        </w:tc>
        <w:tc>
          <w:tcPr>
            <w:tcW w:w="8118" w:type="dxa"/>
          </w:tcPr>
          <w:p w:rsidR="00BA75E9" w:rsidRPr="00A73D2C" w:rsidRDefault="00BA75E9" w:rsidP="00370584">
            <w:pPr>
              <w:rPr>
                <w:sz w:val="20"/>
                <w:szCs w:val="20"/>
                <w:lang w:val="fr-CA"/>
              </w:rPr>
            </w:pPr>
            <w:r w:rsidRPr="00A73D2C">
              <w:rPr>
                <w:rStyle w:val="SCCLsocChar"/>
                <w:sz w:val="20"/>
                <w:szCs w:val="20"/>
              </w:rPr>
              <w:t>Robert Mitchell c. Sa Majesté la Reine</w:t>
            </w:r>
            <w:r w:rsidRPr="00A73D2C">
              <w:rPr>
                <w:sz w:val="20"/>
                <w:szCs w:val="20"/>
                <w:lang w:val="fr-CA"/>
              </w:rPr>
              <w:t xml:space="preserve"> (Qc) (Criminelle) (Autorisation)</w:t>
            </w:r>
          </w:p>
          <w:p w:rsidR="00BA75E9" w:rsidRPr="00A73D2C" w:rsidRDefault="00BA75E9" w:rsidP="00370584">
            <w:pPr>
              <w:rPr>
                <w:sz w:val="20"/>
                <w:szCs w:val="20"/>
                <w:lang w:val="fr-CA"/>
              </w:rPr>
            </w:pPr>
          </w:p>
        </w:tc>
      </w:tr>
      <w:tr w:rsidR="00BA75E9" w:rsidRPr="00370584" w:rsidTr="00370584">
        <w:trPr>
          <w:cantSplit/>
        </w:trPr>
        <w:tc>
          <w:tcPr>
            <w:tcW w:w="1458" w:type="dxa"/>
          </w:tcPr>
          <w:p w:rsidR="00BA75E9" w:rsidRPr="00A73D2C" w:rsidRDefault="00BA75E9" w:rsidP="00370584">
            <w:pPr>
              <w:rPr>
                <w:sz w:val="20"/>
                <w:szCs w:val="20"/>
              </w:rPr>
            </w:pPr>
            <w:r w:rsidRPr="00A73D2C">
              <w:rPr>
                <w:sz w:val="20"/>
                <w:szCs w:val="20"/>
              </w:rPr>
              <w:t>Coram :</w:t>
            </w:r>
          </w:p>
        </w:tc>
        <w:tc>
          <w:tcPr>
            <w:tcW w:w="8118" w:type="dxa"/>
          </w:tcPr>
          <w:p w:rsidR="00BA75E9" w:rsidRPr="00A73D2C" w:rsidRDefault="00BA75E9" w:rsidP="00370584">
            <w:pPr>
              <w:rPr>
                <w:sz w:val="20"/>
                <w:szCs w:val="20"/>
                <w:lang w:val="fr-CA"/>
              </w:rPr>
            </w:pPr>
            <w:r w:rsidRPr="00A73D2C">
              <w:rPr>
                <w:rStyle w:val="SCCCoramChar"/>
                <w:sz w:val="20"/>
                <w:szCs w:val="20"/>
              </w:rPr>
              <w:t>Les juges LeBel, Karakatsanis et Wagner</w:t>
            </w:r>
          </w:p>
          <w:p w:rsidR="00BA75E9" w:rsidRPr="00A73D2C" w:rsidRDefault="00BA75E9" w:rsidP="00370584">
            <w:pPr>
              <w:rPr>
                <w:sz w:val="20"/>
                <w:szCs w:val="20"/>
                <w:u w:val="single"/>
                <w:lang w:val="fr-CA"/>
              </w:rPr>
            </w:pPr>
          </w:p>
        </w:tc>
      </w:tr>
      <w:tr w:rsidR="00BA75E9" w:rsidRPr="00A73D2C" w:rsidTr="00370584">
        <w:trPr>
          <w:cantSplit/>
        </w:trPr>
        <w:tc>
          <w:tcPr>
            <w:tcW w:w="9576" w:type="dxa"/>
            <w:gridSpan w:val="2"/>
          </w:tcPr>
          <w:p w:rsidR="00BA75E9" w:rsidRPr="00A73D2C" w:rsidRDefault="00BA75E9" w:rsidP="00370584">
            <w:pPr>
              <w:pStyle w:val="SCCShortJudgment"/>
              <w:rPr>
                <w:szCs w:val="20"/>
                <w:lang w:val="fr-CA"/>
              </w:rPr>
            </w:pPr>
            <w:r w:rsidRPr="00A73D2C">
              <w:rPr>
                <w:szCs w:val="20"/>
                <w:lang w:val="fr-CA"/>
              </w:rPr>
              <w:t>La demande d’autorisation d’appel de l’arrêt de la Cour d’appel du Québec (Québec), numéro 200-10-002868-128, 2012 QCCA 2221, daté du 13 décembre 2012, est rejetée sans dépens.</w:t>
            </w:r>
          </w:p>
          <w:p w:rsidR="00BA75E9" w:rsidRPr="00A73D2C" w:rsidRDefault="00BA75E9" w:rsidP="00370584">
            <w:pPr>
              <w:pStyle w:val="SCCShortJudgment"/>
              <w:ind w:firstLine="0"/>
              <w:rPr>
                <w:szCs w:val="20"/>
                <w:lang w:val="fr-CA"/>
              </w:rPr>
            </w:pPr>
          </w:p>
          <w:p w:rsidR="00BA75E9" w:rsidRPr="00A73D2C" w:rsidRDefault="00BA75E9" w:rsidP="00370584">
            <w:pPr>
              <w:pStyle w:val="SCCShortJudgment"/>
              <w:rPr>
                <w:szCs w:val="20"/>
              </w:rPr>
            </w:pPr>
            <w:r w:rsidRPr="00A73D2C">
              <w:rPr>
                <w:szCs w:val="20"/>
              </w:rPr>
              <w:t>The application for leave to appeal from the judgment of the Court of Appeal of Quebec (Québec), Number 200-10-002868-128, 2012 QCCA 2221, dated December 13, 2012, is dismissed without costs.</w:t>
            </w:r>
          </w:p>
        </w:tc>
      </w:tr>
    </w:tbl>
    <w:p w:rsidR="00BA75E9" w:rsidRDefault="00BA75E9" w:rsidP="00BA75E9">
      <w:pPr>
        <w:rPr>
          <w:sz w:val="20"/>
          <w:szCs w:val="20"/>
        </w:rPr>
      </w:pPr>
    </w:p>
    <w:p w:rsidR="00BA75E9" w:rsidRPr="001B157C" w:rsidRDefault="00BA75E9" w:rsidP="00BA75E9">
      <w:pPr>
        <w:rPr>
          <w:sz w:val="20"/>
          <w:szCs w:val="20"/>
          <w:u w:val="single"/>
        </w:rPr>
      </w:pPr>
      <w:r w:rsidRPr="001B157C">
        <w:rPr>
          <w:sz w:val="20"/>
          <w:szCs w:val="20"/>
          <w:u w:val="single"/>
        </w:rPr>
        <w:t>CASE SUMMARY</w:t>
      </w:r>
    </w:p>
    <w:p w:rsidR="00BA75E9" w:rsidRDefault="00BA75E9" w:rsidP="00BA75E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A75E9" w:rsidRPr="00E007CB" w:rsidTr="00370584">
        <w:tc>
          <w:tcPr>
            <w:tcW w:w="5000" w:type="pct"/>
            <w:gridSpan w:val="3"/>
          </w:tcPr>
          <w:p w:rsidR="00BA75E9" w:rsidRPr="00E007CB" w:rsidRDefault="00BA75E9" w:rsidP="00370584">
            <w:pPr>
              <w:jc w:val="both"/>
              <w:rPr>
                <w:rFonts w:eastAsia="Calibri"/>
                <w:sz w:val="20"/>
              </w:rPr>
            </w:pPr>
            <w:r w:rsidRPr="00E007CB">
              <w:rPr>
                <w:rFonts w:eastAsia="Calibri"/>
                <w:sz w:val="20"/>
              </w:rPr>
              <w:t>Criminal law – Appeal – Leave to appeal – Whether applicant raising issue of law – Whether issue is of public importance.</w:t>
            </w:r>
          </w:p>
          <w:p w:rsidR="00BA75E9" w:rsidRPr="00E007CB" w:rsidRDefault="00BA75E9" w:rsidP="00370584">
            <w:pPr>
              <w:jc w:val="both"/>
              <w:rPr>
                <w:rFonts w:eastAsia="Calibri"/>
                <w:sz w:val="20"/>
              </w:rPr>
            </w:pPr>
          </w:p>
        </w:tc>
      </w:tr>
      <w:tr w:rsidR="00BA75E9" w:rsidRPr="00E007CB" w:rsidTr="00370584">
        <w:tc>
          <w:tcPr>
            <w:tcW w:w="5000" w:type="pct"/>
            <w:gridSpan w:val="3"/>
          </w:tcPr>
          <w:p w:rsidR="00BA75E9" w:rsidRPr="00E007CB" w:rsidRDefault="00BA75E9" w:rsidP="00370584">
            <w:pPr>
              <w:jc w:val="both"/>
              <w:rPr>
                <w:rFonts w:eastAsia="Calibri"/>
                <w:sz w:val="20"/>
              </w:rPr>
            </w:pPr>
            <w:r w:rsidRPr="00E007CB">
              <w:rPr>
                <w:rFonts w:eastAsia="Calibri"/>
                <w:sz w:val="20"/>
              </w:rPr>
              <w:t>On December 2, 2011, the applicant stood trial in the district of Québec for knowingly conveying to several persons a threat to cause death.  During the trial, the applicant brought a motion for non</w:t>
            </w:r>
            <w:r w:rsidRPr="00E007CB">
              <w:rPr>
                <w:rFonts w:eastAsia="Calibri"/>
                <w:sz w:val="20"/>
              </w:rPr>
              <w:noBreakHyphen/>
              <w:t>suit before the judge on the ground that his trial was not being held in the district where the threat had been made, namely St</w:t>
            </w:r>
            <w:r w:rsidRPr="00E007CB">
              <w:rPr>
                <w:rFonts w:eastAsia="Calibri"/>
                <w:sz w:val="20"/>
              </w:rPr>
              <w:noBreakHyphen/>
              <w:t>Hyacinthe.  The judge dismissed the motion.</w:t>
            </w:r>
          </w:p>
          <w:p w:rsidR="00BA75E9" w:rsidRPr="00E007CB" w:rsidRDefault="00BA75E9" w:rsidP="00370584">
            <w:pPr>
              <w:jc w:val="both"/>
              <w:rPr>
                <w:rFonts w:eastAsia="Calibri"/>
                <w:sz w:val="20"/>
              </w:rPr>
            </w:pPr>
          </w:p>
          <w:p w:rsidR="00BA75E9" w:rsidRPr="00E007CB" w:rsidRDefault="00BA75E9" w:rsidP="00370584">
            <w:pPr>
              <w:jc w:val="both"/>
              <w:rPr>
                <w:rFonts w:eastAsia="Calibri"/>
                <w:sz w:val="20"/>
              </w:rPr>
            </w:pPr>
            <w:r w:rsidRPr="00E007CB">
              <w:rPr>
                <w:rFonts w:eastAsia="Calibri"/>
                <w:sz w:val="20"/>
              </w:rPr>
              <w:t>The applicant was convicted of the offences charged.  He then tried to appeal by filing his proceeding in the Superior Court, but in the district of St</w:t>
            </w:r>
            <w:r w:rsidRPr="00E007CB">
              <w:rPr>
                <w:rFonts w:eastAsia="Calibri"/>
                <w:sz w:val="20"/>
              </w:rPr>
              <w:noBreakHyphen/>
              <w:t>Hyacinthe.  The judge hearing the motion for leave to appeal refused to rule on the merits because the proceeding had been brought in the wrong judicial district.  The applicant tried to appeal that judgment to the Court of Appeal, which dismissed the motion for leave.</w:t>
            </w:r>
          </w:p>
          <w:p w:rsidR="00BA75E9" w:rsidRPr="00E007CB" w:rsidRDefault="00BA75E9" w:rsidP="00370584">
            <w:pPr>
              <w:jc w:val="both"/>
              <w:rPr>
                <w:rFonts w:eastAsia="Calibri"/>
                <w:sz w:val="20"/>
              </w:rPr>
            </w:pPr>
          </w:p>
          <w:p w:rsidR="00BA75E9" w:rsidRPr="00E007CB" w:rsidRDefault="00BA75E9" w:rsidP="00370584">
            <w:pPr>
              <w:jc w:val="both"/>
              <w:rPr>
                <w:rFonts w:eastAsia="Calibri"/>
                <w:sz w:val="20"/>
              </w:rPr>
            </w:pPr>
            <w:r w:rsidRPr="00E007CB">
              <w:rPr>
                <w:rFonts w:eastAsia="Calibri"/>
                <w:sz w:val="20"/>
              </w:rPr>
              <w:t>The applicant then brought a motion for excess of jurisdiction in the Superior Court, district of Québec, seeking to have the judgment convicting him set aside on the ground that the trial should have been held in the district of St</w:t>
            </w:r>
            <w:r w:rsidRPr="00E007CB">
              <w:rPr>
                <w:rFonts w:eastAsia="Calibri"/>
                <w:sz w:val="20"/>
              </w:rPr>
              <w:noBreakHyphen/>
              <w:t>Hyacinthe.  The motion was dismissed.  The applicant brought a motion for leave to appeal that judgment before a single judge of the Quebec Court of appeal.  The motion was dismissed.  He brought another motion for leave to appeal before three judges of the Court of Appeal, who dismissed that motion as well.</w:t>
            </w:r>
          </w:p>
          <w:p w:rsidR="00BA75E9" w:rsidRPr="00E007CB" w:rsidRDefault="00BA75E9" w:rsidP="00370584">
            <w:pPr>
              <w:jc w:val="both"/>
              <w:rPr>
                <w:rFonts w:eastAsia="Calibri"/>
                <w:sz w:val="20"/>
              </w:rPr>
            </w:pPr>
          </w:p>
        </w:tc>
      </w:tr>
      <w:tr w:rsidR="00BA75E9" w:rsidRPr="00E007CB" w:rsidTr="00370584">
        <w:tc>
          <w:tcPr>
            <w:tcW w:w="2427" w:type="pct"/>
          </w:tcPr>
          <w:p w:rsidR="00BA75E9" w:rsidRPr="00E007CB" w:rsidRDefault="00BA75E9" w:rsidP="00370584">
            <w:pPr>
              <w:jc w:val="both"/>
              <w:rPr>
                <w:rFonts w:eastAsia="Calibri"/>
                <w:sz w:val="20"/>
              </w:rPr>
            </w:pPr>
            <w:r w:rsidRPr="00E007CB">
              <w:rPr>
                <w:rFonts w:eastAsia="Calibri"/>
                <w:sz w:val="20"/>
              </w:rPr>
              <w:t>September 27, 2012</w:t>
            </w:r>
          </w:p>
          <w:p w:rsidR="00BA75E9" w:rsidRPr="00E007CB" w:rsidRDefault="00BA75E9" w:rsidP="00370584">
            <w:pPr>
              <w:jc w:val="both"/>
              <w:rPr>
                <w:rFonts w:eastAsia="Calibri"/>
                <w:sz w:val="20"/>
              </w:rPr>
            </w:pPr>
            <w:r w:rsidRPr="00E007CB">
              <w:rPr>
                <w:rFonts w:eastAsia="Calibri"/>
                <w:sz w:val="20"/>
              </w:rPr>
              <w:t>Quebec Superior Court</w:t>
            </w:r>
          </w:p>
          <w:p w:rsidR="00BA75E9" w:rsidRPr="00E007CB" w:rsidRDefault="00BA75E9" w:rsidP="00370584">
            <w:pPr>
              <w:jc w:val="both"/>
              <w:rPr>
                <w:rFonts w:eastAsia="Calibri"/>
                <w:sz w:val="20"/>
              </w:rPr>
            </w:pPr>
            <w:r w:rsidRPr="00E007CB">
              <w:rPr>
                <w:rFonts w:eastAsia="Calibri"/>
                <w:sz w:val="20"/>
              </w:rPr>
              <w:t>(Moreau J.)</w:t>
            </w:r>
          </w:p>
          <w:p w:rsidR="00BA75E9" w:rsidRPr="00E007CB" w:rsidRDefault="00BA75E9" w:rsidP="00370584">
            <w:pPr>
              <w:jc w:val="both"/>
              <w:rPr>
                <w:rFonts w:eastAsia="Calibri"/>
                <w:sz w:val="20"/>
              </w:rPr>
            </w:pPr>
            <w:r w:rsidRPr="00E007CB">
              <w:rPr>
                <w:rFonts w:eastAsia="Calibri"/>
                <w:sz w:val="20"/>
              </w:rPr>
              <w:t>2012 QCCS 5997</w:t>
            </w:r>
          </w:p>
          <w:p w:rsidR="00BA75E9" w:rsidRPr="00E007CB" w:rsidRDefault="00BA75E9" w:rsidP="00370584">
            <w:pPr>
              <w:jc w:val="both"/>
              <w:rPr>
                <w:rFonts w:eastAsia="Calibri"/>
                <w:sz w:val="20"/>
              </w:rPr>
            </w:pP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rPr>
            </w:pPr>
            <w:r w:rsidRPr="00E007CB">
              <w:rPr>
                <w:rFonts w:eastAsia="Calibri"/>
                <w:sz w:val="20"/>
              </w:rPr>
              <w:t>Applicant’s motion for excess of jurisdiction dismissed</w:t>
            </w:r>
          </w:p>
          <w:p w:rsidR="00BA75E9" w:rsidRPr="00E007CB" w:rsidRDefault="00BA75E9" w:rsidP="00370584">
            <w:pPr>
              <w:jc w:val="both"/>
              <w:rPr>
                <w:rFonts w:eastAsia="Calibri"/>
                <w:sz w:val="20"/>
              </w:rPr>
            </w:pPr>
          </w:p>
        </w:tc>
      </w:tr>
      <w:tr w:rsidR="00BA75E9" w:rsidRPr="00E007CB" w:rsidTr="00370584">
        <w:tc>
          <w:tcPr>
            <w:tcW w:w="2427" w:type="pct"/>
          </w:tcPr>
          <w:p w:rsidR="00BA75E9" w:rsidRPr="00E007CB" w:rsidRDefault="00BA75E9" w:rsidP="00370584">
            <w:pPr>
              <w:jc w:val="both"/>
              <w:rPr>
                <w:rFonts w:eastAsia="Calibri"/>
                <w:sz w:val="20"/>
              </w:rPr>
            </w:pPr>
            <w:r w:rsidRPr="00E007CB">
              <w:rPr>
                <w:rFonts w:eastAsia="Calibri"/>
                <w:sz w:val="20"/>
              </w:rPr>
              <w:t>November 13, 2012</w:t>
            </w:r>
          </w:p>
          <w:p w:rsidR="00BA75E9" w:rsidRPr="00E007CB" w:rsidRDefault="00BA75E9" w:rsidP="00370584">
            <w:pPr>
              <w:jc w:val="both"/>
              <w:rPr>
                <w:rFonts w:eastAsia="Calibri"/>
                <w:sz w:val="20"/>
              </w:rPr>
            </w:pPr>
            <w:r w:rsidRPr="00E007CB">
              <w:rPr>
                <w:rFonts w:eastAsia="Calibri"/>
                <w:sz w:val="20"/>
              </w:rPr>
              <w:t>Quebec Court of Appeal (Québec)</w:t>
            </w:r>
          </w:p>
          <w:p w:rsidR="00BA75E9" w:rsidRPr="00E007CB" w:rsidRDefault="00BA75E9" w:rsidP="00370584">
            <w:pPr>
              <w:jc w:val="both"/>
              <w:rPr>
                <w:rFonts w:eastAsia="Calibri"/>
                <w:sz w:val="20"/>
              </w:rPr>
            </w:pPr>
            <w:r w:rsidRPr="00E007CB">
              <w:rPr>
                <w:rFonts w:eastAsia="Calibri"/>
                <w:sz w:val="20"/>
              </w:rPr>
              <w:t>(Gagnon J.A.)</w:t>
            </w:r>
          </w:p>
          <w:p w:rsidR="00BA75E9" w:rsidRPr="00E007CB" w:rsidRDefault="00BA75E9" w:rsidP="00370584">
            <w:pPr>
              <w:jc w:val="both"/>
              <w:rPr>
                <w:rFonts w:eastAsia="Calibri"/>
                <w:sz w:val="20"/>
              </w:rPr>
            </w:pPr>
            <w:r w:rsidRPr="00E007CB">
              <w:rPr>
                <w:rFonts w:eastAsia="Calibri"/>
                <w:sz w:val="20"/>
              </w:rPr>
              <w:t>2012 QCCA 2041</w:t>
            </w:r>
          </w:p>
          <w:p w:rsidR="00BA75E9" w:rsidRPr="00E007CB" w:rsidRDefault="00BA75E9" w:rsidP="00370584">
            <w:pPr>
              <w:jc w:val="both"/>
              <w:rPr>
                <w:rFonts w:eastAsia="Calibri"/>
                <w:sz w:val="20"/>
              </w:rPr>
            </w:pP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rPr>
            </w:pPr>
            <w:r w:rsidRPr="00E007CB">
              <w:rPr>
                <w:rFonts w:eastAsia="Calibri"/>
                <w:sz w:val="20"/>
              </w:rPr>
              <w:t>Applicant’s motion for leave to appeal dismissed</w:t>
            </w:r>
          </w:p>
        </w:tc>
      </w:tr>
      <w:tr w:rsidR="00BA75E9" w:rsidRPr="00E007CB" w:rsidTr="00370584">
        <w:tc>
          <w:tcPr>
            <w:tcW w:w="2427" w:type="pct"/>
          </w:tcPr>
          <w:p w:rsidR="00BA75E9" w:rsidRPr="00E007CB" w:rsidRDefault="00BA75E9" w:rsidP="00370584">
            <w:pPr>
              <w:jc w:val="both"/>
              <w:rPr>
                <w:rFonts w:eastAsia="Calibri"/>
                <w:sz w:val="20"/>
              </w:rPr>
            </w:pPr>
            <w:r w:rsidRPr="00E007CB">
              <w:rPr>
                <w:rFonts w:eastAsia="Calibri"/>
                <w:sz w:val="20"/>
              </w:rPr>
              <w:t>December 13, 2012</w:t>
            </w:r>
          </w:p>
          <w:p w:rsidR="00BA75E9" w:rsidRPr="00E007CB" w:rsidRDefault="00BA75E9" w:rsidP="00370584">
            <w:pPr>
              <w:jc w:val="both"/>
              <w:rPr>
                <w:rFonts w:eastAsia="Calibri"/>
                <w:sz w:val="20"/>
              </w:rPr>
            </w:pPr>
            <w:r w:rsidRPr="00E007CB">
              <w:rPr>
                <w:rFonts w:eastAsia="Calibri"/>
                <w:sz w:val="20"/>
              </w:rPr>
              <w:t>Quebec Court of Appeal (Québec)</w:t>
            </w:r>
          </w:p>
          <w:p w:rsidR="00BA75E9" w:rsidRPr="00E007CB" w:rsidRDefault="00BA75E9" w:rsidP="00370584">
            <w:pPr>
              <w:jc w:val="both"/>
              <w:rPr>
                <w:rFonts w:eastAsia="Calibri"/>
                <w:sz w:val="20"/>
              </w:rPr>
            </w:pPr>
            <w:r w:rsidRPr="00E007CB">
              <w:rPr>
                <w:rFonts w:eastAsia="Calibri"/>
                <w:sz w:val="20"/>
              </w:rPr>
              <w:t>(Thibault, Dutil and Vézina JJ.A.)</w:t>
            </w:r>
          </w:p>
          <w:p w:rsidR="00BA75E9" w:rsidRPr="00E007CB" w:rsidRDefault="00BA75E9" w:rsidP="00370584">
            <w:pPr>
              <w:jc w:val="both"/>
              <w:rPr>
                <w:rFonts w:eastAsia="Calibri"/>
                <w:sz w:val="20"/>
              </w:rPr>
            </w:pPr>
            <w:r w:rsidRPr="00E007CB">
              <w:rPr>
                <w:rFonts w:eastAsia="Calibri"/>
                <w:sz w:val="20"/>
              </w:rPr>
              <w:t>2012 QCCA 2221</w:t>
            </w:r>
          </w:p>
          <w:p w:rsidR="00BA75E9" w:rsidRPr="00E007CB" w:rsidRDefault="00BA75E9" w:rsidP="00370584">
            <w:pPr>
              <w:jc w:val="both"/>
              <w:rPr>
                <w:rFonts w:eastAsia="Calibri"/>
                <w:sz w:val="20"/>
              </w:rPr>
            </w:pP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rPr>
            </w:pPr>
            <w:r w:rsidRPr="00E007CB">
              <w:rPr>
                <w:rFonts w:eastAsia="Calibri"/>
                <w:sz w:val="20"/>
              </w:rPr>
              <w:t>Applicant’s motion for leave to appeal dismissed</w:t>
            </w:r>
          </w:p>
          <w:p w:rsidR="00BA75E9" w:rsidRPr="00E007CB" w:rsidRDefault="00BA75E9" w:rsidP="00370584">
            <w:pPr>
              <w:jc w:val="both"/>
              <w:rPr>
                <w:rFonts w:eastAsia="Calibri"/>
                <w:sz w:val="20"/>
              </w:rPr>
            </w:pPr>
          </w:p>
        </w:tc>
      </w:tr>
      <w:tr w:rsidR="00BA75E9" w:rsidRPr="00E007CB" w:rsidTr="00370584">
        <w:tc>
          <w:tcPr>
            <w:tcW w:w="2427" w:type="pct"/>
          </w:tcPr>
          <w:p w:rsidR="00BA75E9" w:rsidRPr="00E007CB" w:rsidRDefault="00BA75E9" w:rsidP="00370584">
            <w:pPr>
              <w:jc w:val="both"/>
              <w:rPr>
                <w:rFonts w:eastAsia="Calibri"/>
                <w:sz w:val="20"/>
              </w:rPr>
            </w:pPr>
            <w:r w:rsidRPr="00E007CB">
              <w:rPr>
                <w:rFonts w:eastAsia="Calibri"/>
                <w:sz w:val="20"/>
              </w:rPr>
              <w:t>February 11, 2013</w:t>
            </w:r>
          </w:p>
          <w:p w:rsidR="00BA75E9" w:rsidRPr="00E007CB" w:rsidRDefault="00BA75E9" w:rsidP="00370584">
            <w:pPr>
              <w:jc w:val="both"/>
              <w:rPr>
                <w:rFonts w:eastAsia="Calibri"/>
                <w:sz w:val="20"/>
              </w:rPr>
            </w:pPr>
            <w:r w:rsidRPr="00E007CB">
              <w:rPr>
                <w:rFonts w:eastAsia="Calibri"/>
                <w:sz w:val="20"/>
              </w:rPr>
              <w:t>Supreme Court of Canada</w:t>
            </w: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rPr>
            </w:pPr>
            <w:r w:rsidRPr="00E007CB">
              <w:rPr>
                <w:rFonts w:eastAsia="Calibri"/>
                <w:sz w:val="20"/>
              </w:rPr>
              <w:t>Application for leave to appeal filed</w:t>
            </w:r>
          </w:p>
          <w:p w:rsidR="00BA75E9" w:rsidRPr="00E007CB" w:rsidRDefault="00BA75E9" w:rsidP="00370584">
            <w:pPr>
              <w:jc w:val="both"/>
              <w:rPr>
                <w:rFonts w:eastAsia="Calibri"/>
                <w:sz w:val="20"/>
              </w:rPr>
            </w:pPr>
          </w:p>
        </w:tc>
      </w:tr>
    </w:tbl>
    <w:p w:rsidR="00BA75E9" w:rsidRDefault="00BA75E9" w:rsidP="00BA75E9">
      <w:pPr>
        <w:rPr>
          <w:sz w:val="20"/>
          <w:szCs w:val="20"/>
        </w:rPr>
      </w:pPr>
    </w:p>
    <w:p w:rsidR="00BA75E9" w:rsidRPr="00C50A5C" w:rsidRDefault="00B35B95" w:rsidP="00BA75E9">
      <w:pPr>
        <w:rPr>
          <w:sz w:val="20"/>
          <w:szCs w:val="20"/>
        </w:rPr>
      </w:pPr>
      <w:r w:rsidRPr="00B35B95">
        <w:rPr>
          <w:sz w:val="20"/>
          <w:szCs w:val="20"/>
          <w:lang w:val="fr-CA"/>
        </w:rPr>
        <w:pict>
          <v:rect id="_x0000_i1064" style="width:2in;height:1pt" o:hrpct="0" o:hralign="center" o:hrstd="t" o:hrnoshade="t" o:hr="t" fillcolor="black [3213]" stroked="f"/>
        </w:pict>
      </w:r>
    </w:p>
    <w:p w:rsidR="00BA75E9" w:rsidRDefault="00BA75E9" w:rsidP="00BA75E9">
      <w:pPr>
        <w:rPr>
          <w:sz w:val="20"/>
          <w:szCs w:val="20"/>
        </w:rPr>
      </w:pPr>
    </w:p>
    <w:p w:rsidR="00BA75E9" w:rsidRPr="001B157C" w:rsidRDefault="00BA75E9" w:rsidP="00BA75E9">
      <w:pPr>
        <w:rPr>
          <w:sz w:val="20"/>
          <w:szCs w:val="20"/>
          <w:u w:val="single"/>
          <w:lang w:val="fr-CA"/>
        </w:rPr>
      </w:pPr>
      <w:r w:rsidRPr="001B157C">
        <w:rPr>
          <w:sz w:val="20"/>
          <w:szCs w:val="20"/>
          <w:u w:val="single"/>
          <w:lang w:val="fr-CA"/>
        </w:rPr>
        <w:t>RÉSUMÉ DE L’AFFAIRE</w:t>
      </w:r>
    </w:p>
    <w:p w:rsidR="00BA75E9" w:rsidRDefault="00BA75E9" w:rsidP="00BA75E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A75E9" w:rsidRPr="00370584" w:rsidTr="00370584">
        <w:tc>
          <w:tcPr>
            <w:tcW w:w="5000" w:type="pct"/>
            <w:gridSpan w:val="3"/>
          </w:tcPr>
          <w:p w:rsidR="00BA75E9" w:rsidRPr="00E007CB" w:rsidRDefault="00BA75E9" w:rsidP="00370584">
            <w:pPr>
              <w:jc w:val="both"/>
              <w:rPr>
                <w:rFonts w:eastAsia="Calibri"/>
                <w:sz w:val="20"/>
                <w:lang w:val="fr-CA"/>
              </w:rPr>
            </w:pPr>
            <w:r w:rsidRPr="00E007CB">
              <w:rPr>
                <w:rFonts w:eastAsia="Calibri"/>
                <w:sz w:val="20"/>
                <w:lang w:val="fr-CA"/>
              </w:rPr>
              <w:t>Droit criminel – Appel – Permission d’en appeler – Le demandeur soulève-t-il une question juridique? – Cette question est-elle d’importance pour le public?</w:t>
            </w:r>
          </w:p>
          <w:p w:rsidR="00BA75E9" w:rsidRPr="00E007CB" w:rsidRDefault="00BA75E9" w:rsidP="00370584">
            <w:pPr>
              <w:jc w:val="both"/>
              <w:rPr>
                <w:rFonts w:eastAsia="Calibri"/>
                <w:sz w:val="20"/>
                <w:lang w:val="fr-CA"/>
              </w:rPr>
            </w:pPr>
          </w:p>
        </w:tc>
      </w:tr>
      <w:tr w:rsidR="00BA75E9" w:rsidRPr="00370584" w:rsidTr="00370584">
        <w:tc>
          <w:tcPr>
            <w:tcW w:w="5000" w:type="pct"/>
            <w:gridSpan w:val="3"/>
          </w:tcPr>
          <w:p w:rsidR="00BA75E9" w:rsidRPr="00E007CB" w:rsidRDefault="00BA75E9" w:rsidP="00370584">
            <w:pPr>
              <w:jc w:val="both"/>
              <w:rPr>
                <w:rFonts w:eastAsia="Calibri"/>
                <w:sz w:val="20"/>
                <w:lang w:val="fr-CA"/>
              </w:rPr>
            </w:pPr>
            <w:r w:rsidRPr="00E007CB">
              <w:rPr>
                <w:rFonts w:eastAsia="Calibri"/>
                <w:sz w:val="20"/>
                <w:lang w:val="fr-CA"/>
              </w:rPr>
              <w:t>Le 2 décembre 2011, le demandeur subit son procès dans le district de Québec pour avoir sciemment transmis à plusieurs personnes une menace de causer la mort.  Lors du procès, le demandeur présente au juge une requête en non-lieu au motif que son procès ne se tient pas dans le district d’où émane la menace, soit St-Hyacinthe.  Le juge rejette la requête.</w:t>
            </w:r>
          </w:p>
          <w:p w:rsidR="00BA75E9" w:rsidRPr="00E007CB" w:rsidRDefault="00BA75E9" w:rsidP="00370584">
            <w:pPr>
              <w:jc w:val="both"/>
              <w:rPr>
                <w:rFonts w:eastAsia="Calibri"/>
                <w:sz w:val="20"/>
                <w:lang w:val="fr-CA"/>
              </w:rPr>
            </w:pPr>
          </w:p>
          <w:p w:rsidR="00BA75E9" w:rsidRPr="00E007CB" w:rsidRDefault="00BA75E9" w:rsidP="00370584">
            <w:pPr>
              <w:jc w:val="both"/>
              <w:rPr>
                <w:rFonts w:eastAsia="Calibri"/>
                <w:sz w:val="20"/>
                <w:lang w:val="fr-CA"/>
              </w:rPr>
            </w:pPr>
            <w:r w:rsidRPr="00E007CB">
              <w:rPr>
                <w:rFonts w:eastAsia="Calibri"/>
                <w:sz w:val="20"/>
                <w:lang w:val="fr-CA"/>
              </w:rPr>
              <w:t>Le demandeur est déclaré coupable des infractions reprochées.  Il tente alors de se pourvoir en déposant sa procédure devant la Cour supérieure, mais dans le district de St-Hyacinthe.  Le juge saisi de la requête en autorisation d’appel refuse de se prononcer au fond aux motifs que la procédure est présentée dans le mauvais district judiciaire.  Le demandeur tente de se pouvoir contre ce jugement devant la Cour d’appel, qui rejette la requête en autorisation.</w:t>
            </w:r>
          </w:p>
          <w:p w:rsidR="00BA75E9" w:rsidRPr="00E007CB" w:rsidRDefault="00BA75E9" w:rsidP="00370584">
            <w:pPr>
              <w:jc w:val="both"/>
              <w:rPr>
                <w:rFonts w:eastAsia="Calibri"/>
                <w:sz w:val="20"/>
                <w:lang w:val="fr-CA"/>
              </w:rPr>
            </w:pPr>
          </w:p>
          <w:p w:rsidR="00BA75E9" w:rsidRPr="00E007CB" w:rsidRDefault="00BA75E9" w:rsidP="00370584">
            <w:pPr>
              <w:jc w:val="both"/>
              <w:rPr>
                <w:rFonts w:eastAsia="Calibri"/>
                <w:sz w:val="20"/>
                <w:lang w:val="fr-CA"/>
              </w:rPr>
            </w:pPr>
            <w:r w:rsidRPr="00E007CB">
              <w:rPr>
                <w:rFonts w:eastAsia="Calibri"/>
                <w:sz w:val="20"/>
                <w:lang w:val="fr-CA"/>
              </w:rPr>
              <w:t>Le demandeur présente alors une requête pour excès de compétence devant la Cour supérieure, district de Québec, demandant que le jugement le déclarant coupable soit annulé aux motifs que le procès aurait dû se tenir dans le district de St-Hyacinthe.  La requête est rejetée.  Le demandeur présente une requête en autorisation d’appel de cette décision devant un juge unique de la Cour d’appel du Québec.  La requête est rejetée.  Il présente une autre requête en autorisation d’appel devant trois juges de la Cour d’appel, qui la rejettent également.</w:t>
            </w:r>
          </w:p>
          <w:p w:rsidR="00BA75E9" w:rsidRPr="00E007CB" w:rsidRDefault="00BA75E9" w:rsidP="00370584">
            <w:pPr>
              <w:jc w:val="both"/>
              <w:rPr>
                <w:rFonts w:eastAsia="Calibri"/>
                <w:sz w:val="20"/>
                <w:lang w:val="fr-CA"/>
              </w:rPr>
            </w:pPr>
          </w:p>
        </w:tc>
      </w:tr>
      <w:tr w:rsidR="00BA75E9" w:rsidRPr="00370584" w:rsidTr="00370584">
        <w:tc>
          <w:tcPr>
            <w:tcW w:w="2427" w:type="pct"/>
          </w:tcPr>
          <w:p w:rsidR="00BA75E9" w:rsidRPr="00E007CB" w:rsidRDefault="00BA75E9" w:rsidP="00370584">
            <w:pPr>
              <w:jc w:val="both"/>
              <w:rPr>
                <w:rFonts w:eastAsia="Calibri"/>
                <w:sz w:val="20"/>
                <w:lang w:val="fr-CA"/>
              </w:rPr>
            </w:pPr>
            <w:r w:rsidRPr="00E007CB">
              <w:rPr>
                <w:rFonts w:eastAsia="Calibri"/>
                <w:sz w:val="20"/>
                <w:lang w:val="fr-CA"/>
              </w:rPr>
              <w:t>Le 27 septembre 2012</w:t>
            </w:r>
          </w:p>
          <w:p w:rsidR="00BA75E9" w:rsidRPr="00E007CB" w:rsidRDefault="00BA75E9" w:rsidP="00370584">
            <w:pPr>
              <w:jc w:val="both"/>
              <w:rPr>
                <w:rFonts w:eastAsia="Calibri"/>
                <w:sz w:val="20"/>
                <w:lang w:val="fr-CA"/>
              </w:rPr>
            </w:pPr>
            <w:r w:rsidRPr="00E007CB">
              <w:rPr>
                <w:rFonts w:eastAsia="Calibri"/>
                <w:sz w:val="20"/>
                <w:lang w:val="fr-CA"/>
              </w:rPr>
              <w:t>Cour supérieure du Québec</w:t>
            </w:r>
          </w:p>
          <w:p w:rsidR="00BA75E9" w:rsidRPr="00E007CB" w:rsidRDefault="00BA75E9" w:rsidP="00370584">
            <w:pPr>
              <w:jc w:val="both"/>
              <w:rPr>
                <w:rFonts w:eastAsia="Calibri"/>
                <w:sz w:val="20"/>
                <w:lang w:val="fr-CA"/>
              </w:rPr>
            </w:pPr>
            <w:r w:rsidRPr="00E007CB">
              <w:rPr>
                <w:rFonts w:eastAsia="Calibri"/>
                <w:sz w:val="20"/>
                <w:lang w:val="fr-CA"/>
              </w:rPr>
              <w:t>(La juge Moreau)</w:t>
            </w:r>
          </w:p>
          <w:p w:rsidR="00BA75E9" w:rsidRPr="00E007CB" w:rsidRDefault="00BA75E9" w:rsidP="00370584">
            <w:pPr>
              <w:jc w:val="both"/>
              <w:rPr>
                <w:rFonts w:eastAsia="Calibri"/>
                <w:sz w:val="20"/>
                <w:lang w:val="fr-CA"/>
              </w:rPr>
            </w:pPr>
            <w:r w:rsidRPr="00E007CB">
              <w:rPr>
                <w:rFonts w:eastAsia="Calibri"/>
                <w:sz w:val="20"/>
                <w:lang w:val="fr-CA"/>
              </w:rPr>
              <w:t>2012 QCCS 5997</w:t>
            </w:r>
          </w:p>
          <w:p w:rsidR="00BA75E9" w:rsidRPr="00E007CB" w:rsidRDefault="00BA75E9" w:rsidP="00370584">
            <w:pPr>
              <w:jc w:val="both"/>
              <w:rPr>
                <w:rFonts w:eastAsia="Calibri"/>
                <w:sz w:val="20"/>
                <w:lang w:val="fr-CA"/>
              </w:rPr>
            </w:pPr>
          </w:p>
        </w:tc>
        <w:tc>
          <w:tcPr>
            <w:tcW w:w="243" w:type="pct"/>
          </w:tcPr>
          <w:p w:rsidR="00BA75E9" w:rsidRPr="00E007CB" w:rsidRDefault="00BA75E9" w:rsidP="00370584">
            <w:pPr>
              <w:jc w:val="both"/>
              <w:rPr>
                <w:rFonts w:eastAsia="Calibri"/>
                <w:sz w:val="20"/>
                <w:lang w:val="fr-CA"/>
              </w:rPr>
            </w:pPr>
          </w:p>
        </w:tc>
        <w:tc>
          <w:tcPr>
            <w:tcW w:w="2330" w:type="pct"/>
          </w:tcPr>
          <w:p w:rsidR="00BA75E9" w:rsidRPr="00E007CB" w:rsidRDefault="00BA75E9" w:rsidP="00370584">
            <w:pPr>
              <w:jc w:val="both"/>
              <w:rPr>
                <w:rFonts w:eastAsia="Calibri"/>
                <w:sz w:val="20"/>
                <w:lang w:val="fr-CA"/>
              </w:rPr>
            </w:pPr>
            <w:r w:rsidRPr="00E007CB">
              <w:rPr>
                <w:rFonts w:eastAsia="Calibri"/>
                <w:sz w:val="20"/>
                <w:lang w:val="fr-CA"/>
              </w:rPr>
              <w:t>Requête du demandeur pour excès de compétence rejetée</w:t>
            </w:r>
          </w:p>
          <w:p w:rsidR="00BA75E9" w:rsidRPr="00E007CB" w:rsidRDefault="00BA75E9" w:rsidP="00370584">
            <w:pPr>
              <w:jc w:val="both"/>
              <w:rPr>
                <w:rFonts w:eastAsia="Calibri"/>
                <w:sz w:val="20"/>
                <w:lang w:val="fr-CA"/>
              </w:rPr>
            </w:pPr>
          </w:p>
        </w:tc>
      </w:tr>
      <w:tr w:rsidR="00BA75E9" w:rsidRPr="00370584" w:rsidTr="00370584">
        <w:tc>
          <w:tcPr>
            <w:tcW w:w="2427" w:type="pct"/>
          </w:tcPr>
          <w:p w:rsidR="00BA75E9" w:rsidRPr="00E007CB" w:rsidRDefault="00BA75E9" w:rsidP="00370584">
            <w:pPr>
              <w:jc w:val="both"/>
              <w:rPr>
                <w:rFonts w:eastAsia="Calibri"/>
                <w:sz w:val="20"/>
                <w:lang w:val="fr-CA"/>
              </w:rPr>
            </w:pPr>
            <w:r w:rsidRPr="00E007CB">
              <w:rPr>
                <w:rFonts w:eastAsia="Calibri"/>
                <w:sz w:val="20"/>
                <w:lang w:val="fr-CA"/>
              </w:rPr>
              <w:t>Le 13 novembre 2012</w:t>
            </w:r>
          </w:p>
          <w:p w:rsidR="00BA75E9" w:rsidRPr="00E007CB" w:rsidRDefault="00BA75E9" w:rsidP="00370584">
            <w:pPr>
              <w:jc w:val="both"/>
              <w:rPr>
                <w:rFonts w:eastAsia="Calibri"/>
                <w:sz w:val="20"/>
                <w:lang w:val="fr-CA"/>
              </w:rPr>
            </w:pPr>
            <w:r w:rsidRPr="00E007CB">
              <w:rPr>
                <w:rFonts w:eastAsia="Calibri"/>
                <w:sz w:val="20"/>
                <w:lang w:val="fr-CA"/>
              </w:rPr>
              <w:t>Cour d’appel du Québec (Québec)</w:t>
            </w:r>
          </w:p>
          <w:p w:rsidR="00BA75E9" w:rsidRPr="00E007CB" w:rsidRDefault="00BA75E9" w:rsidP="00370584">
            <w:pPr>
              <w:jc w:val="both"/>
              <w:rPr>
                <w:rFonts w:eastAsia="Calibri"/>
                <w:sz w:val="20"/>
                <w:lang w:val="fr-CA"/>
              </w:rPr>
            </w:pPr>
            <w:r w:rsidRPr="00E007CB">
              <w:rPr>
                <w:rFonts w:eastAsia="Calibri"/>
                <w:sz w:val="20"/>
                <w:lang w:val="fr-CA"/>
              </w:rPr>
              <w:t>(Le juge Gagnon)</w:t>
            </w:r>
          </w:p>
          <w:p w:rsidR="00BA75E9" w:rsidRPr="00E007CB" w:rsidRDefault="00BA75E9" w:rsidP="00370584">
            <w:pPr>
              <w:jc w:val="both"/>
              <w:rPr>
                <w:rFonts w:eastAsia="Calibri"/>
                <w:sz w:val="20"/>
                <w:lang w:val="fr-CA"/>
              </w:rPr>
            </w:pPr>
            <w:r w:rsidRPr="00E007CB">
              <w:rPr>
                <w:rFonts w:eastAsia="Calibri"/>
                <w:sz w:val="20"/>
                <w:lang w:val="fr-CA"/>
              </w:rPr>
              <w:t>2012 QCCA 2041</w:t>
            </w:r>
          </w:p>
          <w:p w:rsidR="00BA75E9" w:rsidRPr="00E007CB" w:rsidRDefault="00BA75E9" w:rsidP="00370584">
            <w:pPr>
              <w:jc w:val="both"/>
              <w:rPr>
                <w:rFonts w:eastAsia="Calibri"/>
                <w:sz w:val="20"/>
                <w:lang w:val="fr-CA"/>
              </w:rPr>
            </w:pPr>
          </w:p>
        </w:tc>
        <w:tc>
          <w:tcPr>
            <w:tcW w:w="243" w:type="pct"/>
          </w:tcPr>
          <w:p w:rsidR="00BA75E9" w:rsidRPr="00E007CB" w:rsidRDefault="00BA75E9" w:rsidP="00370584">
            <w:pPr>
              <w:jc w:val="both"/>
              <w:rPr>
                <w:rFonts w:eastAsia="Calibri"/>
                <w:sz w:val="20"/>
                <w:lang w:val="fr-CA"/>
              </w:rPr>
            </w:pPr>
          </w:p>
        </w:tc>
        <w:tc>
          <w:tcPr>
            <w:tcW w:w="2330" w:type="pct"/>
          </w:tcPr>
          <w:p w:rsidR="00BA75E9" w:rsidRPr="00E007CB" w:rsidRDefault="00BA75E9" w:rsidP="00370584">
            <w:pPr>
              <w:jc w:val="both"/>
              <w:rPr>
                <w:rFonts w:eastAsia="Calibri"/>
                <w:sz w:val="20"/>
                <w:lang w:val="fr-CA"/>
              </w:rPr>
            </w:pPr>
            <w:r w:rsidRPr="00E007CB">
              <w:rPr>
                <w:rFonts w:eastAsia="Calibri"/>
                <w:sz w:val="20"/>
                <w:lang w:val="fr-CA"/>
              </w:rPr>
              <w:t>Requête du demandeur en permission d’en appeler rejetée</w:t>
            </w:r>
          </w:p>
        </w:tc>
      </w:tr>
      <w:tr w:rsidR="00BA75E9" w:rsidRPr="00370584" w:rsidTr="00370584">
        <w:tc>
          <w:tcPr>
            <w:tcW w:w="2427" w:type="pct"/>
          </w:tcPr>
          <w:p w:rsidR="00BA75E9" w:rsidRPr="00E007CB" w:rsidRDefault="00BA75E9" w:rsidP="00370584">
            <w:pPr>
              <w:jc w:val="both"/>
              <w:rPr>
                <w:rFonts w:eastAsia="Calibri"/>
                <w:sz w:val="20"/>
                <w:lang w:val="fr-CA"/>
              </w:rPr>
            </w:pPr>
            <w:r w:rsidRPr="00E007CB">
              <w:rPr>
                <w:rFonts w:eastAsia="Calibri"/>
                <w:sz w:val="20"/>
                <w:lang w:val="fr-CA"/>
              </w:rPr>
              <w:t>Le 13 décembre 2012</w:t>
            </w:r>
          </w:p>
          <w:p w:rsidR="00BA75E9" w:rsidRPr="00E007CB" w:rsidRDefault="00BA75E9" w:rsidP="00370584">
            <w:pPr>
              <w:jc w:val="both"/>
              <w:rPr>
                <w:rFonts w:eastAsia="Calibri"/>
                <w:sz w:val="20"/>
                <w:lang w:val="fr-CA"/>
              </w:rPr>
            </w:pPr>
            <w:r w:rsidRPr="00E007CB">
              <w:rPr>
                <w:rFonts w:eastAsia="Calibri"/>
                <w:sz w:val="20"/>
                <w:lang w:val="fr-CA"/>
              </w:rPr>
              <w:t>Cour d’appel du Québec (Québec)</w:t>
            </w:r>
          </w:p>
          <w:p w:rsidR="00BA75E9" w:rsidRPr="00E007CB" w:rsidRDefault="00BA75E9" w:rsidP="00370584">
            <w:pPr>
              <w:jc w:val="both"/>
              <w:rPr>
                <w:rFonts w:eastAsia="Calibri"/>
                <w:sz w:val="20"/>
                <w:lang w:val="fr-CA"/>
              </w:rPr>
            </w:pPr>
            <w:r w:rsidRPr="00E007CB">
              <w:rPr>
                <w:rFonts w:eastAsia="Calibri"/>
                <w:sz w:val="20"/>
                <w:lang w:val="fr-CA"/>
              </w:rPr>
              <w:t>(Les juges Thibault, Dutil et Vézina)</w:t>
            </w:r>
          </w:p>
          <w:p w:rsidR="00BA75E9" w:rsidRPr="00E007CB" w:rsidRDefault="00BA75E9" w:rsidP="00370584">
            <w:pPr>
              <w:jc w:val="both"/>
              <w:rPr>
                <w:rFonts w:eastAsia="Calibri"/>
                <w:sz w:val="20"/>
                <w:lang w:val="fr-CA"/>
              </w:rPr>
            </w:pPr>
            <w:r w:rsidRPr="00E007CB">
              <w:rPr>
                <w:rFonts w:eastAsia="Calibri"/>
                <w:sz w:val="20"/>
                <w:lang w:val="fr-CA"/>
              </w:rPr>
              <w:t>2012 QCCA 2221</w:t>
            </w:r>
          </w:p>
          <w:p w:rsidR="00BA75E9" w:rsidRPr="00E007CB" w:rsidRDefault="00BA75E9" w:rsidP="00370584">
            <w:pPr>
              <w:jc w:val="both"/>
              <w:rPr>
                <w:rFonts w:eastAsia="Calibri"/>
                <w:sz w:val="20"/>
                <w:lang w:val="fr-CA"/>
              </w:rPr>
            </w:pPr>
          </w:p>
        </w:tc>
        <w:tc>
          <w:tcPr>
            <w:tcW w:w="243" w:type="pct"/>
          </w:tcPr>
          <w:p w:rsidR="00BA75E9" w:rsidRPr="00E007CB" w:rsidRDefault="00BA75E9" w:rsidP="00370584">
            <w:pPr>
              <w:jc w:val="both"/>
              <w:rPr>
                <w:rFonts w:eastAsia="Calibri"/>
                <w:sz w:val="20"/>
                <w:lang w:val="fr-CA"/>
              </w:rPr>
            </w:pPr>
          </w:p>
        </w:tc>
        <w:tc>
          <w:tcPr>
            <w:tcW w:w="2330" w:type="pct"/>
          </w:tcPr>
          <w:p w:rsidR="00BA75E9" w:rsidRPr="00E007CB" w:rsidRDefault="00BA75E9" w:rsidP="00370584">
            <w:pPr>
              <w:jc w:val="both"/>
              <w:rPr>
                <w:rFonts w:eastAsia="Calibri"/>
                <w:sz w:val="20"/>
                <w:lang w:val="fr-CA"/>
              </w:rPr>
            </w:pPr>
            <w:r w:rsidRPr="00E007CB">
              <w:rPr>
                <w:rFonts w:eastAsia="Calibri"/>
                <w:sz w:val="20"/>
                <w:lang w:val="fr-CA"/>
              </w:rPr>
              <w:t>Requête du demandeur en permission d’en appeler rejetée</w:t>
            </w:r>
          </w:p>
          <w:p w:rsidR="00BA75E9" w:rsidRPr="00E007CB" w:rsidRDefault="00BA75E9" w:rsidP="00370584">
            <w:pPr>
              <w:jc w:val="both"/>
              <w:rPr>
                <w:rFonts w:eastAsia="Calibri"/>
                <w:sz w:val="20"/>
                <w:lang w:val="fr-CA"/>
              </w:rPr>
            </w:pPr>
          </w:p>
        </w:tc>
      </w:tr>
      <w:tr w:rsidR="00BA75E9" w:rsidRPr="00E007CB" w:rsidTr="00370584">
        <w:tc>
          <w:tcPr>
            <w:tcW w:w="2427" w:type="pct"/>
          </w:tcPr>
          <w:p w:rsidR="00BA75E9" w:rsidRPr="00E007CB" w:rsidRDefault="00BA75E9" w:rsidP="00370584">
            <w:pPr>
              <w:jc w:val="both"/>
              <w:rPr>
                <w:rFonts w:eastAsia="Calibri"/>
                <w:sz w:val="20"/>
                <w:lang w:val="fr-CA"/>
              </w:rPr>
            </w:pPr>
            <w:r w:rsidRPr="00E007CB">
              <w:rPr>
                <w:rFonts w:eastAsia="Calibri"/>
                <w:sz w:val="20"/>
                <w:lang w:val="fr-CA"/>
              </w:rPr>
              <w:t>Le 11 février 2013</w:t>
            </w:r>
          </w:p>
          <w:p w:rsidR="00BA75E9" w:rsidRPr="00E007CB" w:rsidRDefault="00BA75E9" w:rsidP="00370584">
            <w:pPr>
              <w:jc w:val="both"/>
              <w:rPr>
                <w:rFonts w:eastAsia="Calibri"/>
                <w:sz w:val="20"/>
                <w:lang w:val="fr-CA"/>
              </w:rPr>
            </w:pPr>
            <w:r w:rsidRPr="00E007CB">
              <w:rPr>
                <w:rFonts w:eastAsia="Calibri"/>
                <w:sz w:val="20"/>
                <w:lang w:val="fr-CA"/>
              </w:rPr>
              <w:t>Cour suprême du Canada</w:t>
            </w:r>
          </w:p>
        </w:tc>
        <w:tc>
          <w:tcPr>
            <w:tcW w:w="243" w:type="pct"/>
          </w:tcPr>
          <w:p w:rsidR="00BA75E9" w:rsidRPr="00E007CB" w:rsidRDefault="00BA75E9" w:rsidP="00370584">
            <w:pPr>
              <w:jc w:val="both"/>
              <w:rPr>
                <w:rFonts w:eastAsia="Calibri"/>
                <w:sz w:val="20"/>
                <w:lang w:val="fr-CA"/>
              </w:rPr>
            </w:pPr>
          </w:p>
        </w:tc>
        <w:tc>
          <w:tcPr>
            <w:tcW w:w="2330" w:type="pct"/>
          </w:tcPr>
          <w:p w:rsidR="00BA75E9" w:rsidRPr="00E007CB" w:rsidRDefault="00BA75E9" w:rsidP="00370584">
            <w:pPr>
              <w:jc w:val="both"/>
              <w:rPr>
                <w:rFonts w:eastAsia="Calibri"/>
                <w:sz w:val="20"/>
                <w:lang w:val="fr-CA"/>
              </w:rPr>
            </w:pPr>
            <w:r w:rsidRPr="00E007CB">
              <w:rPr>
                <w:rFonts w:eastAsia="Calibri"/>
                <w:sz w:val="20"/>
                <w:lang w:val="fr-CA"/>
              </w:rPr>
              <w:t>Demande d’autorisation d’appel déposée</w:t>
            </w:r>
          </w:p>
          <w:p w:rsidR="00BA75E9" w:rsidRPr="00E007CB" w:rsidRDefault="00BA75E9" w:rsidP="00370584">
            <w:pPr>
              <w:jc w:val="both"/>
              <w:rPr>
                <w:rFonts w:eastAsia="Calibri"/>
                <w:sz w:val="20"/>
                <w:lang w:val="fr-CA"/>
              </w:rPr>
            </w:pPr>
          </w:p>
        </w:tc>
      </w:tr>
    </w:tbl>
    <w:p w:rsidR="00BA75E9" w:rsidRDefault="00BA75E9" w:rsidP="00BA75E9">
      <w:pPr>
        <w:rPr>
          <w:sz w:val="20"/>
          <w:szCs w:val="20"/>
        </w:rPr>
      </w:pPr>
    </w:p>
    <w:p w:rsidR="00BA75E9" w:rsidRDefault="00B35B95" w:rsidP="00BA75E9">
      <w:pPr>
        <w:rPr>
          <w:sz w:val="20"/>
          <w:szCs w:val="20"/>
        </w:rPr>
      </w:pPr>
      <w:r w:rsidRPr="00B35B95">
        <w:rPr>
          <w:sz w:val="20"/>
          <w:szCs w:val="20"/>
          <w:lang w:val="fr-CA"/>
        </w:rPr>
        <w:pict>
          <v:rect id="_x0000_i1065" style="width:2in;height:1pt" o:hrpct="0" o:hralign="center" o:hrstd="t" o:hrnoshade="t" o:hr="t" fillcolor="black [3213]" stroked="f"/>
        </w:pict>
      </w:r>
    </w:p>
    <w:p w:rsidR="00BA75E9" w:rsidRDefault="00BA75E9" w:rsidP="00BA75E9">
      <w:pPr>
        <w:rPr>
          <w:sz w:val="20"/>
          <w:szCs w:val="20"/>
        </w:rPr>
      </w:pPr>
    </w:p>
    <w:p w:rsidR="00BA75E9" w:rsidRDefault="00BA75E9" w:rsidP="00BA75E9">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A75E9" w:rsidRPr="00370584" w:rsidTr="00370584">
        <w:trPr>
          <w:cantSplit/>
        </w:trPr>
        <w:tc>
          <w:tcPr>
            <w:tcW w:w="1458" w:type="dxa"/>
          </w:tcPr>
          <w:p w:rsidR="00BA75E9" w:rsidRPr="00A73D2C" w:rsidRDefault="00BA75E9" w:rsidP="00370584">
            <w:pPr>
              <w:rPr>
                <w:sz w:val="20"/>
                <w:szCs w:val="20"/>
              </w:rPr>
            </w:pPr>
            <w:r w:rsidRPr="00A73D2C">
              <w:rPr>
                <w:rStyle w:val="SCCFileNumberChar"/>
                <w:sz w:val="20"/>
                <w:szCs w:val="20"/>
              </w:rPr>
              <w:lastRenderedPageBreak/>
              <w:t>35245</w:t>
            </w:r>
          </w:p>
          <w:p w:rsidR="00BA75E9" w:rsidRPr="00A73D2C" w:rsidRDefault="00BA75E9" w:rsidP="00370584">
            <w:pPr>
              <w:rPr>
                <w:b/>
                <w:sz w:val="20"/>
                <w:szCs w:val="20"/>
                <w:lang w:val="fr-CA"/>
              </w:rPr>
            </w:pPr>
          </w:p>
        </w:tc>
        <w:tc>
          <w:tcPr>
            <w:tcW w:w="8118" w:type="dxa"/>
          </w:tcPr>
          <w:p w:rsidR="00BA75E9" w:rsidRPr="00A73D2C" w:rsidRDefault="00BA75E9" w:rsidP="00370584">
            <w:pPr>
              <w:jc w:val="both"/>
              <w:rPr>
                <w:sz w:val="20"/>
                <w:szCs w:val="20"/>
                <w:lang w:val="fr-CA"/>
              </w:rPr>
            </w:pPr>
            <w:r w:rsidRPr="00A73D2C">
              <w:rPr>
                <w:rStyle w:val="SCCLsocChar"/>
                <w:sz w:val="20"/>
                <w:szCs w:val="20"/>
              </w:rPr>
              <w:t>J.L. c. Tribunal administratif du Québec et Société de l'assurance automobile du Québec</w:t>
            </w:r>
            <w:r w:rsidRPr="00A73D2C">
              <w:rPr>
                <w:sz w:val="20"/>
                <w:szCs w:val="20"/>
                <w:lang w:val="fr-CA"/>
              </w:rPr>
              <w:t xml:space="preserve"> (Qc) (Civile) (Autorisation)</w:t>
            </w:r>
          </w:p>
          <w:p w:rsidR="00BA75E9" w:rsidRPr="00A73D2C" w:rsidRDefault="00BA75E9" w:rsidP="00370584">
            <w:pPr>
              <w:jc w:val="both"/>
              <w:rPr>
                <w:sz w:val="20"/>
                <w:szCs w:val="20"/>
                <w:lang w:val="fr-CA"/>
              </w:rPr>
            </w:pPr>
          </w:p>
        </w:tc>
      </w:tr>
      <w:tr w:rsidR="00BA75E9" w:rsidRPr="00370584" w:rsidTr="00370584">
        <w:trPr>
          <w:cantSplit/>
        </w:trPr>
        <w:tc>
          <w:tcPr>
            <w:tcW w:w="1458" w:type="dxa"/>
          </w:tcPr>
          <w:p w:rsidR="00BA75E9" w:rsidRPr="00A73D2C" w:rsidRDefault="00BA75E9" w:rsidP="00370584">
            <w:pPr>
              <w:rPr>
                <w:sz w:val="20"/>
                <w:szCs w:val="20"/>
              </w:rPr>
            </w:pPr>
            <w:r w:rsidRPr="00A73D2C">
              <w:rPr>
                <w:sz w:val="20"/>
                <w:szCs w:val="20"/>
              </w:rPr>
              <w:t>Coram :</w:t>
            </w:r>
          </w:p>
        </w:tc>
        <w:tc>
          <w:tcPr>
            <w:tcW w:w="8118" w:type="dxa"/>
          </w:tcPr>
          <w:p w:rsidR="00BA75E9" w:rsidRPr="00A73D2C" w:rsidRDefault="00BA75E9" w:rsidP="00370584">
            <w:pPr>
              <w:rPr>
                <w:sz w:val="20"/>
                <w:szCs w:val="20"/>
                <w:lang w:val="fr-CA"/>
              </w:rPr>
            </w:pPr>
            <w:r w:rsidRPr="00A73D2C">
              <w:rPr>
                <w:rStyle w:val="SCCCoramChar"/>
                <w:sz w:val="20"/>
                <w:szCs w:val="20"/>
              </w:rPr>
              <w:t>Les juges LeBel, Karakatsanis et Wagner</w:t>
            </w:r>
          </w:p>
          <w:p w:rsidR="00BA75E9" w:rsidRPr="00A73D2C" w:rsidRDefault="00BA75E9" w:rsidP="00370584">
            <w:pPr>
              <w:rPr>
                <w:sz w:val="20"/>
                <w:szCs w:val="20"/>
                <w:u w:val="single"/>
                <w:lang w:val="fr-CA"/>
              </w:rPr>
            </w:pPr>
          </w:p>
        </w:tc>
      </w:tr>
      <w:tr w:rsidR="00BA75E9" w:rsidRPr="00A73D2C" w:rsidTr="00370584">
        <w:trPr>
          <w:cantSplit/>
        </w:trPr>
        <w:tc>
          <w:tcPr>
            <w:tcW w:w="9576" w:type="dxa"/>
            <w:gridSpan w:val="2"/>
          </w:tcPr>
          <w:p w:rsidR="00BA75E9" w:rsidRPr="00A73D2C" w:rsidRDefault="00BA75E9" w:rsidP="00370584">
            <w:pPr>
              <w:pStyle w:val="SCCShortJudgment"/>
              <w:rPr>
                <w:szCs w:val="20"/>
                <w:lang w:val="fr-CA"/>
              </w:rPr>
            </w:pPr>
            <w:r w:rsidRPr="00A73D2C">
              <w:rPr>
                <w:szCs w:val="20"/>
                <w:lang w:val="fr-CA"/>
              </w:rPr>
              <w:t>La demande d’autorisation d’appel de l’arrêt de la Cour d’appel du Québec (Montréal), numéro 500-09-023300-130, 2013 QCCA 303, daté du 19 février 2013, est rejetée sans dépens.</w:t>
            </w:r>
          </w:p>
          <w:p w:rsidR="00BA75E9" w:rsidRPr="00A73D2C" w:rsidRDefault="00BA75E9" w:rsidP="00370584">
            <w:pPr>
              <w:pStyle w:val="SCCShortJudgment"/>
              <w:ind w:firstLine="0"/>
              <w:rPr>
                <w:szCs w:val="20"/>
                <w:lang w:val="fr-CA"/>
              </w:rPr>
            </w:pPr>
          </w:p>
          <w:p w:rsidR="00BA75E9" w:rsidRPr="00A73D2C" w:rsidRDefault="00BA75E9" w:rsidP="00370584">
            <w:pPr>
              <w:pStyle w:val="SCCShortJudgment"/>
              <w:rPr>
                <w:szCs w:val="20"/>
              </w:rPr>
            </w:pPr>
            <w:r w:rsidRPr="00A73D2C">
              <w:rPr>
                <w:szCs w:val="20"/>
              </w:rPr>
              <w:t>The application for leave to appeal from the judgment of the Court of Appeal of Quebec (Montréal), Number 500-09-023300-130, 2013 QCCA 303, dated February 19, 2013, is dismissed without costs.</w:t>
            </w:r>
          </w:p>
        </w:tc>
      </w:tr>
    </w:tbl>
    <w:p w:rsidR="00BA75E9" w:rsidRDefault="00BA75E9" w:rsidP="00BA75E9">
      <w:pPr>
        <w:rPr>
          <w:sz w:val="20"/>
          <w:szCs w:val="20"/>
        </w:rPr>
      </w:pPr>
    </w:p>
    <w:p w:rsidR="00BA75E9" w:rsidRPr="001B157C" w:rsidRDefault="00BA75E9" w:rsidP="00BA75E9">
      <w:pPr>
        <w:rPr>
          <w:sz w:val="20"/>
          <w:szCs w:val="20"/>
          <w:u w:val="single"/>
        </w:rPr>
      </w:pPr>
      <w:r w:rsidRPr="001B157C">
        <w:rPr>
          <w:sz w:val="20"/>
          <w:szCs w:val="20"/>
          <w:u w:val="single"/>
        </w:rPr>
        <w:t>CASE SUMMARY</w:t>
      </w:r>
    </w:p>
    <w:p w:rsidR="00BA75E9" w:rsidRDefault="00BA75E9" w:rsidP="00BA75E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A75E9" w:rsidRPr="00E007CB" w:rsidTr="00370584">
        <w:tc>
          <w:tcPr>
            <w:tcW w:w="5000" w:type="pct"/>
            <w:gridSpan w:val="3"/>
          </w:tcPr>
          <w:p w:rsidR="00BA75E9" w:rsidRPr="00E007CB" w:rsidRDefault="00BA75E9" w:rsidP="00370584">
            <w:pPr>
              <w:jc w:val="both"/>
              <w:rPr>
                <w:rFonts w:eastAsia="Calibri"/>
                <w:smallCaps/>
                <w:sz w:val="20"/>
              </w:rPr>
            </w:pPr>
            <w:r w:rsidRPr="00E007CB">
              <w:rPr>
                <w:rFonts w:eastAsia="Calibri"/>
                <w:smallCaps/>
                <w:sz w:val="20"/>
              </w:rPr>
              <w:t>(Publication Ban in Case) (Publication Ban on Party)</w:t>
            </w:r>
          </w:p>
          <w:p w:rsidR="00BA75E9" w:rsidRPr="00E007CB" w:rsidRDefault="00BA75E9" w:rsidP="00370584">
            <w:pPr>
              <w:jc w:val="both"/>
              <w:rPr>
                <w:rFonts w:eastAsia="Calibri"/>
                <w:sz w:val="20"/>
              </w:rPr>
            </w:pPr>
          </w:p>
          <w:p w:rsidR="00BA75E9" w:rsidRPr="00E007CB" w:rsidRDefault="00BA75E9" w:rsidP="00370584">
            <w:pPr>
              <w:jc w:val="both"/>
              <w:rPr>
                <w:rFonts w:eastAsia="Calibri"/>
                <w:sz w:val="20"/>
              </w:rPr>
            </w:pPr>
            <w:r w:rsidRPr="00E007CB">
              <w:rPr>
                <w:rFonts w:eastAsia="Calibri"/>
                <w:sz w:val="20"/>
              </w:rPr>
              <w:t>Civil procedure – Motion for mandamus – Applicant instituting action in damages – Action dismissed in 2009 – Applicant filing motion for mandamus in Superior Court to have previous judgment declared executory – Motion dismissed – Court of Appeal dismissing motion for leave to appeal – Whether Court of Appeal erred in law in dismissing motion for leave to appeal.</w:t>
            </w:r>
          </w:p>
        </w:tc>
      </w:tr>
      <w:tr w:rsidR="00BA75E9" w:rsidRPr="00E007CB" w:rsidTr="00370584">
        <w:tc>
          <w:tcPr>
            <w:tcW w:w="5000" w:type="pct"/>
            <w:gridSpan w:val="3"/>
          </w:tcPr>
          <w:p w:rsidR="00BA75E9" w:rsidRPr="00E007CB" w:rsidRDefault="00BA75E9" w:rsidP="00370584">
            <w:pPr>
              <w:jc w:val="both"/>
              <w:rPr>
                <w:rFonts w:eastAsia="Calibri"/>
                <w:sz w:val="20"/>
              </w:rPr>
            </w:pPr>
          </w:p>
        </w:tc>
      </w:tr>
      <w:tr w:rsidR="00BA75E9" w:rsidRPr="00E007CB" w:rsidTr="00370584">
        <w:tc>
          <w:tcPr>
            <w:tcW w:w="5000" w:type="pct"/>
            <w:gridSpan w:val="3"/>
          </w:tcPr>
          <w:p w:rsidR="00BA75E9" w:rsidRPr="00E007CB" w:rsidRDefault="00BA75E9" w:rsidP="00370584">
            <w:pPr>
              <w:jc w:val="both"/>
              <w:rPr>
                <w:rFonts w:eastAsia="Calibri"/>
                <w:sz w:val="20"/>
              </w:rPr>
            </w:pPr>
            <w:r w:rsidRPr="00E007CB">
              <w:rPr>
                <w:rFonts w:eastAsia="Calibri"/>
                <w:sz w:val="20"/>
              </w:rPr>
              <w:t>In 1993, Mr. Lamontagne had an accident that caused him to have health problems.  Before the Administrative Tribunal of Québec (ATQ), Mr. Lamontagne contested a decision by the Société de l’assurance automobile du Québec (SAAQ) concerning the dates on which he could re</w:t>
            </w:r>
            <w:r w:rsidRPr="00E007CB">
              <w:rPr>
                <w:rFonts w:eastAsia="Calibri"/>
                <w:sz w:val="20"/>
              </w:rPr>
              <w:noBreakHyphen/>
              <w:t>enter the labour market.  The ATQ dismissed his proceeding.  The steps subsequently taken by Mr. Lamontagne included instituting an action in damages against the ATQ and the SAAQ.</w:t>
            </w:r>
          </w:p>
          <w:p w:rsidR="00BA75E9" w:rsidRPr="00E007CB" w:rsidRDefault="00BA75E9" w:rsidP="00370584">
            <w:pPr>
              <w:jc w:val="both"/>
              <w:rPr>
                <w:rFonts w:eastAsia="Calibri"/>
                <w:sz w:val="20"/>
              </w:rPr>
            </w:pPr>
            <w:r w:rsidRPr="00E007CB">
              <w:rPr>
                <w:rFonts w:eastAsia="Calibri"/>
                <w:sz w:val="20"/>
              </w:rPr>
              <w:t xml:space="preserve"> </w:t>
            </w:r>
          </w:p>
          <w:p w:rsidR="00BA75E9" w:rsidRPr="00E007CB" w:rsidRDefault="00BA75E9" w:rsidP="00370584">
            <w:pPr>
              <w:jc w:val="both"/>
              <w:rPr>
                <w:rFonts w:eastAsia="Calibri"/>
                <w:sz w:val="20"/>
              </w:rPr>
            </w:pPr>
            <w:r w:rsidRPr="00E007CB">
              <w:rPr>
                <w:rFonts w:eastAsia="Calibri"/>
                <w:sz w:val="20"/>
              </w:rPr>
              <w:t xml:space="preserve">In September 2008, a Superior Court judge dismissed motions by the ATQ and the SAAQ to dismiss the action.  In November of the following year, the same judge dismissed Mr. Lamontagne’s action in damages.  That judgment was not appealed. </w:t>
            </w:r>
          </w:p>
          <w:p w:rsidR="00BA75E9" w:rsidRPr="00E007CB" w:rsidRDefault="00BA75E9" w:rsidP="00370584">
            <w:pPr>
              <w:jc w:val="both"/>
              <w:rPr>
                <w:rFonts w:eastAsia="Calibri"/>
                <w:sz w:val="20"/>
              </w:rPr>
            </w:pPr>
          </w:p>
          <w:p w:rsidR="00BA75E9" w:rsidRPr="00E007CB" w:rsidRDefault="00BA75E9" w:rsidP="00370584">
            <w:pPr>
              <w:jc w:val="both"/>
              <w:rPr>
                <w:rFonts w:eastAsia="Calibri"/>
                <w:sz w:val="20"/>
              </w:rPr>
            </w:pPr>
            <w:r w:rsidRPr="00E007CB">
              <w:rPr>
                <w:rFonts w:eastAsia="Calibri"/>
                <w:sz w:val="20"/>
              </w:rPr>
              <w:t>In 2012, Mr. Lamontagne filed a motion for mandamus in the Superior Court to have the Superior Court’s judgment of September 2008 declared executory.</w:t>
            </w:r>
          </w:p>
          <w:p w:rsidR="00BA75E9" w:rsidRPr="00E007CB" w:rsidRDefault="00BA75E9" w:rsidP="00370584">
            <w:pPr>
              <w:jc w:val="both"/>
              <w:rPr>
                <w:rFonts w:eastAsia="Calibri"/>
                <w:sz w:val="20"/>
              </w:rPr>
            </w:pPr>
          </w:p>
        </w:tc>
      </w:tr>
      <w:tr w:rsidR="00BA75E9" w:rsidRPr="00E007CB" w:rsidTr="00370584">
        <w:tc>
          <w:tcPr>
            <w:tcW w:w="2427" w:type="pct"/>
          </w:tcPr>
          <w:p w:rsidR="00BA75E9" w:rsidRPr="00E007CB" w:rsidRDefault="00BA75E9" w:rsidP="00370584">
            <w:pPr>
              <w:jc w:val="both"/>
              <w:rPr>
                <w:rFonts w:eastAsia="Calibri"/>
                <w:sz w:val="20"/>
              </w:rPr>
            </w:pPr>
            <w:r w:rsidRPr="00E007CB">
              <w:rPr>
                <w:rFonts w:eastAsia="Calibri"/>
                <w:sz w:val="20"/>
              </w:rPr>
              <w:t>January 25, 2013</w:t>
            </w:r>
          </w:p>
          <w:p w:rsidR="00BA75E9" w:rsidRPr="00E007CB" w:rsidRDefault="00BA75E9" w:rsidP="00370584">
            <w:pPr>
              <w:jc w:val="both"/>
              <w:rPr>
                <w:rFonts w:eastAsia="Calibri"/>
                <w:sz w:val="20"/>
              </w:rPr>
            </w:pPr>
            <w:r w:rsidRPr="00E007CB">
              <w:rPr>
                <w:rFonts w:eastAsia="Calibri"/>
                <w:sz w:val="20"/>
              </w:rPr>
              <w:t>Quebec Superior Court</w:t>
            </w:r>
          </w:p>
          <w:p w:rsidR="00BA75E9" w:rsidRPr="00E007CB" w:rsidRDefault="00BA75E9" w:rsidP="00370584">
            <w:pPr>
              <w:jc w:val="both"/>
              <w:rPr>
                <w:rFonts w:eastAsia="Calibri"/>
                <w:sz w:val="20"/>
              </w:rPr>
            </w:pPr>
            <w:r w:rsidRPr="00E007CB">
              <w:rPr>
                <w:rFonts w:eastAsia="Calibri"/>
                <w:sz w:val="20"/>
              </w:rPr>
              <w:t>(Turcotte J.)</w:t>
            </w:r>
          </w:p>
          <w:p w:rsidR="00BA75E9" w:rsidRPr="00E007CB" w:rsidRDefault="00BA75E9" w:rsidP="00370584">
            <w:pPr>
              <w:jc w:val="both"/>
              <w:rPr>
                <w:rFonts w:eastAsia="Calibri"/>
                <w:sz w:val="20"/>
              </w:rPr>
            </w:pP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rPr>
            </w:pPr>
            <w:r w:rsidRPr="00E007CB">
              <w:rPr>
                <w:rFonts w:eastAsia="Calibri"/>
                <w:sz w:val="20"/>
              </w:rPr>
              <w:t>Motion for mandamus dismissed</w:t>
            </w:r>
          </w:p>
        </w:tc>
      </w:tr>
      <w:tr w:rsidR="00BA75E9" w:rsidRPr="00E007CB" w:rsidTr="00370584">
        <w:tc>
          <w:tcPr>
            <w:tcW w:w="2427" w:type="pct"/>
          </w:tcPr>
          <w:p w:rsidR="00BA75E9" w:rsidRPr="00E007CB" w:rsidRDefault="00BA75E9" w:rsidP="00370584">
            <w:pPr>
              <w:jc w:val="both"/>
              <w:rPr>
                <w:rFonts w:eastAsia="Calibri"/>
                <w:sz w:val="20"/>
              </w:rPr>
            </w:pPr>
            <w:r w:rsidRPr="00E007CB">
              <w:rPr>
                <w:rFonts w:eastAsia="Calibri"/>
                <w:sz w:val="20"/>
              </w:rPr>
              <w:t>February 19, 2013</w:t>
            </w:r>
          </w:p>
          <w:p w:rsidR="00BA75E9" w:rsidRPr="00E007CB" w:rsidRDefault="00BA75E9" w:rsidP="00370584">
            <w:pPr>
              <w:jc w:val="both"/>
              <w:rPr>
                <w:rFonts w:eastAsia="Calibri"/>
                <w:sz w:val="20"/>
              </w:rPr>
            </w:pPr>
            <w:r w:rsidRPr="00E007CB">
              <w:rPr>
                <w:rFonts w:eastAsia="Calibri"/>
                <w:sz w:val="20"/>
              </w:rPr>
              <w:t>Quebec Court of Appeal (Montréal)</w:t>
            </w:r>
          </w:p>
          <w:p w:rsidR="00BA75E9" w:rsidRPr="00E007CB" w:rsidRDefault="00BA75E9" w:rsidP="00370584">
            <w:pPr>
              <w:jc w:val="both"/>
              <w:rPr>
                <w:rFonts w:eastAsia="Calibri"/>
                <w:sz w:val="20"/>
              </w:rPr>
            </w:pPr>
            <w:r w:rsidRPr="00E007CB">
              <w:rPr>
                <w:rFonts w:eastAsia="Calibri"/>
                <w:sz w:val="20"/>
              </w:rPr>
              <w:t>(Bich J.A.)</w:t>
            </w:r>
          </w:p>
          <w:p w:rsidR="00BA75E9" w:rsidRPr="00E007CB" w:rsidRDefault="00BA75E9" w:rsidP="00370584">
            <w:pPr>
              <w:jc w:val="both"/>
              <w:rPr>
                <w:rFonts w:eastAsia="Calibri"/>
                <w:sz w:val="20"/>
              </w:rPr>
            </w:pPr>
            <w:r w:rsidRPr="00E007CB">
              <w:rPr>
                <w:rFonts w:eastAsia="Calibri"/>
                <w:sz w:val="20"/>
              </w:rPr>
              <w:t>2013 QCCA 303</w:t>
            </w:r>
          </w:p>
          <w:p w:rsidR="00BA75E9" w:rsidRPr="00E007CB" w:rsidRDefault="00BA75E9" w:rsidP="00370584">
            <w:pPr>
              <w:jc w:val="both"/>
              <w:rPr>
                <w:rFonts w:eastAsia="Calibri"/>
                <w:sz w:val="20"/>
              </w:rPr>
            </w:pP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rPr>
            </w:pPr>
            <w:r w:rsidRPr="00E007CB">
              <w:rPr>
                <w:rFonts w:eastAsia="Calibri"/>
                <w:sz w:val="20"/>
              </w:rPr>
              <w:t>Motion for leave to appeal dismissed</w:t>
            </w:r>
          </w:p>
          <w:p w:rsidR="00BA75E9" w:rsidRPr="00E007CB" w:rsidRDefault="00BA75E9" w:rsidP="00370584">
            <w:pPr>
              <w:jc w:val="both"/>
              <w:rPr>
                <w:rFonts w:eastAsia="Calibri"/>
                <w:sz w:val="20"/>
              </w:rPr>
            </w:pPr>
          </w:p>
        </w:tc>
      </w:tr>
      <w:tr w:rsidR="00BA75E9" w:rsidRPr="00E007CB" w:rsidTr="00370584">
        <w:tc>
          <w:tcPr>
            <w:tcW w:w="2427" w:type="pct"/>
          </w:tcPr>
          <w:p w:rsidR="00BA75E9" w:rsidRPr="00864B17" w:rsidRDefault="00BA75E9" w:rsidP="00370584">
            <w:pPr>
              <w:jc w:val="both"/>
              <w:rPr>
                <w:rFonts w:eastAsia="Calibri"/>
                <w:sz w:val="20"/>
              </w:rPr>
            </w:pPr>
            <w:r w:rsidRPr="00864B17">
              <w:rPr>
                <w:rFonts w:eastAsia="Calibri"/>
                <w:sz w:val="20"/>
              </w:rPr>
              <w:t>February 26, 2013</w:t>
            </w:r>
          </w:p>
          <w:p w:rsidR="00BA75E9" w:rsidRPr="00864B17" w:rsidRDefault="00BA75E9" w:rsidP="00370584">
            <w:pPr>
              <w:jc w:val="both"/>
              <w:rPr>
                <w:rFonts w:eastAsia="Calibri"/>
                <w:sz w:val="20"/>
              </w:rPr>
            </w:pPr>
            <w:r w:rsidRPr="00864B17">
              <w:rPr>
                <w:rFonts w:eastAsia="Calibri"/>
                <w:sz w:val="20"/>
              </w:rPr>
              <w:t>Supreme Court of Canada</w:t>
            </w:r>
          </w:p>
        </w:tc>
        <w:tc>
          <w:tcPr>
            <w:tcW w:w="243" w:type="pct"/>
          </w:tcPr>
          <w:p w:rsidR="00BA75E9" w:rsidRPr="00864B17"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rPr>
            </w:pPr>
            <w:r w:rsidRPr="00E007CB">
              <w:rPr>
                <w:rFonts w:eastAsia="Calibri"/>
                <w:sz w:val="20"/>
              </w:rPr>
              <w:t>Application for leave to appeal filed</w:t>
            </w:r>
          </w:p>
          <w:p w:rsidR="00BA75E9" w:rsidRPr="00E007CB" w:rsidRDefault="00BA75E9" w:rsidP="00370584">
            <w:pPr>
              <w:jc w:val="both"/>
              <w:rPr>
                <w:rFonts w:eastAsia="Calibri"/>
                <w:sz w:val="20"/>
              </w:rPr>
            </w:pPr>
          </w:p>
        </w:tc>
      </w:tr>
    </w:tbl>
    <w:p w:rsidR="00BA75E9" w:rsidRDefault="00BA75E9" w:rsidP="00BA75E9">
      <w:pPr>
        <w:rPr>
          <w:sz w:val="20"/>
          <w:szCs w:val="20"/>
        </w:rPr>
      </w:pPr>
    </w:p>
    <w:p w:rsidR="00BA75E9" w:rsidRPr="00C50A5C" w:rsidRDefault="00B35B95" w:rsidP="00BA75E9">
      <w:pPr>
        <w:rPr>
          <w:sz w:val="20"/>
          <w:szCs w:val="20"/>
        </w:rPr>
      </w:pPr>
      <w:r w:rsidRPr="00B35B95">
        <w:rPr>
          <w:sz w:val="20"/>
          <w:szCs w:val="20"/>
          <w:lang w:val="fr-CA"/>
        </w:rPr>
        <w:pict>
          <v:rect id="_x0000_i1066" style="width:2in;height:1pt" o:hrpct="0" o:hralign="center" o:hrstd="t" o:hrnoshade="t" o:hr="t" fillcolor="black [3213]" stroked="f"/>
        </w:pict>
      </w:r>
    </w:p>
    <w:p w:rsidR="00BA75E9" w:rsidRDefault="00BA75E9" w:rsidP="00BA75E9">
      <w:pPr>
        <w:rPr>
          <w:sz w:val="20"/>
          <w:szCs w:val="20"/>
        </w:rPr>
      </w:pPr>
    </w:p>
    <w:p w:rsidR="00BA75E9" w:rsidRPr="001B157C" w:rsidRDefault="00BA75E9" w:rsidP="00BA75E9">
      <w:pPr>
        <w:rPr>
          <w:sz w:val="20"/>
          <w:szCs w:val="20"/>
          <w:u w:val="single"/>
          <w:lang w:val="fr-CA"/>
        </w:rPr>
      </w:pPr>
      <w:r w:rsidRPr="001B157C">
        <w:rPr>
          <w:sz w:val="20"/>
          <w:szCs w:val="20"/>
          <w:u w:val="single"/>
          <w:lang w:val="fr-CA"/>
        </w:rPr>
        <w:t>RÉSUMÉ DE L’AFFAIRE</w:t>
      </w:r>
    </w:p>
    <w:p w:rsidR="00BA75E9" w:rsidRDefault="00BA75E9" w:rsidP="00BA75E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A75E9" w:rsidRPr="00370584" w:rsidTr="00370584">
        <w:tc>
          <w:tcPr>
            <w:tcW w:w="5000" w:type="pct"/>
            <w:gridSpan w:val="3"/>
          </w:tcPr>
          <w:p w:rsidR="00BA75E9" w:rsidRPr="00E007CB" w:rsidRDefault="00BA75E9" w:rsidP="00370584">
            <w:pPr>
              <w:jc w:val="both"/>
              <w:rPr>
                <w:rFonts w:eastAsia="Calibri"/>
                <w:smallCaps/>
                <w:sz w:val="20"/>
                <w:lang w:val="fr-CA"/>
              </w:rPr>
            </w:pPr>
            <w:r w:rsidRPr="00E007CB">
              <w:rPr>
                <w:rFonts w:eastAsia="Calibri"/>
                <w:smallCaps/>
                <w:sz w:val="20"/>
                <w:lang w:val="fr-CA"/>
              </w:rPr>
              <w:t>(Ordonnance de non-publication dans le dossier) (Ordonnance de non-publication visant une partie)</w:t>
            </w:r>
          </w:p>
          <w:p w:rsidR="00BA75E9" w:rsidRPr="00E007CB" w:rsidRDefault="00BA75E9" w:rsidP="00370584">
            <w:pPr>
              <w:jc w:val="both"/>
              <w:rPr>
                <w:rFonts w:eastAsia="Calibri"/>
                <w:sz w:val="20"/>
                <w:lang w:val="fr-CA"/>
              </w:rPr>
            </w:pPr>
          </w:p>
          <w:p w:rsidR="00BA75E9" w:rsidRPr="00E007CB" w:rsidRDefault="00BA75E9" w:rsidP="00370584">
            <w:pPr>
              <w:jc w:val="both"/>
              <w:rPr>
                <w:rFonts w:eastAsia="Calibri"/>
                <w:sz w:val="20"/>
                <w:lang w:val="fr-CA"/>
              </w:rPr>
            </w:pPr>
            <w:r w:rsidRPr="00E007CB">
              <w:rPr>
                <w:rFonts w:eastAsia="Calibri"/>
                <w:sz w:val="20"/>
                <w:lang w:val="fr-CA"/>
              </w:rPr>
              <w:t>Procédure civile – Requête en mandamus – Action en dommages-intérêts intenté par demandeur  – Action rejetée en 2009 – Demandeur déposant requête en mandamus en Cour supérieure en vue de faire déclarer exécutoire jugement antérieur – Requête rejetée – Cour d’appel rejetant requête pour permission d’en appeler – Cour d’appel a-t-elle commis une erreur de droit en rejetant la requête pour permission d’en appeler?</w:t>
            </w:r>
          </w:p>
        </w:tc>
      </w:tr>
      <w:tr w:rsidR="00BA75E9" w:rsidRPr="00370584" w:rsidTr="00370584">
        <w:tc>
          <w:tcPr>
            <w:tcW w:w="5000" w:type="pct"/>
            <w:gridSpan w:val="3"/>
          </w:tcPr>
          <w:p w:rsidR="00BA75E9" w:rsidRPr="00E007CB" w:rsidRDefault="00BA75E9" w:rsidP="00370584">
            <w:pPr>
              <w:jc w:val="both"/>
              <w:rPr>
                <w:rFonts w:eastAsia="Calibri"/>
                <w:sz w:val="20"/>
                <w:lang w:val="fr-CA"/>
              </w:rPr>
            </w:pPr>
          </w:p>
        </w:tc>
      </w:tr>
      <w:tr w:rsidR="00BA75E9" w:rsidRPr="00370584" w:rsidTr="00370584">
        <w:tc>
          <w:tcPr>
            <w:tcW w:w="5000" w:type="pct"/>
            <w:gridSpan w:val="3"/>
          </w:tcPr>
          <w:p w:rsidR="00BA75E9" w:rsidRPr="00E007CB" w:rsidRDefault="00BA75E9" w:rsidP="00370584">
            <w:pPr>
              <w:jc w:val="both"/>
              <w:rPr>
                <w:rFonts w:eastAsia="Calibri"/>
                <w:sz w:val="20"/>
                <w:lang w:val="fr-CA"/>
              </w:rPr>
            </w:pPr>
            <w:r w:rsidRPr="00E007CB">
              <w:rPr>
                <w:rFonts w:eastAsia="Calibri"/>
                <w:sz w:val="20"/>
                <w:lang w:val="fr-CA"/>
              </w:rPr>
              <w:t>En 1993, M. Lamontagne a été victime d’un accident qui a provoqué chez lui des problèmes de santé.  Devant le Tribunal administratif du Québec (TAQ), M. Lamontagne a contesté une décision de la part de la Société de l’Assurance Automobile du Québec (SAAQ) relativement aux dates auxquelles il pourrait réintégrer le marché du travail.  Le TAQ a rejeté son recours. Parmi d’autres mesures prises par lui subséquemment, M. Lamontagne intenta une action en dommages-intérêts contre le TAQ et la SAAQ.</w:t>
            </w:r>
          </w:p>
          <w:p w:rsidR="00BA75E9" w:rsidRPr="00E007CB" w:rsidRDefault="00BA75E9" w:rsidP="00370584">
            <w:pPr>
              <w:jc w:val="both"/>
              <w:rPr>
                <w:rFonts w:eastAsia="Calibri"/>
                <w:sz w:val="20"/>
                <w:lang w:val="fr-CA"/>
              </w:rPr>
            </w:pPr>
            <w:r w:rsidRPr="00E007CB">
              <w:rPr>
                <w:rFonts w:eastAsia="Calibri"/>
                <w:sz w:val="20"/>
                <w:lang w:val="fr-CA"/>
              </w:rPr>
              <w:t xml:space="preserve"> </w:t>
            </w:r>
          </w:p>
          <w:p w:rsidR="00BA75E9" w:rsidRPr="00E007CB" w:rsidRDefault="00BA75E9" w:rsidP="00370584">
            <w:pPr>
              <w:jc w:val="both"/>
              <w:rPr>
                <w:rFonts w:eastAsia="Calibri"/>
                <w:sz w:val="20"/>
                <w:lang w:val="fr-CA"/>
              </w:rPr>
            </w:pPr>
            <w:r w:rsidRPr="00E007CB">
              <w:rPr>
                <w:rFonts w:eastAsia="Calibri"/>
                <w:sz w:val="20"/>
                <w:lang w:val="fr-CA"/>
              </w:rPr>
              <w:t xml:space="preserve">En septembre 2008, une juge de la Cour supérieure a rejeté des requêtes en irrecevabilités de l’action qu’avaient déposées le TAQ et la SAAQ.  En novembre de l’année suivante, cette même juge a rejeté l’action en dommages-intérêts qu’avait intenté M. Lamontagne.  Ce jugement ne fut pas porté en appel. </w:t>
            </w:r>
          </w:p>
          <w:p w:rsidR="00BA75E9" w:rsidRPr="00E007CB" w:rsidRDefault="00BA75E9" w:rsidP="00370584">
            <w:pPr>
              <w:jc w:val="both"/>
              <w:rPr>
                <w:rFonts w:eastAsia="Calibri"/>
                <w:sz w:val="20"/>
                <w:lang w:val="fr-CA"/>
              </w:rPr>
            </w:pPr>
          </w:p>
          <w:p w:rsidR="00BA75E9" w:rsidRPr="00E007CB" w:rsidRDefault="00BA75E9" w:rsidP="00370584">
            <w:pPr>
              <w:jc w:val="both"/>
              <w:rPr>
                <w:rFonts w:eastAsia="Calibri"/>
                <w:sz w:val="20"/>
                <w:lang w:val="fr-CA"/>
              </w:rPr>
            </w:pPr>
            <w:r w:rsidRPr="00E007CB">
              <w:rPr>
                <w:rFonts w:eastAsia="Calibri"/>
                <w:sz w:val="20"/>
                <w:lang w:val="fr-CA"/>
              </w:rPr>
              <w:t xml:space="preserve">En 2012, M. Lamontagne a déposé en Cour supérieure une requête en mandamus visant à faire déclarer exécutoire le jugement de la Cour supérieure en date de septembre 2008. </w:t>
            </w:r>
          </w:p>
          <w:p w:rsidR="00BA75E9" w:rsidRPr="00E007CB" w:rsidRDefault="00BA75E9" w:rsidP="00370584">
            <w:pPr>
              <w:jc w:val="both"/>
              <w:rPr>
                <w:rFonts w:eastAsia="Calibri"/>
                <w:sz w:val="20"/>
                <w:lang w:val="fr-CA"/>
              </w:rPr>
            </w:pPr>
          </w:p>
        </w:tc>
      </w:tr>
      <w:tr w:rsidR="00BA75E9" w:rsidRPr="00E007CB" w:rsidTr="00370584">
        <w:tc>
          <w:tcPr>
            <w:tcW w:w="2427" w:type="pct"/>
          </w:tcPr>
          <w:p w:rsidR="00BA75E9" w:rsidRPr="00E007CB" w:rsidRDefault="00BA75E9" w:rsidP="00370584">
            <w:pPr>
              <w:jc w:val="both"/>
              <w:rPr>
                <w:rFonts w:eastAsia="Calibri"/>
                <w:sz w:val="20"/>
                <w:lang w:val="fr-CA"/>
              </w:rPr>
            </w:pPr>
            <w:r w:rsidRPr="00E007CB">
              <w:rPr>
                <w:rFonts w:eastAsia="Calibri"/>
                <w:sz w:val="20"/>
                <w:lang w:val="fr-CA"/>
              </w:rPr>
              <w:t>Le 25 janvier 2013</w:t>
            </w:r>
          </w:p>
          <w:p w:rsidR="00BA75E9" w:rsidRPr="00E007CB" w:rsidRDefault="00BA75E9" w:rsidP="00370584">
            <w:pPr>
              <w:jc w:val="both"/>
              <w:rPr>
                <w:rFonts w:eastAsia="Calibri"/>
                <w:sz w:val="20"/>
                <w:lang w:val="fr-CA"/>
              </w:rPr>
            </w:pPr>
            <w:r w:rsidRPr="00E007CB">
              <w:rPr>
                <w:rFonts w:eastAsia="Calibri"/>
                <w:sz w:val="20"/>
                <w:lang w:val="fr-CA"/>
              </w:rPr>
              <w:t>Cour supérieure du Québec</w:t>
            </w:r>
          </w:p>
          <w:p w:rsidR="00BA75E9" w:rsidRPr="00E007CB" w:rsidRDefault="00BA75E9" w:rsidP="00370584">
            <w:pPr>
              <w:jc w:val="both"/>
              <w:rPr>
                <w:rFonts w:eastAsia="Calibri"/>
                <w:sz w:val="20"/>
                <w:lang w:val="fr-CA"/>
              </w:rPr>
            </w:pPr>
            <w:r w:rsidRPr="00E007CB">
              <w:rPr>
                <w:rFonts w:eastAsia="Calibri"/>
                <w:sz w:val="20"/>
                <w:lang w:val="fr-CA"/>
              </w:rPr>
              <w:t>(La juge Turcotte)</w:t>
            </w:r>
          </w:p>
          <w:p w:rsidR="00BA75E9" w:rsidRPr="00E007CB" w:rsidRDefault="00BA75E9" w:rsidP="00370584">
            <w:pPr>
              <w:jc w:val="both"/>
              <w:rPr>
                <w:rFonts w:eastAsia="Calibri"/>
                <w:sz w:val="20"/>
                <w:lang w:val="fr-FR"/>
              </w:rPr>
            </w:pPr>
          </w:p>
        </w:tc>
        <w:tc>
          <w:tcPr>
            <w:tcW w:w="243" w:type="pct"/>
          </w:tcPr>
          <w:p w:rsidR="00BA75E9" w:rsidRPr="00E007CB" w:rsidRDefault="00BA75E9" w:rsidP="00370584">
            <w:pPr>
              <w:jc w:val="both"/>
              <w:rPr>
                <w:rFonts w:eastAsia="Calibri"/>
                <w:sz w:val="20"/>
                <w:lang w:val="fr-FR"/>
              </w:rPr>
            </w:pPr>
          </w:p>
        </w:tc>
        <w:tc>
          <w:tcPr>
            <w:tcW w:w="2330" w:type="pct"/>
          </w:tcPr>
          <w:p w:rsidR="00BA75E9" w:rsidRPr="00E007CB" w:rsidRDefault="00BA75E9" w:rsidP="00370584">
            <w:pPr>
              <w:jc w:val="both"/>
              <w:rPr>
                <w:rFonts w:eastAsia="Calibri"/>
                <w:sz w:val="20"/>
                <w:lang w:val="fr-CA"/>
              </w:rPr>
            </w:pPr>
            <w:r w:rsidRPr="00E007CB">
              <w:rPr>
                <w:rFonts w:eastAsia="Calibri"/>
                <w:sz w:val="20"/>
                <w:lang w:val="fr-CA"/>
              </w:rPr>
              <w:t>Requête en mandamus, rejetée</w:t>
            </w:r>
          </w:p>
        </w:tc>
      </w:tr>
      <w:tr w:rsidR="00BA75E9" w:rsidRPr="00370584" w:rsidTr="00370584">
        <w:tc>
          <w:tcPr>
            <w:tcW w:w="2427" w:type="pct"/>
          </w:tcPr>
          <w:p w:rsidR="00BA75E9" w:rsidRPr="00E007CB" w:rsidRDefault="00BA75E9" w:rsidP="00370584">
            <w:pPr>
              <w:jc w:val="both"/>
              <w:rPr>
                <w:rFonts w:eastAsia="Calibri"/>
                <w:sz w:val="20"/>
                <w:lang w:val="fr-CA"/>
              </w:rPr>
            </w:pPr>
            <w:r w:rsidRPr="00E007CB">
              <w:rPr>
                <w:rFonts w:eastAsia="Calibri"/>
                <w:sz w:val="20"/>
                <w:lang w:val="fr-CA"/>
              </w:rPr>
              <w:t>Le 19 février 2013</w:t>
            </w:r>
          </w:p>
          <w:p w:rsidR="00BA75E9" w:rsidRPr="00E007CB" w:rsidRDefault="00BA75E9" w:rsidP="00370584">
            <w:pPr>
              <w:jc w:val="both"/>
              <w:rPr>
                <w:rFonts w:eastAsia="Calibri"/>
                <w:sz w:val="20"/>
                <w:lang w:val="fr-CA"/>
              </w:rPr>
            </w:pPr>
            <w:r w:rsidRPr="00E007CB">
              <w:rPr>
                <w:rFonts w:eastAsia="Calibri"/>
                <w:sz w:val="20"/>
                <w:lang w:val="fr-CA"/>
              </w:rPr>
              <w:t>Cour d’appel du Québec (Montréal)</w:t>
            </w:r>
          </w:p>
          <w:p w:rsidR="00BA75E9" w:rsidRPr="00E007CB" w:rsidRDefault="00BA75E9" w:rsidP="00370584">
            <w:pPr>
              <w:jc w:val="both"/>
              <w:rPr>
                <w:rFonts w:eastAsia="Calibri"/>
                <w:sz w:val="20"/>
                <w:lang w:val="fr-CA"/>
              </w:rPr>
            </w:pPr>
            <w:r w:rsidRPr="00E007CB">
              <w:rPr>
                <w:rFonts w:eastAsia="Calibri"/>
                <w:sz w:val="20"/>
                <w:lang w:val="fr-CA"/>
              </w:rPr>
              <w:t>(La juge Bich)</w:t>
            </w:r>
          </w:p>
          <w:p w:rsidR="00BA75E9" w:rsidRPr="00E007CB" w:rsidRDefault="00BA75E9" w:rsidP="00370584">
            <w:pPr>
              <w:jc w:val="both"/>
              <w:rPr>
                <w:rFonts w:eastAsia="Calibri"/>
                <w:sz w:val="20"/>
                <w:lang w:val="fr-CA"/>
              </w:rPr>
            </w:pPr>
            <w:r w:rsidRPr="00E007CB">
              <w:rPr>
                <w:rFonts w:eastAsia="Calibri"/>
                <w:sz w:val="20"/>
                <w:lang w:val="fr-CA"/>
              </w:rPr>
              <w:t>2013 QCCA 303</w:t>
            </w:r>
          </w:p>
          <w:p w:rsidR="00BA75E9" w:rsidRPr="00E007CB" w:rsidRDefault="00BA75E9" w:rsidP="00370584">
            <w:pPr>
              <w:jc w:val="both"/>
              <w:rPr>
                <w:rFonts w:eastAsia="Calibri"/>
                <w:sz w:val="20"/>
              </w:rPr>
            </w:pP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lang w:val="fr-CA"/>
              </w:rPr>
            </w:pPr>
            <w:r w:rsidRPr="00E007CB">
              <w:rPr>
                <w:rFonts w:eastAsia="Calibri"/>
                <w:sz w:val="20"/>
                <w:lang w:val="fr-CA"/>
              </w:rPr>
              <w:t>Requête pour permission d’en appeler, rejetée</w:t>
            </w:r>
          </w:p>
          <w:p w:rsidR="00BA75E9" w:rsidRPr="00E007CB" w:rsidRDefault="00BA75E9" w:rsidP="00370584">
            <w:pPr>
              <w:jc w:val="both"/>
              <w:rPr>
                <w:rFonts w:eastAsia="Calibri"/>
                <w:sz w:val="20"/>
                <w:lang w:val="fr-CA"/>
              </w:rPr>
            </w:pPr>
          </w:p>
        </w:tc>
      </w:tr>
      <w:tr w:rsidR="00BA75E9" w:rsidRPr="00E007CB" w:rsidTr="00370584">
        <w:tc>
          <w:tcPr>
            <w:tcW w:w="2427" w:type="pct"/>
          </w:tcPr>
          <w:p w:rsidR="00BA75E9" w:rsidRPr="00E007CB" w:rsidRDefault="00BA75E9" w:rsidP="00370584">
            <w:pPr>
              <w:jc w:val="both"/>
              <w:rPr>
                <w:rFonts w:eastAsia="Calibri"/>
                <w:sz w:val="20"/>
                <w:lang w:val="fr-CA"/>
              </w:rPr>
            </w:pPr>
            <w:r w:rsidRPr="00E007CB">
              <w:rPr>
                <w:rFonts w:eastAsia="Calibri"/>
                <w:sz w:val="20"/>
                <w:lang w:val="fr-CA"/>
              </w:rPr>
              <w:t>Le 26 février 2013</w:t>
            </w:r>
          </w:p>
          <w:p w:rsidR="00BA75E9" w:rsidRPr="00E007CB" w:rsidRDefault="00BA75E9" w:rsidP="00370584">
            <w:pPr>
              <w:jc w:val="both"/>
              <w:rPr>
                <w:rFonts w:eastAsia="Calibri"/>
                <w:sz w:val="20"/>
                <w:lang w:val="fr-FR"/>
              </w:rPr>
            </w:pPr>
            <w:r w:rsidRPr="00E007CB">
              <w:rPr>
                <w:rFonts w:eastAsia="Calibri"/>
                <w:sz w:val="20"/>
                <w:lang w:val="fr-CA"/>
              </w:rPr>
              <w:t>Cour suprême du Canada</w:t>
            </w:r>
          </w:p>
        </w:tc>
        <w:tc>
          <w:tcPr>
            <w:tcW w:w="243" w:type="pct"/>
          </w:tcPr>
          <w:p w:rsidR="00BA75E9" w:rsidRPr="00E007CB" w:rsidRDefault="00BA75E9" w:rsidP="00370584">
            <w:pPr>
              <w:jc w:val="both"/>
              <w:rPr>
                <w:rFonts w:eastAsia="Calibri"/>
                <w:sz w:val="20"/>
                <w:lang w:val="fr-FR"/>
              </w:rPr>
            </w:pPr>
          </w:p>
        </w:tc>
        <w:tc>
          <w:tcPr>
            <w:tcW w:w="2330" w:type="pct"/>
          </w:tcPr>
          <w:p w:rsidR="00BA75E9" w:rsidRPr="00E007CB" w:rsidRDefault="00BA75E9" w:rsidP="00370584">
            <w:pPr>
              <w:jc w:val="both"/>
              <w:rPr>
                <w:rFonts w:eastAsia="Calibri"/>
                <w:sz w:val="20"/>
                <w:lang w:val="fr-CA"/>
              </w:rPr>
            </w:pPr>
            <w:r w:rsidRPr="00E007CB">
              <w:rPr>
                <w:rFonts w:eastAsia="Calibri"/>
                <w:sz w:val="20"/>
                <w:lang w:val="fr-CA"/>
              </w:rPr>
              <w:t>Demande d'autorisation d'appel déposée</w:t>
            </w:r>
          </w:p>
          <w:p w:rsidR="00BA75E9" w:rsidRPr="00E007CB" w:rsidRDefault="00BA75E9" w:rsidP="00370584">
            <w:pPr>
              <w:jc w:val="both"/>
              <w:rPr>
                <w:rFonts w:eastAsia="Calibri"/>
                <w:sz w:val="20"/>
                <w:lang w:val="fr-CA"/>
              </w:rPr>
            </w:pPr>
          </w:p>
        </w:tc>
      </w:tr>
    </w:tbl>
    <w:p w:rsidR="00BA75E9" w:rsidRDefault="00BA75E9" w:rsidP="00BA75E9">
      <w:pPr>
        <w:rPr>
          <w:sz w:val="20"/>
          <w:szCs w:val="20"/>
        </w:rPr>
      </w:pPr>
    </w:p>
    <w:p w:rsidR="00BA75E9" w:rsidRDefault="00B35B95" w:rsidP="00BA75E9">
      <w:pPr>
        <w:rPr>
          <w:sz w:val="20"/>
          <w:szCs w:val="20"/>
        </w:rPr>
      </w:pPr>
      <w:r w:rsidRPr="00B35B95">
        <w:rPr>
          <w:sz w:val="20"/>
          <w:szCs w:val="20"/>
          <w:lang w:val="fr-CA"/>
        </w:rPr>
        <w:pict>
          <v:rect id="_x0000_i1067" style="width:2in;height:1pt" o:hrpct="0" o:hralign="center" o:hrstd="t" o:hrnoshade="t" o:hr="t" fillcolor="black [3213]" stroked="f"/>
        </w:pict>
      </w:r>
    </w:p>
    <w:p w:rsidR="00BA75E9" w:rsidRDefault="00BA75E9" w:rsidP="00BA75E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A75E9" w:rsidRPr="00A73D2C" w:rsidTr="00370584">
        <w:trPr>
          <w:cantSplit/>
        </w:trPr>
        <w:tc>
          <w:tcPr>
            <w:tcW w:w="1458" w:type="dxa"/>
          </w:tcPr>
          <w:p w:rsidR="00BA75E9" w:rsidRPr="00A73D2C" w:rsidRDefault="00BA75E9" w:rsidP="00370584">
            <w:pPr>
              <w:rPr>
                <w:sz w:val="20"/>
                <w:szCs w:val="20"/>
              </w:rPr>
            </w:pPr>
            <w:r w:rsidRPr="00A73D2C">
              <w:rPr>
                <w:rStyle w:val="SCCFileNumberChar"/>
                <w:sz w:val="20"/>
                <w:szCs w:val="20"/>
              </w:rPr>
              <w:t>35250</w:t>
            </w:r>
          </w:p>
          <w:p w:rsidR="00BA75E9" w:rsidRPr="00A73D2C" w:rsidRDefault="00BA75E9" w:rsidP="00370584">
            <w:pPr>
              <w:rPr>
                <w:b/>
                <w:sz w:val="20"/>
                <w:szCs w:val="20"/>
                <w:lang w:val="fr-CA"/>
              </w:rPr>
            </w:pPr>
          </w:p>
        </w:tc>
        <w:tc>
          <w:tcPr>
            <w:tcW w:w="8118" w:type="dxa"/>
          </w:tcPr>
          <w:p w:rsidR="00BA75E9" w:rsidRPr="00A73D2C" w:rsidRDefault="00BA75E9" w:rsidP="00370584">
            <w:pPr>
              <w:jc w:val="both"/>
              <w:rPr>
                <w:sz w:val="20"/>
                <w:szCs w:val="20"/>
              </w:rPr>
            </w:pPr>
            <w:r w:rsidRPr="00A73D2C">
              <w:rPr>
                <w:rStyle w:val="SCCLsocChar"/>
                <w:sz w:val="20"/>
                <w:szCs w:val="20"/>
                <w:lang w:val="en-CA"/>
              </w:rPr>
              <w:t>Muhammad G. Malik v. 1645156 Ontario Ltd. c.o.b. as Markham Avenue Taxi &amp; Limousine, Markham &amp; Avenue Taxi-Limo, Akram Aboucharaf and Anwar Eid</w:t>
            </w:r>
            <w:r w:rsidRPr="00A73D2C">
              <w:rPr>
                <w:sz w:val="20"/>
                <w:szCs w:val="20"/>
              </w:rPr>
              <w:t xml:space="preserve"> (Ont.) (Civil) (By Leave)</w:t>
            </w:r>
          </w:p>
          <w:p w:rsidR="00BA75E9" w:rsidRPr="00A73D2C" w:rsidRDefault="00BA75E9" w:rsidP="00370584">
            <w:pPr>
              <w:jc w:val="both"/>
              <w:rPr>
                <w:sz w:val="20"/>
                <w:szCs w:val="20"/>
              </w:rPr>
            </w:pPr>
          </w:p>
        </w:tc>
      </w:tr>
      <w:tr w:rsidR="00BA75E9" w:rsidRPr="00A73D2C" w:rsidTr="00370584">
        <w:trPr>
          <w:cantSplit/>
        </w:trPr>
        <w:tc>
          <w:tcPr>
            <w:tcW w:w="1458" w:type="dxa"/>
          </w:tcPr>
          <w:p w:rsidR="00BA75E9" w:rsidRPr="00A73D2C" w:rsidRDefault="00BA75E9" w:rsidP="00370584">
            <w:pPr>
              <w:rPr>
                <w:sz w:val="20"/>
                <w:szCs w:val="20"/>
              </w:rPr>
            </w:pPr>
            <w:r w:rsidRPr="00A73D2C">
              <w:rPr>
                <w:sz w:val="20"/>
                <w:szCs w:val="20"/>
              </w:rPr>
              <w:t>Coram :</w:t>
            </w:r>
          </w:p>
        </w:tc>
        <w:tc>
          <w:tcPr>
            <w:tcW w:w="8118" w:type="dxa"/>
          </w:tcPr>
          <w:p w:rsidR="00BA75E9" w:rsidRPr="00A73D2C" w:rsidRDefault="00BA75E9" w:rsidP="00370584">
            <w:pPr>
              <w:rPr>
                <w:sz w:val="20"/>
                <w:szCs w:val="20"/>
              </w:rPr>
            </w:pPr>
            <w:r w:rsidRPr="00A73D2C">
              <w:rPr>
                <w:rStyle w:val="SCCCoramChar"/>
                <w:sz w:val="20"/>
                <w:szCs w:val="20"/>
                <w:lang w:val="en-CA"/>
              </w:rPr>
              <w:t>LeBel, Karakatsanis and Wagner JJ.</w:t>
            </w:r>
          </w:p>
          <w:p w:rsidR="00BA75E9" w:rsidRPr="00A73D2C" w:rsidRDefault="00BA75E9" w:rsidP="00370584">
            <w:pPr>
              <w:rPr>
                <w:sz w:val="20"/>
                <w:szCs w:val="20"/>
                <w:u w:val="single"/>
              </w:rPr>
            </w:pPr>
          </w:p>
        </w:tc>
      </w:tr>
      <w:tr w:rsidR="00BA75E9" w:rsidRPr="00370584" w:rsidTr="00370584">
        <w:trPr>
          <w:cantSplit/>
        </w:trPr>
        <w:tc>
          <w:tcPr>
            <w:tcW w:w="9576" w:type="dxa"/>
            <w:gridSpan w:val="2"/>
          </w:tcPr>
          <w:p w:rsidR="00BA75E9" w:rsidRPr="00A73D2C" w:rsidRDefault="00BA75E9" w:rsidP="00370584">
            <w:pPr>
              <w:pStyle w:val="SCCShortJudgment"/>
              <w:rPr>
                <w:szCs w:val="20"/>
              </w:rPr>
            </w:pPr>
            <w:r w:rsidRPr="00A73D2C">
              <w:rPr>
                <w:szCs w:val="20"/>
              </w:rPr>
              <w:t>The application for leave to appeal from the judgment of the Court of Appeal for Ontario, Number M41423, dated January 11, 2013, is dismissed with costs.</w:t>
            </w:r>
          </w:p>
          <w:p w:rsidR="00BA75E9" w:rsidRPr="00A73D2C" w:rsidRDefault="00BA75E9" w:rsidP="00370584">
            <w:pPr>
              <w:pStyle w:val="SCCShortJudgment"/>
              <w:ind w:firstLine="0"/>
              <w:rPr>
                <w:szCs w:val="20"/>
              </w:rPr>
            </w:pPr>
          </w:p>
          <w:p w:rsidR="00BA75E9" w:rsidRPr="00A73D2C" w:rsidRDefault="00BA75E9" w:rsidP="00370584">
            <w:pPr>
              <w:pStyle w:val="SCCShortJudgment"/>
              <w:rPr>
                <w:szCs w:val="20"/>
                <w:lang w:val="fr-CA"/>
              </w:rPr>
            </w:pPr>
            <w:r w:rsidRPr="00A73D2C">
              <w:rPr>
                <w:szCs w:val="20"/>
                <w:lang w:val="fr-CA"/>
              </w:rPr>
              <w:t>La demande d’autorisation d’appel de l’arrêt de la Cour d’appel de l’Ontario, numéro M41423, daté du 11 janvier 2013, est rejetée avec dépens.</w:t>
            </w:r>
          </w:p>
        </w:tc>
      </w:tr>
    </w:tbl>
    <w:p w:rsidR="00BA75E9" w:rsidRPr="0016547E" w:rsidRDefault="00BA75E9" w:rsidP="00BA75E9">
      <w:pPr>
        <w:rPr>
          <w:sz w:val="20"/>
          <w:szCs w:val="20"/>
          <w:lang w:val="fr-CA"/>
        </w:rPr>
      </w:pPr>
    </w:p>
    <w:p w:rsidR="00BA75E9" w:rsidRPr="001B157C" w:rsidRDefault="00BA75E9" w:rsidP="00BA75E9">
      <w:pPr>
        <w:rPr>
          <w:sz w:val="20"/>
          <w:szCs w:val="20"/>
          <w:u w:val="single"/>
        </w:rPr>
      </w:pPr>
      <w:r w:rsidRPr="001B157C">
        <w:rPr>
          <w:sz w:val="20"/>
          <w:szCs w:val="20"/>
          <w:u w:val="single"/>
        </w:rPr>
        <w:t>CASE SUMMARY</w:t>
      </w:r>
    </w:p>
    <w:p w:rsidR="00BA75E9" w:rsidRDefault="00BA75E9" w:rsidP="00BA75E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A75E9" w:rsidRPr="00E007CB" w:rsidTr="00370584">
        <w:tc>
          <w:tcPr>
            <w:tcW w:w="5000" w:type="pct"/>
            <w:gridSpan w:val="3"/>
          </w:tcPr>
          <w:p w:rsidR="00BA75E9" w:rsidRPr="00E007CB" w:rsidRDefault="00BA75E9" w:rsidP="00370584">
            <w:pPr>
              <w:jc w:val="both"/>
              <w:rPr>
                <w:sz w:val="20"/>
              </w:rPr>
            </w:pPr>
            <w:r w:rsidRPr="00E007CB">
              <w:rPr>
                <w:sz w:val="20"/>
              </w:rPr>
              <w:t xml:space="preserve">Civil procedure – Case management – Status hearing – Judgments and orders – Summary judgment – Master dismissing Applicant’s defamation action for delay – Whether court of appeal erred in dismissing the plaintiff’s motion for leave to appeal </w:t>
            </w:r>
          </w:p>
        </w:tc>
      </w:tr>
      <w:tr w:rsidR="00BA75E9" w:rsidRPr="00E007CB" w:rsidTr="00370584">
        <w:tc>
          <w:tcPr>
            <w:tcW w:w="5000" w:type="pct"/>
            <w:gridSpan w:val="3"/>
          </w:tcPr>
          <w:p w:rsidR="00BA75E9" w:rsidRPr="00E007CB" w:rsidRDefault="00BA75E9" w:rsidP="00370584">
            <w:pPr>
              <w:jc w:val="both"/>
              <w:rPr>
                <w:sz w:val="20"/>
              </w:rPr>
            </w:pPr>
          </w:p>
        </w:tc>
      </w:tr>
      <w:tr w:rsidR="00BA75E9" w:rsidRPr="00E007CB" w:rsidTr="00370584">
        <w:tc>
          <w:tcPr>
            <w:tcW w:w="5000" w:type="pct"/>
            <w:gridSpan w:val="3"/>
          </w:tcPr>
          <w:p w:rsidR="00BA75E9" w:rsidRPr="00E007CB" w:rsidRDefault="00BA75E9" w:rsidP="00370584">
            <w:pPr>
              <w:jc w:val="both"/>
              <w:rPr>
                <w:sz w:val="20"/>
              </w:rPr>
            </w:pPr>
            <w:r w:rsidRPr="00E007CB">
              <w:rPr>
                <w:sz w:val="20"/>
              </w:rPr>
              <w:t>Mr. Malik was employed by the Respondents as a taxicab driver, but was laid off in September, 2007 after the Respondents received complaints about him that he had propositioned a female passenger.  Mr. Malik brought an action against the Respondents in November, 2007, claiming damages for defamation.  He alleged that the Respondents published false statements about him that he had committed a sexual assault on September 13, 2007, thereby causing him to lose his job and damaging his reputation.  Mr. Malik was charged with assault in December, 2007.  He spent approximately two years defending the charge and was eventually acquitted.  During that time, he did not proceed with his civil action.  Pleadings closed in March, 2008.  A status notice was sent to him and he requested a hearing.  The Respondents requested that he show cause why the action should be permitted to proceed.</w:t>
            </w:r>
          </w:p>
          <w:p w:rsidR="00BA75E9" w:rsidRPr="00E007CB" w:rsidRDefault="00BA75E9" w:rsidP="00370584">
            <w:pPr>
              <w:jc w:val="both"/>
              <w:rPr>
                <w:sz w:val="20"/>
              </w:rPr>
            </w:pPr>
          </w:p>
        </w:tc>
      </w:tr>
      <w:tr w:rsidR="00BA75E9" w:rsidRPr="00E007CB" w:rsidTr="00370584">
        <w:tc>
          <w:tcPr>
            <w:tcW w:w="2427" w:type="pct"/>
          </w:tcPr>
          <w:p w:rsidR="00BA75E9" w:rsidRPr="00E007CB" w:rsidRDefault="00BA75E9" w:rsidP="00370584">
            <w:pPr>
              <w:jc w:val="both"/>
              <w:rPr>
                <w:sz w:val="20"/>
              </w:rPr>
            </w:pPr>
            <w:r w:rsidRPr="00E007CB">
              <w:rPr>
                <w:sz w:val="20"/>
              </w:rPr>
              <w:t>July 22, 2011</w:t>
            </w:r>
          </w:p>
          <w:p w:rsidR="00BA75E9" w:rsidRPr="00E007CB" w:rsidRDefault="00BA75E9" w:rsidP="00370584">
            <w:pPr>
              <w:jc w:val="both"/>
              <w:rPr>
                <w:sz w:val="20"/>
              </w:rPr>
            </w:pPr>
            <w:r w:rsidRPr="00E007CB">
              <w:rPr>
                <w:sz w:val="20"/>
              </w:rPr>
              <w:t>Ontario Superior Court of Justice</w:t>
            </w:r>
          </w:p>
          <w:p w:rsidR="00BA75E9" w:rsidRPr="00E007CB" w:rsidRDefault="00BA75E9" w:rsidP="00370584">
            <w:pPr>
              <w:jc w:val="both"/>
              <w:rPr>
                <w:sz w:val="20"/>
              </w:rPr>
            </w:pPr>
            <w:r w:rsidRPr="00E007CB">
              <w:rPr>
                <w:sz w:val="20"/>
              </w:rPr>
              <w:t>(Master Sproat)</w:t>
            </w:r>
          </w:p>
          <w:p w:rsidR="00BA75E9" w:rsidRPr="00E007CB" w:rsidRDefault="00BA75E9" w:rsidP="00370584">
            <w:pPr>
              <w:jc w:val="both"/>
              <w:rPr>
                <w:sz w:val="20"/>
              </w:rPr>
            </w:pPr>
            <w:r w:rsidRPr="00E007CB">
              <w:rPr>
                <w:sz w:val="20"/>
              </w:rPr>
              <w:t>2011 ONSC 4495</w:t>
            </w:r>
          </w:p>
          <w:p w:rsidR="00BA75E9" w:rsidRPr="00E007CB" w:rsidRDefault="00BA75E9" w:rsidP="00370584">
            <w:pPr>
              <w:jc w:val="both"/>
              <w:rPr>
                <w:sz w:val="20"/>
              </w:rPr>
            </w:pPr>
          </w:p>
        </w:tc>
        <w:tc>
          <w:tcPr>
            <w:tcW w:w="243" w:type="pct"/>
          </w:tcPr>
          <w:p w:rsidR="00BA75E9" w:rsidRPr="00E007CB" w:rsidRDefault="00BA75E9" w:rsidP="00370584">
            <w:pPr>
              <w:jc w:val="both"/>
              <w:rPr>
                <w:sz w:val="20"/>
              </w:rPr>
            </w:pPr>
          </w:p>
        </w:tc>
        <w:tc>
          <w:tcPr>
            <w:tcW w:w="2330" w:type="pct"/>
          </w:tcPr>
          <w:p w:rsidR="00BA75E9" w:rsidRPr="00E007CB" w:rsidRDefault="00BA75E9" w:rsidP="00370584">
            <w:pPr>
              <w:jc w:val="both"/>
              <w:rPr>
                <w:sz w:val="20"/>
              </w:rPr>
            </w:pPr>
            <w:r w:rsidRPr="00E007CB">
              <w:rPr>
                <w:sz w:val="20"/>
              </w:rPr>
              <w:t>Applicant’s action dismissed</w:t>
            </w:r>
          </w:p>
          <w:p w:rsidR="00BA75E9" w:rsidRPr="00E007CB" w:rsidRDefault="00BA75E9" w:rsidP="00370584">
            <w:pPr>
              <w:jc w:val="both"/>
              <w:rPr>
                <w:sz w:val="20"/>
              </w:rPr>
            </w:pPr>
          </w:p>
        </w:tc>
      </w:tr>
      <w:tr w:rsidR="00BA75E9" w:rsidRPr="00E007CB" w:rsidTr="00370584">
        <w:tc>
          <w:tcPr>
            <w:tcW w:w="2427" w:type="pct"/>
          </w:tcPr>
          <w:p w:rsidR="00BA75E9" w:rsidRPr="00E007CB" w:rsidRDefault="00BA75E9" w:rsidP="00370584">
            <w:pPr>
              <w:jc w:val="both"/>
              <w:rPr>
                <w:sz w:val="20"/>
              </w:rPr>
            </w:pPr>
            <w:r w:rsidRPr="00E007CB">
              <w:rPr>
                <w:sz w:val="20"/>
              </w:rPr>
              <w:t>May 15, 2012</w:t>
            </w:r>
          </w:p>
          <w:p w:rsidR="00BA75E9" w:rsidRPr="00E007CB" w:rsidRDefault="00BA75E9" w:rsidP="00370584">
            <w:pPr>
              <w:jc w:val="both"/>
              <w:rPr>
                <w:sz w:val="20"/>
              </w:rPr>
            </w:pPr>
            <w:r w:rsidRPr="00E007CB">
              <w:rPr>
                <w:sz w:val="20"/>
              </w:rPr>
              <w:t>Ontario Superior Court of Justice</w:t>
            </w:r>
          </w:p>
          <w:p w:rsidR="00BA75E9" w:rsidRPr="00E007CB" w:rsidRDefault="00BA75E9" w:rsidP="00370584">
            <w:pPr>
              <w:jc w:val="both"/>
              <w:rPr>
                <w:sz w:val="20"/>
              </w:rPr>
            </w:pPr>
            <w:r w:rsidRPr="00E007CB">
              <w:rPr>
                <w:sz w:val="20"/>
              </w:rPr>
              <w:t>(Jennings J.)</w:t>
            </w:r>
          </w:p>
          <w:p w:rsidR="00BA75E9" w:rsidRPr="00E007CB" w:rsidRDefault="00BA75E9" w:rsidP="00370584">
            <w:pPr>
              <w:jc w:val="both"/>
              <w:rPr>
                <w:sz w:val="20"/>
              </w:rPr>
            </w:pPr>
            <w:r w:rsidRPr="00E007CB">
              <w:rPr>
                <w:sz w:val="20"/>
              </w:rPr>
              <w:t>2012 ONSC 2887</w:t>
            </w:r>
          </w:p>
          <w:p w:rsidR="00BA75E9" w:rsidRPr="00E007CB" w:rsidRDefault="00BA75E9" w:rsidP="00370584">
            <w:pPr>
              <w:jc w:val="both"/>
              <w:rPr>
                <w:sz w:val="20"/>
              </w:rPr>
            </w:pPr>
          </w:p>
        </w:tc>
        <w:tc>
          <w:tcPr>
            <w:tcW w:w="243" w:type="pct"/>
          </w:tcPr>
          <w:p w:rsidR="00BA75E9" w:rsidRPr="00E007CB" w:rsidRDefault="00BA75E9" w:rsidP="00370584">
            <w:pPr>
              <w:jc w:val="both"/>
              <w:rPr>
                <w:sz w:val="20"/>
              </w:rPr>
            </w:pPr>
          </w:p>
        </w:tc>
        <w:tc>
          <w:tcPr>
            <w:tcW w:w="2330" w:type="pct"/>
          </w:tcPr>
          <w:p w:rsidR="00BA75E9" w:rsidRPr="00E007CB" w:rsidRDefault="00BA75E9" w:rsidP="00370584">
            <w:pPr>
              <w:jc w:val="both"/>
              <w:rPr>
                <w:sz w:val="20"/>
              </w:rPr>
            </w:pPr>
            <w:r w:rsidRPr="00E007CB">
              <w:rPr>
                <w:sz w:val="20"/>
              </w:rPr>
              <w:t>Applicant’s appeal dismissed</w:t>
            </w:r>
          </w:p>
          <w:p w:rsidR="00BA75E9" w:rsidRPr="00E007CB" w:rsidRDefault="00BA75E9" w:rsidP="00370584">
            <w:pPr>
              <w:jc w:val="both"/>
              <w:rPr>
                <w:sz w:val="20"/>
              </w:rPr>
            </w:pPr>
          </w:p>
        </w:tc>
      </w:tr>
      <w:tr w:rsidR="00BA75E9" w:rsidRPr="00E007CB" w:rsidTr="00370584">
        <w:tc>
          <w:tcPr>
            <w:tcW w:w="2427" w:type="pct"/>
          </w:tcPr>
          <w:p w:rsidR="00BA75E9" w:rsidRPr="00E007CB" w:rsidRDefault="00BA75E9" w:rsidP="00370584">
            <w:pPr>
              <w:jc w:val="both"/>
              <w:rPr>
                <w:sz w:val="20"/>
              </w:rPr>
            </w:pPr>
            <w:r w:rsidRPr="00E007CB">
              <w:rPr>
                <w:sz w:val="20"/>
              </w:rPr>
              <w:t>January 11, 2013</w:t>
            </w:r>
          </w:p>
          <w:p w:rsidR="00BA75E9" w:rsidRPr="00E007CB" w:rsidRDefault="00BA75E9" w:rsidP="00370584">
            <w:pPr>
              <w:jc w:val="both"/>
              <w:rPr>
                <w:sz w:val="20"/>
              </w:rPr>
            </w:pPr>
            <w:r w:rsidRPr="00E007CB">
              <w:rPr>
                <w:sz w:val="20"/>
              </w:rPr>
              <w:t>Court of Appeal for Ontario</w:t>
            </w:r>
          </w:p>
          <w:p w:rsidR="00BA75E9" w:rsidRPr="00E007CB" w:rsidRDefault="00BA75E9" w:rsidP="00370584">
            <w:pPr>
              <w:jc w:val="both"/>
              <w:rPr>
                <w:sz w:val="20"/>
              </w:rPr>
            </w:pPr>
            <w:r w:rsidRPr="00E007CB">
              <w:rPr>
                <w:sz w:val="20"/>
              </w:rPr>
              <w:t>(MacPherson, Cronk and Lauwers JJ.A.)</w:t>
            </w:r>
          </w:p>
          <w:p w:rsidR="00BA75E9" w:rsidRPr="00E007CB" w:rsidRDefault="00BA75E9" w:rsidP="00370584">
            <w:pPr>
              <w:jc w:val="both"/>
              <w:rPr>
                <w:sz w:val="20"/>
              </w:rPr>
            </w:pPr>
            <w:r w:rsidRPr="00E007CB">
              <w:rPr>
                <w:sz w:val="20"/>
              </w:rPr>
              <w:t>Unreported</w:t>
            </w:r>
          </w:p>
          <w:p w:rsidR="00BA75E9" w:rsidRPr="00E007CB" w:rsidRDefault="00BA75E9" w:rsidP="00370584">
            <w:pPr>
              <w:jc w:val="both"/>
              <w:rPr>
                <w:sz w:val="20"/>
              </w:rPr>
            </w:pPr>
            <w:r w:rsidRPr="00E007CB">
              <w:rPr>
                <w:sz w:val="20"/>
              </w:rPr>
              <w:t>Docket: M41423</w:t>
            </w:r>
          </w:p>
          <w:p w:rsidR="00BA75E9" w:rsidRPr="00E007CB" w:rsidRDefault="00BA75E9" w:rsidP="00370584">
            <w:pPr>
              <w:jc w:val="both"/>
              <w:rPr>
                <w:sz w:val="20"/>
              </w:rPr>
            </w:pPr>
          </w:p>
        </w:tc>
        <w:tc>
          <w:tcPr>
            <w:tcW w:w="243" w:type="pct"/>
          </w:tcPr>
          <w:p w:rsidR="00BA75E9" w:rsidRPr="00E007CB" w:rsidRDefault="00BA75E9" w:rsidP="00370584">
            <w:pPr>
              <w:jc w:val="both"/>
              <w:rPr>
                <w:sz w:val="20"/>
              </w:rPr>
            </w:pPr>
          </w:p>
        </w:tc>
        <w:tc>
          <w:tcPr>
            <w:tcW w:w="2330" w:type="pct"/>
          </w:tcPr>
          <w:p w:rsidR="00BA75E9" w:rsidRPr="00E007CB" w:rsidRDefault="00BA75E9" w:rsidP="00370584">
            <w:pPr>
              <w:jc w:val="both"/>
              <w:rPr>
                <w:sz w:val="20"/>
              </w:rPr>
            </w:pPr>
            <w:r w:rsidRPr="00E007CB">
              <w:rPr>
                <w:sz w:val="20"/>
              </w:rPr>
              <w:t>Applicant’s appeal dismissed</w:t>
            </w:r>
          </w:p>
          <w:p w:rsidR="00BA75E9" w:rsidRPr="00E007CB" w:rsidRDefault="00BA75E9" w:rsidP="00370584">
            <w:pPr>
              <w:jc w:val="both"/>
              <w:rPr>
                <w:sz w:val="20"/>
              </w:rPr>
            </w:pPr>
          </w:p>
        </w:tc>
      </w:tr>
      <w:tr w:rsidR="00BA75E9" w:rsidRPr="00E007CB" w:rsidTr="00370584">
        <w:tc>
          <w:tcPr>
            <w:tcW w:w="2427" w:type="pct"/>
          </w:tcPr>
          <w:p w:rsidR="00BA75E9" w:rsidRPr="00E007CB" w:rsidRDefault="00BA75E9" w:rsidP="00370584">
            <w:pPr>
              <w:jc w:val="both"/>
              <w:rPr>
                <w:sz w:val="20"/>
              </w:rPr>
            </w:pPr>
            <w:r w:rsidRPr="00E007CB">
              <w:rPr>
                <w:sz w:val="20"/>
              </w:rPr>
              <w:t>March 8, 2013</w:t>
            </w:r>
          </w:p>
          <w:p w:rsidR="00BA75E9" w:rsidRPr="00E007CB" w:rsidRDefault="00BA75E9" w:rsidP="00370584">
            <w:pPr>
              <w:jc w:val="both"/>
              <w:rPr>
                <w:sz w:val="20"/>
              </w:rPr>
            </w:pPr>
            <w:r w:rsidRPr="00E007CB">
              <w:rPr>
                <w:sz w:val="20"/>
              </w:rPr>
              <w:t>Supreme Court of Canada</w:t>
            </w:r>
          </w:p>
        </w:tc>
        <w:tc>
          <w:tcPr>
            <w:tcW w:w="243" w:type="pct"/>
          </w:tcPr>
          <w:p w:rsidR="00BA75E9" w:rsidRPr="00E007CB" w:rsidRDefault="00BA75E9" w:rsidP="00370584">
            <w:pPr>
              <w:jc w:val="both"/>
              <w:rPr>
                <w:sz w:val="20"/>
              </w:rPr>
            </w:pPr>
          </w:p>
        </w:tc>
        <w:tc>
          <w:tcPr>
            <w:tcW w:w="2330" w:type="pct"/>
          </w:tcPr>
          <w:p w:rsidR="00BA75E9" w:rsidRPr="00E007CB" w:rsidRDefault="00BA75E9" w:rsidP="00370584">
            <w:pPr>
              <w:jc w:val="both"/>
              <w:rPr>
                <w:sz w:val="20"/>
              </w:rPr>
            </w:pPr>
            <w:r w:rsidRPr="00E007CB">
              <w:rPr>
                <w:sz w:val="20"/>
              </w:rPr>
              <w:t>Application for leave to appeal filed</w:t>
            </w:r>
          </w:p>
          <w:p w:rsidR="00BA75E9" w:rsidRPr="00E007CB" w:rsidRDefault="00BA75E9" w:rsidP="00370584">
            <w:pPr>
              <w:jc w:val="both"/>
              <w:rPr>
                <w:sz w:val="20"/>
              </w:rPr>
            </w:pPr>
          </w:p>
        </w:tc>
      </w:tr>
    </w:tbl>
    <w:p w:rsidR="00BA75E9" w:rsidRDefault="00BA75E9" w:rsidP="00BA75E9">
      <w:pPr>
        <w:rPr>
          <w:sz w:val="20"/>
          <w:szCs w:val="20"/>
        </w:rPr>
      </w:pPr>
    </w:p>
    <w:p w:rsidR="00BA75E9" w:rsidRPr="00C50A5C" w:rsidRDefault="00B35B95" w:rsidP="00BA75E9">
      <w:pPr>
        <w:rPr>
          <w:sz w:val="20"/>
          <w:szCs w:val="20"/>
        </w:rPr>
      </w:pPr>
      <w:r w:rsidRPr="00B35B95">
        <w:rPr>
          <w:sz w:val="20"/>
          <w:szCs w:val="20"/>
          <w:lang w:val="fr-CA"/>
        </w:rPr>
        <w:pict>
          <v:rect id="_x0000_i1068" style="width:2in;height:1pt" o:hrpct="0" o:hralign="center" o:hrstd="t" o:hrnoshade="t" o:hr="t" fillcolor="black [3213]" stroked="f"/>
        </w:pict>
      </w:r>
    </w:p>
    <w:p w:rsidR="00BA75E9" w:rsidRDefault="00BA75E9" w:rsidP="00BA75E9">
      <w:pPr>
        <w:rPr>
          <w:sz w:val="20"/>
          <w:szCs w:val="20"/>
        </w:rPr>
      </w:pPr>
    </w:p>
    <w:p w:rsidR="00BA75E9" w:rsidRPr="001B157C" w:rsidRDefault="00BA75E9" w:rsidP="00BA75E9">
      <w:pPr>
        <w:rPr>
          <w:sz w:val="20"/>
          <w:szCs w:val="20"/>
          <w:u w:val="single"/>
          <w:lang w:val="fr-CA"/>
        </w:rPr>
      </w:pPr>
      <w:r w:rsidRPr="001B157C">
        <w:rPr>
          <w:sz w:val="20"/>
          <w:szCs w:val="20"/>
          <w:u w:val="single"/>
          <w:lang w:val="fr-CA"/>
        </w:rPr>
        <w:t>RÉSUMÉ DE L’AFFAIRE</w:t>
      </w:r>
    </w:p>
    <w:p w:rsidR="00BA75E9" w:rsidRDefault="00BA75E9" w:rsidP="00BA75E9">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BA75E9" w:rsidRPr="00370584" w:rsidTr="00370584">
        <w:tc>
          <w:tcPr>
            <w:tcW w:w="5000" w:type="pct"/>
            <w:gridSpan w:val="3"/>
          </w:tcPr>
          <w:p w:rsidR="00BA75E9" w:rsidRPr="00E007CB" w:rsidRDefault="00BA75E9" w:rsidP="00370584">
            <w:pPr>
              <w:jc w:val="both"/>
              <w:rPr>
                <w:rFonts w:eastAsia="Calibri"/>
                <w:sz w:val="20"/>
                <w:lang w:val="fr-CA"/>
              </w:rPr>
            </w:pPr>
            <w:r w:rsidRPr="00E007CB">
              <w:rPr>
                <w:rFonts w:eastAsia="Calibri"/>
                <w:sz w:val="20"/>
                <w:lang w:val="fr-CA"/>
              </w:rPr>
              <w:t>Procédure civile – Gestion de l'instance – Audience sur l'état de l'instance – Jugements et ordonnances – Jugement sommaire – Le protonotaire a rejeté l'action en diffamation du demandeur pour cause de retard – La Cour d'appel a-t-elle eu tort de rejeter la motion en autorisation d'appel du demandeur?</w:t>
            </w:r>
          </w:p>
        </w:tc>
      </w:tr>
      <w:tr w:rsidR="00BA75E9" w:rsidRPr="00370584" w:rsidTr="00370584">
        <w:tc>
          <w:tcPr>
            <w:tcW w:w="5000" w:type="pct"/>
            <w:gridSpan w:val="3"/>
          </w:tcPr>
          <w:p w:rsidR="00BA75E9" w:rsidRPr="00E007CB" w:rsidRDefault="00BA75E9" w:rsidP="00370584">
            <w:pPr>
              <w:jc w:val="both"/>
              <w:rPr>
                <w:rFonts w:eastAsia="Calibri"/>
                <w:sz w:val="20"/>
                <w:lang w:val="fr-CA"/>
              </w:rPr>
            </w:pPr>
          </w:p>
        </w:tc>
      </w:tr>
      <w:tr w:rsidR="00BA75E9" w:rsidRPr="00370584" w:rsidTr="00370584">
        <w:tc>
          <w:tcPr>
            <w:tcW w:w="5000" w:type="pct"/>
            <w:gridSpan w:val="3"/>
          </w:tcPr>
          <w:p w:rsidR="00BA75E9" w:rsidRPr="00E007CB" w:rsidRDefault="00BA75E9" w:rsidP="00370584">
            <w:pPr>
              <w:jc w:val="both"/>
              <w:rPr>
                <w:rFonts w:eastAsia="Calibri"/>
                <w:sz w:val="20"/>
                <w:lang w:val="fr-CA"/>
              </w:rPr>
            </w:pPr>
            <w:r w:rsidRPr="00E007CB">
              <w:rPr>
                <w:rFonts w:eastAsia="Calibri"/>
                <w:sz w:val="20"/>
                <w:lang w:val="fr-CA"/>
              </w:rPr>
              <w:t>Monsieur Malik était au service des intimés comme chauffeur de taxi, mais il a été congédié en septembre 2007 après que les intimés ont reçu des plaintes à son sujet comme quoi il avait fait des avances à une passagère.  En novembre 2007, M. Malik a intenté contre les intimés une action en dommages-intérêts pour diffamation.  Il a allégué que les intimés avaient publié de fausses déclarations à son sujet comme quoi il avait commis une agression sexuelle le 13 septembre 2007, ce qui a mené à son congédiement et a porté atteinte à sa réputation.  Monsieur Malik a été accusé de voies de fait en décembre 2007.  Il a passé environ deux ans à se défendre contre l'accusation et a fini par être acquitté.  Pendant cette période, il n'a pas poursuivi son action civile.  La procédure écrite a été close en mars 2008.  Un avis d'état de l'instance lui a été envoyé et il a demandé une audience.  Les intimés ont demandé qu'il expose les raisons pour lesquelles il devrait être autorisé à poursuivre l'action.</w:t>
            </w:r>
          </w:p>
          <w:p w:rsidR="00BA75E9" w:rsidRPr="00E007CB" w:rsidRDefault="00BA75E9" w:rsidP="00370584">
            <w:pPr>
              <w:jc w:val="both"/>
              <w:rPr>
                <w:rFonts w:eastAsia="Calibri"/>
                <w:sz w:val="20"/>
                <w:lang w:val="fr-CA"/>
              </w:rPr>
            </w:pPr>
          </w:p>
        </w:tc>
      </w:tr>
      <w:tr w:rsidR="00BA75E9" w:rsidRPr="00E007CB" w:rsidTr="00370584">
        <w:trPr>
          <w:cantSplit/>
        </w:trPr>
        <w:tc>
          <w:tcPr>
            <w:tcW w:w="2427" w:type="pct"/>
          </w:tcPr>
          <w:p w:rsidR="00BA75E9" w:rsidRPr="00E007CB" w:rsidRDefault="00BA75E9" w:rsidP="00370584">
            <w:pPr>
              <w:jc w:val="both"/>
              <w:rPr>
                <w:rFonts w:eastAsia="Calibri"/>
                <w:sz w:val="20"/>
                <w:lang w:val="fr-CA"/>
              </w:rPr>
            </w:pPr>
            <w:r w:rsidRPr="00E007CB">
              <w:rPr>
                <w:rFonts w:eastAsia="Calibri"/>
                <w:sz w:val="20"/>
                <w:lang w:val="fr-CA"/>
              </w:rPr>
              <w:lastRenderedPageBreak/>
              <w:t>22 juillet 2011</w:t>
            </w:r>
          </w:p>
          <w:p w:rsidR="00BA75E9" w:rsidRPr="00E007CB" w:rsidRDefault="00BA75E9" w:rsidP="00370584">
            <w:pPr>
              <w:jc w:val="both"/>
              <w:rPr>
                <w:rFonts w:eastAsia="Calibri"/>
                <w:sz w:val="20"/>
                <w:lang w:val="fr-CA"/>
              </w:rPr>
            </w:pPr>
            <w:r w:rsidRPr="00E007CB">
              <w:rPr>
                <w:rFonts w:eastAsia="Calibri"/>
                <w:sz w:val="20"/>
                <w:lang w:val="fr-CA"/>
              </w:rPr>
              <w:t xml:space="preserve">Cour supérieure de justice de l'Ontario </w:t>
            </w:r>
          </w:p>
          <w:p w:rsidR="00BA75E9" w:rsidRPr="00E007CB" w:rsidRDefault="00BA75E9" w:rsidP="00370584">
            <w:pPr>
              <w:jc w:val="both"/>
              <w:rPr>
                <w:rFonts w:eastAsia="Calibri"/>
                <w:sz w:val="20"/>
                <w:lang w:val="fr-CA"/>
              </w:rPr>
            </w:pPr>
            <w:r w:rsidRPr="00E007CB">
              <w:rPr>
                <w:rFonts w:eastAsia="Calibri"/>
                <w:sz w:val="20"/>
                <w:lang w:val="fr-CA"/>
              </w:rPr>
              <w:t>(Protonotaire Sproat)</w:t>
            </w:r>
          </w:p>
          <w:p w:rsidR="00BA75E9" w:rsidRPr="00E007CB" w:rsidRDefault="00BA75E9" w:rsidP="00370584">
            <w:pPr>
              <w:jc w:val="both"/>
              <w:rPr>
                <w:rFonts w:eastAsia="Calibri"/>
                <w:sz w:val="20"/>
                <w:lang w:val="fr-CA"/>
              </w:rPr>
            </w:pPr>
            <w:r w:rsidRPr="00E007CB">
              <w:rPr>
                <w:rFonts w:eastAsia="Calibri"/>
                <w:sz w:val="20"/>
                <w:lang w:val="fr-CA"/>
              </w:rPr>
              <w:t>2011 ONSC 4495</w:t>
            </w:r>
          </w:p>
          <w:p w:rsidR="00BA75E9" w:rsidRPr="00E007CB" w:rsidRDefault="00BA75E9" w:rsidP="00370584">
            <w:pPr>
              <w:jc w:val="both"/>
              <w:rPr>
                <w:rFonts w:eastAsia="Calibri"/>
                <w:sz w:val="20"/>
                <w:lang w:val="fr-CA"/>
              </w:rPr>
            </w:pPr>
          </w:p>
        </w:tc>
        <w:tc>
          <w:tcPr>
            <w:tcW w:w="243" w:type="pct"/>
          </w:tcPr>
          <w:p w:rsidR="00BA75E9" w:rsidRPr="00E007CB" w:rsidRDefault="00BA75E9" w:rsidP="00370584">
            <w:pPr>
              <w:jc w:val="both"/>
              <w:rPr>
                <w:rFonts w:eastAsia="Calibri"/>
                <w:sz w:val="20"/>
                <w:lang w:val="fr-CA"/>
              </w:rPr>
            </w:pPr>
          </w:p>
        </w:tc>
        <w:tc>
          <w:tcPr>
            <w:tcW w:w="2330" w:type="pct"/>
          </w:tcPr>
          <w:p w:rsidR="00BA75E9" w:rsidRPr="00E007CB" w:rsidRDefault="00BA75E9" w:rsidP="00370584">
            <w:pPr>
              <w:jc w:val="both"/>
              <w:rPr>
                <w:rFonts w:eastAsia="Calibri"/>
                <w:sz w:val="20"/>
                <w:lang w:val="fr-CA"/>
              </w:rPr>
            </w:pPr>
            <w:r w:rsidRPr="00E007CB">
              <w:rPr>
                <w:rFonts w:eastAsia="Calibri"/>
                <w:sz w:val="20"/>
                <w:lang w:val="fr-CA"/>
              </w:rPr>
              <w:t>Action du demandeur, rejetée</w:t>
            </w:r>
          </w:p>
          <w:p w:rsidR="00BA75E9" w:rsidRPr="00E007CB" w:rsidRDefault="00BA75E9" w:rsidP="00370584">
            <w:pPr>
              <w:jc w:val="both"/>
              <w:rPr>
                <w:rFonts w:eastAsia="Calibri"/>
                <w:sz w:val="20"/>
                <w:lang w:val="fr-CA"/>
              </w:rPr>
            </w:pPr>
          </w:p>
        </w:tc>
      </w:tr>
      <w:tr w:rsidR="00BA75E9" w:rsidRPr="00E007CB" w:rsidTr="00370584">
        <w:trPr>
          <w:cantSplit/>
        </w:trPr>
        <w:tc>
          <w:tcPr>
            <w:tcW w:w="2427" w:type="pct"/>
          </w:tcPr>
          <w:p w:rsidR="00BA75E9" w:rsidRPr="00E007CB" w:rsidRDefault="00BA75E9" w:rsidP="00370584">
            <w:pPr>
              <w:jc w:val="both"/>
              <w:rPr>
                <w:rFonts w:eastAsia="Calibri"/>
                <w:sz w:val="20"/>
                <w:lang w:val="fr-CA"/>
              </w:rPr>
            </w:pPr>
            <w:r w:rsidRPr="00E007CB">
              <w:rPr>
                <w:rFonts w:eastAsia="Calibri"/>
                <w:sz w:val="20"/>
                <w:lang w:val="fr-CA"/>
              </w:rPr>
              <w:t>15 mai 2012</w:t>
            </w:r>
          </w:p>
          <w:p w:rsidR="00BA75E9" w:rsidRPr="00E007CB" w:rsidRDefault="00BA75E9" w:rsidP="00370584">
            <w:pPr>
              <w:jc w:val="both"/>
              <w:rPr>
                <w:rFonts w:eastAsia="Calibri"/>
                <w:sz w:val="20"/>
                <w:lang w:val="fr-CA"/>
              </w:rPr>
            </w:pPr>
            <w:r w:rsidRPr="00E007CB">
              <w:rPr>
                <w:rFonts w:eastAsia="Calibri"/>
                <w:sz w:val="20"/>
                <w:lang w:val="fr-CA"/>
              </w:rPr>
              <w:t xml:space="preserve">Cour supérieure de justice de l'Ontario </w:t>
            </w:r>
          </w:p>
          <w:p w:rsidR="00BA75E9" w:rsidRPr="00E007CB" w:rsidRDefault="00BA75E9" w:rsidP="00370584">
            <w:pPr>
              <w:jc w:val="both"/>
              <w:rPr>
                <w:rFonts w:eastAsia="Calibri"/>
                <w:sz w:val="20"/>
                <w:lang w:val="fr-CA"/>
              </w:rPr>
            </w:pPr>
            <w:r w:rsidRPr="00E007CB">
              <w:rPr>
                <w:rFonts w:eastAsia="Calibri"/>
                <w:sz w:val="20"/>
                <w:lang w:val="fr-CA"/>
              </w:rPr>
              <w:t>(Juge Jennings)</w:t>
            </w:r>
          </w:p>
          <w:p w:rsidR="00BA75E9" w:rsidRPr="00E007CB" w:rsidRDefault="00BA75E9" w:rsidP="00370584">
            <w:pPr>
              <w:jc w:val="both"/>
              <w:rPr>
                <w:rFonts w:eastAsia="Calibri"/>
                <w:sz w:val="20"/>
                <w:lang w:val="fr-CA"/>
              </w:rPr>
            </w:pPr>
            <w:r w:rsidRPr="00E007CB">
              <w:rPr>
                <w:rFonts w:eastAsia="Calibri"/>
                <w:sz w:val="20"/>
                <w:lang w:val="fr-CA"/>
              </w:rPr>
              <w:t>2012 ONSC 2887</w:t>
            </w:r>
          </w:p>
          <w:p w:rsidR="00BA75E9" w:rsidRPr="00E007CB" w:rsidRDefault="00BA75E9" w:rsidP="00370584">
            <w:pPr>
              <w:jc w:val="both"/>
              <w:rPr>
                <w:rFonts w:eastAsia="Calibri"/>
                <w:sz w:val="20"/>
                <w:lang w:val="fr-CA"/>
              </w:rPr>
            </w:pPr>
          </w:p>
        </w:tc>
        <w:tc>
          <w:tcPr>
            <w:tcW w:w="243" w:type="pct"/>
          </w:tcPr>
          <w:p w:rsidR="00BA75E9" w:rsidRPr="00E007CB" w:rsidRDefault="00BA75E9" w:rsidP="00370584">
            <w:pPr>
              <w:jc w:val="both"/>
              <w:rPr>
                <w:rFonts w:eastAsia="Calibri"/>
                <w:sz w:val="20"/>
                <w:lang w:val="fr-CA"/>
              </w:rPr>
            </w:pPr>
          </w:p>
        </w:tc>
        <w:tc>
          <w:tcPr>
            <w:tcW w:w="2330" w:type="pct"/>
          </w:tcPr>
          <w:p w:rsidR="00BA75E9" w:rsidRPr="00E007CB" w:rsidRDefault="00BA75E9" w:rsidP="00370584">
            <w:pPr>
              <w:jc w:val="both"/>
              <w:rPr>
                <w:rFonts w:eastAsia="Calibri"/>
                <w:sz w:val="20"/>
                <w:lang w:val="fr-CA"/>
              </w:rPr>
            </w:pPr>
            <w:r w:rsidRPr="00E007CB">
              <w:rPr>
                <w:rFonts w:eastAsia="Calibri"/>
                <w:sz w:val="20"/>
                <w:lang w:val="fr-CA"/>
              </w:rPr>
              <w:t>Appel du demandeur, rejeté</w:t>
            </w:r>
          </w:p>
          <w:p w:rsidR="00BA75E9" w:rsidRPr="00E007CB" w:rsidRDefault="00BA75E9" w:rsidP="00370584">
            <w:pPr>
              <w:jc w:val="both"/>
              <w:rPr>
                <w:rFonts w:eastAsia="Calibri"/>
                <w:sz w:val="20"/>
                <w:lang w:val="fr-CA"/>
              </w:rPr>
            </w:pPr>
          </w:p>
        </w:tc>
      </w:tr>
      <w:tr w:rsidR="00BA75E9" w:rsidRPr="00E007CB" w:rsidTr="00370584">
        <w:trPr>
          <w:cantSplit/>
        </w:trPr>
        <w:tc>
          <w:tcPr>
            <w:tcW w:w="2427" w:type="pct"/>
          </w:tcPr>
          <w:p w:rsidR="00BA75E9" w:rsidRPr="00E007CB" w:rsidRDefault="00BA75E9" w:rsidP="00370584">
            <w:pPr>
              <w:jc w:val="both"/>
              <w:rPr>
                <w:rFonts w:eastAsia="Calibri"/>
                <w:sz w:val="20"/>
                <w:lang w:val="fr-CA"/>
              </w:rPr>
            </w:pPr>
            <w:r w:rsidRPr="00E007CB">
              <w:rPr>
                <w:rFonts w:eastAsia="Calibri"/>
                <w:sz w:val="20"/>
                <w:lang w:val="fr-CA"/>
              </w:rPr>
              <w:t>11 janvier 2013</w:t>
            </w:r>
          </w:p>
          <w:p w:rsidR="00BA75E9" w:rsidRPr="00E007CB" w:rsidRDefault="00BA75E9" w:rsidP="00370584">
            <w:pPr>
              <w:jc w:val="both"/>
              <w:rPr>
                <w:rFonts w:eastAsia="Calibri"/>
                <w:sz w:val="20"/>
                <w:lang w:val="fr-CA"/>
              </w:rPr>
            </w:pPr>
            <w:r w:rsidRPr="00E007CB">
              <w:rPr>
                <w:rFonts w:eastAsia="Calibri"/>
                <w:sz w:val="20"/>
                <w:lang w:val="fr-CA"/>
              </w:rPr>
              <w:t xml:space="preserve">Cour d'appel de l'Ontario </w:t>
            </w:r>
          </w:p>
          <w:p w:rsidR="00BA75E9" w:rsidRPr="00E007CB" w:rsidRDefault="00BA75E9" w:rsidP="00370584">
            <w:pPr>
              <w:jc w:val="both"/>
              <w:rPr>
                <w:rFonts w:eastAsia="Calibri"/>
                <w:sz w:val="20"/>
                <w:lang w:val="fr-CA"/>
              </w:rPr>
            </w:pPr>
            <w:r w:rsidRPr="00E007CB">
              <w:rPr>
                <w:rFonts w:eastAsia="Calibri"/>
                <w:sz w:val="20"/>
                <w:lang w:val="fr-CA"/>
              </w:rPr>
              <w:t>(Juges MacPherson, Cronk et Lauwers)</w:t>
            </w:r>
          </w:p>
          <w:p w:rsidR="00BA75E9" w:rsidRPr="00E007CB" w:rsidRDefault="00BA75E9" w:rsidP="00370584">
            <w:pPr>
              <w:jc w:val="both"/>
              <w:rPr>
                <w:rFonts w:eastAsia="Calibri"/>
                <w:sz w:val="20"/>
                <w:lang w:val="fr-CA"/>
              </w:rPr>
            </w:pPr>
            <w:r w:rsidRPr="00E007CB">
              <w:rPr>
                <w:rFonts w:eastAsia="Calibri"/>
                <w:sz w:val="20"/>
                <w:lang w:val="fr-CA"/>
              </w:rPr>
              <w:t xml:space="preserve">Non publié </w:t>
            </w:r>
          </w:p>
          <w:p w:rsidR="00BA75E9" w:rsidRPr="00E007CB" w:rsidRDefault="00BA75E9" w:rsidP="00370584">
            <w:pPr>
              <w:jc w:val="both"/>
              <w:rPr>
                <w:rFonts w:eastAsia="Calibri"/>
                <w:sz w:val="20"/>
                <w:lang w:val="fr-CA"/>
              </w:rPr>
            </w:pPr>
            <w:r w:rsidRPr="00E007CB">
              <w:rPr>
                <w:rFonts w:eastAsia="Calibri"/>
                <w:sz w:val="20"/>
                <w:lang w:val="fr-CA"/>
              </w:rPr>
              <w:t>N</w:t>
            </w:r>
            <w:r w:rsidRPr="00E007CB">
              <w:rPr>
                <w:rFonts w:eastAsia="Calibri"/>
                <w:sz w:val="20"/>
                <w:vertAlign w:val="superscript"/>
                <w:lang w:val="fr-CA"/>
              </w:rPr>
              <w:t>o</w:t>
            </w:r>
            <w:r w:rsidRPr="00E007CB">
              <w:rPr>
                <w:rFonts w:eastAsia="Calibri"/>
                <w:sz w:val="20"/>
                <w:lang w:val="fr-CA"/>
              </w:rPr>
              <w:t xml:space="preserve"> du greffe : M41423</w:t>
            </w:r>
          </w:p>
          <w:p w:rsidR="00BA75E9" w:rsidRPr="00E007CB" w:rsidRDefault="00BA75E9" w:rsidP="00370584">
            <w:pPr>
              <w:jc w:val="both"/>
              <w:rPr>
                <w:rFonts w:eastAsia="Calibri"/>
                <w:sz w:val="20"/>
                <w:lang w:val="fr-CA"/>
              </w:rPr>
            </w:pPr>
          </w:p>
        </w:tc>
        <w:tc>
          <w:tcPr>
            <w:tcW w:w="243" w:type="pct"/>
          </w:tcPr>
          <w:p w:rsidR="00BA75E9" w:rsidRPr="00E007CB" w:rsidRDefault="00BA75E9" w:rsidP="00370584">
            <w:pPr>
              <w:jc w:val="both"/>
              <w:rPr>
                <w:rFonts w:eastAsia="Calibri"/>
                <w:sz w:val="20"/>
                <w:lang w:val="fr-CA"/>
              </w:rPr>
            </w:pPr>
          </w:p>
        </w:tc>
        <w:tc>
          <w:tcPr>
            <w:tcW w:w="2330" w:type="pct"/>
          </w:tcPr>
          <w:p w:rsidR="00BA75E9" w:rsidRPr="00E007CB" w:rsidRDefault="00BA75E9" w:rsidP="00370584">
            <w:pPr>
              <w:jc w:val="both"/>
              <w:rPr>
                <w:rFonts w:eastAsia="Calibri"/>
                <w:sz w:val="20"/>
                <w:lang w:val="fr-CA"/>
              </w:rPr>
            </w:pPr>
            <w:r w:rsidRPr="00E007CB">
              <w:rPr>
                <w:rFonts w:eastAsia="Calibri"/>
                <w:sz w:val="20"/>
                <w:lang w:val="fr-CA"/>
              </w:rPr>
              <w:t>Appel du demandeur, déposé</w:t>
            </w:r>
          </w:p>
          <w:p w:rsidR="00BA75E9" w:rsidRPr="00E007CB" w:rsidRDefault="00BA75E9" w:rsidP="00370584">
            <w:pPr>
              <w:jc w:val="both"/>
              <w:rPr>
                <w:rFonts w:eastAsia="Calibri"/>
                <w:sz w:val="20"/>
                <w:lang w:val="fr-CA"/>
              </w:rPr>
            </w:pPr>
          </w:p>
        </w:tc>
      </w:tr>
      <w:tr w:rsidR="00BA75E9" w:rsidRPr="00E007CB" w:rsidTr="00370584">
        <w:trPr>
          <w:cantSplit/>
        </w:trPr>
        <w:tc>
          <w:tcPr>
            <w:tcW w:w="2427" w:type="pct"/>
          </w:tcPr>
          <w:p w:rsidR="00BA75E9" w:rsidRPr="00E007CB" w:rsidRDefault="00BA75E9" w:rsidP="00370584">
            <w:pPr>
              <w:jc w:val="both"/>
              <w:rPr>
                <w:rFonts w:eastAsia="Calibri"/>
                <w:sz w:val="20"/>
                <w:lang w:val="fr-CA"/>
              </w:rPr>
            </w:pPr>
            <w:r w:rsidRPr="00E007CB">
              <w:rPr>
                <w:rFonts w:eastAsia="Calibri"/>
                <w:sz w:val="20"/>
                <w:lang w:val="fr-CA"/>
              </w:rPr>
              <w:t>8 mars 2013</w:t>
            </w:r>
          </w:p>
          <w:p w:rsidR="00BA75E9" w:rsidRPr="00E007CB" w:rsidRDefault="00BA75E9" w:rsidP="00370584">
            <w:pPr>
              <w:jc w:val="both"/>
              <w:rPr>
                <w:rFonts w:eastAsia="Calibri"/>
                <w:sz w:val="20"/>
                <w:lang w:val="fr-CA"/>
              </w:rPr>
            </w:pPr>
            <w:r w:rsidRPr="00E007CB">
              <w:rPr>
                <w:rFonts w:eastAsia="Calibri"/>
                <w:sz w:val="20"/>
                <w:lang w:val="fr-CA"/>
              </w:rPr>
              <w:t>Cour suprême du Canada</w:t>
            </w:r>
          </w:p>
        </w:tc>
        <w:tc>
          <w:tcPr>
            <w:tcW w:w="243" w:type="pct"/>
          </w:tcPr>
          <w:p w:rsidR="00BA75E9" w:rsidRPr="00E007CB" w:rsidRDefault="00BA75E9" w:rsidP="00370584">
            <w:pPr>
              <w:jc w:val="both"/>
              <w:rPr>
                <w:rFonts w:eastAsia="Calibri"/>
                <w:sz w:val="20"/>
                <w:lang w:val="fr-CA"/>
              </w:rPr>
            </w:pPr>
          </w:p>
        </w:tc>
        <w:tc>
          <w:tcPr>
            <w:tcW w:w="2330" w:type="pct"/>
          </w:tcPr>
          <w:p w:rsidR="00BA75E9" w:rsidRPr="00E007CB" w:rsidRDefault="00BA75E9" w:rsidP="00370584">
            <w:pPr>
              <w:jc w:val="both"/>
              <w:rPr>
                <w:rFonts w:eastAsia="Calibri"/>
                <w:sz w:val="20"/>
                <w:lang w:val="fr-CA"/>
              </w:rPr>
            </w:pPr>
            <w:r w:rsidRPr="00E007CB">
              <w:rPr>
                <w:rFonts w:eastAsia="Calibri"/>
                <w:sz w:val="20"/>
                <w:lang w:val="fr-CA"/>
              </w:rPr>
              <w:t>Demande d’autorisation d’appel, déposée</w:t>
            </w:r>
          </w:p>
          <w:p w:rsidR="00BA75E9" w:rsidRPr="00E007CB" w:rsidRDefault="00BA75E9" w:rsidP="00370584">
            <w:pPr>
              <w:jc w:val="both"/>
              <w:rPr>
                <w:rFonts w:eastAsia="Calibri"/>
                <w:sz w:val="20"/>
                <w:lang w:val="fr-CA"/>
              </w:rPr>
            </w:pPr>
          </w:p>
        </w:tc>
      </w:tr>
    </w:tbl>
    <w:p w:rsidR="00BA75E9" w:rsidRDefault="00BA75E9" w:rsidP="00BA75E9">
      <w:pPr>
        <w:rPr>
          <w:sz w:val="20"/>
          <w:szCs w:val="20"/>
        </w:rPr>
      </w:pPr>
    </w:p>
    <w:p w:rsidR="00BA75E9" w:rsidRDefault="00B35B95" w:rsidP="00BA75E9">
      <w:pPr>
        <w:rPr>
          <w:sz w:val="20"/>
          <w:szCs w:val="20"/>
        </w:rPr>
      </w:pPr>
      <w:r w:rsidRPr="00B35B95">
        <w:rPr>
          <w:sz w:val="20"/>
          <w:szCs w:val="20"/>
          <w:lang w:val="fr-CA"/>
        </w:rPr>
        <w:pict>
          <v:rect id="_x0000_i1069" style="width:2in;height:1pt" o:hrpct="0" o:hralign="center" o:hrstd="t" o:hrnoshade="t" o:hr="t" fillcolor="black [3213]" stroked="f"/>
        </w:pict>
      </w:r>
    </w:p>
    <w:p w:rsidR="00BA75E9" w:rsidRDefault="00BA75E9" w:rsidP="00BA75E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A75E9" w:rsidRPr="004F4AA0" w:rsidTr="00370584">
        <w:trPr>
          <w:cantSplit/>
        </w:trPr>
        <w:tc>
          <w:tcPr>
            <w:tcW w:w="1458" w:type="dxa"/>
          </w:tcPr>
          <w:p w:rsidR="00BA75E9" w:rsidRPr="00A73D2C" w:rsidRDefault="00BA75E9" w:rsidP="00370584">
            <w:pPr>
              <w:rPr>
                <w:sz w:val="20"/>
                <w:szCs w:val="20"/>
              </w:rPr>
            </w:pPr>
            <w:r w:rsidRPr="00A73D2C">
              <w:rPr>
                <w:rStyle w:val="SCCFileNumberChar"/>
                <w:sz w:val="20"/>
                <w:szCs w:val="20"/>
              </w:rPr>
              <w:t>35275</w:t>
            </w:r>
          </w:p>
          <w:p w:rsidR="00BA75E9" w:rsidRPr="00A73D2C" w:rsidRDefault="00BA75E9" w:rsidP="00370584">
            <w:pPr>
              <w:rPr>
                <w:b/>
                <w:sz w:val="20"/>
                <w:szCs w:val="20"/>
                <w:lang w:val="fr-CA"/>
              </w:rPr>
            </w:pPr>
          </w:p>
        </w:tc>
        <w:tc>
          <w:tcPr>
            <w:tcW w:w="8118" w:type="dxa"/>
          </w:tcPr>
          <w:p w:rsidR="00BA75E9" w:rsidRPr="00A73D2C" w:rsidRDefault="00BA75E9" w:rsidP="00370584">
            <w:pPr>
              <w:jc w:val="both"/>
              <w:rPr>
                <w:sz w:val="20"/>
                <w:szCs w:val="20"/>
                <w:lang w:val="fr-CA"/>
              </w:rPr>
            </w:pPr>
            <w:r w:rsidRPr="00A73D2C">
              <w:rPr>
                <w:rStyle w:val="SCCLsocChar"/>
                <w:sz w:val="20"/>
                <w:szCs w:val="20"/>
              </w:rPr>
              <w:t>Royal &amp; Sun Alliance du Canada, Société d'assurances c. C.D. et AXA Assurances Inc.</w:t>
            </w:r>
            <w:r w:rsidRPr="00A73D2C">
              <w:rPr>
                <w:sz w:val="20"/>
                <w:szCs w:val="20"/>
                <w:lang w:val="fr-CA"/>
              </w:rPr>
              <w:t xml:space="preserve"> (Qc) (Civile) (Autorisation)</w:t>
            </w:r>
          </w:p>
          <w:p w:rsidR="00BA75E9" w:rsidRPr="00A73D2C" w:rsidRDefault="00BA75E9" w:rsidP="00370584">
            <w:pPr>
              <w:jc w:val="both"/>
              <w:rPr>
                <w:sz w:val="20"/>
                <w:szCs w:val="20"/>
                <w:lang w:val="fr-CA"/>
              </w:rPr>
            </w:pPr>
          </w:p>
        </w:tc>
      </w:tr>
      <w:tr w:rsidR="00BA75E9" w:rsidRPr="00370584" w:rsidTr="00370584">
        <w:trPr>
          <w:cantSplit/>
        </w:trPr>
        <w:tc>
          <w:tcPr>
            <w:tcW w:w="1458" w:type="dxa"/>
          </w:tcPr>
          <w:p w:rsidR="00BA75E9" w:rsidRPr="00A73D2C" w:rsidRDefault="00BA75E9" w:rsidP="00370584">
            <w:pPr>
              <w:rPr>
                <w:sz w:val="20"/>
                <w:szCs w:val="20"/>
                <w:lang w:val="fr-CA"/>
              </w:rPr>
            </w:pPr>
            <w:r w:rsidRPr="00A73D2C">
              <w:rPr>
                <w:sz w:val="20"/>
                <w:szCs w:val="20"/>
                <w:lang w:val="fr-CA"/>
              </w:rPr>
              <w:t>Coram :</w:t>
            </w:r>
          </w:p>
        </w:tc>
        <w:tc>
          <w:tcPr>
            <w:tcW w:w="8118" w:type="dxa"/>
          </w:tcPr>
          <w:p w:rsidR="00BA75E9" w:rsidRPr="00A73D2C" w:rsidRDefault="00BA75E9" w:rsidP="00370584">
            <w:pPr>
              <w:rPr>
                <w:sz w:val="20"/>
                <w:szCs w:val="20"/>
                <w:lang w:val="fr-CA"/>
              </w:rPr>
            </w:pPr>
            <w:r w:rsidRPr="00A73D2C">
              <w:rPr>
                <w:rStyle w:val="SCCCoramChar"/>
                <w:sz w:val="20"/>
                <w:szCs w:val="20"/>
              </w:rPr>
              <w:t>Les juges LeBel, Karakatsanis et Wagner</w:t>
            </w:r>
          </w:p>
          <w:p w:rsidR="00BA75E9" w:rsidRPr="00A73D2C" w:rsidRDefault="00BA75E9" w:rsidP="00370584">
            <w:pPr>
              <w:rPr>
                <w:sz w:val="20"/>
                <w:szCs w:val="20"/>
                <w:u w:val="single"/>
                <w:lang w:val="fr-CA"/>
              </w:rPr>
            </w:pPr>
          </w:p>
        </w:tc>
      </w:tr>
      <w:tr w:rsidR="00BA75E9" w:rsidRPr="00A73D2C" w:rsidTr="00370584">
        <w:trPr>
          <w:cantSplit/>
        </w:trPr>
        <w:tc>
          <w:tcPr>
            <w:tcW w:w="9576" w:type="dxa"/>
            <w:gridSpan w:val="2"/>
          </w:tcPr>
          <w:p w:rsidR="00BA75E9" w:rsidRPr="00E262D5" w:rsidRDefault="00BA75E9" w:rsidP="00370584">
            <w:pPr>
              <w:pStyle w:val="SCCShortJudgment"/>
              <w:rPr>
                <w:szCs w:val="20"/>
                <w:lang w:val="fr-CA"/>
              </w:rPr>
            </w:pPr>
            <w:r w:rsidRPr="00E262D5">
              <w:rPr>
                <w:szCs w:val="20"/>
                <w:lang w:val="fr-CA"/>
              </w:rPr>
              <w:t>La demande d’autorisation d’appel de l’arrêt de la Cour d’appel du Québec (Montréal), numéro 500-09-021062-104, 2013 QCCA 64, daté du 16 janvier 2013, est rejetée avec dépens en faveur de l’intimée AXA Assurances Inc.</w:t>
            </w:r>
          </w:p>
          <w:p w:rsidR="00BA75E9" w:rsidRPr="00A73D2C" w:rsidRDefault="00BA75E9" w:rsidP="00370584">
            <w:pPr>
              <w:pStyle w:val="SCCShortJudgment"/>
              <w:ind w:firstLine="0"/>
              <w:rPr>
                <w:szCs w:val="20"/>
                <w:lang w:val="fr-CA"/>
              </w:rPr>
            </w:pPr>
          </w:p>
          <w:p w:rsidR="00BA75E9" w:rsidRPr="00A73D2C" w:rsidRDefault="00BA75E9" w:rsidP="00370584">
            <w:pPr>
              <w:pStyle w:val="SCCShortJudgment"/>
              <w:rPr>
                <w:szCs w:val="20"/>
              </w:rPr>
            </w:pPr>
            <w:r w:rsidRPr="00A73D2C">
              <w:rPr>
                <w:szCs w:val="20"/>
              </w:rPr>
              <w:t>The application for leave to appeal from the judgment of the Court of Appeal of Quebec (Montréal), Number 500-09-021062-104, 2013 QCCA 64, dated January 16, 2013, is dismissed with costs to the respondent AXA Insurance Inc.</w:t>
            </w:r>
          </w:p>
        </w:tc>
      </w:tr>
    </w:tbl>
    <w:p w:rsidR="00BA75E9" w:rsidRDefault="00BA75E9" w:rsidP="00BA75E9">
      <w:pPr>
        <w:rPr>
          <w:sz w:val="20"/>
          <w:szCs w:val="20"/>
        </w:rPr>
      </w:pPr>
    </w:p>
    <w:p w:rsidR="00BA75E9" w:rsidRPr="001B157C" w:rsidRDefault="00BA75E9" w:rsidP="00BA75E9">
      <w:pPr>
        <w:rPr>
          <w:sz w:val="20"/>
          <w:szCs w:val="20"/>
          <w:u w:val="single"/>
        </w:rPr>
      </w:pPr>
      <w:r w:rsidRPr="001B157C">
        <w:rPr>
          <w:sz w:val="20"/>
          <w:szCs w:val="20"/>
          <w:u w:val="single"/>
        </w:rPr>
        <w:t>CASE SUMMARY</w:t>
      </w:r>
    </w:p>
    <w:p w:rsidR="00BA75E9" w:rsidRDefault="00BA75E9" w:rsidP="00BA75E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A75E9" w:rsidRPr="00E007CB" w:rsidTr="00370584">
        <w:tc>
          <w:tcPr>
            <w:tcW w:w="5000" w:type="pct"/>
            <w:gridSpan w:val="3"/>
          </w:tcPr>
          <w:p w:rsidR="00BA75E9" w:rsidRPr="00E007CB" w:rsidRDefault="00BA75E9" w:rsidP="00370584">
            <w:pPr>
              <w:jc w:val="both"/>
              <w:rPr>
                <w:rFonts w:eastAsia="Calibri"/>
                <w:smallCaps/>
                <w:sz w:val="20"/>
              </w:rPr>
            </w:pPr>
            <w:r w:rsidRPr="00E007CB">
              <w:rPr>
                <w:rFonts w:eastAsia="Calibri"/>
                <w:smallCaps/>
                <w:sz w:val="20"/>
              </w:rPr>
              <w:t>(Publication Ban in Case) (Publication Ban on Party) (Sealing Order)</w:t>
            </w:r>
          </w:p>
          <w:p w:rsidR="00BA75E9" w:rsidRPr="00E007CB" w:rsidRDefault="00BA75E9" w:rsidP="00370584">
            <w:pPr>
              <w:jc w:val="both"/>
              <w:rPr>
                <w:rFonts w:eastAsia="Calibri"/>
                <w:sz w:val="20"/>
              </w:rPr>
            </w:pPr>
          </w:p>
          <w:p w:rsidR="00BA75E9" w:rsidRPr="00E007CB" w:rsidRDefault="00BA75E9" w:rsidP="00370584">
            <w:pPr>
              <w:jc w:val="both"/>
              <w:rPr>
                <w:rFonts w:eastAsia="Calibri"/>
                <w:sz w:val="20"/>
              </w:rPr>
            </w:pPr>
            <w:r w:rsidRPr="00E007CB">
              <w:rPr>
                <w:rFonts w:eastAsia="Calibri"/>
                <w:sz w:val="20"/>
              </w:rPr>
              <w:t xml:space="preserve">Insurance – Liability insurance – Exclusion clause – Exclusion for damage attributable to intentional fault or criminal act of insured – Whether exclusion clause in insurance contract applies differently depending on whether damage unforeseen by person who caused it is attributable to that person’s intentional fault or criminal act – Whether young offender may waive effects of s. 36 of </w:t>
            </w:r>
            <w:r w:rsidRPr="00E007CB">
              <w:rPr>
                <w:rFonts w:eastAsia="Calibri"/>
                <w:i/>
                <w:sz w:val="20"/>
              </w:rPr>
              <w:t>Young Offenders Act</w:t>
            </w:r>
            <w:r w:rsidRPr="00E007CB">
              <w:rPr>
                <w:rFonts w:eastAsia="Calibri"/>
                <w:sz w:val="20"/>
              </w:rPr>
              <w:t>, R.S.C. 1985, c. Y</w:t>
            </w:r>
            <w:r w:rsidRPr="00E007CB">
              <w:rPr>
                <w:rFonts w:eastAsia="Calibri"/>
                <w:sz w:val="20"/>
              </w:rPr>
              <w:noBreakHyphen/>
              <w:t>1.</w:t>
            </w:r>
          </w:p>
        </w:tc>
      </w:tr>
      <w:tr w:rsidR="00BA75E9" w:rsidRPr="00E007CB" w:rsidTr="00370584">
        <w:tc>
          <w:tcPr>
            <w:tcW w:w="5000" w:type="pct"/>
            <w:gridSpan w:val="3"/>
          </w:tcPr>
          <w:p w:rsidR="00BA75E9" w:rsidRPr="00E007CB" w:rsidRDefault="00BA75E9" w:rsidP="00370584">
            <w:pPr>
              <w:jc w:val="both"/>
              <w:rPr>
                <w:rFonts w:eastAsia="Calibri"/>
                <w:sz w:val="20"/>
              </w:rPr>
            </w:pPr>
          </w:p>
        </w:tc>
      </w:tr>
      <w:tr w:rsidR="00BA75E9" w:rsidRPr="00E007CB" w:rsidTr="00370584">
        <w:tc>
          <w:tcPr>
            <w:tcW w:w="5000" w:type="pct"/>
            <w:gridSpan w:val="3"/>
          </w:tcPr>
          <w:p w:rsidR="00BA75E9" w:rsidRPr="00E007CB" w:rsidRDefault="00BA75E9" w:rsidP="00370584">
            <w:pPr>
              <w:jc w:val="both"/>
              <w:rPr>
                <w:rFonts w:eastAsia="Calibri"/>
                <w:sz w:val="20"/>
              </w:rPr>
            </w:pPr>
            <w:r w:rsidRPr="00E007CB">
              <w:rPr>
                <w:rFonts w:eastAsia="Calibri"/>
                <w:sz w:val="20"/>
              </w:rPr>
              <w:t>In 1998, a fire partially destroyed a shopping centre.  One of those sued by the fire victims’ insurers was the respondent C.D., who had been a 15</w:t>
            </w:r>
            <w:r w:rsidRPr="00E007CB">
              <w:rPr>
                <w:rFonts w:eastAsia="Calibri"/>
                <w:sz w:val="20"/>
              </w:rPr>
              <w:noBreakHyphen/>
              <w:t>year</w:t>
            </w:r>
            <w:r w:rsidRPr="00E007CB">
              <w:rPr>
                <w:rFonts w:eastAsia="Calibri"/>
                <w:sz w:val="20"/>
              </w:rPr>
              <w:noBreakHyphen/>
              <w:t>old minor at the time of the fire.  The insurers argued that he was responsible for the fire because he had intentionally started it using fuel inside a wooden shed 12 to 18 inches from the shopping centre.  The respondent AXA, which was the liability insurer, refused to pay compensation for the damage resulting from C.D.’s fault.  It relied on the clause in the insurance contract providing that [</w:t>
            </w:r>
            <w:r w:rsidRPr="00E007CB">
              <w:rPr>
                <w:rFonts w:eastAsia="Calibri"/>
                <w:smallCaps/>
                <w:sz w:val="20"/>
              </w:rPr>
              <w:t>translation</w:t>
            </w:r>
            <w:r w:rsidRPr="00E007CB">
              <w:rPr>
                <w:rFonts w:eastAsia="Calibri"/>
                <w:sz w:val="20"/>
              </w:rPr>
              <w:t>] “[d]amage attributable to the criminal acts or intentional fault of an insured” was excluded from the insurance coverage.</w:t>
            </w:r>
          </w:p>
          <w:p w:rsidR="00BA75E9" w:rsidRPr="00E007CB" w:rsidRDefault="00BA75E9" w:rsidP="00370584">
            <w:pPr>
              <w:jc w:val="both"/>
              <w:rPr>
                <w:rFonts w:eastAsia="Calibri"/>
                <w:sz w:val="20"/>
              </w:rPr>
            </w:pPr>
          </w:p>
          <w:p w:rsidR="00BA75E9" w:rsidRPr="00E007CB" w:rsidRDefault="00BA75E9" w:rsidP="00370584">
            <w:pPr>
              <w:jc w:val="both"/>
              <w:rPr>
                <w:rFonts w:eastAsia="Calibri"/>
                <w:sz w:val="20"/>
              </w:rPr>
            </w:pPr>
            <w:r w:rsidRPr="00E007CB">
              <w:rPr>
                <w:rFonts w:eastAsia="Calibri"/>
                <w:sz w:val="20"/>
              </w:rPr>
              <w:lastRenderedPageBreak/>
              <w:t>Richer J. of the Superior Court noted that the evidence showed that C.D. had committed a criminal act, namely setting fire to the commercial building while endangering human life.  She found the exclusion clause applicable.  The Court of Appeal dismissed the appeal of the fire victims’ insurers.  It was of the opinion that the criminal acts exclusion clause applied and that, in any event, the intentional fault exclusion also applied in light of the finding that, when he set fire to the shed, C.D. had realized or could not have been unaware that a fire at the shopping centre was a possibility.</w:t>
            </w:r>
          </w:p>
          <w:p w:rsidR="00BA75E9" w:rsidRPr="00E007CB" w:rsidRDefault="00BA75E9" w:rsidP="00370584">
            <w:pPr>
              <w:jc w:val="both"/>
              <w:rPr>
                <w:rFonts w:eastAsia="Calibri"/>
                <w:sz w:val="20"/>
              </w:rPr>
            </w:pPr>
          </w:p>
        </w:tc>
      </w:tr>
      <w:tr w:rsidR="00BA75E9" w:rsidRPr="00E007CB" w:rsidTr="00370584">
        <w:tc>
          <w:tcPr>
            <w:tcW w:w="2427" w:type="pct"/>
          </w:tcPr>
          <w:p w:rsidR="00BA75E9" w:rsidRPr="00E007CB" w:rsidRDefault="00BA75E9" w:rsidP="00370584">
            <w:pPr>
              <w:jc w:val="both"/>
              <w:rPr>
                <w:rFonts w:eastAsia="Calibri"/>
                <w:sz w:val="20"/>
              </w:rPr>
            </w:pPr>
            <w:r w:rsidRPr="00E007CB">
              <w:rPr>
                <w:rFonts w:eastAsia="Calibri"/>
                <w:sz w:val="20"/>
              </w:rPr>
              <w:lastRenderedPageBreak/>
              <w:t>September 8, 2010</w:t>
            </w:r>
          </w:p>
          <w:p w:rsidR="00BA75E9" w:rsidRPr="00E007CB" w:rsidRDefault="00BA75E9" w:rsidP="00370584">
            <w:pPr>
              <w:jc w:val="both"/>
              <w:rPr>
                <w:rFonts w:eastAsia="Calibri"/>
                <w:sz w:val="20"/>
              </w:rPr>
            </w:pPr>
            <w:r w:rsidRPr="00E007CB">
              <w:rPr>
                <w:rFonts w:eastAsia="Calibri"/>
                <w:sz w:val="20"/>
              </w:rPr>
              <w:t>Quebec Superior Court</w:t>
            </w:r>
          </w:p>
          <w:p w:rsidR="00BA75E9" w:rsidRPr="00E007CB" w:rsidRDefault="00BA75E9" w:rsidP="00370584">
            <w:pPr>
              <w:jc w:val="both"/>
              <w:rPr>
                <w:rFonts w:eastAsia="Calibri"/>
                <w:sz w:val="20"/>
              </w:rPr>
            </w:pPr>
            <w:r w:rsidRPr="00E007CB">
              <w:rPr>
                <w:rFonts w:eastAsia="Calibri"/>
                <w:sz w:val="20"/>
              </w:rPr>
              <w:t>(Richer J.)</w:t>
            </w:r>
          </w:p>
          <w:p w:rsidR="00BA75E9" w:rsidRPr="00E007CB" w:rsidRDefault="00BA75E9" w:rsidP="00370584">
            <w:pPr>
              <w:jc w:val="both"/>
              <w:rPr>
                <w:rFonts w:eastAsia="Calibri"/>
                <w:sz w:val="20"/>
              </w:rPr>
            </w:pP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rPr>
            </w:pPr>
            <w:r w:rsidRPr="00E007CB">
              <w:rPr>
                <w:rFonts w:eastAsia="Calibri"/>
                <w:sz w:val="20"/>
              </w:rPr>
              <w:t>Actions allowed in part</w:t>
            </w:r>
          </w:p>
          <w:p w:rsidR="00BA75E9" w:rsidRPr="00E007CB" w:rsidRDefault="00BA75E9" w:rsidP="00370584">
            <w:pPr>
              <w:jc w:val="both"/>
              <w:rPr>
                <w:rFonts w:eastAsia="Calibri"/>
                <w:sz w:val="20"/>
              </w:rPr>
            </w:pPr>
          </w:p>
        </w:tc>
      </w:tr>
      <w:tr w:rsidR="00BA75E9" w:rsidRPr="00E007CB" w:rsidTr="00370584">
        <w:tc>
          <w:tcPr>
            <w:tcW w:w="2427" w:type="pct"/>
          </w:tcPr>
          <w:p w:rsidR="00BA75E9" w:rsidRPr="00E007CB" w:rsidRDefault="00BA75E9" w:rsidP="00370584">
            <w:pPr>
              <w:jc w:val="both"/>
              <w:rPr>
                <w:rFonts w:eastAsia="Calibri"/>
                <w:sz w:val="20"/>
              </w:rPr>
            </w:pPr>
            <w:r w:rsidRPr="00E007CB">
              <w:rPr>
                <w:rFonts w:eastAsia="Calibri"/>
                <w:sz w:val="20"/>
              </w:rPr>
              <w:t>January 16, 2013</w:t>
            </w:r>
          </w:p>
          <w:p w:rsidR="00BA75E9" w:rsidRPr="00E007CB" w:rsidRDefault="00BA75E9" w:rsidP="00370584">
            <w:pPr>
              <w:jc w:val="both"/>
              <w:rPr>
                <w:rFonts w:eastAsia="Calibri"/>
                <w:sz w:val="20"/>
              </w:rPr>
            </w:pPr>
            <w:r w:rsidRPr="00E007CB">
              <w:rPr>
                <w:rFonts w:eastAsia="Calibri"/>
                <w:sz w:val="20"/>
              </w:rPr>
              <w:t>Quebec Court of Appeal (Montréal)</w:t>
            </w:r>
          </w:p>
          <w:p w:rsidR="00BA75E9" w:rsidRPr="00E007CB" w:rsidRDefault="00BA75E9" w:rsidP="00370584">
            <w:pPr>
              <w:jc w:val="both"/>
              <w:rPr>
                <w:rFonts w:eastAsia="Calibri"/>
                <w:sz w:val="20"/>
              </w:rPr>
            </w:pPr>
            <w:r w:rsidRPr="00E007CB">
              <w:rPr>
                <w:rFonts w:eastAsia="Calibri"/>
                <w:sz w:val="20"/>
              </w:rPr>
              <w:t>(Rochette, Dalphond and Bich JJ.A.)</w:t>
            </w:r>
          </w:p>
          <w:p w:rsidR="00BA75E9" w:rsidRPr="00E007CB" w:rsidRDefault="00BA75E9" w:rsidP="00370584">
            <w:pPr>
              <w:jc w:val="both"/>
              <w:rPr>
                <w:rFonts w:eastAsia="Calibri"/>
                <w:sz w:val="20"/>
              </w:rPr>
            </w:pPr>
            <w:r w:rsidRPr="00E007CB">
              <w:rPr>
                <w:rFonts w:eastAsia="Calibri"/>
                <w:sz w:val="20"/>
              </w:rPr>
              <w:t>2013 QCCA 64; 500-09-021062-104</w:t>
            </w:r>
          </w:p>
          <w:p w:rsidR="00BA75E9" w:rsidRPr="00E007CB" w:rsidRDefault="00BA75E9" w:rsidP="00370584">
            <w:pPr>
              <w:jc w:val="both"/>
              <w:rPr>
                <w:rFonts w:eastAsia="Calibri"/>
                <w:sz w:val="20"/>
              </w:rPr>
            </w:pP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rPr>
            </w:pPr>
            <w:r w:rsidRPr="00E007CB">
              <w:rPr>
                <w:rFonts w:eastAsia="Calibri"/>
                <w:sz w:val="20"/>
              </w:rPr>
              <w:t>Appeal dismissed</w:t>
            </w:r>
          </w:p>
          <w:p w:rsidR="00BA75E9" w:rsidRPr="00E007CB" w:rsidRDefault="00BA75E9" w:rsidP="00370584">
            <w:pPr>
              <w:jc w:val="both"/>
              <w:rPr>
                <w:rFonts w:eastAsia="Calibri"/>
                <w:sz w:val="20"/>
              </w:rPr>
            </w:pPr>
          </w:p>
        </w:tc>
      </w:tr>
      <w:tr w:rsidR="00BA75E9" w:rsidRPr="00E007CB" w:rsidTr="00370584">
        <w:tc>
          <w:tcPr>
            <w:tcW w:w="2427" w:type="pct"/>
          </w:tcPr>
          <w:p w:rsidR="00BA75E9" w:rsidRPr="00E007CB" w:rsidRDefault="00BA75E9" w:rsidP="00370584">
            <w:pPr>
              <w:jc w:val="both"/>
              <w:rPr>
                <w:rFonts w:eastAsia="Calibri"/>
                <w:sz w:val="20"/>
              </w:rPr>
            </w:pPr>
            <w:r w:rsidRPr="00E007CB">
              <w:rPr>
                <w:rFonts w:eastAsia="Calibri"/>
                <w:sz w:val="20"/>
              </w:rPr>
              <w:t>March 18, 2013</w:t>
            </w:r>
          </w:p>
          <w:p w:rsidR="00BA75E9" w:rsidRPr="00E007CB" w:rsidRDefault="00BA75E9" w:rsidP="00370584">
            <w:pPr>
              <w:jc w:val="both"/>
              <w:rPr>
                <w:rFonts w:eastAsia="Calibri"/>
                <w:sz w:val="20"/>
              </w:rPr>
            </w:pPr>
            <w:r w:rsidRPr="00E007CB">
              <w:rPr>
                <w:rFonts w:eastAsia="Calibri"/>
                <w:sz w:val="20"/>
              </w:rPr>
              <w:t>Supreme Court of Canada</w:t>
            </w: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rPr>
            </w:pPr>
            <w:r w:rsidRPr="00E007CB">
              <w:rPr>
                <w:rFonts w:eastAsia="Calibri"/>
                <w:sz w:val="20"/>
              </w:rPr>
              <w:t>Application for leave to appeal filed</w:t>
            </w:r>
          </w:p>
          <w:p w:rsidR="00BA75E9" w:rsidRPr="00E007CB" w:rsidRDefault="00BA75E9" w:rsidP="00370584">
            <w:pPr>
              <w:jc w:val="both"/>
              <w:rPr>
                <w:rFonts w:eastAsia="Calibri"/>
                <w:sz w:val="20"/>
              </w:rPr>
            </w:pPr>
          </w:p>
        </w:tc>
      </w:tr>
    </w:tbl>
    <w:p w:rsidR="00BA75E9" w:rsidRDefault="00BA75E9" w:rsidP="00BA75E9">
      <w:pPr>
        <w:rPr>
          <w:sz w:val="20"/>
          <w:szCs w:val="20"/>
        </w:rPr>
      </w:pPr>
    </w:p>
    <w:p w:rsidR="00BA75E9" w:rsidRPr="00C50A5C" w:rsidRDefault="00B35B95" w:rsidP="00BA75E9">
      <w:pPr>
        <w:rPr>
          <w:sz w:val="20"/>
          <w:szCs w:val="20"/>
        </w:rPr>
      </w:pPr>
      <w:r w:rsidRPr="00B35B95">
        <w:rPr>
          <w:sz w:val="20"/>
          <w:szCs w:val="20"/>
          <w:lang w:val="fr-CA"/>
        </w:rPr>
        <w:pict>
          <v:rect id="_x0000_i1070" style="width:2in;height:1pt" o:hrpct="0" o:hralign="center" o:hrstd="t" o:hrnoshade="t" o:hr="t" fillcolor="black [3213]" stroked="f"/>
        </w:pict>
      </w:r>
    </w:p>
    <w:p w:rsidR="00BA75E9" w:rsidRDefault="00BA75E9" w:rsidP="00BA75E9">
      <w:pPr>
        <w:rPr>
          <w:sz w:val="20"/>
          <w:szCs w:val="20"/>
        </w:rPr>
      </w:pPr>
    </w:p>
    <w:p w:rsidR="00BA75E9" w:rsidRPr="001B157C" w:rsidRDefault="00BA75E9" w:rsidP="00BA75E9">
      <w:pPr>
        <w:rPr>
          <w:sz w:val="20"/>
          <w:szCs w:val="20"/>
          <w:u w:val="single"/>
          <w:lang w:val="fr-CA"/>
        </w:rPr>
      </w:pPr>
      <w:r w:rsidRPr="001B157C">
        <w:rPr>
          <w:sz w:val="20"/>
          <w:szCs w:val="20"/>
          <w:u w:val="single"/>
          <w:lang w:val="fr-CA"/>
        </w:rPr>
        <w:t>RÉSUMÉ DE L’AFFAIRE</w:t>
      </w:r>
    </w:p>
    <w:p w:rsidR="00BA75E9" w:rsidRDefault="00BA75E9" w:rsidP="00BA75E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A75E9" w:rsidRPr="00E007CB" w:rsidTr="00370584">
        <w:tc>
          <w:tcPr>
            <w:tcW w:w="5000" w:type="pct"/>
            <w:gridSpan w:val="3"/>
          </w:tcPr>
          <w:p w:rsidR="00BA75E9" w:rsidRPr="00E007CB" w:rsidRDefault="00BA75E9" w:rsidP="00370584">
            <w:pPr>
              <w:jc w:val="both"/>
              <w:rPr>
                <w:rFonts w:eastAsia="Calibri"/>
                <w:smallCaps/>
                <w:sz w:val="20"/>
                <w:lang w:val="fr-CA"/>
              </w:rPr>
            </w:pPr>
            <w:r w:rsidRPr="00E007CB">
              <w:rPr>
                <w:rFonts w:eastAsia="Calibri"/>
                <w:smallCaps/>
                <w:sz w:val="20"/>
                <w:lang w:val="fr-CA"/>
              </w:rPr>
              <w:t>(Ordonnance de non</w:t>
            </w:r>
            <w:r w:rsidRPr="00E007CB">
              <w:rPr>
                <w:rFonts w:eastAsia="Calibri"/>
                <w:smallCaps/>
                <w:sz w:val="20"/>
                <w:lang w:val="fr-CA"/>
              </w:rPr>
              <w:noBreakHyphen/>
              <w:t>publication dans le dossier) (Ordonnance de non</w:t>
            </w:r>
            <w:r w:rsidRPr="00E007CB">
              <w:rPr>
                <w:rFonts w:eastAsia="Calibri"/>
                <w:smallCaps/>
                <w:sz w:val="20"/>
                <w:lang w:val="fr-CA"/>
              </w:rPr>
              <w:noBreakHyphen/>
              <w:t>publication visant une partie) (Ordonnance de mise sous scellés)</w:t>
            </w:r>
          </w:p>
          <w:p w:rsidR="00BA75E9" w:rsidRPr="00E007CB" w:rsidRDefault="00BA75E9" w:rsidP="00370584">
            <w:pPr>
              <w:jc w:val="both"/>
              <w:rPr>
                <w:rFonts w:eastAsia="Calibri"/>
                <w:sz w:val="20"/>
                <w:lang w:val="fr-CA"/>
              </w:rPr>
            </w:pPr>
          </w:p>
          <w:p w:rsidR="00BA75E9" w:rsidRPr="00E007CB" w:rsidRDefault="00BA75E9" w:rsidP="00370584">
            <w:pPr>
              <w:jc w:val="both"/>
              <w:rPr>
                <w:rFonts w:eastAsia="Calibri"/>
                <w:sz w:val="20"/>
                <w:lang w:val="fr-CA"/>
              </w:rPr>
            </w:pPr>
            <w:r w:rsidRPr="00E007CB">
              <w:rPr>
                <w:rFonts w:eastAsia="Calibri"/>
                <w:sz w:val="20"/>
                <w:lang w:val="fr-CA"/>
              </w:rPr>
              <w:t>Assurances – Assurance de responsabilité – Clause d’exclusion – Exclusion pour les dommages imputables à la faute intentionnelle ou à l’acte criminel de l’assuré – La clause d’exclusion contenue dans un contrat d’assurance s’applique</w:t>
            </w:r>
            <w:r w:rsidRPr="00E007CB">
              <w:rPr>
                <w:rFonts w:eastAsia="Calibri"/>
                <w:sz w:val="20"/>
                <w:lang w:val="fr-CA"/>
              </w:rPr>
              <w:noBreakHyphen/>
              <w:t>t</w:t>
            </w:r>
            <w:r w:rsidRPr="00E007CB">
              <w:rPr>
                <w:rFonts w:eastAsia="Calibri"/>
                <w:sz w:val="20"/>
                <w:lang w:val="fr-CA"/>
              </w:rPr>
              <w:noBreakHyphen/>
              <w:t>elle différemment selon que le dommage non prévu par son auteur est imputable à une faute intentionnelle ou à un acte criminel de celui</w:t>
            </w:r>
            <w:r w:rsidRPr="00E007CB">
              <w:rPr>
                <w:rFonts w:eastAsia="Calibri"/>
                <w:sz w:val="20"/>
                <w:lang w:val="fr-CA"/>
              </w:rPr>
              <w:noBreakHyphen/>
              <w:t>ci? – Un jeune contrevenant peut</w:t>
            </w:r>
            <w:r w:rsidRPr="00E007CB">
              <w:rPr>
                <w:rFonts w:eastAsia="Calibri"/>
                <w:sz w:val="20"/>
                <w:lang w:val="fr-CA"/>
              </w:rPr>
              <w:noBreakHyphen/>
              <w:t xml:space="preserve">il renoncer aux effets de l’art. 36 de la </w:t>
            </w:r>
            <w:r w:rsidRPr="00E007CB">
              <w:rPr>
                <w:rFonts w:eastAsia="Calibri"/>
                <w:i/>
                <w:sz w:val="20"/>
                <w:lang w:val="fr-CA"/>
              </w:rPr>
              <w:t>Loi sur les jeunes contrevenants</w:t>
            </w:r>
            <w:r w:rsidRPr="00E007CB">
              <w:rPr>
                <w:rFonts w:eastAsia="Calibri"/>
                <w:sz w:val="20"/>
                <w:lang w:val="fr-CA"/>
              </w:rPr>
              <w:t>, L.R.C. (1985), ch. Y</w:t>
            </w:r>
            <w:r w:rsidRPr="00E007CB">
              <w:rPr>
                <w:rFonts w:eastAsia="Calibri"/>
                <w:sz w:val="20"/>
                <w:lang w:val="fr-CA"/>
              </w:rPr>
              <w:noBreakHyphen/>
              <w:t>1.</w:t>
            </w:r>
          </w:p>
        </w:tc>
      </w:tr>
      <w:tr w:rsidR="00BA75E9" w:rsidRPr="00E007CB" w:rsidTr="00370584">
        <w:tc>
          <w:tcPr>
            <w:tcW w:w="5000" w:type="pct"/>
            <w:gridSpan w:val="3"/>
          </w:tcPr>
          <w:p w:rsidR="00BA75E9" w:rsidRPr="00E007CB" w:rsidRDefault="00BA75E9" w:rsidP="00370584">
            <w:pPr>
              <w:jc w:val="both"/>
              <w:rPr>
                <w:rFonts w:eastAsia="Calibri"/>
                <w:sz w:val="20"/>
                <w:lang w:val="fr-CA"/>
              </w:rPr>
            </w:pPr>
          </w:p>
        </w:tc>
      </w:tr>
      <w:tr w:rsidR="00BA75E9" w:rsidRPr="00370584" w:rsidTr="00370584">
        <w:tc>
          <w:tcPr>
            <w:tcW w:w="5000" w:type="pct"/>
            <w:gridSpan w:val="3"/>
          </w:tcPr>
          <w:p w:rsidR="00BA75E9" w:rsidRPr="00E007CB" w:rsidRDefault="00BA75E9" w:rsidP="00370584">
            <w:pPr>
              <w:jc w:val="both"/>
              <w:rPr>
                <w:rFonts w:eastAsia="Calibri"/>
                <w:sz w:val="20"/>
                <w:lang w:val="fr-CA"/>
              </w:rPr>
            </w:pPr>
            <w:r w:rsidRPr="00E007CB">
              <w:rPr>
                <w:rFonts w:eastAsia="Calibri"/>
                <w:sz w:val="20"/>
                <w:lang w:val="fr-CA"/>
              </w:rPr>
              <w:t>En 1998, un incendie détruit en partie un centre commercial.  Les assureurs des victimes du sinistre poursuivent notamment l’intimé C.D., un mineur de 15 ans au moment de l’incendie.  Ils soutiennent qu’il est responsable de l’incendie pour l’avoir allumé intentionnellement, à l’aide de combustible, à l’intérieur d’un cabanon de bois situé à 12 à 18 pouces du centre commercial.  L’intimée AXA, assureur</w:t>
            </w:r>
            <w:r w:rsidRPr="00E007CB">
              <w:rPr>
                <w:rFonts w:eastAsia="Calibri"/>
                <w:sz w:val="20"/>
                <w:lang w:val="fr-CA"/>
              </w:rPr>
              <w:noBreakHyphen/>
              <w:t>responsabilité refuse d’indemniser les dommages découlant de la faute de C.D.  Elle invoque la clause du contrat d’assurance qui stipule que sont exclus de la couverture d’assurance « [l]es dommages imputables aux actes criminels ou fautes intentionnelles d’un assuré ».</w:t>
            </w:r>
          </w:p>
          <w:p w:rsidR="00BA75E9" w:rsidRPr="00E007CB" w:rsidRDefault="00BA75E9" w:rsidP="00370584">
            <w:pPr>
              <w:jc w:val="both"/>
              <w:rPr>
                <w:rFonts w:eastAsia="Calibri"/>
                <w:sz w:val="20"/>
                <w:lang w:val="fr-CA"/>
              </w:rPr>
            </w:pPr>
          </w:p>
          <w:p w:rsidR="00BA75E9" w:rsidRPr="00E007CB" w:rsidRDefault="00BA75E9" w:rsidP="00370584">
            <w:pPr>
              <w:jc w:val="both"/>
              <w:rPr>
                <w:rFonts w:eastAsia="Calibri"/>
                <w:sz w:val="20"/>
                <w:lang w:val="fr-CA"/>
              </w:rPr>
            </w:pPr>
            <w:r w:rsidRPr="00E007CB">
              <w:rPr>
                <w:rFonts w:eastAsia="Calibri"/>
                <w:sz w:val="20"/>
                <w:lang w:val="fr-CA"/>
              </w:rPr>
              <w:t>La juge Richer de la Cour supérieure constate que la preuve démontre que C.D. avait commis un acte criminel, soit avoir mis le feu à l’immeuble commercial en mettant en danger la vie de personnes.  Elle conclut à l’application de la clause d’exclusion.  La Cour d’appel rejette les appels des assureurs des victimes du sinistre.  Elle estime que la clause d’exclusion visant les actes criminels s’appliquait et qu’à tout événement, l’exclusion pour faute intentionnelle s’appliquait aussi vu la conclusion selon laquelle C.D. réalisait ou ne pouvait ignorer la possibilité de l’incendie du centre commercial lorsqu’il a mis le feu au cabanon.</w:t>
            </w:r>
          </w:p>
          <w:p w:rsidR="00BA75E9" w:rsidRPr="00E007CB" w:rsidRDefault="00BA75E9" w:rsidP="00370584">
            <w:pPr>
              <w:jc w:val="both"/>
              <w:rPr>
                <w:rFonts w:eastAsia="Calibri"/>
                <w:sz w:val="20"/>
                <w:lang w:val="fr-CA"/>
              </w:rPr>
            </w:pPr>
          </w:p>
        </w:tc>
      </w:tr>
      <w:tr w:rsidR="00BA75E9" w:rsidRPr="00E007CB" w:rsidTr="00370584">
        <w:tc>
          <w:tcPr>
            <w:tcW w:w="2427" w:type="pct"/>
          </w:tcPr>
          <w:p w:rsidR="00BA75E9" w:rsidRPr="00E007CB" w:rsidRDefault="00BA75E9" w:rsidP="00370584">
            <w:pPr>
              <w:jc w:val="both"/>
              <w:rPr>
                <w:rFonts w:eastAsia="Calibri"/>
                <w:sz w:val="20"/>
                <w:lang w:val="fr-CA"/>
              </w:rPr>
            </w:pPr>
            <w:r w:rsidRPr="00E007CB">
              <w:rPr>
                <w:rFonts w:eastAsia="Calibri"/>
                <w:sz w:val="20"/>
                <w:lang w:val="fr-CA"/>
              </w:rPr>
              <w:t>Le 8 septembre 2010</w:t>
            </w:r>
          </w:p>
          <w:p w:rsidR="00BA75E9" w:rsidRPr="00E007CB" w:rsidRDefault="00BA75E9" w:rsidP="00370584">
            <w:pPr>
              <w:jc w:val="both"/>
              <w:rPr>
                <w:rFonts w:eastAsia="Calibri"/>
                <w:sz w:val="20"/>
                <w:lang w:val="fr-CA"/>
              </w:rPr>
            </w:pPr>
            <w:r w:rsidRPr="00E007CB">
              <w:rPr>
                <w:rFonts w:eastAsia="Calibri"/>
                <w:sz w:val="20"/>
                <w:lang w:val="fr-CA"/>
              </w:rPr>
              <w:t>Cour supérieure du Québec</w:t>
            </w:r>
          </w:p>
          <w:p w:rsidR="00BA75E9" w:rsidRPr="00E007CB" w:rsidRDefault="00BA75E9" w:rsidP="00370584">
            <w:pPr>
              <w:jc w:val="both"/>
              <w:rPr>
                <w:rFonts w:eastAsia="Calibri"/>
                <w:sz w:val="20"/>
                <w:lang w:val="fr-CA"/>
              </w:rPr>
            </w:pPr>
            <w:r w:rsidRPr="00E007CB">
              <w:rPr>
                <w:rFonts w:eastAsia="Calibri"/>
                <w:sz w:val="20"/>
                <w:lang w:val="fr-CA"/>
              </w:rPr>
              <w:t>(La juge Richer)</w:t>
            </w:r>
          </w:p>
          <w:p w:rsidR="00BA75E9" w:rsidRPr="00E007CB" w:rsidRDefault="00BA75E9" w:rsidP="00370584">
            <w:pPr>
              <w:jc w:val="both"/>
              <w:rPr>
                <w:rFonts w:eastAsia="Calibri"/>
                <w:sz w:val="20"/>
              </w:rPr>
            </w:pP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lang w:val="fr-CA"/>
              </w:rPr>
            </w:pPr>
            <w:r w:rsidRPr="00E007CB">
              <w:rPr>
                <w:rFonts w:eastAsia="Calibri"/>
                <w:sz w:val="20"/>
                <w:lang w:val="fr-CA"/>
              </w:rPr>
              <w:t>Actions accueillies en partie</w:t>
            </w:r>
          </w:p>
          <w:p w:rsidR="00BA75E9" w:rsidRPr="00E007CB" w:rsidRDefault="00BA75E9" w:rsidP="00370584">
            <w:pPr>
              <w:jc w:val="both"/>
              <w:rPr>
                <w:rFonts w:eastAsia="Calibri"/>
                <w:sz w:val="20"/>
                <w:lang w:val="fr-CA"/>
              </w:rPr>
            </w:pPr>
          </w:p>
        </w:tc>
      </w:tr>
      <w:tr w:rsidR="00BA75E9" w:rsidRPr="00E007CB" w:rsidTr="00370584">
        <w:trPr>
          <w:cantSplit/>
        </w:trPr>
        <w:tc>
          <w:tcPr>
            <w:tcW w:w="2427" w:type="pct"/>
          </w:tcPr>
          <w:p w:rsidR="00BA75E9" w:rsidRPr="00E007CB" w:rsidRDefault="00BA75E9" w:rsidP="00370584">
            <w:pPr>
              <w:jc w:val="both"/>
              <w:rPr>
                <w:rFonts w:eastAsia="Calibri"/>
                <w:sz w:val="20"/>
                <w:lang w:val="fr-CA"/>
              </w:rPr>
            </w:pPr>
            <w:r w:rsidRPr="00E007CB">
              <w:rPr>
                <w:rFonts w:eastAsia="Calibri"/>
                <w:sz w:val="20"/>
                <w:lang w:val="fr-CA"/>
              </w:rPr>
              <w:lastRenderedPageBreak/>
              <w:t>Le 16 janvier 2013</w:t>
            </w:r>
          </w:p>
          <w:p w:rsidR="00BA75E9" w:rsidRPr="00E007CB" w:rsidRDefault="00BA75E9" w:rsidP="00370584">
            <w:pPr>
              <w:jc w:val="both"/>
              <w:rPr>
                <w:rFonts w:eastAsia="Calibri"/>
                <w:sz w:val="20"/>
                <w:lang w:val="fr-CA"/>
              </w:rPr>
            </w:pPr>
            <w:r w:rsidRPr="00E007CB">
              <w:rPr>
                <w:rFonts w:eastAsia="Calibri"/>
                <w:sz w:val="20"/>
                <w:lang w:val="fr-CA"/>
              </w:rPr>
              <w:t>Cour d’appel du Québec (Montréal)</w:t>
            </w:r>
          </w:p>
          <w:p w:rsidR="00BA75E9" w:rsidRPr="00E007CB" w:rsidRDefault="00BA75E9" w:rsidP="00370584">
            <w:pPr>
              <w:jc w:val="both"/>
              <w:rPr>
                <w:rFonts w:eastAsia="Calibri"/>
                <w:sz w:val="20"/>
                <w:lang w:val="fr-CA"/>
              </w:rPr>
            </w:pPr>
            <w:r w:rsidRPr="00E007CB">
              <w:rPr>
                <w:rFonts w:eastAsia="Calibri"/>
                <w:sz w:val="20"/>
                <w:lang w:val="fr-CA"/>
              </w:rPr>
              <w:t>(Les juges Rochette, Dalphond et Bich)</w:t>
            </w:r>
          </w:p>
          <w:p w:rsidR="00BA75E9" w:rsidRPr="00E007CB" w:rsidRDefault="00BA75E9" w:rsidP="00370584">
            <w:pPr>
              <w:jc w:val="both"/>
              <w:rPr>
                <w:rFonts w:eastAsia="Calibri"/>
                <w:sz w:val="20"/>
                <w:lang w:val="fr-CA"/>
              </w:rPr>
            </w:pPr>
            <w:r w:rsidRPr="00E007CB">
              <w:rPr>
                <w:rFonts w:eastAsia="Calibri"/>
                <w:sz w:val="20"/>
                <w:lang w:val="fr-CA"/>
              </w:rPr>
              <w:t>2013 QCCA 64; 500</w:t>
            </w:r>
            <w:r w:rsidRPr="00E007CB">
              <w:rPr>
                <w:rFonts w:eastAsia="Calibri"/>
                <w:sz w:val="20"/>
                <w:lang w:val="fr-CA"/>
              </w:rPr>
              <w:noBreakHyphen/>
              <w:t>09</w:t>
            </w:r>
            <w:r w:rsidRPr="00E007CB">
              <w:rPr>
                <w:rFonts w:eastAsia="Calibri"/>
                <w:sz w:val="20"/>
                <w:lang w:val="fr-CA"/>
              </w:rPr>
              <w:noBreakHyphen/>
              <w:t>021062</w:t>
            </w:r>
            <w:r w:rsidRPr="00E007CB">
              <w:rPr>
                <w:rFonts w:eastAsia="Calibri"/>
                <w:sz w:val="20"/>
                <w:lang w:val="fr-CA"/>
              </w:rPr>
              <w:noBreakHyphen/>
              <w:t>104</w:t>
            </w:r>
          </w:p>
          <w:p w:rsidR="00BA75E9" w:rsidRPr="00E007CB" w:rsidRDefault="00BA75E9" w:rsidP="00370584">
            <w:pPr>
              <w:jc w:val="both"/>
              <w:rPr>
                <w:rFonts w:eastAsia="Calibri"/>
                <w:sz w:val="20"/>
              </w:rPr>
            </w:pPr>
          </w:p>
        </w:tc>
        <w:tc>
          <w:tcPr>
            <w:tcW w:w="243" w:type="pct"/>
          </w:tcPr>
          <w:p w:rsidR="00BA75E9" w:rsidRPr="00E007CB" w:rsidRDefault="00BA75E9" w:rsidP="00370584">
            <w:pPr>
              <w:jc w:val="both"/>
              <w:rPr>
                <w:rFonts w:eastAsia="Calibri"/>
                <w:sz w:val="20"/>
              </w:rPr>
            </w:pPr>
          </w:p>
        </w:tc>
        <w:tc>
          <w:tcPr>
            <w:tcW w:w="2330" w:type="pct"/>
          </w:tcPr>
          <w:p w:rsidR="00BA75E9" w:rsidRPr="00E007CB" w:rsidRDefault="00BA75E9" w:rsidP="00370584">
            <w:pPr>
              <w:jc w:val="both"/>
              <w:rPr>
                <w:rFonts w:eastAsia="Calibri"/>
                <w:sz w:val="20"/>
                <w:lang w:val="fr-CA"/>
              </w:rPr>
            </w:pPr>
            <w:r w:rsidRPr="00E007CB">
              <w:rPr>
                <w:rFonts w:eastAsia="Calibri"/>
                <w:sz w:val="20"/>
                <w:lang w:val="fr-CA"/>
              </w:rPr>
              <w:t>Appel rejeté</w:t>
            </w:r>
          </w:p>
          <w:p w:rsidR="00BA75E9" w:rsidRPr="00E007CB" w:rsidRDefault="00BA75E9" w:rsidP="00370584">
            <w:pPr>
              <w:jc w:val="both"/>
              <w:rPr>
                <w:rFonts w:eastAsia="Calibri"/>
                <w:sz w:val="20"/>
                <w:lang w:val="fr-CA"/>
              </w:rPr>
            </w:pPr>
          </w:p>
        </w:tc>
      </w:tr>
      <w:tr w:rsidR="00BA75E9" w:rsidRPr="00E007CB" w:rsidTr="00370584">
        <w:trPr>
          <w:cantSplit/>
        </w:trPr>
        <w:tc>
          <w:tcPr>
            <w:tcW w:w="2427" w:type="pct"/>
          </w:tcPr>
          <w:p w:rsidR="00BA75E9" w:rsidRPr="00E007CB" w:rsidRDefault="00BA75E9" w:rsidP="00370584">
            <w:pPr>
              <w:jc w:val="both"/>
              <w:rPr>
                <w:rFonts w:eastAsia="Calibri"/>
                <w:sz w:val="20"/>
                <w:lang w:val="fr-CA"/>
              </w:rPr>
            </w:pPr>
            <w:r w:rsidRPr="00E007CB">
              <w:rPr>
                <w:rFonts w:eastAsia="Calibri"/>
                <w:sz w:val="20"/>
                <w:lang w:val="fr-CA"/>
              </w:rPr>
              <w:t>Le 18 mars 2013</w:t>
            </w:r>
          </w:p>
          <w:p w:rsidR="00BA75E9" w:rsidRPr="00E007CB" w:rsidRDefault="00BA75E9" w:rsidP="00370584">
            <w:pPr>
              <w:jc w:val="both"/>
              <w:rPr>
                <w:rFonts w:eastAsia="Calibri"/>
                <w:sz w:val="20"/>
                <w:lang w:val="fr-CA"/>
              </w:rPr>
            </w:pPr>
            <w:r w:rsidRPr="00E007CB">
              <w:rPr>
                <w:rFonts w:eastAsia="Calibri"/>
                <w:sz w:val="20"/>
                <w:lang w:val="fr-CA"/>
              </w:rPr>
              <w:t>Cour suprême du Canada</w:t>
            </w:r>
          </w:p>
        </w:tc>
        <w:tc>
          <w:tcPr>
            <w:tcW w:w="243" w:type="pct"/>
          </w:tcPr>
          <w:p w:rsidR="00BA75E9" w:rsidRPr="00E007CB" w:rsidRDefault="00BA75E9" w:rsidP="00370584">
            <w:pPr>
              <w:jc w:val="both"/>
              <w:rPr>
                <w:rFonts w:eastAsia="Calibri"/>
                <w:sz w:val="20"/>
                <w:lang w:val="fr-CA"/>
              </w:rPr>
            </w:pPr>
          </w:p>
        </w:tc>
        <w:tc>
          <w:tcPr>
            <w:tcW w:w="2330" w:type="pct"/>
          </w:tcPr>
          <w:p w:rsidR="00BA75E9" w:rsidRPr="00E007CB" w:rsidRDefault="00BA75E9" w:rsidP="00370584">
            <w:pPr>
              <w:jc w:val="both"/>
              <w:rPr>
                <w:rFonts w:eastAsia="Calibri"/>
                <w:sz w:val="20"/>
                <w:lang w:val="fr-CA"/>
              </w:rPr>
            </w:pPr>
            <w:r w:rsidRPr="00E007CB">
              <w:rPr>
                <w:rFonts w:eastAsia="Calibri"/>
                <w:sz w:val="20"/>
                <w:lang w:val="fr-CA"/>
              </w:rPr>
              <w:t>Demande d'autorisation d'appel déposée</w:t>
            </w:r>
          </w:p>
          <w:p w:rsidR="00BA75E9" w:rsidRPr="00E007CB" w:rsidRDefault="00BA75E9" w:rsidP="00370584">
            <w:pPr>
              <w:jc w:val="both"/>
              <w:rPr>
                <w:rFonts w:eastAsia="Calibri"/>
                <w:sz w:val="20"/>
                <w:lang w:val="fr-CA"/>
              </w:rPr>
            </w:pPr>
          </w:p>
        </w:tc>
      </w:tr>
    </w:tbl>
    <w:p w:rsidR="00BA75E9" w:rsidRDefault="00BA75E9" w:rsidP="00BA75E9">
      <w:pPr>
        <w:rPr>
          <w:sz w:val="20"/>
          <w:szCs w:val="20"/>
        </w:rPr>
      </w:pPr>
    </w:p>
    <w:p w:rsidR="00BA75E9" w:rsidRDefault="00B35B95" w:rsidP="00BA75E9">
      <w:pPr>
        <w:rPr>
          <w:sz w:val="20"/>
          <w:szCs w:val="20"/>
        </w:rPr>
      </w:pPr>
      <w:r w:rsidRPr="00B35B95">
        <w:rPr>
          <w:sz w:val="20"/>
          <w:szCs w:val="20"/>
          <w:lang w:val="fr-CA"/>
        </w:rPr>
        <w:pict>
          <v:rect id="_x0000_i1071" style="width:2in;height:1pt" o:hrpct="0" o:hralign="center" o:hrstd="t" o:hrnoshade="t" o:hr="t" fillcolor="black [3213]" stroked="f"/>
        </w:pict>
      </w:r>
    </w:p>
    <w:p w:rsidR="00BA75E9" w:rsidRDefault="00BA75E9" w:rsidP="00BA75E9">
      <w:pPr>
        <w:rPr>
          <w:sz w:val="20"/>
          <w:szCs w:val="20"/>
        </w:rPr>
      </w:pPr>
    </w:p>
    <w:p w:rsidR="00BA75E9" w:rsidRDefault="00BA75E9" w:rsidP="008D292F">
      <w:pPr>
        <w:rPr>
          <w:sz w:val="20"/>
          <w:szCs w:val="20"/>
          <w:lang w:val="fr-CA"/>
        </w:rPr>
      </w:pPr>
    </w:p>
    <w:p w:rsidR="00BA75E9" w:rsidRDefault="00BA75E9" w:rsidP="008D292F">
      <w:pPr>
        <w:rPr>
          <w:sz w:val="20"/>
          <w:szCs w:val="20"/>
          <w:lang w:val="fr-CA"/>
        </w:rPr>
      </w:pPr>
    </w:p>
    <w:p w:rsidR="00BA75E9" w:rsidRDefault="00BA75E9" w:rsidP="008D292F">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8"/>
          <w:headerReference w:type="default" r:id="rId29"/>
          <w:footerReference w:type="even" r:id="rId30"/>
          <w:footerReference w:type="default" r:id="rId31"/>
          <w:headerReference w:type="first" r:id="rId32"/>
          <w:footerReference w:type="first" r:id="rId3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7C38F2" w:rsidRPr="00C87BFF" w:rsidRDefault="007C38F2" w:rsidP="007C38F2">
      <w:pPr>
        <w:tabs>
          <w:tab w:val="left" w:pos="-1440"/>
          <w:tab w:val="left" w:pos="-720"/>
        </w:tabs>
        <w:jc w:val="both"/>
        <w:rPr>
          <w:rFonts w:eastAsia="Times New Roman" w:cs="Times New Roman"/>
          <w:sz w:val="20"/>
          <w:szCs w:val="20"/>
          <w:lang w:val="fr-CA" w:eastAsia="en-CA"/>
        </w:rPr>
      </w:pPr>
      <w:r w:rsidRPr="00C87BFF">
        <w:rPr>
          <w:rFonts w:eastAsia="Times New Roman" w:cs="Times New Roman"/>
          <w:sz w:val="20"/>
          <w:szCs w:val="20"/>
          <w:lang w:val="fr-CA" w:eastAsia="en-CA"/>
        </w:rPr>
        <w:t>10.05.2013</w:t>
      </w:r>
    </w:p>
    <w:p w:rsidR="007C38F2" w:rsidRPr="00C87BFF" w:rsidRDefault="007C38F2" w:rsidP="007C38F2">
      <w:pPr>
        <w:tabs>
          <w:tab w:val="left" w:pos="-1440"/>
          <w:tab w:val="left" w:pos="-720"/>
        </w:tabs>
        <w:jc w:val="both"/>
        <w:rPr>
          <w:rFonts w:eastAsia="Times New Roman" w:cs="Times New Roman"/>
          <w:sz w:val="20"/>
          <w:szCs w:val="20"/>
          <w:lang w:val="fr-CA" w:eastAsia="en-CA"/>
        </w:rPr>
      </w:pPr>
    </w:p>
    <w:p w:rsidR="007C38F2" w:rsidRPr="00C87BFF" w:rsidRDefault="007C38F2" w:rsidP="007C38F2">
      <w:pPr>
        <w:tabs>
          <w:tab w:val="left" w:pos="-1440"/>
          <w:tab w:val="left" w:pos="-720"/>
        </w:tabs>
        <w:jc w:val="both"/>
        <w:rPr>
          <w:rFonts w:eastAsia="Times New Roman" w:cs="Times New Roman"/>
          <w:sz w:val="20"/>
          <w:szCs w:val="20"/>
          <w:lang w:val="fr-CA" w:eastAsia="en-CA"/>
        </w:rPr>
      </w:pPr>
      <w:r w:rsidRPr="00C87BFF">
        <w:rPr>
          <w:rFonts w:eastAsia="Times New Roman" w:cs="Times New Roman"/>
          <w:sz w:val="20"/>
          <w:szCs w:val="20"/>
          <w:lang w:val="fr-CA" w:eastAsia="en-CA"/>
        </w:rPr>
        <w:t>Before / Devant :   ROTHSTEIN J. / LE JUGE ROTHSTEIN</w:t>
      </w:r>
    </w:p>
    <w:p w:rsidR="007C38F2" w:rsidRPr="00C87BFF" w:rsidRDefault="007C38F2" w:rsidP="007C38F2">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7C38F2" w:rsidRPr="00370584" w:rsidTr="00370584">
        <w:tc>
          <w:tcPr>
            <w:tcW w:w="4338" w:type="dxa"/>
            <w:gridSpan w:val="2"/>
          </w:tcPr>
          <w:p w:rsidR="007C38F2" w:rsidRPr="00C87BFF" w:rsidRDefault="007C38F2" w:rsidP="00370584">
            <w:pPr>
              <w:jc w:val="both"/>
              <w:rPr>
                <w:b/>
              </w:rPr>
            </w:pPr>
            <w:r w:rsidRPr="00C87BFF">
              <w:rPr>
                <w:b/>
                <w:lang w:val="en-US"/>
              </w:rPr>
              <w:t xml:space="preserve">Order on interventions with respect to oral argument </w:t>
            </w:r>
            <w:r w:rsidR="00B35B95" w:rsidRPr="00C87BFF">
              <w:rPr>
                <w:b/>
                <w:lang w:val="en-US"/>
              </w:rPr>
              <w:fldChar w:fldCharType="begin"/>
            </w:r>
            <w:r w:rsidRPr="00C87BFF">
              <w:rPr>
                <w:b/>
              </w:rPr>
              <w:instrText xml:space="preserve"> SEQ CHAPTER \h \r 1</w:instrText>
            </w:r>
            <w:r w:rsidR="00B35B95" w:rsidRPr="00C87BFF">
              <w:rPr>
                <w:b/>
                <w:lang w:val="en-US"/>
              </w:rPr>
              <w:fldChar w:fldCharType="end"/>
            </w:r>
          </w:p>
        </w:tc>
        <w:tc>
          <w:tcPr>
            <w:tcW w:w="1170" w:type="dxa"/>
          </w:tcPr>
          <w:p w:rsidR="007C38F2" w:rsidRPr="00C87BFF" w:rsidRDefault="007C38F2" w:rsidP="00370584"/>
          <w:p w:rsidR="007C38F2" w:rsidRPr="00C87BFF" w:rsidRDefault="007C38F2" w:rsidP="00370584"/>
          <w:p w:rsidR="007C38F2" w:rsidRPr="00C87BFF" w:rsidRDefault="007C38F2" w:rsidP="00370584"/>
        </w:tc>
        <w:tc>
          <w:tcPr>
            <w:tcW w:w="4327" w:type="dxa"/>
          </w:tcPr>
          <w:p w:rsidR="007C38F2" w:rsidRPr="00C87BFF" w:rsidRDefault="007C38F2" w:rsidP="00370584">
            <w:pPr>
              <w:jc w:val="both"/>
              <w:rPr>
                <w:b/>
                <w:lang w:val="fr-CA"/>
              </w:rPr>
            </w:pPr>
            <w:r w:rsidRPr="00C87BFF">
              <w:rPr>
                <w:b/>
                <w:lang w:val="fr-CA"/>
              </w:rPr>
              <w:t>Ordonnance relative à la présentation d’une plaidoirie orale par les intervenants</w:t>
            </w:r>
            <w:r w:rsidR="00B35B95" w:rsidRPr="00C87BFF">
              <w:rPr>
                <w:b/>
                <w:lang w:val="en-US"/>
              </w:rPr>
              <w:fldChar w:fldCharType="begin"/>
            </w:r>
            <w:r w:rsidRPr="00C87BFF">
              <w:rPr>
                <w:b/>
                <w:lang w:val="fr-CA"/>
              </w:rPr>
              <w:instrText xml:space="preserve"> SEQ CHAPTER \h \r 1</w:instrText>
            </w:r>
            <w:r w:rsidR="00B35B95" w:rsidRPr="00C87BFF">
              <w:rPr>
                <w:b/>
                <w:lang w:val="en-US"/>
              </w:rPr>
              <w:fldChar w:fldCharType="end"/>
            </w:r>
          </w:p>
        </w:tc>
      </w:tr>
      <w:tr w:rsidR="007C38F2" w:rsidRPr="00C87BFF" w:rsidTr="00370584">
        <w:tc>
          <w:tcPr>
            <w:tcW w:w="1368" w:type="dxa"/>
          </w:tcPr>
          <w:p w:rsidR="007C38F2" w:rsidRPr="00C87BFF" w:rsidRDefault="007C38F2" w:rsidP="00370584">
            <w:r w:rsidRPr="00C87BFF">
              <w:t>RE:</w:t>
            </w:r>
          </w:p>
        </w:tc>
        <w:tc>
          <w:tcPr>
            <w:tcW w:w="2970" w:type="dxa"/>
          </w:tcPr>
          <w:p w:rsidR="007C38F2" w:rsidRPr="00C87BFF" w:rsidRDefault="007C38F2" w:rsidP="00370584">
            <w:r w:rsidRPr="00C87BFF">
              <w:t>Attorney General of Ontario;</w:t>
            </w:r>
          </w:p>
        </w:tc>
        <w:tc>
          <w:tcPr>
            <w:tcW w:w="1170" w:type="dxa"/>
          </w:tcPr>
          <w:p w:rsidR="007C38F2" w:rsidRPr="00C87BFF" w:rsidRDefault="007C38F2" w:rsidP="00370584"/>
        </w:tc>
        <w:tc>
          <w:tcPr>
            <w:tcW w:w="4327" w:type="dxa"/>
          </w:tcPr>
          <w:p w:rsidR="007C38F2" w:rsidRPr="00C87BFF" w:rsidRDefault="007C38F2" w:rsidP="00370584"/>
        </w:tc>
      </w:tr>
      <w:tr w:rsidR="007C38F2" w:rsidRPr="00C87BFF" w:rsidTr="00370584">
        <w:tc>
          <w:tcPr>
            <w:tcW w:w="1368" w:type="dxa"/>
          </w:tcPr>
          <w:p w:rsidR="007C38F2" w:rsidRPr="00C87BFF" w:rsidRDefault="007C38F2" w:rsidP="00370584"/>
        </w:tc>
        <w:tc>
          <w:tcPr>
            <w:tcW w:w="2970" w:type="dxa"/>
          </w:tcPr>
          <w:p w:rsidR="007C38F2" w:rsidRPr="00C87BFF" w:rsidRDefault="007C38F2" w:rsidP="00370584">
            <w:r w:rsidRPr="00C87BFF">
              <w:t>Director of Public Prosecutions</w:t>
            </w:r>
          </w:p>
        </w:tc>
        <w:tc>
          <w:tcPr>
            <w:tcW w:w="1170" w:type="dxa"/>
          </w:tcPr>
          <w:p w:rsidR="007C38F2" w:rsidRPr="00C87BFF" w:rsidRDefault="007C38F2" w:rsidP="00370584"/>
        </w:tc>
        <w:tc>
          <w:tcPr>
            <w:tcW w:w="4327" w:type="dxa"/>
          </w:tcPr>
          <w:p w:rsidR="007C38F2" w:rsidRPr="00C87BFF" w:rsidRDefault="007C38F2" w:rsidP="00370584"/>
        </w:tc>
      </w:tr>
      <w:tr w:rsidR="007C38F2" w:rsidRPr="00C87BFF" w:rsidTr="00370584">
        <w:tc>
          <w:tcPr>
            <w:tcW w:w="1368" w:type="dxa"/>
          </w:tcPr>
          <w:p w:rsidR="007C38F2" w:rsidRPr="00C87BFF" w:rsidRDefault="007C38F2" w:rsidP="00370584"/>
        </w:tc>
        <w:tc>
          <w:tcPr>
            <w:tcW w:w="2970" w:type="dxa"/>
          </w:tcPr>
          <w:p w:rsidR="007C38F2" w:rsidRPr="00C87BFF" w:rsidRDefault="007C38F2" w:rsidP="00370584"/>
        </w:tc>
        <w:tc>
          <w:tcPr>
            <w:tcW w:w="1170" w:type="dxa"/>
          </w:tcPr>
          <w:p w:rsidR="007C38F2" w:rsidRPr="00C87BFF" w:rsidRDefault="007C38F2" w:rsidP="00370584"/>
        </w:tc>
        <w:tc>
          <w:tcPr>
            <w:tcW w:w="4327" w:type="dxa"/>
          </w:tcPr>
          <w:p w:rsidR="007C38F2" w:rsidRPr="00C87BFF" w:rsidRDefault="007C38F2" w:rsidP="00370584"/>
        </w:tc>
      </w:tr>
      <w:tr w:rsidR="007C38F2" w:rsidRPr="00C87BFF" w:rsidTr="00370584">
        <w:tc>
          <w:tcPr>
            <w:tcW w:w="1368" w:type="dxa"/>
          </w:tcPr>
          <w:p w:rsidR="007C38F2" w:rsidRPr="00C87BFF" w:rsidRDefault="007C38F2" w:rsidP="00370584">
            <w:r w:rsidRPr="00C87BFF">
              <w:t>IN / DANS :</w:t>
            </w:r>
          </w:p>
        </w:tc>
        <w:tc>
          <w:tcPr>
            <w:tcW w:w="2970" w:type="dxa"/>
          </w:tcPr>
          <w:p w:rsidR="007C38F2" w:rsidRPr="00C87BFF" w:rsidRDefault="007C38F2" w:rsidP="00370584">
            <w:r w:rsidRPr="00C87BFF">
              <w:t>Erin Lee MacDonald et al.</w:t>
            </w:r>
          </w:p>
          <w:p w:rsidR="007C38F2" w:rsidRPr="00C87BFF" w:rsidRDefault="007C38F2" w:rsidP="00370584"/>
          <w:p w:rsidR="007C38F2" w:rsidRPr="00C87BFF" w:rsidRDefault="007C38F2" w:rsidP="00370584">
            <w:r w:rsidRPr="00C87BFF">
              <w:tab/>
              <w:t>v. (34914)</w:t>
            </w:r>
          </w:p>
          <w:p w:rsidR="007C38F2" w:rsidRPr="00C87BFF" w:rsidRDefault="007C38F2" w:rsidP="00370584"/>
          <w:p w:rsidR="007C38F2" w:rsidRPr="00C87BFF" w:rsidRDefault="007C38F2" w:rsidP="00370584">
            <w:r w:rsidRPr="00C87BFF">
              <w:t>Her Majesty the Queen et al. (Crim.) (N.S.)</w:t>
            </w:r>
          </w:p>
        </w:tc>
        <w:tc>
          <w:tcPr>
            <w:tcW w:w="1170" w:type="dxa"/>
          </w:tcPr>
          <w:p w:rsidR="007C38F2" w:rsidRPr="00C87BFF" w:rsidRDefault="007C38F2" w:rsidP="00370584"/>
        </w:tc>
        <w:tc>
          <w:tcPr>
            <w:tcW w:w="4327" w:type="dxa"/>
          </w:tcPr>
          <w:p w:rsidR="007C38F2" w:rsidRPr="00C87BFF" w:rsidRDefault="007C38F2" w:rsidP="00370584"/>
        </w:tc>
      </w:tr>
    </w:tbl>
    <w:p w:rsidR="007C38F2" w:rsidRPr="00C87BFF" w:rsidRDefault="007C38F2" w:rsidP="007C38F2">
      <w:pPr>
        <w:tabs>
          <w:tab w:val="left" w:pos="-1440"/>
          <w:tab w:val="left" w:pos="-720"/>
        </w:tabs>
        <w:jc w:val="both"/>
        <w:rPr>
          <w:rFonts w:eastAsia="Times New Roman" w:cs="Times New Roman"/>
          <w:sz w:val="20"/>
          <w:szCs w:val="20"/>
          <w:lang w:eastAsia="en-CA"/>
        </w:rPr>
      </w:pPr>
    </w:p>
    <w:p w:rsidR="007C38F2" w:rsidRPr="00C87BFF" w:rsidRDefault="007C38F2" w:rsidP="007C38F2">
      <w:pPr>
        <w:spacing w:line="230" w:lineRule="auto"/>
        <w:jc w:val="both"/>
        <w:rPr>
          <w:rFonts w:eastAsia="Times New Roman" w:cs="Times New Roman"/>
          <w:sz w:val="20"/>
          <w:szCs w:val="20"/>
          <w:lang w:val="en-US" w:eastAsia="en-CA"/>
        </w:rPr>
      </w:pPr>
      <w:r w:rsidRPr="00C87BFF">
        <w:rPr>
          <w:rFonts w:eastAsia="Times New Roman" w:cs="Times New Roman"/>
          <w:b/>
          <w:bCs/>
          <w:sz w:val="20"/>
          <w:szCs w:val="20"/>
          <w:lang w:val="en-US" w:eastAsia="en-CA"/>
        </w:rPr>
        <w:t>FURTHER TO THE ORDERS</w:t>
      </w:r>
      <w:r w:rsidRPr="00C87BFF">
        <w:rPr>
          <w:rFonts w:eastAsia="Times New Roman" w:cs="Times New Roman"/>
          <w:sz w:val="20"/>
          <w:szCs w:val="20"/>
          <w:lang w:val="en-US" w:eastAsia="en-CA"/>
        </w:rPr>
        <w:t xml:space="preserve"> dated February 18, 2013, and April 25, 2013, granting leave to intervene to</w:t>
      </w:r>
      <w:r w:rsidRPr="00C87BFF">
        <w:rPr>
          <w:rFonts w:eastAsia="Times New Roman" w:cs="Times New Roman"/>
          <w:sz w:val="20"/>
          <w:szCs w:val="20"/>
          <w:lang w:eastAsia="en-CA"/>
        </w:rPr>
        <w:t xml:space="preserve"> the Attorney General of Ontario and the Director of Public Prosecutions</w:t>
      </w:r>
      <w:r w:rsidRPr="00C87BFF">
        <w:rPr>
          <w:rFonts w:eastAsia="Times New Roman" w:cs="Times New Roman"/>
          <w:sz w:val="20"/>
          <w:szCs w:val="20"/>
          <w:lang w:val="en-US" w:eastAsia="en-CA"/>
        </w:rPr>
        <w:t>;</w:t>
      </w:r>
    </w:p>
    <w:p w:rsidR="007C38F2" w:rsidRPr="00C87BFF" w:rsidRDefault="007C38F2" w:rsidP="007C38F2">
      <w:pPr>
        <w:spacing w:line="230" w:lineRule="auto"/>
        <w:jc w:val="both"/>
        <w:rPr>
          <w:rFonts w:eastAsia="Times New Roman" w:cs="Times New Roman"/>
          <w:sz w:val="20"/>
          <w:szCs w:val="20"/>
          <w:lang w:val="en-US" w:eastAsia="en-CA"/>
        </w:rPr>
      </w:pPr>
    </w:p>
    <w:p w:rsidR="007C38F2" w:rsidRPr="00C87BFF" w:rsidRDefault="007C38F2" w:rsidP="007C38F2">
      <w:pPr>
        <w:spacing w:line="230" w:lineRule="auto"/>
        <w:jc w:val="both"/>
        <w:rPr>
          <w:rFonts w:eastAsia="Times New Roman" w:cs="Times New Roman"/>
          <w:sz w:val="20"/>
          <w:szCs w:val="20"/>
          <w:lang w:val="en-US" w:eastAsia="en-CA"/>
        </w:rPr>
      </w:pPr>
      <w:r w:rsidRPr="00C87BFF">
        <w:rPr>
          <w:rFonts w:eastAsia="Times New Roman" w:cs="Times New Roman"/>
          <w:b/>
          <w:bCs/>
          <w:sz w:val="20"/>
          <w:szCs w:val="20"/>
          <w:lang w:val="en-US" w:eastAsia="en-CA"/>
        </w:rPr>
        <w:t xml:space="preserve">IT IS HEREBY FURTHER ORDERED THAT </w:t>
      </w:r>
      <w:r w:rsidRPr="00C87BFF">
        <w:rPr>
          <w:rFonts w:eastAsia="Times New Roman" w:cs="Times New Roman"/>
          <w:sz w:val="20"/>
          <w:szCs w:val="20"/>
          <w:lang w:val="en-US" w:eastAsia="en-CA"/>
        </w:rPr>
        <w:t>the said interveners are each granted permission to present oral argument not exceeding ten (10) minutes at the hearing of the appeal.</w:t>
      </w:r>
    </w:p>
    <w:p w:rsidR="007C38F2" w:rsidRPr="00C87BFF" w:rsidRDefault="007C38F2" w:rsidP="007C38F2">
      <w:pPr>
        <w:spacing w:line="233" w:lineRule="auto"/>
        <w:jc w:val="both"/>
        <w:rPr>
          <w:rFonts w:eastAsia="Times New Roman" w:cs="Times New Roman"/>
          <w:sz w:val="20"/>
          <w:szCs w:val="20"/>
          <w:lang w:val="en-US" w:eastAsia="en-CA"/>
        </w:rPr>
      </w:pPr>
    </w:p>
    <w:p w:rsidR="007C38F2" w:rsidRPr="00C87BFF" w:rsidRDefault="007C38F2" w:rsidP="007C38F2">
      <w:pPr>
        <w:spacing w:line="233" w:lineRule="auto"/>
        <w:jc w:val="both"/>
        <w:rPr>
          <w:rFonts w:eastAsia="Times New Roman" w:cs="Times New Roman"/>
          <w:sz w:val="20"/>
          <w:szCs w:val="20"/>
          <w:lang w:val="en-US" w:eastAsia="en-CA"/>
        </w:rPr>
      </w:pPr>
    </w:p>
    <w:p w:rsidR="007C38F2" w:rsidRPr="00C87BFF" w:rsidRDefault="007C38F2" w:rsidP="007C38F2">
      <w:pPr>
        <w:spacing w:line="233" w:lineRule="auto"/>
        <w:jc w:val="both"/>
        <w:rPr>
          <w:rFonts w:eastAsia="Times New Roman" w:cs="Times New Roman"/>
          <w:sz w:val="20"/>
          <w:szCs w:val="20"/>
          <w:lang w:val="en-US" w:eastAsia="en-CA"/>
        </w:rPr>
      </w:pPr>
    </w:p>
    <w:p w:rsidR="007C38F2" w:rsidRPr="00C87BFF" w:rsidRDefault="007C38F2" w:rsidP="007C38F2">
      <w:pPr>
        <w:spacing w:line="233" w:lineRule="auto"/>
        <w:jc w:val="both"/>
        <w:rPr>
          <w:rFonts w:eastAsia="Times New Roman" w:cs="Times New Roman"/>
          <w:sz w:val="20"/>
          <w:szCs w:val="20"/>
          <w:lang w:val="fr-CA" w:eastAsia="en-CA"/>
        </w:rPr>
      </w:pPr>
      <w:r w:rsidRPr="00C87BFF">
        <w:rPr>
          <w:rFonts w:eastAsia="Times New Roman" w:cs="Times New Roman"/>
          <w:b/>
          <w:sz w:val="20"/>
          <w:szCs w:val="20"/>
          <w:lang w:val="fr-CA" w:eastAsia="en-CA"/>
        </w:rPr>
        <w:t>À LA SUITE DES L'ORDONNANCES</w:t>
      </w:r>
      <w:r w:rsidRPr="00C87BFF">
        <w:rPr>
          <w:rFonts w:eastAsia="Times New Roman" w:cs="Times New Roman"/>
          <w:sz w:val="20"/>
          <w:szCs w:val="20"/>
          <w:lang w:val="fr-CA" w:eastAsia="en-CA"/>
        </w:rPr>
        <w:t xml:space="preserve"> datées des 18 février 2013 et 25 avril 2013 accordant l'autorisation d'intervenir au procureur général de l’Ontario et au Directeur des poursuites pénales;</w:t>
      </w:r>
    </w:p>
    <w:p w:rsidR="007C38F2" w:rsidRPr="00C87BFF" w:rsidRDefault="007C38F2" w:rsidP="007C38F2">
      <w:pPr>
        <w:spacing w:line="233" w:lineRule="auto"/>
        <w:jc w:val="both"/>
        <w:rPr>
          <w:rFonts w:eastAsia="Times New Roman" w:cs="Times New Roman"/>
          <w:sz w:val="20"/>
          <w:szCs w:val="20"/>
          <w:lang w:val="fr-CA" w:eastAsia="en-CA"/>
        </w:rPr>
      </w:pPr>
    </w:p>
    <w:p w:rsidR="007C38F2" w:rsidRPr="00C87BFF" w:rsidRDefault="007C38F2" w:rsidP="007C38F2">
      <w:pPr>
        <w:spacing w:line="233" w:lineRule="auto"/>
        <w:jc w:val="both"/>
        <w:rPr>
          <w:rFonts w:eastAsia="Times New Roman" w:cs="Times New Roman"/>
          <w:sz w:val="20"/>
          <w:szCs w:val="20"/>
          <w:lang w:val="fr-CA" w:eastAsia="en-CA"/>
        </w:rPr>
      </w:pPr>
      <w:r w:rsidRPr="00C87BFF">
        <w:rPr>
          <w:rFonts w:eastAsia="Times New Roman" w:cs="Times New Roman"/>
          <w:b/>
          <w:sz w:val="20"/>
          <w:szCs w:val="20"/>
          <w:lang w:val="fr-CA" w:eastAsia="en-CA"/>
        </w:rPr>
        <w:t>IL EST EN OUTRE ORDONNÉ QUE</w:t>
      </w:r>
      <w:r w:rsidRPr="00C87BFF">
        <w:rPr>
          <w:rFonts w:eastAsia="Times New Roman" w:cs="Times New Roman"/>
          <w:sz w:val="20"/>
          <w:szCs w:val="20"/>
          <w:lang w:val="fr-CA" w:eastAsia="en-CA"/>
        </w:rPr>
        <w:t xml:space="preserve"> chacun de ces intervenants pourra présenter une plaidoirie orale d'au plus dix (10) minutes lors de l'audition de l'appel.</w:t>
      </w:r>
    </w:p>
    <w:p w:rsidR="007C38F2" w:rsidRPr="00C87BFF" w:rsidRDefault="007C38F2" w:rsidP="007C38F2">
      <w:pPr>
        <w:spacing w:line="233" w:lineRule="auto"/>
        <w:jc w:val="both"/>
        <w:rPr>
          <w:rFonts w:eastAsia="Times New Roman" w:cs="Times New Roman"/>
          <w:sz w:val="20"/>
          <w:szCs w:val="20"/>
          <w:lang w:val="fr-CA" w:eastAsia="en-CA"/>
        </w:rPr>
      </w:pPr>
    </w:p>
    <w:p w:rsidR="007C38F2" w:rsidRPr="00C87BFF" w:rsidRDefault="00B35B95" w:rsidP="007C38F2">
      <w:pPr>
        <w:tabs>
          <w:tab w:val="left" w:pos="-1440"/>
          <w:tab w:val="left" w:pos="-720"/>
        </w:tabs>
        <w:jc w:val="both"/>
        <w:rPr>
          <w:rFonts w:eastAsia="Times New Roman" w:cs="Times New Roman"/>
          <w:sz w:val="20"/>
          <w:szCs w:val="20"/>
          <w:lang w:val="fr-CA" w:eastAsia="en-CA"/>
        </w:rPr>
      </w:pPr>
      <w:r w:rsidRPr="00B35B95">
        <w:rPr>
          <w:rFonts w:eastAsia="Times New Roman" w:cs="Times New Roman"/>
          <w:sz w:val="20"/>
          <w:szCs w:val="20"/>
          <w:lang w:val="fr-CA" w:eastAsia="en-CA"/>
        </w:rPr>
        <w:pict>
          <v:rect id="_x0000_i1074" style="width:2in;height:1pt" o:hrpct="0" o:hralign="center" o:hrstd="t" o:hrnoshade="t" o:hr="t" fillcolor="black [3213]" stroked="f"/>
        </w:pict>
      </w:r>
    </w:p>
    <w:p w:rsidR="007C38F2" w:rsidRPr="00C87BFF" w:rsidRDefault="007C38F2" w:rsidP="007C38F2">
      <w:pPr>
        <w:tabs>
          <w:tab w:val="left" w:pos="-1440"/>
          <w:tab w:val="left" w:pos="-720"/>
        </w:tabs>
        <w:jc w:val="both"/>
        <w:rPr>
          <w:rFonts w:eastAsia="Times New Roman" w:cs="Times New Roman"/>
          <w:sz w:val="20"/>
          <w:szCs w:val="20"/>
          <w:lang w:val="fr-CA" w:eastAsia="en-CA"/>
        </w:rPr>
      </w:pPr>
    </w:p>
    <w:p w:rsidR="007C38F2" w:rsidRPr="00C87BFF" w:rsidRDefault="007C38F2" w:rsidP="007C38F2">
      <w:pPr>
        <w:tabs>
          <w:tab w:val="left" w:pos="-1440"/>
          <w:tab w:val="left" w:pos="-720"/>
        </w:tabs>
        <w:jc w:val="both"/>
        <w:rPr>
          <w:rFonts w:eastAsia="Times New Roman" w:cs="Times New Roman"/>
          <w:sz w:val="20"/>
          <w:szCs w:val="20"/>
          <w:lang w:eastAsia="en-CA"/>
        </w:rPr>
      </w:pPr>
      <w:r w:rsidRPr="00C87BFF">
        <w:rPr>
          <w:rFonts w:eastAsia="Times New Roman" w:cs="Times New Roman"/>
          <w:sz w:val="20"/>
          <w:szCs w:val="20"/>
          <w:lang w:eastAsia="en-CA"/>
        </w:rPr>
        <w:t>10.05.2013</w:t>
      </w:r>
    </w:p>
    <w:p w:rsidR="007C38F2" w:rsidRPr="00C87BFF" w:rsidRDefault="007C38F2" w:rsidP="007C38F2">
      <w:pPr>
        <w:tabs>
          <w:tab w:val="left" w:pos="-1440"/>
          <w:tab w:val="left" w:pos="-720"/>
        </w:tabs>
        <w:jc w:val="both"/>
        <w:rPr>
          <w:rFonts w:eastAsia="Times New Roman" w:cs="Times New Roman"/>
          <w:sz w:val="20"/>
          <w:szCs w:val="20"/>
          <w:lang w:eastAsia="en-CA"/>
        </w:rPr>
      </w:pPr>
    </w:p>
    <w:p w:rsidR="007C38F2" w:rsidRPr="00C87BFF" w:rsidRDefault="007C38F2" w:rsidP="007C38F2">
      <w:pPr>
        <w:tabs>
          <w:tab w:val="left" w:pos="-1440"/>
          <w:tab w:val="left" w:pos="-720"/>
        </w:tabs>
        <w:jc w:val="both"/>
        <w:rPr>
          <w:rFonts w:eastAsia="Times New Roman" w:cs="Times New Roman"/>
          <w:sz w:val="20"/>
          <w:szCs w:val="20"/>
          <w:lang w:eastAsia="en-CA"/>
        </w:rPr>
      </w:pPr>
      <w:r w:rsidRPr="00C87BFF">
        <w:rPr>
          <w:rFonts w:eastAsia="Times New Roman" w:cs="Times New Roman"/>
          <w:sz w:val="20"/>
          <w:szCs w:val="20"/>
          <w:lang w:eastAsia="en-CA"/>
        </w:rPr>
        <w:t>Before / Devant :   THE DEPUTY REGISTRAR / LA REGISTRAIRE ADJOINTE</w:t>
      </w:r>
    </w:p>
    <w:p w:rsidR="007C38F2" w:rsidRPr="00C87BFF" w:rsidRDefault="007C38F2" w:rsidP="007C38F2">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7C38F2" w:rsidRPr="00370584" w:rsidTr="00370584">
        <w:tc>
          <w:tcPr>
            <w:tcW w:w="4338" w:type="dxa"/>
          </w:tcPr>
          <w:p w:rsidR="007C38F2" w:rsidRPr="00C87BFF" w:rsidRDefault="007C38F2" w:rsidP="00370584">
            <w:pPr>
              <w:tabs>
                <w:tab w:val="left" w:pos="-1440"/>
                <w:tab w:val="left" w:pos="-720"/>
              </w:tabs>
              <w:jc w:val="both"/>
              <w:rPr>
                <w:b/>
              </w:rPr>
            </w:pPr>
            <w:r w:rsidRPr="00C87BFF">
              <w:rPr>
                <w:b/>
                <w:bCs/>
                <w:color w:val="000000"/>
                <w:lang w:val="en-GB"/>
              </w:rPr>
              <w:t>Motion to allow the applicant to file a single leave application from two judgments of the Federal Court of Appeal numbers A-115-12 and A-116-1</w:t>
            </w:r>
            <w:r w:rsidRPr="00C87BFF">
              <w:rPr>
                <w:b/>
                <w:bCs/>
                <w:lang w:val="en-US"/>
              </w:rPr>
              <w:t xml:space="preserve"> </w:t>
            </w:r>
          </w:p>
        </w:tc>
        <w:tc>
          <w:tcPr>
            <w:tcW w:w="1170" w:type="dxa"/>
          </w:tcPr>
          <w:p w:rsidR="007C38F2" w:rsidRPr="00C87BFF" w:rsidRDefault="007C38F2" w:rsidP="00370584">
            <w:pPr>
              <w:tabs>
                <w:tab w:val="left" w:pos="-1440"/>
                <w:tab w:val="left" w:pos="-720"/>
              </w:tabs>
              <w:jc w:val="both"/>
            </w:pPr>
          </w:p>
          <w:p w:rsidR="007C38F2" w:rsidRPr="00C87BFF" w:rsidRDefault="007C38F2" w:rsidP="00370584">
            <w:pPr>
              <w:tabs>
                <w:tab w:val="left" w:pos="-1440"/>
                <w:tab w:val="left" w:pos="-720"/>
              </w:tabs>
              <w:jc w:val="both"/>
            </w:pPr>
          </w:p>
          <w:p w:rsidR="007C38F2" w:rsidRPr="00C87BFF" w:rsidRDefault="007C38F2" w:rsidP="00370584">
            <w:pPr>
              <w:tabs>
                <w:tab w:val="left" w:pos="-1440"/>
                <w:tab w:val="left" w:pos="-720"/>
              </w:tabs>
              <w:jc w:val="both"/>
            </w:pPr>
          </w:p>
          <w:p w:rsidR="007C38F2" w:rsidRPr="00C87BFF" w:rsidRDefault="007C38F2" w:rsidP="00370584">
            <w:pPr>
              <w:tabs>
                <w:tab w:val="left" w:pos="-1440"/>
                <w:tab w:val="left" w:pos="-720"/>
              </w:tabs>
              <w:jc w:val="both"/>
            </w:pPr>
          </w:p>
          <w:p w:rsidR="007C38F2" w:rsidRPr="00C87BFF" w:rsidRDefault="007C38F2" w:rsidP="00370584">
            <w:pPr>
              <w:tabs>
                <w:tab w:val="left" w:pos="-1440"/>
                <w:tab w:val="left" w:pos="-720"/>
              </w:tabs>
              <w:jc w:val="both"/>
            </w:pPr>
          </w:p>
        </w:tc>
        <w:tc>
          <w:tcPr>
            <w:tcW w:w="4327" w:type="dxa"/>
          </w:tcPr>
          <w:p w:rsidR="007C38F2" w:rsidRPr="00C87BFF" w:rsidRDefault="007C38F2" w:rsidP="00370584">
            <w:pPr>
              <w:tabs>
                <w:tab w:val="left" w:pos="-1440"/>
                <w:tab w:val="left" w:pos="-720"/>
              </w:tabs>
              <w:jc w:val="both"/>
              <w:rPr>
                <w:lang w:val="fr-CA"/>
              </w:rPr>
            </w:pPr>
            <w:r w:rsidRPr="00C87BFF">
              <w:rPr>
                <w:b/>
                <w:bCs/>
                <w:color w:val="000000"/>
                <w:lang w:val="fr-CA"/>
              </w:rPr>
              <w:t xml:space="preserve">Requête en vue de déposer une seule demande d'autorisation d'appel à l'égard des jugements numéros A-115-12 et A-116-1 de la Cour d'appel fédérale </w:t>
            </w:r>
          </w:p>
        </w:tc>
      </w:tr>
      <w:tr w:rsidR="007C38F2" w:rsidRPr="00C87BFF" w:rsidTr="00370584">
        <w:tc>
          <w:tcPr>
            <w:tcW w:w="4338" w:type="dxa"/>
          </w:tcPr>
          <w:p w:rsidR="007C38F2" w:rsidRPr="00C87BFF" w:rsidRDefault="007C38F2" w:rsidP="00370584">
            <w:pPr>
              <w:tabs>
                <w:tab w:val="left" w:pos="-1440"/>
                <w:tab w:val="left" w:pos="-720"/>
              </w:tabs>
              <w:jc w:val="both"/>
              <w:rPr>
                <w:lang w:val="fr-CA"/>
              </w:rPr>
            </w:pPr>
            <w:r w:rsidRPr="00C87BFF">
              <w:rPr>
                <w:lang w:val="fr-CA"/>
              </w:rPr>
              <w:t>C-Map USA Inc. et al.</w:t>
            </w:r>
          </w:p>
          <w:p w:rsidR="007C38F2" w:rsidRPr="00C87BFF" w:rsidRDefault="007C38F2" w:rsidP="00370584">
            <w:pPr>
              <w:tabs>
                <w:tab w:val="left" w:pos="-1440"/>
                <w:tab w:val="left" w:pos="-720"/>
              </w:tabs>
              <w:jc w:val="both"/>
              <w:rPr>
                <w:lang w:val="fr-CA"/>
              </w:rPr>
            </w:pPr>
          </w:p>
          <w:p w:rsidR="007C38F2" w:rsidRPr="00C87BFF" w:rsidRDefault="007C38F2" w:rsidP="00370584">
            <w:pPr>
              <w:tabs>
                <w:tab w:val="left" w:pos="-1440"/>
                <w:tab w:val="left" w:pos="-720"/>
              </w:tabs>
              <w:jc w:val="both"/>
              <w:rPr>
                <w:lang w:val="fr-CA"/>
              </w:rPr>
            </w:pPr>
            <w:r w:rsidRPr="00C87BFF">
              <w:rPr>
                <w:lang w:val="fr-CA"/>
              </w:rPr>
              <w:tab/>
              <w:t>v. (35345)</w:t>
            </w:r>
          </w:p>
          <w:p w:rsidR="007C38F2" w:rsidRPr="00C87BFF" w:rsidRDefault="007C38F2" w:rsidP="00370584">
            <w:pPr>
              <w:tabs>
                <w:tab w:val="left" w:pos="-1440"/>
                <w:tab w:val="left" w:pos="-720"/>
              </w:tabs>
              <w:jc w:val="both"/>
              <w:rPr>
                <w:lang w:val="fr-CA"/>
              </w:rPr>
            </w:pPr>
          </w:p>
          <w:p w:rsidR="007C38F2" w:rsidRPr="00C87BFF" w:rsidRDefault="007C38F2" w:rsidP="00370584">
            <w:pPr>
              <w:tabs>
                <w:tab w:val="left" w:pos="-1440"/>
                <w:tab w:val="left" w:pos="-720"/>
              </w:tabs>
              <w:jc w:val="both"/>
              <w:rPr>
                <w:lang w:val="fr-CA"/>
              </w:rPr>
            </w:pPr>
            <w:r w:rsidRPr="00C87BFF">
              <w:rPr>
                <w:lang w:val="fr-CA"/>
              </w:rPr>
              <w:t>Nautical Data International, Inc. et al. (F.C.)</w:t>
            </w:r>
          </w:p>
        </w:tc>
        <w:tc>
          <w:tcPr>
            <w:tcW w:w="1170" w:type="dxa"/>
          </w:tcPr>
          <w:p w:rsidR="007C38F2" w:rsidRPr="00C87BFF" w:rsidRDefault="007C38F2" w:rsidP="00370584">
            <w:pPr>
              <w:tabs>
                <w:tab w:val="left" w:pos="-1440"/>
                <w:tab w:val="left" w:pos="-720"/>
              </w:tabs>
              <w:jc w:val="both"/>
              <w:rPr>
                <w:lang w:val="fr-CA"/>
              </w:rPr>
            </w:pPr>
          </w:p>
        </w:tc>
        <w:tc>
          <w:tcPr>
            <w:tcW w:w="4327" w:type="dxa"/>
          </w:tcPr>
          <w:p w:rsidR="007C38F2" w:rsidRPr="00C87BFF" w:rsidRDefault="007C38F2" w:rsidP="00370584">
            <w:pPr>
              <w:tabs>
                <w:tab w:val="left" w:pos="-1440"/>
                <w:tab w:val="left" w:pos="-720"/>
              </w:tabs>
              <w:jc w:val="both"/>
              <w:rPr>
                <w:lang w:val="fr-CA"/>
              </w:rPr>
            </w:pPr>
          </w:p>
        </w:tc>
      </w:tr>
    </w:tbl>
    <w:p w:rsidR="007C38F2" w:rsidRPr="00C87BFF" w:rsidRDefault="007C38F2" w:rsidP="007C38F2">
      <w:pPr>
        <w:tabs>
          <w:tab w:val="left" w:pos="-1440"/>
          <w:tab w:val="left" w:pos="-720"/>
        </w:tabs>
        <w:jc w:val="both"/>
        <w:rPr>
          <w:rFonts w:eastAsia="Times New Roman" w:cs="Times New Roman"/>
          <w:sz w:val="20"/>
          <w:szCs w:val="20"/>
          <w:lang w:val="fr-CA" w:eastAsia="en-CA"/>
        </w:rPr>
      </w:pPr>
    </w:p>
    <w:p w:rsidR="007C38F2" w:rsidRPr="00C87BFF" w:rsidRDefault="007C38F2" w:rsidP="007C38F2">
      <w:pPr>
        <w:tabs>
          <w:tab w:val="left" w:pos="-1440"/>
          <w:tab w:val="left" w:pos="-720"/>
        </w:tabs>
        <w:jc w:val="both"/>
        <w:rPr>
          <w:rFonts w:eastAsia="Times New Roman" w:cs="Times New Roman"/>
          <w:b/>
          <w:sz w:val="20"/>
          <w:szCs w:val="20"/>
          <w:lang w:val="fr-CA" w:eastAsia="en-CA"/>
        </w:rPr>
      </w:pPr>
      <w:r w:rsidRPr="00C87BFF">
        <w:rPr>
          <w:rFonts w:eastAsia="Times New Roman" w:cs="Times New Roman"/>
          <w:b/>
          <w:sz w:val="20"/>
          <w:szCs w:val="20"/>
          <w:lang w:val="fr-CA" w:eastAsia="en-CA"/>
        </w:rPr>
        <w:t>GRANTED / ACCORDÉE</w:t>
      </w:r>
    </w:p>
    <w:p w:rsidR="007C38F2" w:rsidRPr="00C87BFF" w:rsidRDefault="007C38F2" w:rsidP="007C38F2">
      <w:pPr>
        <w:tabs>
          <w:tab w:val="left" w:pos="-1440"/>
          <w:tab w:val="left" w:pos="-720"/>
        </w:tabs>
        <w:jc w:val="both"/>
        <w:rPr>
          <w:rFonts w:eastAsia="Times New Roman" w:cs="Times New Roman"/>
          <w:sz w:val="20"/>
          <w:szCs w:val="20"/>
          <w:lang w:val="fr-CA" w:eastAsia="en-CA"/>
        </w:rPr>
      </w:pPr>
    </w:p>
    <w:p w:rsidR="007C38F2" w:rsidRPr="00C87BFF" w:rsidRDefault="00B35B95" w:rsidP="007C38F2">
      <w:pPr>
        <w:tabs>
          <w:tab w:val="left" w:pos="-1440"/>
          <w:tab w:val="left" w:pos="-720"/>
        </w:tabs>
        <w:jc w:val="both"/>
        <w:rPr>
          <w:rFonts w:eastAsia="Times New Roman" w:cs="Times New Roman"/>
          <w:sz w:val="20"/>
          <w:szCs w:val="20"/>
          <w:lang w:val="fr-CA" w:eastAsia="en-CA"/>
        </w:rPr>
      </w:pPr>
      <w:r w:rsidRPr="00B35B95">
        <w:rPr>
          <w:rFonts w:eastAsia="Times New Roman" w:cs="Times New Roman"/>
          <w:sz w:val="20"/>
          <w:szCs w:val="20"/>
          <w:lang w:val="fr-CA" w:eastAsia="en-CA"/>
        </w:rPr>
        <w:pict>
          <v:rect id="_x0000_i1075" style="width:2in;height:1pt" o:hrpct="0" o:hralign="center" o:hrstd="t" o:hrnoshade="t" o:hr="t" fillcolor="black [3213]" stroked="f"/>
        </w:pict>
      </w:r>
    </w:p>
    <w:p w:rsidR="007C38F2" w:rsidRDefault="007C38F2" w:rsidP="007C38F2">
      <w:pPr>
        <w:tabs>
          <w:tab w:val="left" w:pos="-1440"/>
          <w:tab w:val="left" w:pos="-720"/>
        </w:tabs>
        <w:jc w:val="both"/>
        <w:rPr>
          <w:rFonts w:eastAsia="Times New Roman" w:cs="Times New Roman"/>
          <w:sz w:val="20"/>
          <w:szCs w:val="20"/>
          <w:lang w:val="fr-CA" w:eastAsia="en-CA"/>
        </w:rPr>
      </w:pPr>
    </w:p>
    <w:p w:rsidR="007C38F2" w:rsidRDefault="007C38F2" w:rsidP="007C38F2">
      <w:pPr>
        <w:rPr>
          <w:rFonts w:eastAsia="Times New Roman" w:cs="Times New Roman"/>
          <w:sz w:val="20"/>
          <w:szCs w:val="20"/>
          <w:lang w:val="fr-CA" w:eastAsia="en-CA"/>
        </w:rPr>
      </w:pPr>
      <w:r>
        <w:rPr>
          <w:rFonts w:eastAsia="Times New Roman" w:cs="Times New Roman"/>
          <w:sz w:val="20"/>
          <w:szCs w:val="20"/>
          <w:lang w:val="fr-CA" w:eastAsia="en-CA"/>
        </w:rPr>
        <w:br w:type="page"/>
      </w:r>
    </w:p>
    <w:p w:rsidR="007C38F2" w:rsidRPr="00C87BFF" w:rsidRDefault="007C38F2" w:rsidP="007C38F2">
      <w:pPr>
        <w:tabs>
          <w:tab w:val="left" w:pos="-1440"/>
          <w:tab w:val="left" w:pos="-720"/>
        </w:tabs>
        <w:jc w:val="both"/>
        <w:rPr>
          <w:rFonts w:eastAsia="Times New Roman" w:cs="Times New Roman"/>
          <w:sz w:val="20"/>
          <w:szCs w:val="20"/>
          <w:lang w:val="fr-CA" w:eastAsia="en-CA"/>
        </w:rPr>
      </w:pPr>
      <w:r w:rsidRPr="00C87BFF">
        <w:rPr>
          <w:rFonts w:eastAsia="Times New Roman" w:cs="Times New Roman"/>
          <w:sz w:val="20"/>
          <w:szCs w:val="20"/>
          <w:lang w:val="fr-CA" w:eastAsia="en-CA"/>
        </w:rPr>
        <w:lastRenderedPageBreak/>
        <w:t>10.05.2013</w:t>
      </w:r>
    </w:p>
    <w:p w:rsidR="007C38F2" w:rsidRPr="00C87BFF" w:rsidRDefault="007C38F2" w:rsidP="007C38F2">
      <w:pPr>
        <w:tabs>
          <w:tab w:val="left" w:pos="-1440"/>
          <w:tab w:val="left" w:pos="-720"/>
        </w:tabs>
        <w:jc w:val="both"/>
        <w:rPr>
          <w:rFonts w:eastAsia="Times New Roman" w:cs="Times New Roman"/>
          <w:sz w:val="20"/>
          <w:szCs w:val="20"/>
          <w:lang w:val="fr-CA" w:eastAsia="en-CA"/>
        </w:rPr>
      </w:pPr>
    </w:p>
    <w:p w:rsidR="007C38F2" w:rsidRPr="00C87BFF" w:rsidRDefault="007C38F2" w:rsidP="007C38F2">
      <w:pPr>
        <w:tabs>
          <w:tab w:val="left" w:pos="-1440"/>
          <w:tab w:val="left" w:pos="-720"/>
        </w:tabs>
        <w:jc w:val="both"/>
        <w:rPr>
          <w:rFonts w:eastAsia="Times New Roman" w:cs="Times New Roman"/>
          <w:sz w:val="20"/>
          <w:szCs w:val="20"/>
          <w:lang w:val="fr-CA" w:eastAsia="en-CA"/>
        </w:rPr>
      </w:pPr>
      <w:r w:rsidRPr="00C87BFF">
        <w:rPr>
          <w:rFonts w:eastAsia="Times New Roman" w:cs="Times New Roman"/>
          <w:sz w:val="20"/>
          <w:szCs w:val="20"/>
          <w:lang w:val="fr-CA" w:eastAsia="en-CA"/>
        </w:rPr>
        <w:t>Before / Devant :   ROTHSTEIN J. / LE JUGE ROTHSTEIN</w:t>
      </w:r>
    </w:p>
    <w:p w:rsidR="007C38F2" w:rsidRPr="00C87BFF" w:rsidRDefault="007C38F2" w:rsidP="007C38F2">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7C38F2" w:rsidRPr="00C87BFF" w:rsidTr="00370584">
        <w:tc>
          <w:tcPr>
            <w:tcW w:w="4338" w:type="dxa"/>
            <w:gridSpan w:val="2"/>
          </w:tcPr>
          <w:p w:rsidR="007C38F2" w:rsidRPr="00C87BFF" w:rsidRDefault="007C38F2" w:rsidP="00370584">
            <w:pPr>
              <w:rPr>
                <w:b/>
              </w:rPr>
            </w:pPr>
            <w:r w:rsidRPr="00C87BFF">
              <w:rPr>
                <w:b/>
              </w:rPr>
              <w:t>Motion for leave to intervene</w:t>
            </w:r>
            <w:r w:rsidRPr="00C87BFF">
              <w:rPr>
                <w:lang w:val="en-US"/>
              </w:rPr>
              <w:t xml:space="preserve"> </w:t>
            </w:r>
            <w:r w:rsidR="00B35B95" w:rsidRPr="00C87BFF">
              <w:rPr>
                <w:lang w:val="en-US"/>
              </w:rPr>
              <w:fldChar w:fldCharType="begin"/>
            </w:r>
            <w:r w:rsidRPr="00C87BFF">
              <w:instrText xml:space="preserve"> SEQ CHAPTER \h \r 1</w:instrText>
            </w:r>
            <w:r w:rsidR="00B35B95" w:rsidRPr="00C87BFF">
              <w:rPr>
                <w:lang w:val="en-US"/>
              </w:rPr>
              <w:fldChar w:fldCharType="end"/>
            </w:r>
          </w:p>
        </w:tc>
        <w:tc>
          <w:tcPr>
            <w:tcW w:w="1170" w:type="dxa"/>
          </w:tcPr>
          <w:p w:rsidR="007C38F2" w:rsidRPr="00C87BFF" w:rsidRDefault="007C38F2" w:rsidP="00370584"/>
          <w:p w:rsidR="007C38F2" w:rsidRPr="00C87BFF" w:rsidRDefault="007C38F2" w:rsidP="00370584"/>
        </w:tc>
        <w:tc>
          <w:tcPr>
            <w:tcW w:w="4327" w:type="dxa"/>
          </w:tcPr>
          <w:p w:rsidR="007C38F2" w:rsidRPr="00C87BFF" w:rsidRDefault="007C38F2" w:rsidP="00370584">
            <w:pPr>
              <w:rPr>
                <w:b/>
              </w:rPr>
            </w:pPr>
            <w:r w:rsidRPr="00C87BFF">
              <w:rPr>
                <w:b/>
                <w:bCs/>
                <w:lang w:val="fr-CA"/>
              </w:rPr>
              <w:t>Requête en autorisation d’intervenir</w:t>
            </w:r>
            <w:r w:rsidRPr="00C87BFF">
              <w:rPr>
                <w:lang w:val="en-US"/>
              </w:rPr>
              <w:t xml:space="preserve"> </w:t>
            </w:r>
            <w:r w:rsidR="00B35B95" w:rsidRPr="00C87BFF">
              <w:rPr>
                <w:lang w:val="en-US"/>
              </w:rPr>
              <w:fldChar w:fldCharType="begin"/>
            </w:r>
            <w:r w:rsidRPr="00C87BFF">
              <w:instrText xml:space="preserve"> SEQ CHAPTER \h \r 1</w:instrText>
            </w:r>
            <w:r w:rsidR="00B35B95" w:rsidRPr="00C87BFF">
              <w:rPr>
                <w:lang w:val="en-US"/>
              </w:rPr>
              <w:fldChar w:fldCharType="end"/>
            </w:r>
          </w:p>
        </w:tc>
      </w:tr>
      <w:tr w:rsidR="007C38F2" w:rsidRPr="00C87BFF" w:rsidTr="00370584">
        <w:tc>
          <w:tcPr>
            <w:tcW w:w="1368" w:type="dxa"/>
          </w:tcPr>
          <w:p w:rsidR="007C38F2" w:rsidRPr="00C87BFF" w:rsidRDefault="007C38F2" w:rsidP="00370584">
            <w:r w:rsidRPr="00C87BFF">
              <w:t>BY / PAR</w:t>
            </w:r>
          </w:p>
        </w:tc>
        <w:tc>
          <w:tcPr>
            <w:tcW w:w="2970" w:type="dxa"/>
          </w:tcPr>
          <w:p w:rsidR="007C38F2" w:rsidRPr="00C87BFF" w:rsidRDefault="007C38F2" w:rsidP="00370584">
            <w:r w:rsidRPr="00C87BFF">
              <w:rPr>
                <w:lang w:val="en-US"/>
              </w:rPr>
              <w:t>Retail Council of Canada and the Canadian Chamber of Commerce</w:t>
            </w:r>
          </w:p>
        </w:tc>
        <w:tc>
          <w:tcPr>
            <w:tcW w:w="1170" w:type="dxa"/>
          </w:tcPr>
          <w:p w:rsidR="007C38F2" w:rsidRPr="00C87BFF" w:rsidRDefault="007C38F2" w:rsidP="00370584"/>
        </w:tc>
        <w:tc>
          <w:tcPr>
            <w:tcW w:w="4327" w:type="dxa"/>
          </w:tcPr>
          <w:p w:rsidR="007C38F2" w:rsidRPr="00C87BFF" w:rsidRDefault="007C38F2" w:rsidP="00370584"/>
        </w:tc>
      </w:tr>
      <w:tr w:rsidR="007C38F2" w:rsidRPr="00C87BFF" w:rsidTr="00370584">
        <w:tc>
          <w:tcPr>
            <w:tcW w:w="1368" w:type="dxa"/>
          </w:tcPr>
          <w:p w:rsidR="007C38F2" w:rsidRPr="00C87BFF" w:rsidRDefault="007C38F2" w:rsidP="00370584"/>
        </w:tc>
        <w:tc>
          <w:tcPr>
            <w:tcW w:w="2970" w:type="dxa"/>
          </w:tcPr>
          <w:p w:rsidR="007C38F2" w:rsidRPr="00C87BFF" w:rsidRDefault="007C38F2" w:rsidP="00370584">
            <w:pPr>
              <w:rPr>
                <w:lang w:val="en-US"/>
              </w:rPr>
            </w:pPr>
          </w:p>
        </w:tc>
        <w:tc>
          <w:tcPr>
            <w:tcW w:w="1170" w:type="dxa"/>
          </w:tcPr>
          <w:p w:rsidR="007C38F2" w:rsidRPr="00C87BFF" w:rsidRDefault="007C38F2" w:rsidP="00370584"/>
        </w:tc>
        <w:tc>
          <w:tcPr>
            <w:tcW w:w="4327" w:type="dxa"/>
          </w:tcPr>
          <w:p w:rsidR="007C38F2" w:rsidRPr="00C87BFF" w:rsidRDefault="007C38F2" w:rsidP="00370584"/>
        </w:tc>
      </w:tr>
      <w:tr w:rsidR="007C38F2" w:rsidRPr="00C87BFF" w:rsidTr="00370584">
        <w:tc>
          <w:tcPr>
            <w:tcW w:w="1368" w:type="dxa"/>
          </w:tcPr>
          <w:p w:rsidR="007C38F2" w:rsidRPr="00C87BFF" w:rsidRDefault="007C38F2" w:rsidP="00370584">
            <w:r w:rsidRPr="00C87BFF">
              <w:t>IN / DANS :</w:t>
            </w:r>
          </w:p>
        </w:tc>
        <w:tc>
          <w:tcPr>
            <w:tcW w:w="2970" w:type="dxa"/>
          </w:tcPr>
          <w:p w:rsidR="007C38F2" w:rsidRPr="00C87BFF" w:rsidRDefault="007C38F2" w:rsidP="00370584">
            <w:r w:rsidRPr="00C87BFF">
              <w:t>Information and Privacy Commissioner et al.</w:t>
            </w:r>
          </w:p>
          <w:p w:rsidR="007C38F2" w:rsidRPr="00C87BFF" w:rsidRDefault="007C38F2" w:rsidP="00370584"/>
          <w:p w:rsidR="007C38F2" w:rsidRPr="00C87BFF" w:rsidRDefault="007C38F2" w:rsidP="00370584">
            <w:r w:rsidRPr="00C87BFF">
              <w:tab/>
              <w:t>v. (34890)</w:t>
            </w:r>
          </w:p>
          <w:p w:rsidR="007C38F2" w:rsidRPr="00C87BFF" w:rsidRDefault="007C38F2" w:rsidP="00370584"/>
          <w:p w:rsidR="007C38F2" w:rsidRPr="00C87BFF" w:rsidRDefault="007C38F2" w:rsidP="00370584">
            <w:r w:rsidRPr="00C87BFF">
              <w:t>United Food and Commercial Workers, Local 401 et al. (Alta.)</w:t>
            </w:r>
          </w:p>
        </w:tc>
        <w:tc>
          <w:tcPr>
            <w:tcW w:w="1170" w:type="dxa"/>
          </w:tcPr>
          <w:p w:rsidR="007C38F2" w:rsidRPr="00C87BFF" w:rsidRDefault="007C38F2" w:rsidP="00370584"/>
        </w:tc>
        <w:tc>
          <w:tcPr>
            <w:tcW w:w="4327" w:type="dxa"/>
          </w:tcPr>
          <w:p w:rsidR="007C38F2" w:rsidRPr="00C87BFF" w:rsidRDefault="007C38F2" w:rsidP="00370584"/>
        </w:tc>
      </w:tr>
    </w:tbl>
    <w:p w:rsidR="007C38F2" w:rsidRPr="00C87BFF" w:rsidRDefault="007C38F2" w:rsidP="007C38F2">
      <w:pPr>
        <w:tabs>
          <w:tab w:val="left" w:pos="-1440"/>
          <w:tab w:val="left" w:pos="-720"/>
        </w:tabs>
        <w:jc w:val="both"/>
        <w:rPr>
          <w:rFonts w:eastAsia="Times New Roman" w:cs="Times New Roman"/>
          <w:sz w:val="20"/>
          <w:szCs w:val="20"/>
          <w:lang w:eastAsia="en-CA"/>
        </w:rPr>
      </w:pPr>
    </w:p>
    <w:p w:rsidR="007C38F2" w:rsidRPr="00C87BFF" w:rsidRDefault="007C38F2" w:rsidP="007C38F2">
      <w:pPr>
        <w:tabs>
          <w:tab w:val="left" w:pos="-1440"/>
          <w:tab w:val="left" w:pos="-720"/>
        </w:tabs>
        <w:jc w:val="both"/>
        <w:rPr>
          <w:rFonts w:eastAsia="Times New Roman" w:cs="Times New Roman"/>
          <w:sz w:val="20"/>
          <w:szCs w:val="20"/>
          <w:lang w:eastAsia="en-CA"/>
        </w:rPr>
      </w:pPr>
      <w:r w:rsidRPr="00C87BFF">
        <w:rPr>
          <w:rFonts w:eastAsia="Times New Roman" w:cs="Times New Roman"/>
          <w:b/>
          <w:sz w:val="20"/>
          <w:szCs w:val="20"/>
          <w:lang w:eastAsia="en-CA"/>
        </w:rPr>
        <w:t>DISMISSED / REJETÉE</w:t>
      </w:r>
    </w:p>
    <w:p w:rsidR="007C38F2" w:rsidRPr="00C87BFF" w:rsidRDefault="007C38F2" w:rsidP="007C38F2">
      <w:pPr>
        <w:tabs>
          <w:tab w:val="left" w:pos="-1440"/>
          <w:tab w:val="left" w:pos="-720"/>
        </w:tabs>
        <w:jc w:val="both"/>
        <w:rPr>
          <w:rFonts w:eastAsia="Times New Roman" w:cs="Times New Roman"/>
          <w:sz w:val="20"/>
          <w:szCs w:val="20"/>
          <w:lang w:eastAsia="en-CA"/>
        </w:rPr>
      </w:pPr>
    </w:p>
    <w:p w:rsidR="007C38F2" w:rsidRPr="00C87BFF" w:rsidRDefault="007C38F2" w:rsidP="007C38F2">
      <w:pPr>
        <w:spacing w:line="233" w:lineRule="auto"/>
        <w:jc w:val="both"/>
        <w:rPr>
          <w:rFonts w:eastAsia="Times New Roman" w:cs="Times New Roman"/>
          <w:sz w:val="20"/>
          <w:szCs w:val="20"/>
          <w:lang w:val="en-US" w:eastAsia="en-CA"/>
        </w:rPr>
      </w:pPr>
      <w:r w:rsidRPr="00C87BFF">
        <w:rPr>
          <w:rFonts w:eastAsia="Times New Roman" w:cs="Times New Roman"/>
          <w:b/>
          <w:bCs/>
          <w:sz w:val="20"/>
          <w:szCs w:val="20"/>
          <w:lang w:val="en-US" w:eastAsia="en-CA"/>
        </w:rPr>
        <w:t xml:space="preserve">UPON APPLICATION </w:t>
      </w:r>
      <w:r w:rsidRPr="00C87BFF">
        <w:rPr>
          <w:rFonts w:eastAsia="Times New Roman" w:cs="Times New Roman"/>
          <w:sz w:val="20"/>
          <w:szCs w:val="20"/>
          <w:lang w:val="en-US" w:eastAsia="en-CA"/>
        </w:rPr>
        <w:t xml:space="preserve">by </w:t>
      </w:r>
      <w:r w:rsidRPr="00C87BFF">
        <w:rPr>
          <w:rFonts w:eastAsia="Times New Roman" w:cs="Times New Roman"/>
          <w:sz w:val="20"/>
          <w:szCs w:val="20"/>
          <w:lang w:eastAsia="en-CA"/>
        </w:rPr>
        <w:t>the</w:t>
      </w:r>
      <w:r w:rsidRPr="00C87BFF">
        <w:rPr>
          <w:rFonts w:eastAsia="Times New Roman" w:cs="Times New Roman"/>
          <w:sz w:val="20"/>
          <w:szCs w:val="20"/>
          <w:lang w:val="en-US" w:eastAsia="en-CA"/>
        </w:rPr>
        <w:t xml:space="preserve"> Retail Council of Canada and the Canadian Chamber of Commerce for leave to intervene in the above appeal;</w:t>
      </w:r>
    </w:p>
    <w:p w:rsidR="007C38F2" w:rsidRPr="00C87BFF" w:rsidRDefault="007C38F2" w:rsidP="007C38F2">
      <w:pPr>
        <w:spacing w:line="233" w:lineRule="auto"/>
        <w:jc w:val="both"/>
        <w:rPr>
          <w:rFonts w:eastAsia="Times New Roman" w:cs="Times New Roman"/>
          <w:sz w:val="20"/>
          <w:szCs w:val="20"/>
          <w:lang w:val="en-US" w:eastAsia="en-CA"/>
        </w:rPr>
      </w:pPr>
    </w:p>
    <w:p w:rsidR="007C38F2" w:rsidRPr="00C87BFF" w:rsidRDefault="007C38F2" w:rsidP="007C38F2">
      <w:pPr>
        <w:spacing w:line="233" w:lineRule="auto"/>
        <w:jc w:val="both"/>
        <w:rPr>
          <w:rFonts w:eastAsia="Times New Roman" w:cs="Times New Roman"/>
          <w:sz w:val="20"/>
          <w:szCs w:val="20"/>
          <w:lang w:val="en-US" w:eastAsia="en-CA"/>
        </w:rPr>
      </w:pPr>
      <w:r w:rsidRPr="00C87BFF">
        <w:rPr>
          <w:rFonts w:eastAsia="Times New Roman" w:cs="Times New Roman"/>
          <w:b/>
          <w:bCs/>
          <w:sz w:val="20"/>
          <w:szCs w:val="20"/>
          <w:lang w:val="en-US" w:eastAsia="en-CA"/>
        </w:rPr>
        <w:t>AND THE MATERIAL FILED</w:t>
      </w:r>
      <w:r w:rsidRPr="00C87BFF">
        <w:rPr>
          <w:rFonts w:eastAsia="Times New Roman" w:cs="Times New Roman"/>
          <w:sz w:val="20"/>
          <w:szCs w:val="20"/>
          <w:lang w:val="en-US" w:eastAsia="en-CA"/>
        </w:rPr>
        <w:t xml:space="preserve"> having been read;</w:t>
      </w:r>
    </w:p>
    <w:p w:rsidR="007C38F2" w:rsidRPr="00C87BFF" w:rsidRDefault="007C38F2" w:rsidP="007C38F2">
      <w:pPr>
        <w:spacing w:line="233" w:lineRule="auto"/>
        <w:jc w:val="both"/>
        <w:rPr>
          <w:rFonts w:eastAsia="Times New Roman" w:cs="Times New Roman"/>
          <w:sz w:val="20"/>
          <w:szCs w:val="20"/>
          <w:lang w:val="en-US" w:eastAsia="en-CA"/>
        </w:rPr>
      </w:pPr>
    </w:p>
    <w:p w:rsidR="007C38F2" w:rsidRPr="00C87BFF" w:rsidRDefault="007C38F2" w:rsidP="007C38F2">
      <w:pPr>
        <w:spacing w:line="233" w:lineRule="auto"/>
        <w:jc w:val="both"/>
        <w:rPr>
          <w:rFonts w:eastAsia="Times New Roman" w:cs="Times New Roman"/>
          <w:sz w:val="20"/>
          <w:szCs w:val="20"/>
          <w:lang w:val="en-US" w:eastAsia="en-CA"/>
        </w:rPr>
      </w:pPr>
      <w:r w:rsidRPr="00C87BFF">
        <w:rPr>
          <w:rFonts w:eastAsia="Times New Roman" w:cs="Times New Roman"/>
          <w:b/>
          <w:bCs/>
          <w:sz w:val="20"/>
          <w:szCs w:val="20"/>
          <w:lang w:val="en-US" w:eastAsia="en-CA"/>
        </w:rPr>
        <w:t>IT IS HEREBY ORDERED THAT:</w:t>
      </w:r>
    </w:p>
    <w:p w:rsidR="007C38F2" w:rsidRPr="00C87BFF" w:rsidRDefault="007C38F2" w:rsidP="007C38F2">
      <w:pPr>
        <w:spacing w:line="233" w:lineRule="auto"/>
        <w:jc w:val="both"/>
        <w:rPr>
          <w:rFonts w:eastAsia="Times New Roman" w:cs="Times New Roman"/>
          <w:sz w:val="20"/>
          <w:szCs w:val="20"/>
          <w:lang w:val="en-US" w:eastAsia="en-CA"/>
        </w:rPr>
      </w:pPr>
    </w:p>
    <w:p w:rsidR="007C38F2" w:rsidRPr="00C87BFF" w:rsidRDefault="007C38F2" w:rsidP="007C38F2">
      <w:pPr>
        <w:spacing w:line="233" w:lineRule="auto"/>
        <w:jc w:val="both"/>
        <w:rPr>
          <w:rFonts w:eastAsia="Times New Roman" w:cs="Times New Roman"/>
          <w:sz w:val="20"/>
          <w:szCs w:val="20"/>
          <w:lang w:val="en-US" w:eastAsia="en-CA"/>
        </w:rPr>
      </w:pPr>
      <w:r w:rsidRPr="00C87BFF">
        <w:rPr>
          <w:rFonts w:eastAsia="Times New Roman" w:cs="Times New Roman"/>
          <w:sz w:val="20"/>
          <w:szCs w:val="20"/>
          <w:lang w:val="en-US" w:eastAsia="en-CA"/>
        </w:rPr>
        <w:t xml:space="preserve">The motion for leave to intervene of </w:t>
      </w:r>
      <w:r w:rsidRPr="00C87BFF">
        <w:rPr>
          <w:rFonts w:eastAsia="Times New Roman" w:cs="Times New Roman"/>
          <w:sz w:val="20"/>
          <w:szCs w:val="20"/>
          <w:lang w:eastAsia="en-CA"/>
        </w:rPr>
        <w:t>the</w:t>
      </w:r>
      <w:r w:rsidRPr="00C87BFF">
        <w:rPr>
          <w:rFonts w:eastAsia="Times New Roman" w:cs="Times New Roman"/>
          <w:sz w:val="20"/>
          <w:szCs w:val="20"/>
          <w:lang w:val="en-US" w:eastAsia="en-CA"/>
        </w:rPr>
        <w:t xml:space="preserve"> Retail Council of Canada and the Canadian Chamber of Commerce</w:t>
      </w:r>
      <w:r w:rsidRPr="00C87BFF">
        <w:rPr>
          <w:rFonts w:eastAsia="Times New Roman" w:cs="Times New Roman"/>
          <w:sz w:val="20"/>
          <w:szCs w:val="20"/>
          <w:lang w:eastAsia="en-CA"/>
        </w:rPr>
        <w:t xml:space="preserve"> </w:t>
      </w:r>
      <w:r w:rsidRPr="00C87BFF">
        <w:rPr>
          <w:rFonts w:eastAsia="Times New Roman" w:cs="Times New Roman"/>
          <w:sz w:val="20"/>
          <w:szCs w:val="20"/>
          <w:lang w:val="en-US" w:eastAsia="en-CA"/>
        </w:rPr>
        <w:t>is</w:t>
      </w:r>
      <w:r w:rsidRPr="00C87BFF">
        <w:rPr>
          <w:rFonts w:eastAsia="Times New Roman" w:cs="Times New Roman"/>
          <w:sz w:val="20"/>
          <w:szCs w:val="20"/>
          <w:lang w:eastAsia="en-CA"/>
        </w:rPr>
        <w:t xml:space="preserve"> </w:t>
      </w:r>
      <w:r w:rsidRPr="00C87BFF">
        <w:rPr>
          <w:rFonts w:eastAsia="Times New Roman" w:cs="Times New Roman"/>
          <w:sz w:val="20"/>
          <w:szCs w:val="20"/>
          <w:lang w:val="en-US" w:eastAsia="en-CA"/>
        </w:rPr>
        <w:t>dismissed.</w:t>
      </w:r>
    </w:p>
    <w:p w:rsidR="007C38F2" w:rsidRPr="00C87BFF" w:rsidRDefault="007C38F2" w:rsidP="007C38F2">
      <w:pPr>
        <w:jc w:val="both"/>
        <w:rPr>
          <w:rFonts w:eastAsia="Times New Roman" w:cs="Times New Roman"/>
          <w:sz w:val="20"/>
          <w:szCs w:val="20"/>
          <w:lang w:eastAsia="en-CA"/>
        </w:rPr>
      </w:pPr>
    </w:p>
    <w:p w:rsidR="007C38F2" w:rsidRPr="00C87BFF" w:rsidRDefault="007C38F2" w:rsidP="007C38F2">
      <w:pPr>
        <w:jc w:val="both"/>
        <w:rPr>
          <w:rFonts w:eastAsia="Times New Roman" w:cs="Times New Roman"/>
          <w:sz w:val="20"/>
          <w:szCs w:val="20"/>
          <w:lang w:eastAsia="en-CA"/>
        </w:rPr>
      </w:pPr>
    </w:p>
    <w:p w:rsidR="007C38F2" w:rsidRPr="00C87BFF" w:rsidRDefault="007C38F2" w:rsidP="007C38F2">
      <w:pPr>
        <w:jc w:val="both"/>
        <w:rPr>
          <w:rFonts w:eastAsia="Times New Roman" w:cs="Times New Roman"/>
          <w:sz w:val="20"/>
          <w:szCs w:val="20"/>
          <w:lang w:eastAsia="en-CA"/>
        </w:rPr>
      </w:pPr>
    </w:p>
    <w:p w:rsidR="007C38F2" w:rsidRPr="00C87BFF" w:rsidRDefault="007C38F2" w:rsidP="007C38F2">
      <w:pPr>
        <w:jc w:val="both"/>
        <w:rPr>
          <w:rFonts w:eastAsia="Times New Roman" w:cs="Times New Roman"/>
          <w:sz w:val="20"/>
          <w:szCs w:val="20"/>
          <w:lang w:val="fr-CA" w:eastAsia="en-CA"/>
        </w:rPr>
      </w:pPr>
      <w:r w:rsidRPr="00C87BFF">
        <w:rPr>
          <w:rFonts w:eastAsia="Times New Roman" w:cs="Times New Roman"/>
          <w:b/>
          <w:sz w:val="20"/>
          <w:szCs w:val="20"/>
          <w:lang w:val="fr-CA" w:eastAsia="en-CA"/>
        </w:rPr>
        <w:t>À LA SUITE DE LA REQUÊTE</w:t>
      </w:r>
      <w:r w:rsidRPr="00C87BFF">
        <w:rPr>
          <w:rFonts w:eastAsia="Times New Roman" w:cs="Times New Roman"/>
          <w:sz w:val="20"/>
          <w:szCs w:val="20"/>
          <w:lang w:val="fr-CA" w:eastAsia="en-CA"/>
        </w:rPr>
        <w:t xml:space="preserve"> présentée par le Conseil canadien du commerce de détail et la Chambre de commerce du Canada pour obtenir l’autorisation d’intervenir dans le présent appel;</w:t>
      </w:r>
    </w:p>
    <w:p w:rsidR="007C38F2" w:rsidRPr="00C87BFF" w:rsidRDefault="007C38F2" w:rsidP="007C38F2">
      <w:pPr>
        <w:jc w:val="both"/>
        <w:rPr>
          <w:rFonts w:eastAsia="Times New Roman" w:cs="Times New Roman"/>
          <w:sz w:val="20"/>
          <w:szCs w:val="20"/>
          <w:lang w:val="fr-CA" w:eastAsia="en-CA"/>
        </w:rPr>
      </w:pPr>
    </w:p>
    <w:p w:rsidR="007C38F2" w:rsidRPr="00C87BFF" w:rsidRDefault="007C38F2" w:rsidP="007C38F2">
      <w:pPr>
        <w:jc w:val="both"/>
        <w:rPr>
          <w:rFonts w:eastAsia="Times New Roman" w:cs="Times New Roman"/>
          <w:sz w:val="20"/>
          <w:szCs w:val="20"/>
          <w:lang w:val="fr-CA" w:eastAsia="en-CA"/>
        </w:rPr>
      </w:pPr>
      <w:r w:rsidRPr="00C87BFF">
        <w:rPr>
          <w:rFonts w:eastAsia="Times New Roman" w:cs="Times New Roman"/>
          <w:b/>
          <w:sz w:val="20"/>
          <w:szCs w:val="20"/>
          <w:lang w:val="fr-CA" w:eastAsia="en-CA"/>
        </w:rPr>
        <w:t>ET APRÈS EXAMEN</w:t>
      </w:r>
      <w:r w:rsidRPr="00C87BFF">
        <w:rPr>
          <w:rFonts w:eastAsia="Times New Roman" w:cs="Times New Roman"/>
          <w:sz w:val="20"/>
          <w:szCs w:val="20"/>
          <w:lang w:val="fr-CA" w:eastAsia="en-CA"/>
        </w:rPr>
        <w:t xml:space="preserve"> des documents déposés;</w:t>
      </w:r>
    </w:p>
    <w:p w:rsidR="007C38F2" w:rsidRPr="00C87BFF" w:rsidRDefault="007C38F2" w:rsidP="007C38F2">
      <w:pPr>
        <w:jc w:val="both"/>
        <w:rPr>
          <w:rFonts w:eastAsia="Times New Roman" w:cs="Times New Roman"/>
          <w:sz w:val="20"/>
          <w:szCs w:val="20"/>
          <w:lang w:val="fr-CA" w:eastAsia="en-CA"/>
        </w:rPr>
      </w:pPr>
    </w:p>
    <w:p w:rsidR="007C38F2" w:rsidRPr="00C87BFF" w:rsidRDefault="007C38F2" w:rsidP="007C38F2">
      <w:pPr>
        <w:jc w:val="both"/>
        <w:rPr>
          <w:rFonts w:eastAsia="Times New Roman" w:cs="Times New Roman"/>
          <w:b/>
          <w:sz w:val="20"/>
          <w:szCs w:val="20"/>
          <w:lang w:val="fr-CA" w:eastAsia="en-CA"/>
        </w:rPr>
      </w:pPr>
      <w:r w:rsidRPr="00C87BFF">
        <w:rPr>
          <w:rFonts w:eastAsia="Times New Roman" w:cs="Times New Roman"/>
          <w:b/>
          <w:sz w:val="20"/>
          <w:szCs w:val="20"/>
          <w:lang w:val="fr-CA" w:eastAsia="en-CA"/>
        </w:rPr>
        <w:t>IL EST ORDONNÉ CE QUI SUIT :</w:t>
      </w:r>
    </w:p>
    <w:p w:rsidR="007C38F2" w:rsidRPr="00C87BFF" w:rsidRDefault="007C38F2" w:rsidP="007C38F2">
      <w:pPr>
        <w:jc w:val="both"/>
        <w:rPr>
          <w:rFonts w:eastAsia="Times New Roman" w:cs="Times New Roman"/>
          <w:sz w:val="20"/>
          <w:szCs w:val="20"/>
          <w:lang w:val="fr-CA" w:eastAsia="en-CA"/>
        </w:rPr>
      </w:pPr>
    </w:p>
    <w:p w:rsidR="007C38F2" w:rsidRPr="00C87BFF" w:rsidRDefault="007C38F2" w:rsidP="007C38F2">
      <w:pPr>
        <w:jc w:val="both"/>
        <w:rPr>
          <w:rFonts w:eastAsia="Times New Roman" w:cs="Times New Roman"/>
          <w:sz w:val="20"/>
          <w:szCs w:val="20"/>
          <w:lang w:val="fr-CA" w:eastAsia="en-CA"/>
        </w:rPr>
      </w:pPr>
      <w:r w:rsidRPr="00C87BFF">
        <w:rPr>
          <w:rFonts w:eastAsia="Times New Roman" w:cs="Times New Roman"/>
          <w:sz w:val="20"/>
          <w:szCs w:val="20"/>
          <w:lang w:val="fr-CA" w:eastAsia="en-CA"/>
        </w:rPr>
        <w:t>La requête en autorisation d’intervenir du Conseil canadien du commerce de détail et de la Chambre de commerce du Canada est rejetée.</w:t>
      </w:r>
    </w:p>
    <w:p w:rsidR="007C38F2" w:rsidRPr="00C87BFF" w:rsidRDefault="007C38F2" w:rsidP="007C38F2">
      <w:pPr>
        <w:tabs>
          <w:tab w:val="left" w:pos="-1440"/>
          <w:tab w:val="left" w:pos="-720"/>
        </w:tabs>
        <w:jc w:val="both"/>
        <w:rPr>
          <w:rFonts w:eastAsia="Times New Roman" w:cs="Times New Roman"/>
          <w:sz w:val="20"/>
          <w:szCs w:val="20"/>
          <w:lang w:val="fr-CA" w:eastAsia="en-CA"/>
        </w:rPr>
      </w:pPr>
    </w:p>
    <w:p w:rsidR="007C38F2" w:rsidRPr="00C87BFF" w:rsidRDefault="00B35B95" w:rsidP="007C38F2">
      <w:pPr>
        <w:tabs>
          <w:tab w:val="left" w:pos="-1440"/>
          <w:tab w:val="left" w:pos="-720"/>
        </w:tabs>
        <w:jc w:val="both"/>
        <w:rPr>
          <w:rFonts w:eastAsia="Times New Roman" w:cs="Times New Roman"/>
          <w:sz w:val="20"/>
          <w:szCs w:val="20"/>
          <w:lang w:val="fr-CA" w:eastAsia="en-CA"/>
        </w:rPr>
      </w:pPr>
      <w:r w:rsidRPr="00B35B95">
        <w:rPr>
          <w:rFonts w:eastAsia="Times New Roman" w:cs="Times New Roman"/>
          <w:sz w:val="20"/>
          <w:szCs w:val="20"/>
          <w:lang w:val="fr-CA" w:eastAsia="en-CA"/>
        </w:rPr>
        <w:pict>
          <v:rect id="_x0000_i1076" style="width:2in;height:1pt" o:hrpct="0" o:hralign="center" o:hrstd="t" o:hrnoshade="t" o:hr="t" fillcolor="black [3213]" stroked="f"/>
        </w:pict>
      </w:r>
    </w:p>
    <w:p w:rsidR="007C38F2" w:rsidRPr="00C87BFF" w:rsidRDefault="007C38F2" w:rsidP="007C38F2">
      <w:pPr>
        <w:tabs>
          <w:tab w:val="left" w:pos="-1440"/>
          <w:tab w:val="left" w:pos="-720"/>
        </w:tabs>
        <w:jc w:val="both"/>
        <w:rPr>
          <w:rFonts w:eastAsia="Times New Roman" w:cs="Times New Roman"/>
          <w:sz w:val="20"/>
          <w:szCs w:val="20"/>
          <w:lang w:val="fr-CA" w:eastAsia="en-CA"/>
        </w:rPr>
      </w:pPr>
    </w:p>
    <w:p w:rsidR="007C38F2" w:rsidRPr="00C87BFF" w:rsidRDefault="007C38F2" w:rsidP="007C38F2">
      <w:pPr>
        <w:tabs>
          <w:tab w:val="left" w:pos="-1440"/>
          <w:tab w:val="left" w:pos="-720"/>
        </w:tabs>
        <w:jc w:val="both"/>
        <w:rPr>
          <w:rFonts w:eastAsia="Times New Roman" w:cs="Times New Roman"/>
          <w:sz w:val="20"/>
          <w:szCs w:val="20"/>
          <w:lang w:val="fr-CA" w:eastAsia="en-CA"/>
        </w:rPr>
      </w:pPr>
    </w:p>
    <w:p w:rsidR="007C38F2" w:rsidRDefault="007C38F2" w:rsidP="007C38F2">
      <w:pPr>
        <w:rPr>
          <w:rFonts w:eastAsia="Times New Roman" w:cs="Times New Roman"/>
          <w:sz w:val="20"/>
          <w:szCs w:val="20"/>
          <w:lang w:val="fr-CA" w:eastAsia="en-CA"/>
        </w:rPr>
      </w:pPr>
      <w:r>
        <w:rPr>
          <w:rFonts w:eastAsia="Times New Roman" w:cs="Times New Roman"/>
          <w:sz w:val="20"/>
          <w:szCs w:val="20"/>
          <w:lang w:val="fr-CA" w:eastAsia="en-CA"/>
        </w:rPr>
        <w:br w:type="page"/>
      </w:r>
    </w:p>
    <w:p w:rsidR="007C38F2" w:rsidRPr="00C87BFF" w:rsidRDefault="007C38F2" w:rsidP="007C38F2">
      <w:pPr>
        <w:tabs>
          <w:tab w:val="left" w:pos="-1440"/>
          <w:tab w:val="left" w:pos="-720"/>
        </w:tabs>
        <w:jc w:val="both"/>
        <w:rPr>
          <w:rFonts w:eastAsia="Times New Roman" w:cs="Times New Roman"/>
          <w:sz w:val="20"/>
          <w:szCs w:val="20"/>
          <w:lang w:val="fr-CA" w:eastAsia="en-CA"/>
        </w:rPr>
      </w:pPr>
      <w:r w:rsidRPr="00C87BFF">
        <w:rPr>
          <w:rFonts w:eastAsia="Times New Roman" w:cs="Times New Roman"/>
          <w:sz w:val="20"/>
          <w:szCs w:val="20"/>
          <w:lang w:val="fr-CA" w:eastAsia="en-CA"/>
        </w:rPr>
        <w:lastRenderedPageBreak/>
        <w:t>15.05.2013</w:t>
      </w:r>
    </w:p>
    <w:p w:rsidR="007C38F2" w:rsidRPr="00C87BFF" w:rsidRDefault="007C38F2" w:rsidP="007C38F2">
      <w:pPr>
        <w:tabs>
          <w:tab w:val="left" w:pos="-1440"/>
          <w:tab w:val="left" w:pos="-720"/>
        </w:tabs>
        <w:jc w:val="both"/>
        <w:rPr>
          <w:rFonts w:eastAsia="Times New Roman" w:cs="Times New Roman"/>
          <w:sz w:val="20"/>
          <w:szCs w:val="20"/>
          <w:lang w:val="fr-CA" w:eastAsia="en-CA"/>
        </w:rPr>
      </w:pPr>
    </w:p>
    <w:p w:rsidR="007C38F2" w:rsidRPr="00C87BFF" w:rsidRDefault="007C38F2" w:rsidP="007C38F2">
      <w:pPr>
        <w:tabs>
          <w:tab w:val="left" w:pos="-1440"/>
          <w:tab w:val="left" w:pos="-720"/>
        </w:tabs>
        <w:jc w:val="both"/>
        <w:rPr>
          <w:rFonts w:eastAsia="Times New Roman" w:cs="Times New Roman"/>
          <w:sz w:val="20"/>
          <w:szCs w:val="20"/>
          <w:lang w:val="fr-CA" w:eastAsia="en-CA"/>
        </w:rPr>
      </w:pPr>
      <w:r w:rsidRPr="00C87BFF">
        <w:rPr>
          <w:rFonts w:eastAsia="Times New Roman" w:cs="Times New Roman"/>
          <w:sz w:val="20"/>
          <w:szCs w:val="20"/>
          <w:lang w:val="fr-CA" w:eastAsia="en-CA"/>
        </w:rPr>
        <w:t>Before / Devant :   ABELLA J. / LA JUGE ABELLA</w:t>
      </w:r>
    </w:p>
    <w:p w:rsidR="007C38F2" w:rsidRPr="00C87BFF" w:rsidRDefault="007C38F2" w:rsidP="007C38F2">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7C38F2" w:rsidRPr="00370584" w:rsidTr="00370584">
        <w:tc>
          <w:tcPr>
            <w:tcW w:w="4338" w:type="dxa"/>
          </w:tcPr>
          <w:p w:rsidR="007C38F2" w:rsidRPr="00C87BFF" w:rsidRDefault="00B35B95" w:rsidP="00370584">
            <w:pPr>
              <w:tabs>
                <w:tab w:val="left" w:pos="-1440"/>
                <w:tab w:val="left" w:pos="-720"/>
              </w:tabs>
              <w:jc w:val="both"/>
              <w:rPr>
                <w:b/>
              </w:rPr>
            </w:pPr>
            <w:r w:rsidRPr="00C87BFF">
              <w:rPr>
                <w:szCs w:val="24"/>
                <w:lang w:val="en-US"/>
              </w:rPr>
              <w:fldChar w:fldCharType="begin"/>
            </w:r>
            <w:r w:rsidR="007C38F2" w:rsidRPr="00C87BFF">
              <w:rPr>
                <w:szCs w:val="24"/>
              </w:rPr>
              <w:instrText xml:space="preserve"> SEQ CHAPTER \h \r 1</w:instrText>
            </w:r>
            <w:r w:rsidRPr="00C87BFF">
              <w:rPr>
                <w:szCs w:val="24"/>
                <w:lang w:val="en-US"/>
              </w:rPr>
              <w:fldChar w:fldCharType="end"/>
            </w:r>
            <w:r w:rsidRPr="00C87BFF">
              <w:rPr>
                <w:szCs w:val="24"/>
                <w:lang w:val="en-US"/>
              </w:rPr>
              <w:fldChar w:fldCharType="begin"/>
            </w:r>
            <w:r w:rsidR="007C38F2" w:rsidRPr="00C87BFF">
              <w:rPr>
                <w:szCs w:val="24"/>
              </w:rPr>
              <w:instrText xml:space="preserve"> SEQ CHAPTER \h</w:instrText>
            </w:r>
            <w:r w:rsidR="007C38F2" w:rsidRPr="00C87BFF">
              <w:rPr>
                <w:szCs w:val="24"/>
                <w:lang w:val="en-US"/>
              </w:rPr>
              <w:instrText xml:space="preserve"> \r 1</w:instrText>
            </w:r>
            <w:r w:rsidRPr="00C87BFF">
              <w:rPr>
                <w:szCs w:val="24"/>
                <w:lang w:val="en-US"/>
              </w:rPr>
              <w:fldChar w:fldCharType="end"/>
            </w:r>
            <w:r w:rsidR="007C38F2" w:rsidRPr="00C87BFF">
              <w:rPr>
                <w:b/>
                <w:bCs/>
                <w:lang w:val="en-US"/>
              </w:rPr>
              <w:t>Motion to file a lengthy factum on appeal by the appellant to 80 pages and the facta of both respondents to 60 pages each</w:t>
            </w:r>
          </w:p>
        </w:tc>
        <w:tc>
          <w:tcPr>
            <w:tcW w:w="1170" w:type="dxa"/>
          </w:tcPr>
          <w:p w:rsidR="007C38F2" w:rsidRPr="00C87BFF" w:rsidRDefault="007C38F2" w:rsidP="00370584">
            <w:pPr>
              <w:tabs>
                <w:tab w:val="left" w:pos="-1440"/>
                <w:tab w:val="left" w:pos="-720"/>
              </w:tabs>
              <w:jc w:val="both"/>
            </w:pPr>
          </w:p>
          <w:p w:rsidR="007C38F2" w:rsidRPr="00C87BFF" w:rsidRDefault="007C38F2" w:rsidP="00370584">
            <w:pPr>
              <w:tabs>
                <w:tab w:val="left" w:pos="-1440"/>
                <w:tab w:val="left" w:pos="-720"/>
              </w:tabs>
              <w:jc w:val="both"/>
            </w:pPr>
          </w:p>
          <w:p w:rsidR="007C38F2" w:rsidRPr="00C87BFF" w:rsidRDefault="007C38F2" w:rsidP="00370584">
            <w:pPr>
              <w:tabs>
                <w:tab w:val="left" w:pos="-1440"/>
                <w:tab w:val="left" w:pos="-720"/>
              </w:tabs>
              <w:jc w:val="both"/>
            </w:pPr>
          </w:p>
          <w:p w:rsidR="007C38F2" w:rsidRPr="00C87BFF" w:rsidRDefault="007C38F2" w:rsidP="00370584">
            <w:pPr>
              <w:tabs>
                <w:tab w:val="left" w:pos="-1440"/>
                <w:tab w:val="left" w:pos="-720"/>
              </w:tabs>
              <w:jc w:val="both"/>
            </w:pPr>
          </w:p>
          <w:p w:rsidR="007C38F2" w:rsidRPr="00C87BFF" w:rsidRDefault="007C38F2" w:rsidP="00370584">
            <w:pPr>
              <w:tabs>
                <w:tab w:val="left" w:pos="-1440"/>
                <w:tab w:val="left" w:pos="-720"/>
              </w:tabs>
              <w:jc w:val="both"/>
            </w:pPr>
          </w:p>
        </w:tc>
        <w:tc>
          <w:tcPr>
            <w:tcW w:w="4327" w:type="dxa"/>
          </w:tcPr>
          <w:p w:rsidR="007C38F2" w:rsidRPr="00C87BFF" w:rsidRDefault="00B35B95" w:rsidP="00370584">
            <w:pPr>
              <w:tabs>
                <w:tab w:val="left" w:pos="-1440"/>
                <w:tab w:val="left" w:pos="-720"/>
              </w:tabs>
              <w:jc w:val="both"/>
              <w:rPr>
                <w:lang w:val="fr-CA"/>
              </w:rPr>
            </w:pPr>
            <w:r w:rsidRPr="00C87BFF">
              <w:rPr>
                <w:szCs w:val="24"/>
                <w:lang w:val="en-US"/>
              </w:rPr>
              <w:fldChar w:fldCharType="begin"/>
            </w:r>
            <w:r w:rsidR="007C38F2" w:rsidRPr="00C87BFF">
              <w:rPr>
                <w:szCs w:val="24"/>
                <w:lang w:val="fr-CA"/>
              </w:rPr>
              <w:instrText xml:space="preserve"> SEQ CHAPTER \h \r 1</w:instrText>
            </w:r>
            <w:r w:rsidRPr="00C87BFF">
              <w:rPr>
                <w:szCs w:val="24"/>
                <w:lang w:val="en-US"/>
              </w:rPr>
              <w:fldChar w:fldCharType="end"/>
            </w:r>
            <w:r w:rsidR="007C38F2" w:rsidRPr="00C87BFF">
              <w:rPr>
                <w:b/>
                <w:bCs/>
                <w:lang w:val="fr-CA"/>
              </w:rPr>
              <w:t>Requête pour que l’appelant soit autorisé à déposer un mémoire volumineux de 80 pages</w:t>
            </w:r>
            <w:r w:rsidR="007C38F2" w:rsidRPr="00C87BFF">
              <w:rPr>
                <w:b/>
                <w:bCs/>
                <w:szCs w:val="24"/>
                <w:lang w:val="fr-CA"/>
              </w:rPr>
              <w:t xml:space="preserve"> et chaque intimé un mémoire volumineux de 60 pages</w:t>
            </w:r>
            <w:r w:rsidRPr="00C87BFF">
              <w:rPr>
                <w:szCs w:val="24"/>
                <w:lang w:val="en-US"/>
              </w:rPr>
              <w:fldChar w:fldCharType="begin"/>
            </w:r>
            <w:r w:rsidR="007C38F2" w:rsidRPr="00C87BFF">
              <w:rPr>
                <w:szCs w:val="24"/>
                <w:lang w:val="fr-CA"/>
              </w:rPr>
              <w:instrText xml:space="preserve"> SEQ CHAPTER \h \r 1</w:instrText>
            </w:r>
            <w:r w:rsidRPr="00C87BFF">
              <w:rPr>
                <w:szCs w:val="24"/>
                <w:lang w:val="en-US"/>
              </w:rPr>
              <w:fldChar w:fldCharType="end"/>
            </w:r>
            <w:r w:rsidRPr="00C87BFF">
              <w:rPr>
                <w:szCs w:val="24"/>
                <w:lang w:val="en-US"/>
              </w:rPr>
              <w:fldChar w:fldCharType="begin"/>
            </w:r>
            <w:r w:rsidR="007C38F2" w:rsidRPr="00C87BFF">
              <w:rPr>
                <w:szCs w:val="24"/>
                <w:lang w:val="fr-CA"/>
              </w:rPr>
              <w:instrText xml:space="preserve"> SEQ CHAPTER \h \r 1</w:instrText>
            </w:r>
            <w:r w:rsidRPr="00C87BFF">
              <w:rPr>
                <w:szCs w:val="24"/>
                <w:lang w:val="en-US"/>
              </w:rPr>
              <w:fldChar w:fldCharType="end"/>
            </w:r>
          </w:p>
        </w:tc>
      </w:tr>
      <w:tr w:rsidR="007C38F2" w:rsidRPr="00C87BFF" w:rsidTr="00370584">
        <w:tc>
          <w:tcPr>
            <w:tcW w:w="4338" w:type="dxa"/>
          </w:tcPr>
          <w:p w:rsidR="007C38F2" w:rsidRPr="00C87BFF" w:rsidRDefault="007C38F2" w:rsidP="00370584">
            <w:pPr>
              <w:tabs>
                <w:tab w:val="left" w:pos="-1440"/>
                <w:tab w:val="left" w:pos="-720"/>
              </w:tabs>
              <w:jc w:val="both"/>
            </w:pPr>
            <w:r w:rsidRPr="00C87BFF">
              <w:t>Roger William, on his own behalf and on behalf of all other members of the Xeni Gwet’in First Nations Government and on behalf of all other members of the Tsilhqot’in Nation</w:t>
            </w:r>
          </w:p>
          <w:p w:rsidR="007C38F2" w:rsidRPr="00C87BFF" w:rsidRDefault="007C38F2" w:rsidP="00370584">
            <w:pPr>
              <w:tabs>
                <w:tab w:val="left" w:pos="-1440"/>
                <w:tab w:val="left" w:pos="-720"/>
              </w:tabs>
              <w:jc w:val="both"/>
            </w:pPr>
          </w:p>
          <w:p w:rsidR="007C38F2" w:rsidRPr="00C87BFF" w:rsidRDefault="007C38F2" w:rsidP="00370584">
            <w:pPr>
              <w:tabs>
                <w:tab w:val="left" w:pos="-1440"/>
                <w:tab w:val="left" w:pos="-720"/>
              </w:tabs>
              <w:jc w:val="both"/>
            </w:pPr>
            <w:r w:rsidRPr="00C87BFF">
              <w:tab/>
              <w:t>v. (34986)</w:t>
            </w:r>
          </w:p>
          <w:p w:rsidR="007C38F2" w:rsidRPr="00C87BFF" w:rsidRDefault="007C38F2" w:rsidP="00370584">
            <w:pPr>
              <w:tabs>
                <w:tab w:val="left" w:pos="-1440"/>
                <w:tab w:val="left" w:pos="-720"/>
              </w:tabs>
              <w:jc w:val="both"/>
            </w:pPr>
          </w:p>
          <w:p w:rsidR="007C38F2" w:rsidRPr="00C87BFF" w:rsidRDefault="007C38F2" w:rsidP="00370584">
            <w:pPr>
              <w:tabs>
                <w:tab w:val="left" w:pos="-1440"/>
                <w:tab w:val="left" w:pos="-720"/>
              </w:tabs>
              <w:jc w:val="both"/>
            </w:pPr>
            <w:r w:rsidRPr="00C87BFF">
              <w:t>Her Majesty the Queen in Right of the Province of British Columbia and the Regional Manager of the Cariboo Forest Region et al. (B.C.)</w:t>
            </w:r>
          </w:p>
        </w:tc>
        <w:tc>
          <w:tcPr>
            <w:tcW w:w="1170" w:type="dxa"/>
          </w:tcPr>
          <w:p w:rsidR="007C38F2" w:rsidRPr="00C87BFF" w:rsidRDefault="007C38F2" w:rsidP="00370584">
            <w:pPr>
              <w:tabs>
                <w:tab w:val="left" w:pos="-1440"/>
                <w:tab w:val="left" w:pos="-720"/>
              </w:tabs>
              <w:jc w:val="both"/>
            </w:pPr>
          </w:p>
        </w:tc>
        <w:tc>
          <w:tcPr>
            <w:tcW w:w="4327" w:type="dxa"/>
          </w:tcPr>
          <w:p w:rsidR="007C38F2" w:rsidRPr="00C87BFF" w:rsidRDefault="007C38F2" w:rsidP="00370584">
            <w:pPr>
              <w:tabs>
                <w:tab w:val="left" w:pos="-1440"/>
                <w:tab w:val="left" w:pos="-720"/>
              </w:tabs>
              <w:jc w:val="both"/>
            </w:pPr>
          </w:p>
        </w:tc>
      </w:tr>
    </w:tbl>
    <w:p w:rsidR="007C38F2" w:rsidRPr="00C87BFF" w:rsidRDefault="007C38F2" w:rsidP="007C38F2">
      <w:pPr>
        <w:tabs>
          <w:tab w:val="left" w:pos="-1440"/>
          <w:tab w:val="left" w:pos="-720"/>
        </w:tabs>
        <w:jc w:val="both"/>
        <w:rPr>
          <w:rFonts w:eastAsia="Times New Roman" w:cs="Times New Roman"/>
          <w:sz w:val="20"/>
          <w:szCs w:val="20"/>
          <w:lang w:eastAsia="en-CA"/>
        </w:rPr>
      </w:pPr>
    </w:p>
    <w:p w:rsidR="007C38F2" w:rsidRPr="00C87BFF" w:rsidRDefault="007C38F2" w:rsidP="007C38F2">
      <w:pPr>
        <w:tabs>
          <w:tab w:val="left" w:pos="-1440"/>
          <w:tab w:val="left" w:pos="-720"/>
        </w:tabs>
        <w:jc w:val="both"/>
        <w:rPr>
          <w:rFonts w:eastAsia="Times New Roman" w:cs="Times New Roman"/>
          <w:b/>
          <w:sz w:val="20"/>
          <w:szCs w:val="20"/>
          <w:lang w:eastAsia="en-CA"/>
        </w:rPr>
      </w:pPr>
      <w:r w:rsidRPr="00C87BFF">
        <w:rPr>
          <w:rFonts w:eastAsia="Times New Roman" w:cs="Times New Roman"/>
          <w:b/>
          <w:sz w:val="20"/>
          <w:szCs w:val="20"/>
          <w:lang w:eastAsia="en-CA"/>
        </w:rPr>
        <w:t>GRANTED / ACCORDÉE</w:t>
      </w:r>
    </w:p>
    <w:p w:rsidR="007C38F2" w:rsidRPr="00C87BFF" w:rsidRDefault="007C38F2" w:rsidP="007C38F2">
      <w:pPr>
        <w:tabs>
          <w:tab w:val="left" w:pos="-1440"/>
          <w:tab w:val="left" w:pos="-720"/>
        </w:tabs>
        <w:jc w:val="both"/>
        <w:rPr>
          <w:rFonts w:eastAsia="Times New Roman" w:cs="Times New Roman"/>
          <w:sz w:val="20"/>
          <w:szCs w:val="20"/>
          <w:lang w:eastAsia="en-CA"/>
        </w:rPr>
      </w:pPr>
    </w:p>
    <w:p w:rsidR="007C38F2" w:rsidRPr="00C87BFF" w:rsidRDefault="00B35B95" w:rsidP="007C38F2">
      <w:pPr>
        <w:tabs>
          <w:tab w:val="left" w:pos="-1440"/>
          <w:tab w:val="left" w:pos="-720"/>
        </w:tabs>
        <w:jc w:val="both"/>
        <w:rPr>
          <w:rFonts w:eastAsia="Times New Roman" w:cs="Times New Roman"/>
          <w:sz w:val="20"/>
          <w:szCs w:val="20"/>
          <w:lang w:val="fr-CA" w:eastAsia="en-CA"/>
        </w:rPr>
      </w:pPr>
      <w:r w:rsidRPr="00B35B95">
        <w:rPr>
          <w:rFonts w:eastAsia="Times New Roman" w:cs="Times New Roman"/>
          <w:sz w:val="20"/>
          <w:szCs w:val="20"/>
          <w:lang w:val="fr-CA" w:eastAsia="en-CA"/>
        </w:rPr>
        <w:pict>
          <v:rect id="_x0000_i1077" style="width:2in;height:1pt" o:hrpct="0" o:hralign="center" o:hrstd="t" o:hrnoshade="t" o:hr="t" fillcolor="black [3213]" stroked="f"/>
        </w:pict>
      </w:r>
    </w:p>
    <w:p w:rsidR="007C38F2" w:rsidRPr="00C87BFF" w:rsidRDefault="007C38F2" w:rsidP="007C38F2">
      <w:pPr>
        <w:tabs>
          <w:tab w:val="left" w:pos="-1440"/>
          <w:tab w:val="left" w:pos="-720"/>
        </w:tabs>
        <w:jc w:val="both"/>
        <w:rPr>
          <w:rFonts w:eastAsia="Times New Roman" w:cs="Times New Roman"/>
          <w:sz w:val="20"/>
          <w:szCs w:val="20"/>
          <w:lang w:val="fr-CA" w:eastAsia="en-CA"/>
        </w:rPr>
      </w:pPr>
    </w:p>
    <w:p w:rsidR="007C38F2" w:rsidRPr="00C87BFF" w:rsidRDefault="007C38F2" w:rsidP="007C38F2">
      <w:pPr>
        <w:tabs>
          <w:tab w:val="left" w:pos="-1440"/>
          <w:tab w:val="left" w:pos="-720"/>
        </w:tabs>
        <w:jc w:val="both"/>
        <w:rPr>
          <w:rFonts w:eastAsia="Times New Roman" w:cs="Times New Roman"/>
          <w:sz w:val="20"/>
          <w:szCs w:val="20"/>
          <w:lang w:val="fr-CA" w:eastAsia="en-CA"/>
        </w:rPr>
      </w:pPr>
      <w:r w:rsidRPr="00C87BFF">
        <w:rPr>
          <w:rFonts w:eastAsia="Times New Roman" w:cs="Times New Roman"/>
          <w:sz w:val="20"/>
          <w:szCs w:val="20"/>
          <w:lang w:val="fr-CA" w:eastAsia="en-CA"/>
        </w:rPr>
        <w:t>15.05.2013</w:t>
      </w:r>
    </w:p>
    <w:p w:rsidR="007C38F2" w:rsidRPr="00C87BFF" w:rsidRDefault="007C38F2" w:rsidP="007C38F2">
      <w:pPr>
        <w:tabs>
          <w:tab w:val="left" w:pos="-1440"/>
          <w:tab w:val="left" w:pos="-720"/>
        </w:tabs>
        <w:jc w:val="both"/>
        <w:rPr>
          <w:rFonts w:eastAsia="Times New Roman" w:cs="Times New Roman"/>
          <w:sz w:val="20"/>
          <w:szCs w:val="20"/>
          <w:lang w:val="fr-CA" w:eastAsia="en-CA"/>
        </w:rPr>
      </w:pPr>
    </w:p>
    <w:p w:rsidR="007C38F2" w:rsidRPr="00C87BFF" w:rsidRDefault="007C38F2" w:rsidP="007C38F2">
      <w:pPr>
        <w:tabs>
          <w:tab w:val="left" w:pos="-1440"/>
          <w:tab w:val="left" w:pos="-720"/>
        </w:tabs>
        <w:jc w:val="both"/>
        <w:rPr>
          <w:rFonts w:eastAsia="Times New Roman" w:cs="Times New Roman"/>
          <w:sz w:val="20"/>
          <w:szCs w:val="20"/>
          <w:lang w:val="fr-CA" w:eastAsia="en-CA"/>
        </w:rPr>
      </w:pPr>
      <w:r w:rsidRPr="00C87BFF">
        <w:rPr>
          <w:rFonts w:eastAsia="Times New Roman" w:cs="Times New Roman"/>
          <w:sz w:val="20"/>
          <w:szCs w:val="20"/>
          <w:lang w:val="fr-CA" w:eastAsia="en-CA"/>
        </w:rPr>
        <w:t>Before / Devant :   LEBEL J. / LE JUGE LEBEL</w:t>
      </w:r>
    </w:p>
    <w:p w:rsidR="007C38F2" w:rsidRPr="00C87BFF" w:rsidRDefault="007C38F2" w:rsidP="007C38F2">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8"/>
        <w:gridCol w:w="3060"/>
        <w:gridCol w:w="1170"/>
        <w:gridCol w:w="4327"/>
      </w:tblGrid>
      <w:tr w:rsidR="007C38F2" w:rsidRPr="00C87BFF" w:rsidTr="00370584">
        <w:tc>
          <w:tcPr>
            <w:tcW w:w="4338" w:type="dxa"/>
            <w:gridSpan w:val="2"/>
          </w:tcPr>
          <w:p w:rsidR="007C38F2" w:rsidRPr="00C87BFF" w:rsidRDefault="00B35B95" w:rsidP="00370584">
            <w:pPr>
              <w:rPr>
                <w:b/>
              </w:rPr>
            </w:pPr>
            <w:r w:rsidRPr="00C87BFF">
              <w:rPr>
                <w:szCs w:val="24"/>
                <w:lang w:val="en-US"/>
              </w:rPr>
              <w:fldChar w:fldCharType="begin"/>
            </w:r>
            <w:r w:rsidR="007C38F2" w:rsidRPr="00C87BFF">
              <w:rPr>
                <w:szCs w:val="24"/>
                <w:lang w:val="en-US"/>
              </w:rPr>
              <w:instrText xml:space="preserve"> SEQ CHAPTER \h \r 1</w:instrText>
            </w:r>
            <w:r w:rsidRPr="00C87BFF">
              <w:rPr>
                <w:szCs w:val="24"/>
                <w:lang w:val="en-US"/>
              </w:rPr>
              <w:fldChar w:fldCharType="end"/>
            </w:r>
            <w:r w:rsidR="007C38F2" w:rsidRPr="00C87BFF">
              <w:rPr>
                <w:b/>
                <w:bCs/>
                <w:lang w:val="en-US"/>
              </w:rPr>
              <w:t>Motion for leave to intervene</w:t>
            </w:r>
            <w:r w:rsidRPr="00C87BFF">
              <w:rPr>
                <w:lang w:val="en-US"/>
              </w:rPr>
              <w:fldChar w:fldCharType="begin"/>
            </w:r>
            <w:r w:rsidR="007C38F2" w:rsidRPr="00C87BFF">
              <w:instrText xml:space="preserve"> SEQ CHAPTER \h \r 1</w:instrText>
            </w:r>
            <w:r w:rsidRPr="00C87BFF">
              <w:rPr>
                <w:lang w:val="en-US"/>
              </w:rPr>
              <w:fldChar w:fldCharType="end"/>
            </w:r>
          </w:p>
        </w:tc>
        <w:tc>
          <w:tcPr>
            <w:tcW w:w="1170" w:type="dxa"/>
          </w:tcPr>
          <w:p w:rsidR="007C38F2" w:rsidRPr="00C87BFF" w:rsidRDefault="007C38F2" w:rsidP="00370584"/>
          <w:p w:rsidR="007C38F2" w:rsidRPr="00C87BFF" w:rsidRDefault="007C38F2" w:rsidP="00370584"/>
        </w:tc>
        <w:tc>
          <w:tcPr>
            <w:tcW w:w="4327" w:type="dxa"/>
          </w:tcPr>
          <w:p w:rsidR="007C38F2" w:rsidRPr="00C87BFF" w:rsidRDefault="00B35B95" w:rsidP="00370584">
            <w:pPr>
              <w:jc w:val="both"/>
              <w:rPr>
                <w:b/>
                <w:lang w:val="fr-CA"/>
              </w:rPr>
            </w:pPr>
            <w:r w:rsidRPr="00C87BFF">
              <w:rPr>
                <w:szCs w:val="24"/>
                <w:lang w:val="en-US"/>
              </w:rPr>
              <w:fldChar w:fldCharType="begin"/>
            </w:r>
            <w:r w:rsidR="007C38F2" w:rsidRPr="00C87BFF">
              <w:rPr>
                <w:szCs w:val="24"/>
                <w:lang w:val="fr-CA"/>
              </w:rPr>
              <w:instrText xml:space="preserve"> SEQ CHAPTER \h \r 1</w:instrText>
            </w:r>
            <w:r w:rsidRPr="00C87BFF">
              <w:rPr>
                <w:szCs w:val="24"/>
                <w:lang w:val="en-US"/>
              </w:rPr>
              <w:fldChar w:fldCharType="end"/>
            </w:r>
            <w:r w:rsidR="007C38F2" w:rsidRPr="00C87BFF">
              <w:rPr>
                <w:b/>
                <w:bCs/>
                <w:lang w:val="fr-CA"/>
              </w:rPr>
              <w:t>Requête en autorisation d’intervenir</w:t>
            </w:r>
            <w:r w:rsidRPr="00C87BFF">
              <w:rPr>
                <w:lang w:val="en-US"/>
              </w:rPr>
              <w:fldChar w:fldCharType="begin"/>
            </w:r>
            <w:r w:rsidR="007C38F2" w:rsidRPr="00C87BFF">
              <w:rPr>
                <w:lang w:val="fr-CA"/>
              </w:rPr>
              <w:instrText xml:space="preserve"> SEQ CHAPTER \h \r 1</w:instrText>
            </w:r>
            <w:r w:rsidRPr="00C87BFF">
              <w:rPr>
                <w:lang w:val="en-US"/>
              </w:rPr>
              <w:fldChar w:fldCharType="end"/>
            </w:r>
          </w:p>
        </w:tc>
      </w:tr>
      <w:tr w:rsidR="007C38F2" w:rsidRPr="00C87BFF" w:rsidTr="00370584">
        <w:tc>
          <w:tcPr>
            <w:tcW w:w="1278" w:type="dxa"/>
          </w:tcPr>
          <w:p w:rsidR="007C38F2" w:rsidRPr="00C87BFF" w:rsidRDefault="007C38F2" w:rsidP="00370584">
            <w:r w:rsidRPr="00C87BFF">
              <w:t>BY / PAR</w:t>
            </w:r>
          </w:p>
        </w:tc>
        <w:tc>
          <w:tcPr>
            <w:tcW w:w="3060" w:type="dxa"/>
          </w:tcPr>
          <w:p w:rsidR="007C38F2" w:rsidRPr="00C87BFF" w:rsidRDefault="007C38F2" w:rsidP="00370584">
            <w:r w:rsidRPr="00C87BFF">
              <w:rPr>
                <w:lang w:val="fr-CA"/>
              </w:rPr>
              <w:t>Dany Turcotte</w:t>
            </w:r>
          </w:p>
        </w:tc>
        <w:tc>
          <w:tcPr>
            <w:tcW w:w="1170" w:type="dxa"/>
          </w:tcPr>
          <w:p w:rsidR="007C38F2" w:rsidRPr="00C87BFF" w:rsidRDefault="007C38F2" w:rsidP="00370584"/>
        </w:tc>
        <w:tc>
          <w:tcPr>
            <w:tcW w:w="4327" w:type="dxa"/>
          </w:tcPr>
          <w:p w:rsidR="007C38F2" w:rsidRPr="00C87BFF" w:rsidRDefault="007C38F2" w:rsidP="00370584"/>
        </w:tc>
      </w:tr>
      <w:tr w:rsidR="007C38F2" w:rsidRPr="00C87BFF" w:rsidTr="00370584">
        <w:tc>
          <w:tcPr>
            <w:tcW w:w="1278" w:type="dxa"/>
          </w:tcPr>
          <w:p w:rsidR="007C38F2" w:rsidRPr="00C87BFF" w:rsidRDefault="007C38F2" w:rsidP="00370584">
            <w:pPr>
              <w:rPr>
                <w:lang w:val="fr-CA"/>
              </w:rPr>
            </w:pPr>
          </w:p>
        </w:tc>
        <w:tc>
          <w:tcPr>
            <w:tcW w:w="3060" w:type="dxa"/>
          </w:tcPr>
          <w:p w:rsidR="007C38F2" w:rsidRPr="00C87BFF" w:rsidRDefault="007C38F2" w:rsidP="00370584">
            <w:pPr>
              <w:rPr>
                <w:lang w:val="fr-CA"/>
              </w:rPr>
            </w:pPr>
          </w:p>
        </w:tc>
        <w:tc>
          <w:tcPr>
            <w:tcW w:w="1170" w:type="dxa"/>
          </w:tcPr>
          <w:p w:rsidR="007C38F2" w:rsidRPr="00C87BFF" w:rsidRDefault="007C38F2" w:rsidP="00370584">
            <w:pPr>
              <w:rPr>
                <w:lang w:val="fr-CA"/>
              </w:rPr>
            </w:pPr>
          </w:p>
        </w:tc>
        <w:tc>
          <w:tcPr>
            <w:tcW w:w="4327" w:type="dxa"/>
          </w:tcPr>
          <w:p w:rsidR="007C38F2" w:rsidRPr="00C87BFF" w:rsidRDefault="007C38F2" w:rsidP="00370584">
            <w:pPr>
              <w:rPr>
                <w:lang w:val="fr-CA"/>
              </w:rPr>
            </w:pPr>
          </w:p>
        </w:tc>
      </w:tr>
      <w:tr w:rsidR="007C38F2" w:rsidRPr="00C87BFF" w:rsidTr="00370584">
        <w:tc>
          <w:tcPr>
            <w:tcW w:w="1278" w:type="dxa"/>
          </w:tcPr>
          <w:p w:rsidR="007C38F2" w:rsidRPr="00C87BFF" w:rsidRDefault="007C38F2" w:rsidP="00370584">
            <w:r w:rsidRPr="00C87BFF">
              <w:t>IN / DANS :</w:t>
            </w:r>
          </w:p>
        </w:tc>
        <w:tc>
          <w:tcPr>
            <w:tcW w:w="3060" w:type="dxa"/>
          </w:tcPr>
          <w:p w:rsidR="007C38F2" w:rsidRPr="00C87BFF" w:rsidRDefault="007C38F2" w:rsidP="00370584">
            <w:pPr>
              <w:spacing w:line="233" w:lineRule="auto"/>
              <w:jc w:val="both"/>
              <w:rPr>
                <w:b/>
                <w:bCs/>
                <w:lang w:val="en-US"/>
              </w:rPr>
            </w:pPr>
            <w:r w:rsidRPr="00C87BFF">
              <w:rPr>
                <w:b/>
                <w:bCs/>
                <w:lang w:val="en-US"/>
              </w:rPr>
              <w:t>IN THE MATTER OF A REFERENCE BY THE GOVERNOR IN COUNCIL CONCERNING REFORM OF THE SENATE, AS SET OUT IN ORDER P.C. 2013-70, DATED FEBRUARY 1, 2013</w:t>
            </w:r>
          </w:p>
          <w:p w:rsidR="007C38F2" w:rsidRPr="00C87BFF" w:rsidRDefault="007C38F2" w:rsidP="00370584">
            <w:pPr>
              <w:spacing w:line="233" w:lineRule="auto"/>
              <w:jc w:val="both"/>
              <w:rPr>
                <w:b/>
                <w:bCs/>
                <w:lang w:val="en-US"/>
              </w:rPr>
            </w:pPr>
          </w:p>
          <w:p w:rsidR="007C38F2" w:rsidRPr="00C87BFF" w:rsidRDefault="007C38F2" w:rsidP="00370584">
            <w:pPr>
              <w:spacing w:line="233" w:lineRule="auto"/>
              <w:jc w:val="both"/>
              <w:rPr>
                <w:b/>
                <w:lang w:val="fr-FR"/>
              </w:rPr>
            </w:pPr>
            <w:r w:rsidRPr="00C87BFF">
              <w:rPr>
                <w:b/>
                <w:lang w:val="fr-FR"/>
              </w:rPr>
              <w:t>DANS L’AFFAIRE D’UN RENVOI PAR LE GOUVERNEUR EN CONSEIL CONCERNANT LA RÉFORME DU SÉNAT TEL QUE FORMULÉ DANS LE DÉCRET C.P. 2013-70 EN DATE DU 1</w:t>
            </w:r>
            <w:r w:rsidRPr="00C87BFF">
              <w:rPr>
                <w:b/>
                <w:vertAlign w:val="superscript"/>
                <w:lang w:val="fr-FR"/>
              </w:rPr>
              <w:t>ER</w:t>
            </w:r>
            <w:r w:rsidRPr="00C87BFF">
              <w:rPr>
                <w:b/>
                <w:lang w:val="fr-FR"/>
              </w:rPr>
              <w:t xml:space="preserve"> FÉVRIER 2013 </w:t>
            </w:r>
          </w:p>
          <w:p w:rsidR="007C38F2" w:rsidRPr="00C87BFF" w:rsidRDefault="007C38F2" w:rsidP="00370584">
            <w:pPr>
              <w:spacing w:line="233" w:lineRule="auto"/>
              <w:jc w:val="both"/>
            </w:pPr>
            <w:r w:rsidRPr="00C87BFF">
              <w:rPr>
                <w:lang w:val="fr-FR"/>
              </w:rPr>
              <w:t>(35203)</w:t>
            </w:r>
          </w:p>
        </w:tc>
        <w:tc>
          <w:tcPr>
            <w:tcW w:w="1170" w:type="dxa"/>
          </w:tcPr>
          <w:p w:rsidR="007C38F2" w:rsidRPr="00C87BFF" w:rsidRDefault="007C38F2" w:rsidP="00370584"/>
        </w:tc>
        <w:tc>
          <w:tcPr>
            <w:tcW w:w="4327" w:type="dxa"/>
          </w:tcPr>
          <w:p w:rsidR="007C38F2" w:rsidRPr="00C87BFF" w:rsidRDefault="007C38F2" w:rsidP="00370584"/>
        </w:tc>
      </w:tr>
    </w:tbl>
    <w:p w:rsidR="007C38F2" w:rsidRPr="00C87BFF" w:rsidRDefault="007C38F2" w:rsidP="007C38F2">
      <w:pPr>
        <w:tabs>
          <w:tab w:val="left" w:pos="-1440"/>
          <w:tab w:val="left" w:pos="-720"/>
        </w:tabs>
        <w:jc w:val="both"/>
        <w:rPr>
          <w:rFonts w:eastAsia="Times New Roman" w:cs="Times New Roman"/>
          <w:sz w:val="20"/>
          <w:szCs w:val="20"/>
          <w:lang w:val="fr-CA" w:eastAsia="en-CA"/>
        </w:rPr>
      </w:pPr>
    </w:p>
    <w:p w:rsidR="007C38F2" w:rsidRPr="00C87BFF" w:rsidRDefault="007C38F2" w:rsidP="007C38F2">
      <w:pPr>
        <w:tabs>
          <w:tab w:val="left" w:pos="-1440"/>
          <w:tab w:val="left" w:pos="-720"/>
        </w:tabs>
        <w:jc w:val="both"/>
        <w:rPr>
          <w:rFonts w:eastAsia="Times New Roman" w:cs="Times New Roman"/>
          <w:sz w:val="20"/>
          <w:szCs w:val="20"/>
          <w:lang w:eastAsia="en-CA"/>
        </w:rPr>
      </w:pPr>
      <w:r w:rsidRPr="00C87BFF">
        <w:rPr>
          <w:rFonts w:eastAsia="Times New Roman" w:cs="Times New Roman"/>
          <w:b/>
          <w:sz w:val="20"/>
          <w:szCs w:val="20"/>
          <w:lang w:eastAsia="en-CA"/>
        </w:rPr>
        <w:t>DISMISSED / REJETÉE</w:t>
      </w:r>
    </w:p>
    <w:p w:rsidR="007C38F2" w:rsidRPr="00C87BFF" w:rsidRDefault="007C38F2" w:rsidP="007C38F2">
      <w:pPr>
        <w:tabs>
          <w:tab w:val="left" w:pos="-1440"/>
          <w:tab w:val="left" w:pos="-720"/>
        </w:tabs>
        <w:jc w:val="both"/>
        <w:rPr>
          <w:rFonts w:eastAsia="Times New Roman" w:cs="Times New Roman"/>
          <w:sz w:val="20"/>
          <w:szCs w:val="20"/>
          <w:lang w:val="fr-CA" w:eastAsia="en-CA"/>
        </w:rPr>
      </w:pPr>
    </w:p>
    <w:p w:rsidR="007C38F2" w:rsidRPr="00C87BFF" w:rsidRDefault="007C38F2" w:rsidP="007C38F2">
      <w:pPr>
        <w:spacing w:line="233" w:lineRule="auto"/>
        <w:jc w:val="both"/>
        <w:rPr>
          <w:rFonts w:eastAsia="Times New Roman" w:cs="Times New Roman"/>
          <w:sz w:val="20"/>
          <w:szCs w:val="20"/>
          <w:lang w:val="fr-CA" w:eastAsia="en-CA"/>
        </w:rPr>
      </w:pPr>
      <w:r w:rsidRPr="00C87BFF">
        <w:rPr>
          <w:rFonts w:eastAsia="Times New Roman" w:cs="Times New Roman"/>
          <w:b/>
          <w:sz w:val="20"/>
          <w:szCs w:val="20"/>
          <w:lang w:val="fr-CA" w:eastAsia="en-CA"/>
        </w:rPr>
        <w:t>À LA SUITE DE LA DEMANDE</w:t>
      </w:r>
      <w:r w:rsidRPr="00C87BFF">
        <w:rPr>
          <w:rFonts w:eastAsia="Times New Roman" w:cs="Times New Roman"/>
          <w:sz w:val="20"/>
          <w:szCs w:val="20"/>
          <w:lang w:val="fr-CA" w:eastAsia="en-CA"/>
        </w:rPr>
        <w:t xml:space="preserve"> présentée par Dany Turcotte en prorogation du délai de présentation d’une demande d’autorisation d’intervenir et en vue d’intervenir dans le renvoi; </w:t>
      </w:r>
    </w:p>
    <w:p w:rsidR="007C38F2" w:rsidRPr="00C87BFF" w:rsidRDefault="007C38F2" w:rsidP="007C38F2">
      <w:pPr>
        <w:spacing w:line="233" w:lineRule="auto"/>
        <w:jc w:val="both"/>
        <w:rPr>
          <w:rFonts w:eastAsia="Times New Roman" w:cs="Times New Roman"/>
          <w:sz w:val="20"/>
          <w:szCs w:val="20"/>
          <w:lang w:val="fr-CA" w:eastAsia="en-CA"/>
        </w:rPr>
      </w:pPr>
    </w:p>
    <w:p w:rsidR="007C38F2" w:rsidRDefault="007C38F2" w:rsidP="007C38F2">
      <w:pPr>
        <w:rPr>
          <w:rFonts w:eastAsia="Times New Roman" w:cs="Times New Roman"/>
          <w:b/>
          <w:sz w:val="20"/>
          <w:szCs w:val="20"/>
          <w:lang w:val="fr-CA" w:eastAsia="en-CA"/>
        </w:rPr>
      </w:pPr>
      <w:r>
        <w:rPr>
          <w:rFonts w:eastAsia="Times New Roman" w:cs="Times New Roman"/>
          <w:b/>
          <w:sz w:val="20"/>
          <w:szCs w:val="20"/>
          <w:lang w:val="fr-CA" w:eastAsia="en-CA"/>
        </w:rPr>
        <w:br w:type="page"/>
      </w:r>
    </w:p>
    <w:p w:rsidR="007C38F2" w:rsidRPr="00C87BFF" w:rsidRDefault="007C38F2" w:rsidP="007C38F2">
      <w:pPr>
        <w:spacing w:line="233" w:lineRule="auto"/>
        <w:jc w:val="both"/>
        <w:rPr>
          <w:rFonts w:eastAsia="Times New Roman" w:cs="Times New Roman"/>
          <w:sz w:val="20"/>
          <w:szCs w:val="20"/>
          <w:lang w:val="fr-CA" w:eastAsia="en-CA"/>
        </w:rPr>
      </w:pPr>
      <w:r w:rsidRPr="00C87BFF">
        <w:rPr>
          <w:rFonts w:eastAsia="Times New Roman" w:cs="Times New Roman"/>
          <w:b/>
          <w:sz w:val="20"/>
          <w:szCs w:val="20"/>
          <w:lang w:val="fr-CA" w:eastAsia="en-CA"/>
        </w:rPr>
        <w:lastRenderedPageBreak/>
        <w:t>ET APRÈS EXAMEN</w:t>
      </w:r>
      <w:r w:rsidRPr="00C87BFF">
        <w:rPr>
          <w:rFonts w:eastAsia="Times New Roman" w:cs="Times New Roman"/>
          <w:sz w:val="20"/>
          <w:szCs w:val="20"/>
          <w:lang w:val="fr-CA" w:eastAsia="en-CA"/>
        </w:rPr>
        <w:t xml:space="preserve"> des documents déposés;</w:t>
      </w:r>
    </w:p>
    <w:p w:rsidR="007C38F2" w:rsidRPr="00C87BFF" w:rsidRDefault="007C38F2" w:rsidP="007C38F2">
      <w:pPr>
        <w:spacing w:line="233" w:lineRule="auto"/>
        <w:jc w:val="both"/>
        <w:rPr>
          <w:rFonts w:eastAsia="Times New Roman" w:cs="Times New Roman"/>
          <w:sz w:val="20"/>
          <w:szCs w:val="20"/>
          <w:lang w:val="fr-CA" w:eastAsia="en-CA"/>
        </w:rPr>
      </w:pPr>
    </w:p>
    <w:p w:rsidR="007C38F2" w:rsidRPr="00C87BFF" w:rsidRDefault="007C38F2" w:rsidP="007C38F2">
      <w:pPr>
        <w:spacing w:line="233" w:lineRule="auto"/>
        <w:jc w:val="both"/>
        <w:rPr>
          <w:rFonts w:eastAsia="Times New Roman" w:cs="Times New Roman"/>
          <w:sz w:val="20"/>
          <w:szCs w:val="20"/>
          <w:lang w:val="fr-CA" w:eastAsia="en-CA"/>
        </w:rPr>
      </w:pPr>
      <w:r w:rsidRPr="00C87BFF">
        <w:rPr>
          <w:rFonts w:eastAsia="Times New Roman" w:cs="Times New Roman"/>
          <w:b/>
          <w:sz w:val="20"/>
          <w:szCs w:val="20"/>
          <w:lang w:val="fr-CA" w:eastAsia="en-CA"/>
        </w:rPr>
        <w:t>IL EST PAR LA PRÉSENTE ORDONNÉ CE QUI SUIT :</w:t>
      </w:r>
    </w:p>
    <w:p w:rsidR="007C38F2" w:rsidRPr="00C87BFF" w:rsidRDefault="007C38F2" w:rsidP="007C38F2">
      <w:pPr>
        <w:spacing w:line="233" w:lineRule="auto"/>
        <w:ind w:left="720"/>
        <w:contextualSpacing/>
        <w:jc w:val="both"/>
        <w:rPr>
          <w:rFonts w:cs="Times New Roman"/>
          <w:sz w:val="20"/>
          <w:szCs w:val="20"/>
          <w:lang w:val="fr-CA"/>
        </w:rPr>
      </w:pPr>
    </w:p>
    <w:p w:rsidR="007C38F2" w:rsidRPr="00C87BFF" w:rsidRDefault="007C38F2" w:rsidP="007C38F2">
      <w:pPr>
        <w:ind w:left="720"/>
        <w:contextualSpacing/>
        <w:rPr>
          <w:rFonts w:cs="Times New Roman"/>
          <w:sz w:val="20"/>
          <w:szCs w:val="20"/>
        </w:rPr>
      </w:pPr>
      <w:r w:rsidRPr="00C87BFF">
        <w:rPr>
          <w:rFonts w:cs="Times New Roman"/>
          <w:sz w:val="20"/>
          <w:szCs w:val="20"/>
        </w:rPr>
        <w:t>La requête est rejetée.</w:t>
      </w:r>
    </w:p>
    <w:p w:rsidR="007C38F2" w:rsidRPr="00C87BFF" w:rsidRDefault="007C38F2" w:rsidP="007C38F2">
      <w:pPr>
        <w:spacing w:line="233" w:lineRule="auto"/>
        <w:jc w:val="both"/>
        <w:rPr>
          <w:rFonts w:eastAsia="Times New Roman" w:cs="Times New Roman"/>
          <w:sz w:val="20"/>
          <w:szCs w:val="20"/>
          <w:lang w:eastAsia="en-CA"/>
        </w:rPr>
      </w:pPr>
    </w:p>
    <w:p w:rsidR="007C38F2" w:rsidRPr="00C87BFF" w:rsidRDefault="007C38F2" w:rsidP="007C38F2">
      <w:pPr>
        <w:spacing w:line="233" w:lineRule="auto"/>
        <w:rPr>
          <w:rFonts w:eastAsia="Times New Roman" w:cs="Times New Roman"/>
          <w:sz w:val="20"/>
          <w:szCs w:val="20"/>
          <w:lang w:eastAsia="en-CA"/>
        </w:rPr>
      </w:pPr>
    </w:p>
    <w:p w:rsidR="007C38F2" w:rsidRPr="00C87BFF" w:rsidRDefault="007C38F2" w:rsidP="007C38F2">
      <w:pPr>
        <w:spacing w:line="233" w:lineRule="auto"/>
        <w:jc w:val="both"/>
        <w:rPr>
          <w:rFonts w:eastAsia="Times New Roman" w:cs="Times New Roman"/>
          <w:bCs/>
          <w:sz w:val="20"/>
          <w:szCs w:val="20"/>
          <w:lang w:val="en-US" w:eastAsia="en-CA"/>
        </w:rPr>
      </w:pPr>
    </w:p>
    <w:p w:rsidR="007C38F2" w:rsidRPr="00C87BFF" w:rsidRDefault="007C38F2" w:rsidP="007C38F2">
      <w:pPr>
        <w:spacing w:line="233" w:lineRule="auto"/>
        <w:jc w:val="both"/>
        <w:rPr>
          <w:rFonts w:eastAsia="Times New Roman" w:cs="Times New Roman"/>
          <w:sz w:val="20"/>
          <w:szCs w:val="20"/>
          <w:lang w:val="en-US" w:eastAsia="en-CA"/>
        </w:rPr>
      </w:pPr>
      <w:r w:rsidRPr="00C87BFF">
        <w:rPr>
          <w:rFonts w:eastAsia="Times New Roman" w:cs="Times New Roman"/>
          <w:b/>
          <w:bCs/>
          <w:sz w:val="20"/>
          <w:szCs w:val="20"/>
          <w:lang w:val="en-US" w:eastAsia="en-CA"/>
        </w:rPr>
        <w:t>UPON APPLICATION</w:t>
      </w:r>
      <w:r w:rsidRPr="00C87BFF">
        <w:rPr>
          <w:rFonts w:eastAsia="Times New Roman" w:cs="Times New Roman"/>
          <w:sz w:val="20"/>
          <w:szCs w:val="20"/>
          <w:lang w:val="en-US" w:eastAsia="en-CA"/>
        </w:rPr>
        <w:t xml:space="preserve"> by Dany Turcotte for an extension of time to apply for leave to intervene and for leave to intervene in the above reference;</w:t>
      </w:r>
    </w:p>
    <w:p w:rsidR="007C38F2" w:rsidRPr="00C87BFF" w:rsidRDefault="007C38F2" w:rsidP="007C38F2">
      <w:pPr>
        <w:spacing w:line="233" w:lineRule="auto"/>
        <w:jc w:val="both"/>
        <w:rPr>
          <w:rFonts w:eastAsia="Times New Roman" w:cs="Times New Roman"/>
          <w:sz w:val="20"/>
          <w:szCs w:val="20"/>
          <w:lang w:val="en-US" w:eastAsia="en-CA"/>
        </w:rPr>
      </w:pPr>
    </w:p>
    <w:p w:rsidR="007C38F2" w:rsidRPr="00C87BFF" w:rsidRDefault="007C38F2" w:rsidP="007C38F2">
      <w:pPr>
        <w:jc w:val="both"/>
        <w:rPr>
          <w:rFonts w:eastAsia="Times New Roman" w:cs="Times New Roman"/>
          <w:sz w:val="20"/>
          <w:szCs w:val="20"/>
          <w:lang w:val="en-GB" w:eastAsia="en-CA"/>
        </w:rPr>
      </w:pPr>
      <w:r w:rsidRPr="00C87BFF">
        <w:rPr>
          <w:rFonts w:eastAsia="Times New Roman" w:cs="Times New Roman"/>
          <w:b/>
          <w:bCs/>
          <w:sz w:val="20"/>
          <w:szCs w:val="20"/>
          <w:lang w:val="en-GB" w:eastAsia="en-CA"/>
        </w:rPr>
        <w:t>AND THE MATERIAL FILED</w:t>
      </w:r>
      <w:r w:rsidRPr="00C87BFF">
        <w:rPr>
          <w:rFonts w:eastAsia="Times New Roman" w:cs="Times New Roman"/>
          <w:sz w:val="20"/>
          <w:szCs w:val="20"/>
          <w:lang w:val="en-GB" w:eastAsia="en-CA"/>
        </w:rPr>
        <w:t xml:space="preserve"> having been read;</w:t>
      </w:r>
    </w:p>
    <w:p w:rsidR="007C38F2" w:rsidRPr="00C87BFF" w:rsidRDefault="007C38F2" w:rsidP="007C38F2">
      <w:pPr>
        <w:jc w:val="both"/>
        <w:rPr>
          <w:rFonts w:eastAsia="Times New Roman" w:cs="Times New Roman"/>
          <w:sz w:val="20"/>
          <w:szCs w:val="20"/>
          <w:lang w:val="en-GB" w:eastAsia="en-CA"/>
        </w:rPr>
      </w:pPr>
    </w:p>
    <w:p w:rsidR="007C38F2" w:rsidRPr="00C87BFF" w:rsidRDefault="007C38F2" w:rsidP="007C38F2">
      <w:pPr>
        <w:jc w:val="both"/>
        <w:rPr>
          <w:rFonts w:eastAsia="Times New Roman" w:cs="Times New Roman"/>
          <w:sz w:val="20"/>
          <w:szCs w:val="20"/>
          <w:lang w:val="en-GB" w:eastAsia="en-CA"/>
        </w:rPr>
      </w:pPr>
      <w:r w:rsidRPr="00C87BFF">
        <w:rPr>
          <w:rFonts w:eastAsia="Times New Roman" w:cs="Times New Roman"/>
          <w:b/>
          <w:bCs/>
          <w:sz w:val="20"/>
          <w:szCs w:val="20"/>
          <w:lang w:val="en-GB" w:eastAsia="en-CA"/>
        </w:rPr>
        <w:t>IT IS HEREBY ORDERED THAT:</w:t>
      </w:r>
    </w:p>
    <w:p w:rsidR="007C38F2" w:rsidRPr="00C87BFF" w:rsidRDefault="007C38F2" w:rsidP="007C38F2">
      <w:pPr>
        <w:spacing w:line="233" w:lineRule="auto"/>
        <w:jc w:val="both"/>
        <w:rPr>
          <w:rFonts w:eastAsia="Times New Roman" w:cs="Times New Roman"/>
          <w:sz w:val="20"/>
          <w:szCs w:val="20"/>
          <w:lang w:val="en-GB" w:eastAsia="en-CA"/>
        </w:rPr>
      </w:pPr>
    </w:p>
    <w:p w:rsidR="007C38F2" w:rsidRPr="00C87BFF" w:rsidRDefault="007C38F2" w:rsidP="007C38F2">
      <w:pPr>
        <w:spacing w:line="233" w:lineRule="auto"/>
        <w:jc w:val="both"/>
        <w:rPr>
          <w:rFonts w:eastAsia="Times New Roman" w:cs="Times New Roman"/>
          <w:sz w:val="20"/>
          <w:szCs w:val="20"/>
          <w:lang w:val="en-US" w:eastAsia="en-CA"/>
        </w:rPr>
      </w:pPr>
      <w:r w:rsidRPr="00C87BFF">
        <w:rPr>
          <w:rFonts w:eastAsia="Times New Roman" w:cs="Times New Roman"/>
          <w:sz w:val="20"/>
          <w:szCs w:val="20"/>
          <w:lang w:val="en-GB" w:eastAsia="en-CA"/>
        </w:rPr>
        <w:tab/>
        <w:t>The motion is dismissed.</w:t>
      </w:r>
    </w:p>
    <w:p w:rsidR="007C38F2" w:rsidRPr="00C87BFF" w:rsidRDefault="007C38F2" w:rsidP="007C38F2">
      <w:pPr>
        <w:tabs>
          <w:tab w:val="left" w:pos="-1440"/>
          <w:tab w:val="left" w:pos="-720"/>
        </w:tabs>
        <w:jc w:val="both"/>
        <w:rPr>
          <w:rFonts w:eastAsia="Times New Roman" w:cs="Times New Roman"/>
          <w:sz w:val="20"/>
          <w:szCs w:val="20"/>
          <w:lang w:val="fr-CA" w:eastAsia="en-CA"/>
        </w:rPr>
      </w:pPr>
    </w:p>
    <w:p w:rsidR="007C38F2" w:rsidRDefault="00B35B95" w:rsidP="007C38F2">
      <w:pPr>
        <w:tabs>
          <w:tab w:val="left" w:pos="-1440"/>
          <w:tab w:val="left" w:pos="-720"/>
        </w:tabs>
        <w:jc w:val="both"/>
        <w:rPr>
          <w:sz w:val="20"/>
          <w:szCs w:val="20"/>
        </w:rPr>
      </w:pPr>
      <w:r w:rsidRPr="00B35B95">
        <w:rPr>
          <w:rFonts w:eastAsia="Times New Roman" w:cs="Times New Roman"/>
          <w:sz w:val="20"/>
          <w:szCs w:val="20"/>
          <w:lang w:val="fr-CA" w:eastAsia="en-CA"/>
        </w:rPr>
        <w:pict>
          <v:rect id="_x0000_i1078" style="width:2in;height:1pt" o:hrpct="0" o:hralign="center" o:hrstd="t" o:hrnoshade="t" o:hr="t" fillcolor="black [3213]" stroked="f"/>
        </w:pict>
      </w:r>
    </w:p>
    <w:p w:rsidR="007C38F2" w:rsidRDefault="007C38F2" w:rsidP="007C38F2">
      <w:pPr>
        <w:tabs>
          <w:tab w:val="left" w:pos="-1440"/>
          <w:tab w:val="left" w:pos="-720"/>
        </w:tabs>
        <w:jc w:val="both"/>
        <w:rPr>
          <w:sz w:val="20"/>
          <w:szCs w:val="20"/>
        </w:rPr>
      </w:pPr>
    </w:p>
    <w:p w:rsidR="0010587F" w:rsidRPr="003B3977" w:rsidRDefault="0010587F" w:rsidP="0010587F">
      <w:pPr>
        <w:tabs>
          <w:tab w:val="left" w:pos="-1440"/>
          <w:tab w:val="left" w:pos="-720"/>
        </w:tabs>
        <w:jc w:val="both"/>
        <w:rPr>
          <w:sz w:val="20"/>
          <w:szCs w:val="20"/>
          <w:lang w:val="fr-CA"/>
        </w:rPr>
      </w:pPr>
    </w:p>
    <w:p w:rsidR="0010587F" w:rsidRPr="003B3977" w:rsidRDefault="0010587F"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4"/>
          <w:headerReference w:type="default" r:id="rId35"/>
          <w:footerReference w:type="even" r:id="rId36"/>
          <w:footerReference w:type="default" r:id="rId37"/>
          <w:headerReference w:type="first" r:id="rId38"/>
          <w:footerReference w:type="first" r:id="rId39"/>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370584"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BD334C" w:rsidRPr="003B3977" w:rsidTr="00370584">
        <w:trPr>
          <w:cantSplit/>
        </w:trPr>
        <w:tc>
          <w:tcPr>
            <w:tcW w:w="2206" w:type="pct"/>
            <w:tcMar>
              <w:left w:w="0" w:type="dxa"/>
              <w:right w:w="0" w:type="dxa"/>
            </w:tcMar>
          </w:tcPr>
          <w:p w:rsidR="00BD334C" w:rsidRPr="003B3977" w:rsidRDefault="00BD334C" w:rsidP="00370584">
            <w:pPr>
              <w:rPr>
                <w:sz w:val="20"/>
                <w:szCs w:val="20"/>
              </w:rPr>
            </w:pPr>
            <w:r w:rsidRPr="003B3977">
              <w:rPr>
                <w:sz w:val="20"/>
                <w:szCs w:val="20"/>
              </w:rPr>
              <w:t>0</w:t>
            </w:r>
            <w:r>
              <w:rPr>
                <w:sz w:val="20"/>
                <w:szCs w:val="20"/>
              </w:rPr>
              <w:t>8</w:t>
            </w:r>
            <w:r w:rsidRPr="003B3977">
              <w:rPr>
                <w:sz w:val="20"/>
                <w:szCs w:val="20"/>
              </w:rPr>
              <w:t>.0</w:t>
            </w:r>
            <w:r>
              <w:rPr>
                <w:sz w:val="20"/>
                <w:szCs w:val="20"/>
              </w:rPr>
              <w:t>5</w:t>
            </w:r>
            <w:r w:rsidRPr="003B3977">
              <w:rPr>
                <w:sz w:val="20"/>
                <w:szCs w:val="20"/>
              </w:rPr>
              <w:t>.201</w:t>
            </w:r>
            <w:r>
              <w:rPr>
                <w:sz w:val="20"/>
                <w:szCs w:val="20"/>
              </w:rPr>
              <w:t>3</w:t>
            </w:r>
          </w:p>
          <w:p w:rsidR="00BD334C" w:rsidRPr="003B3977" w:rsidRDefault="00BD334C" w:rsidP="00370584">
            <w:pPr>
              <w:rPr>
                <w:sz w:val="20"/>
                <w:szCs w:val="20"/>
              </w:rPr>
            </w:pPr>
          </w:p>
          <w:p w:rsidR="00BD334C" w:rsidRPr="003B3977" w:rsidRDefault="00BD334C" w:rsidP="00370584">
            <w:pPr>
              <w:rPr>
                <w:b/>
                <w:sz w:val="20"/>
                <w:szCs w:val="20"/>
              </w:rPr>
            </w:pPr>
            <w:r>
              <w:rPr>
                <w:b/>
                <w:sz w:val="20"/>
                <w:szCs w:val="20"/>
              </w:rPr>
              <w:t>Ga</w:t>
            </w:r>
            <w:r w:rsidRPr="003B3977">
              <w:rPr>
                <w:b/>
                <w:sz w:val="20"/>
                <w:szCs w:val="20"/>
              </w:rPr>
              <w:t>r</w:t>
            </w:r>
            <w:r>
              <w:rPr>
                <w:b/>
                <w:sz w:val="20"/>
                <w:szCs w:val="20"/>
              </w:rPr>
              <w:t>ry How</w:t>
            </w:r>
            <w:r w:rsidRPr="003B3977">
              <w:rPr>
                <w:b/>
                <w:sz w:val="20"/>
                <w:szCs w:val="20"/>
              </w:rPr>
              <w:t>a</w:t>
            </w:r>
            <w:r>
              <w:rPr>
                <w:b/>
                <w:sz w:val="20"/>
                <w:szCs w:val="20"/>
              </w:rPr>
              <w:t>rd Ja</w:t>
            </w:r>
            <w:r w:rsidRPr="003B3977">
              <w:rPr>
                <w:b/>
                <w:sz w:val="20"/>
                <w:szCs w:val="20"/>
              </w:rPr>
              <w:t>mes</w:t>
            </w:r>
          </w:p>
          <w:p w:rsidR="00BD334C" w:rsidRPr="003B3977" w:rsidRDefault="00BD334C" w:rsidP="00370584">
            <w:pPr>
              <w:rPr>
                <w:b/>
                <w:sz w:val="20"/>
                <w:szCs w:val="20"/>
              </w:rPr>
            </w:pPr>
          </w:p>
          <w:p w:rsidR="00BD334C" w:rsidRPr="003B3977" w:rsidRDefault="00BD334C" w:rsidP="00370584">
            <w:pPr>
              <w:rPr>
                <w:b/>
                <w:sz w:val="20"/>
                <w:szCs w:val="20"/>
              </w:rPr>
            </w:pPr>
            <w:r w:rsidRPr="003B3977">
              <w:rPr>
                <w:b/>
                <w:sz w:val="20"/>
                <w:szCs w:val="20"/>
              </w:rPr>
              <w:tab/>
              <w:t>v. (3</w:t>
            </w:r>
            <w:r>
              <w:rPr>
                <w:b/>
                <w:sz w:val="20"/>
                <w:szCs w:val="20"/>
              </w:rPr>
              <w:t>537</w:t>
            </w:r>
            <w:r w:rsidRPr="003B3977">
              <w:rPr>
                <w:b/>
                <w:sz w:val="20"/>
                <w:szCs w:val="20"/>
              </w:rPr>
              <w:t>3)</w:t>
            </w:r>
          </w:p>
          <w:p w:rsidR="00BD334C" w:rsidRPr="003B3977" w:rsidRDefault="00BD334C" w:rsidP="00370584">
            <w:pPr>
              <w:rPr>
                <w:b/>
                <w:sz w:val="20"/>
                <w:szCs w:val="20"/>
              </w:rPr>
            </w:pPr>
          </w:p>
          <w:p w:rsidR="00BD334C" w:rsidRPr="003B3977" w:rsidRDefault="00BD334C" w:rsidP="00370584">
            <w:pPr>
              <w:rPr>
                <w:b/>
                <w:sz w:val="20"/>
                <w:szCs w:val="20"/>
              </w:rPr>
            </w:pPr>
            <w:r w:rsidRPr="003B3977">
              <w:rPr>
                <w:b/>
                <w:sz w:val="20"/>
                <w:szCs w:val="20"/>
              </w:rPr>
              <w:t>Her Majesty the Queen (</w:t>
            </w:r>
            <w:r>
              <w:rPr>
                <w:b/>
                <w:sz w:val="20"/>
                <w:szCs w:val="20"/>
              </w:rPr>
              <w:t>B.C</w:t>
            </w:r>
            <w:r w:rsidRPr="003B3977">
              <w:rPr>
                <w:b/>
                <w:sz w:val="20"/>
                <w:szCs w:val="20"/>
              </w:rPr>
              <w:t>.)</w:t>
            </w:r>
          </w:p>
          <w:p w:rsidR="00BD334C" w:rsidRPr="003B3977" w:rsidRDefault="00BD334C" w:rsidP="00370584">
            <w:pPr>
              <w:rPr>
                <w:sz w:val="20"/>
                <w:szCs w:val="20"/>
              </w:rPr>
            </w:pPr>
          </w:p>
          <w:p w:rsidR="00BD334C" w:rsidRPr="003B3977" w:rsidRDefault="00BD334C" w:rsidP="00370584">
            <w:pPr>
              <w:rPr>
                <w:sz w:val="20"/>
                <w:szCs w:val="20"/>
              </w:rPr>
            </w:pPr>
            <w:r w:rsidRPr="003B3977">
              <w:rPr>
                <w:sz w:val="20"/>
                <w:szCs w:val="20"/>
              </w:rPr>
              <w:t>(As of Right)</w:t>
            </w:r>
          </w:p>
          <w:p w:rsidR="00BD334C" w:rsidRPr="003B3977" w:rsidRDefault="00BD334C" w:rsidP="00370584">
            <w:pPr>
              <w:rPr>
                <w:sz w:val="20"/>
                <w:szCs w:val="20"/>
              </w:rPr>
            </w:pPr>
          </w:p>
          <w:p w:rsidR="00BD334C" w:rsidRPr="003B3977" w:rsidRDefault="00B35B95" w:rsidP="00370584">
            <w:pPr>
              <w:rPr>
                <w:sz w:val="20"/>
                <w:szCs w:val="20"/>
                <w:lang w:val="fr-CA"/>
              </w:rPr>
            </w:pPr>
            <w:r w:rsidRPr="00B35B95">
              <w:rPr>
                <w:sz w:val="20"/>
                <w:szCs w:val="20"/>
                <w:lang w:val="fr-CA"/>
              </w:rPr>
              <w:pict>
                <v:rect id="_x0000_i1081" style="width:106.1pt;height:1pt" o:hrpct="500" o:hralign="center" o:hrstd="t" o:hrnoshade="t" o:hr="t" fillcolor="black [3213]" stroked="f"/>
              </w:pict>
            </w:r>
          </w:p>
        </w:tc>
        <w:tc>
          <w:tcPr>
            <w:tcW w:w="588" w:type="pct"/>
          </w:tcPr>
          <w:p w:rsidR="00BD334C" w:rsidRPr="003B3977" w:rsidRDefault="00BD334C" w:rsidP="00370584">
            <w:pPr>
              <w:jc w:val="center"/>
              <w:rPr>
                <w:sz w:val="20"/>
                <w:szCs w:val="20"/>
              </w:rPr>
            </w:pPr>
          </w:p>
          <w:p w:rsidR="00BD334C" w:rsidRPr="003B3977" w:rsidRDefault="00BD334C" w:rsidP="00370584">
            <w:pPr>
              <w:jc w:val="center"/>
              <w:rPr>
                <w:sz w:val="20"/>
                <w:szCs w:val="20"/>
              </w:rPr>
            </w:pPr>
          </w:p>
          <w:p w:rsidR="00BD334C" w:rsidRPr="003B3977" w:rsidRDefault="00BD334C" w:rsidP="00370584">
            <w:pPr>
              <w:jc w:val="center"/>
              <w:rPr>
                <w:sz w:val="20"/>
                <w:szCs w:val="20"/>
              </w:rPr>
            </w:pPr>
          </w:p>
          <w:p w:rsidR="00BD334C" w:rsidRPr="003B3977" w:rsidRDefault="00BD334C" w:rsidP="00370584">
            <w:pPr>
              <w:jc w:val="center"/>
              <w:rPr>
                <w:sz w:val="20"/>
                <w:szCs w:val="20"/>
              </w:rPr>
            </w:pPr>
          </w:p>
          <w:p w:rsidR="00BD334C" w:rsidRPr="003B3977" w:rsidRDefault="00BD334C" w:rsidP="00370584">
            <w:pPr>
              <w:jc w:val="center"/>
              <w:rPr>
                <w:sz w:val="20"/>
                <w:szCs w:val="20"/>
              </w:rPr>
            </w:pPr>
          </w:p>
          <w:p w:rsidR="00BD334C" w:rsidRPr="003B3977" w:rsidRDefault="00BD334C" w:rsidP="00370584">
            <w:pPr>
              <w:jc w:val="center"/>
              <w:rPr>
                <w:sz w:val="20"/>
                <w:szCs w:val="20"/>
              </w:rPr>
            </w:pPr>
          </w:p>
          <w:p w:rsidR="00BD334C" w:rsidRPr="003B3977" w:rsidRDefault="00BD334C" w:rsidP="00370584">
            <w:pPr>
              <w:jc w:val="center"/>
              <w:rPr>
                <w:sz w:val="20"/>
                <w:szCs w:val="20"/>
              </w:rPr>
            </w:pPr>
          </w:p>
          <w:p w:rsidR="00BD334C" w:rsidRPr="003B3977" w:rsidRDefault="00BD334C" w:rsidP="00370584">
            <w:pPr>
              <w:jc w:val="center"/>
              <w:rPr>
                <w:sz w:val="20"/>
                <w:szCs w:val="20"/>
              </w:rPr>
            </w:pPr>
          </w:p>
          <w:p w:rsidR="00BD334C" w:rsidRPr="003B3977" w:rsidRDefault="00BD334C" w:rsidP="00370584">
            <w:pPr>
              <w:jc w:val="center"/>
              <w:rPr>
                <w:sz w:val="20"/>
                <w:szCs w:val="20"/>
              </w:rPr>
            </w:pPr>
          </w:p>
          <w:p w:rsidR="00BD334C" w:rsidRPr="003B3977" w:rsidRDefault="00BD334C" w:rsidP="00370584">
            <w:pPr>
              <w:jc w:val="center"/>
              <w:rPr>
                <w:sz w:val="20"/>
                <w:szCs w:val="20"/>
              </w:rPr>
            </w:pPr>
          </w:p>
          <w:p w:rsidR="00BD334C" w:rsidRPr="003B3977" w:rsidRDefault="00BD334C" w:rsidP="00370584">
            <w:pPr>
              <w:jc w:val="center"/>
              <w:rPr>
                <w:sz w:val="20"/>
                <w:szCs w:val="20"/>
              </w:rPr>
            </w:pPr>
          </w:p>
          <w:p w:rsidR="00BD334C" w:rsidRPr="003B3977" w:rsidRDefault="00BD334C" w:rsidP="00370584">
            <w:pPr>
              <w:jc w:val="center"/>
              <w:rPr>
                <w:sz w:val="20"/>
                <w:szCs w:val="20"/>
              </w:rPr>
            </w:pPr>
          </w:p>
        </w:tc>
        <w:tc>
          <w:tcPr>
            <w:tcW w:w="2206" w:type="pct"/>
          </w:tcPr>
          <w:p w:rsidR="00BD334C" w:rsidRPr="003B3977" w:rsidRDefault="00BD334C" w:rsidP="00370584">
            <w:pPr>
              <w:rPr>
                <w:sz w:val="20"/>
                <w:szCs w:val="20"/>
              </w:rPr>
            </w:pPr>
          </w:p>
        </w:tc>
      </w:tr>
    </w:tbl>
    <w:p w:rsidR="00BD334C" w:rsidRDefault="00BD334C" w:rsidP="00F40249">
      <w:pPr>
        <w:rPr>
          <w:sz w:val="20"/>
          <w:szCs w:val="20"/>
          <w:lang w:val="fr-CA"/>
        </w:rPr>
      </w:pPr>
    </w:p>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40"/>
          <w:headerReference w:type="default" r:id="rId41"/>
          <w:footerReference w:type="even" r:id="rId42"/>
          <w:footerReference w:type="default" r:id="rId43"/>
          <w:headerReference w:type="first" r:id="rId44"/>
          <w:footerReference w:type="first" r:id="rId4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370584"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E36358" w:rsidRPr="00C50A5C" w:rsidRDefault="00E36358" w:rsidP="00E36358">
      <w:pPr>
        <w:widowControl w:val="0"/>
        <w:rPr>
          <w:sz w:val="20"/>
          <w:szCs w:val="20"/>
        </w:rPr>
      </w:pPr>
      <w:r>
        <w:rPr>
          <w:sz w:val="20"/>
          <w:szCs w:val="20"/>
        </w:rPr>
        <w:t>17</w:t>
      </w:r>
      <w:r w:rsidRPr="00C50A5C">
        <w:rPr>
          <w:sz w:val="20"/>
          <w:szCs w:val="20"/>
        </w:rPr>
        <w:t>.0</w:t>
      </w:r>
      <w:r>
        <w:rPr>
          <w:sz w:val="20"/>
          <w:szCs w:val="20"/>
        </w:rPr>
        <w:t>5</w:t>
      </w:r>
      <w:r w:rsidRPr="00C50A5C">
        <w:rPr>
          <w:sz w:val="20"/>
          <w:szCs w:val="20"/>
        </w:rPr>
        <w:t>.201</w:t>
      </w:r>
      <w:r>
        <w:rPr>
          <w:sz w:val="20"/>
          <w:szCs w:val="20"/>
        </w:rPr>
        <w:t>3</w:t>
      </w:r>
    </w:p>
    <w:p w:rsidR="00E36358" w:rsidRDefault="00E36358" w:rsidP="00E36358">
      <w:pPr>
        <w:widowControl w:val="0"/>
        <w:rPr>
          <w:sz w:val="20"/>
          <w:szCs w:val="20"/>
        </w:rPr>
      </w:pPr>
    </w:p>
    <w:p w:rsidR="00E36358" w:rsidRPr="00DB3A75" w:rsidRDefault="00E36358" w:rsidP="00E36358">
      <w:pPr>
        <w:widowControl w:val="0"/>
        <w:ind w:left="720" w:hanging="720"/>
        <w:rPr>
          <w:rFonts w:eastAsia="Calibri" w:cs="Times New Roman"/>
          <w:sz w:val="20"/>
          <w:szCs w:val="20"/>
          <w:u w:val="single"/>
        </w:rPr>
      </w:pPr>
      <w:r w:rsidRPr="00DB3A75">
        <w:rPr>
          <w:rFonts w:eastAsia="Calibri" w:cs="Times New Roman"/>
          <w:sz w:val="20"/>
          <w:szCs w:val="20"/>
        </w:rPr>
        <w:t xml:space="preserve">Coram: </w:t>
      </w:r>
      <w:r w:rsidRPr="00DB3A75">
        <w:rPr>
          <w:rFonts w:eastAsia="Calibri" w:cs="Times New Roman"/>
          <w:sz w:val="20"/>
          <w:szCs w:val="20"/>
        </w:rPr>
        <w:tab/>
      </w:r>
      <w:r w:rsidRPr="00DB3A75">
        <w:rPr>
          <w:rFonts w:eastAsia="Calibri" w:cs="Times New Roman"/>
          <w:sz w:val="20"/>
          <w:szCs w:val="20"/>
          <w:u w:val="single"/>
        </w:rPr>
        <w:t>McLachlin C.J. and LeBel, Abella, Rothstein, Cromwell, Karakatsanis and Wagner JJ.</w:t>
      </w:r>
    </w:p>
    <w:p w:rsidR="00E36358" w:rsidRPr="00C50A5C" w:rsidRDefault="00E36358" w:rsidP="00E36358">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E36358" w:rsidRPr="00C50A5C" w:rsidTr="00370584">
        <w:tc>
          <w:tcPr>
            <w:tcW w:w="4380" w:type="dxa"/>
            <w:tcMar>
              <w:left w:w="0" w:type="dxa"/>
              <w:right w:w="0" w:type="dxa"/>
            </w:tcMar>
          </w:tcPr>
          <w:p w:rsidR="00E36358" w:rsidRDefault="00E36358" w:rsidP="00370584">
            <w:pPr>
              <w:widowControl w:val="0"/>
              <w:jc w:val="both"/>
              <w:rPr>
                <w:rFonts w:eastAsia="Calibri" w:cs="Times New Roman"/>
                <w:b/>
                <w:sz w:val="20"/>
                <w:szCs w:val="20"/>
              </w:rPr>
            </w:pPr>
            <w:r w:rsidRPr="00DB3A75">
              <w:rPr>
                <w:rFonts w:eastAsia="Calibri" w:cs="Times New Roman"/>
                <w:b/>
                <w:sz w:val="20"/>
                <w:szCs w:val="20"/>
              </w:rPr>
              <w:t xml:space="preserve">Castonguay Blasting Ltd. </w:t>
            </w:r>
          </w:p>
          <w:p w:rsidR="00E36358" w:rsidRDefault="00E36358" w:rsidP="00370584">
            <w:pPr>
              <w:widowControl w:val="0"/>
              <w:jc w:val="both"/>
              <w:rPr>
                <w:rFonts w:eastAsia="Calibri" w:cs="Times New Roman"/>
                <w:b/>
                <w:sz w:val="20"/>
                <w:szCs w:val="20"/>
              </w:rPr>
            </w:pPr>
          </w:p>
          <w:p w:rsidR="00E36358" w:rsidRDefault="00E36358" w:rsidP="00370584">
            <w:pPr>
              <w:widowControl w:val="0"/>
              <w:jc w:val="both"/>
              <w:rPr>
                <w:rFonts w:eastAsia="Calibri" w:cs="Times New Roman"/>
                <w:b/>
                <w:sz w:val="20"/>
                <w:szCs w:val="20"/>
              </w:rPr>
            </w:pPr>
            <w:r>
              <w:rPr>
                <w:rFonts w:eastAsia="Calibri" w:cs="Times New Roman"/>
                <w:b/>
                <w:sz w:val="20"/>
                <w:szCs w:val="20"/>
              </w:rPr>
              <w:tab/>
            </w:r>
            <w:r w:rsidRPr="00DB3A75">
              <w:rPr>
                <w:rFonts w:eastAsia="Calibri" w:cs="Times New Roman"/>
                <w:b/>
                <w:sz w:val="20"/>
                <w:szCs w:val="20"/>
              </w:rPr>
              <w:t>v. (34816)</w:t>
            </w:r>
          </w:p>
          <w:p w:rsidR="00E36358" w:rsidRDefault="00E36358" w:rsidP="00370584">
            <w:pPr>
              <w:widowControl w:val="0"/>
              <w:jc w:val="both"/>
              <w:rPr>
                <w:rFonts w:eastAsia="Calibri" w:cs="Times New Roman"/>
                <w:b/>
                <w:sz w:val="20"/>
                <w:szCs w:val="20"/>
              </w:rPr>
            </w:pPr>
          </w:p>
          <w:p w:rsidR="00E36358" w:rsidRPr="00C50A5C" w:rsidRDefault="00E36358" w:rsidP="00370584">
            <w:pPr>
              <w:widowControl w:val="0"/>
              <w:jc w:val="both"/>
              <w:rPr>
                <w:sz w:val="20"/>
                <w:szCs w:val="20"/>
                <w:lang w:val="fr-CA"/>
              </w:rPr>
            </w:pPr>
            <w:r w:rsidRPr="00DB3A75">
              <w:rPr>
                <w:rFonts w:eastAsia="Calibri" w:cs="Times New Roman"/>
                <w:b/>
                <w:sz w:val="20"/>
                <w:szCs w:val="20"/>
              </w:rPr>
              <w:t xml:space="preserve">Her Majesty the Queen in Right of the Province of Ontario, as represented by the Minister of the Environment (Ont.) (Criminal) (By Leave) </w:t>
            </w:r>
          </w:p>
        </w:tc>
        <w:tc>
          <w:tcPr>
            <w:tcW w:w="720" w:type="dxa"/>
            <w:tcMar>
              <w:left w:w="0" w:type="dxa"/>
              <w:right w:w="0" w:type="dxa"/>
            </w:tcMar>
          </w:tcPr>
          <w:p w:rsidR="00E36358" w:rsidRPr="00C50A5C" w:rsidRDefault="00E36358" w:rsidP="00370584">
            <w:pPr>
              <w:widowControl w:val="0"/>
              <w:jc w:val="center"/>
              <w:rPr>
                <w:sz w:val="20"/>
                <w:szCs w:val="20"/>
                <w:lang w:val="fr-CA"/>
              </w:rPr>
            </w:pPr>
          </w:p>
        </w:tc>
        <w:tc>
          <w:tcPr>
            <w:tcW w:w="4380" w:type="dxa"/>
            <w:tcMar>
              <w:left w:w="0" w:type="dxa"/>
              <w:right w:w="0" w:type="dxa"/>
            </w:tcMar>
          </w:tcPr>
          <w:p w:rsidR="00E36358" w:rsidRDefault="00E36358" w:rsidP="00370584">
            <w:pPr>
              <w:jc w:val="both"/>
              <w:rPr>
                <w:sz w:val="20"/>
                <w:szCs w:val="20"/>
                <w:lang w:val="en-US"/>
              </w:rPr>
            </w:pPr>
            <w:r w:rsidRPr="00CD0DD8">
              <w:rPr>
                <w:sz w:val="20"/>
                <w:szCs w:val="20"/>
                <w:lang w:val="en-US"/>
              </w:rPr>
              <w:t>J. Bruce McMeekin</w:t>
            </w:r>
            <w:r>
              <w:rPr>
                <w:sz w:val="20"/>
                <w:szCs w:val="20"/>
                <w:lang w:val="en-US"/>
              </w:rPr>
              <w:t xml:space="preserve">, </w:t>
            </w:r>
            <w:r w:rsidRPr="00CD0DD8">
              <w:rPr>
                <w:sz w:val="20"/>
                <w:szCs w:val="20"/>
                <w:lang w:val="en-US"/>
              </w:rPr>
              <w:t>Andrea Farkouh</w:t>
            </w:r>
            <w:r>
              <w:rPr>
                <w:sz w:val="20"/>
                <w:szCs w:val="20"/>
                <w:lang w:val="en-US"/>
              </w:rPr>
              <w:t xml:space="preserve"> and </w:t>
            </w:r>
            <w:r w:rsidRPr="00CD0DD8">
              <w:rPr>
                <w:sz w:val="20"/>
                <w:szCs w:val="20"/>
                <w:lang w:val="en-US"/>
              </w:rPr>
              <w:t>Marie-France Major</w:t>
            </w:r>
            <w:r>
              <w:rPr>
                <w:sz w:val="20"/>
                <w:szCs w:val="20"/>
                <w:lang w:val="en-US"/>
              </w:rPr>
              <w:t xml:space="preserve"> f</w:t>
            </w:r>
            <w:r w:rsidRPr="00CD0DD8">
              <w:rPr>
                <w:sz w:val="20"/>
                <w:szCs w:val="20"/>
                <w:lang w:val="en-US"/>
              </w:rPr>
              <w:t xml:space="preserve">or the </w:t>
            </w:r>
            <w:r>
              <w:rPr>
                <w:sz w:val="20"/>
                <w:szCs w:val="20"/>
                <w:lang w:val="en-US"/>
              </w:rPr>
              <w:t>a</w:t>
            </w:r>
            <w:r w:rsidRPr="00CD0DD8">
              <w:rPr>
                <w:sz w:val="20"/>
                <w:szCs w:val="20"/>
                <w:lang w:val="en-US"/>
              </w:rPr>
              <w:t>ppellant</w:t>
            </w:r>
            <w:r>
              <w:rPr>
                <w:sz w:val="20"/>
                <w:szCs w:val="20"/>
                <w:lang w:val="en-US"/>
              </w:rPr>
              <w:t>.</w:t>
            </w:r>
          </w:p>
          <w:p w:rsidR="00E36358" w:rsidRPr="00CD0DD8" w:rsidRDefault="00E36358" w:rsidP="00370584">
            <w:pPr>
              <w:jc w:val="both"/>
              <w:rPr>
                <w:sz w:val="20"/>
                <w:szCs w:val="20"/>
                <w:lang w:val="en-US"/>
              </w:rPr>
            </w:pPr>
          </w:p>
          <w:p w:rsidR="00E36358" w:rsidRDefault="00E36358" w:rsidP="00370584">
            <w:pPr>
              <w:jc w:val="both"/>
              <w:rPr>
                <w:sz w:val="20"/>
                <w:szCs w:val="20"/>
                <w:lang w:val="en-US"/>
              </w:rPr>
            </w:pPr>
            <w:r w:rsidRPr="00CD0DD8">
              <w:rPr>
                <w:sz w:val="20"/>
                <w:szCs w:val="20"/>
                <w:lang w:val="en-US"/>
              </w:rPr>
              <w:t>Sara Blake</w:t>
            </w:r>
            <w:r>
              <w:rPr>
                <w:sz w:val="20"/>
                <w:szCs w:val="20"/>
                <w:lang w:val="en-US"/>
              </w:rPr>
              <w:t xml:space="preserve">, </w:t>
            </w:r>
            <w:r w:rsidRPr="00CD0DD8">
              <w:rPr>
                <w:sz w:val="20"/>
                <w:szCs w:val="20"/>
                <w:lang w:val="en-US"/>
              </w:rPr>
              <w:t>Paul McCulloch</w:t>
            </w:r>
            <w:r>
              <w:rPr>
                <w:sz w:val="20"/>
                <w:szCs w:val="20"/>
                <w:lang w:val="en-US"/>
              </w:rPr>
              <w:t xml:space="preserve"> and </w:t>
            </w:r>
            <w:r w:rsidRPr="00CD0DD8">
              <w:rPr>
                <w:sz w:val="20"/>
                <w:szCs w:val="20"/>
                <w:lang w:val="en-US"/>
              </w:rPr>
              <w:t>Danielle Meuleman</w:t>
            </w:r>
            <w:r>
              <w:rPr>
                <w:sz w:val="20"/>
                <w:szCs w:val="20"/>
                <w:lang w:val="en-US"/>
              </w:rPr>
              <w:t xml:space="preserve"> f</w:t>
            </w:r>
            <w:r w:rsidRPr="00CD0DD8">
              <w:rPr>
                <w:sz w:val="20"/>
                <w:szCs w:val="20"/>
                <w:lang w:val="en-US"/>
              </w:rPr>
              <w:t xml:space="preserve">or the </w:t>
            </w:r>
            <w:r>
              <w:rPr>
                <w:sz w:val="20"/>
                <w:szCs w:val="20"/>
                <w:lang w:val="en-US"/>
              </w:rPr>
              <w:t>r</w:t>
            </w:r>
            <w:r w:rsidRPr="00CD0DD8">
              <w:rPr>
                <w:sz w:val="20"/>
                <w:szCs w:val="20"/>
                <w:lang w:val="en-US"/>
              </w:rPr>
              <w:t>espondent</w:t>
            </w:r>
            <w:r>
              <w:rPr>
                <w:sz w:val="20"/>
                <w:szCs w:val="20"/>
                <w:lang w:val="en-US"/>
              </w:rPr>
              <w:t>.</w:t>
            </w:r>
          </w:p>
          <w:p w:rsidR="00E36358" w:rsidRPr="00CD0DD8" w:rsidRDefault="00E36358" w:rsidP="00370584">
            <w:pPr>
              <w:jc w:val="both"/>
              <w:rPr>
                <w:sz w:val="20"/>
                <w:szCs w:val="20"/>
                <w:lang w:val="en-US"/>
              </w:rPr>
            </w:pPr>
          </w:p>
          <w:p w:rsidR="00E36358" w:rsidRPr="00C50A5C" w:rsidRDefault="00E36358" w:rsidP="00370584">
            <w:pPr>
              <w:widowControl w:val="0"/>
              <w:jc w:val="both"/>
              <w:rPr>
                <w:sz w:val="20"/>
                <w:szCs w:val="20"/>
              </w:rPr>
            </w:pPr>
            <w:r w:rsidRPr="00CD0DD8">
              <w:rPr>
                <w:sz w:val="20"/>
                <w:szCs w:val="20"/>
                <w:lang w:val="en-US"/>
              </w:rPr>
              <w:t>Joseph F. Castrilli</w:t>
            </w:r>
            <w:r>
              <w:rPr>
                <w:sz w:val="20"/>
                <w:szCs w:val="20"/>
                <w:lang w:val="en-US"/>
              </w:rPr>
              <w:t xml:space="preserve"> and </w:t>
            </w:r>
            <w:r w:rsidRPr="00CD0DD8">
              <w:rPr>
                <w:sz w:val="20"/>
                <w:szCs w:val="20"/>
              </w:rPr>
              <w:t>Ramani Nadarajah</w:t>
            </w:r>
            <w:r>
              <w:rPr>
                <w:sz w:val="20"/>
                <w:szCs w:val="20"/>
              </w:rPr>
              <w:t xml:space="preserve"> f</w:t>
            </w:r>
            <w:r w:rsidRPr="00CD0DD8">
              <w:rPr>
                <w:sz w:val="20"/>
                <w:szCs w:val="20"/>
                <w:lang w:val="en-US"/>
              </w:rPr>
              <w:t xml:space="preserve">or the </w:t>
            </w:r>
            <w:r>
              <w:rPr>
                <w:sz w:val="20"/>
                <w:szCs w:val="20"/>
                <w:lang w:val="en-US"/>
              </w:rPr>
              <w:t>i</w:t>
            </w:r>
            <w:r w:rsidRPr="00CD0DD8">
              <w:rPr>
                <w:sz w:val="20"/>
                <w:szCs w:val="20"/>
                <w:lang w:val="en-US"/>
              </w:rPr>
              <w:t>nterveners</w:t>
            </w:r>
            <w:r>
              <w:rPr>
                <w:sz w:val="20"/>
                <w:szCs w:val="20"/>
                <w:lang w:val="en-US"/>
              </w:rPr>
              <w:t xml:space="preserve"> </w:t>
            </w:r>
            <w:r w:rsidRPr="00CD0DD8">
              <w:rPr>
                <w:sz w:val="20"/>
                <w:szCs w:val="20"/>
              </w:rPr>
              <w:t>Canadian Environmental Law Association et al.</w:t>
            </w:r>
          </w:p>
        </w:tc>
      </w:tr>
    </w:tbl>
    <w:p w:rsidR="00E36358" w:rsidRDefault="00E36358" w:rsidP="00E36358">
      <w:pPr>
        <w:widowControl w:val="0"/>
      </w:pPr>
    </w:p>
    <w:p w:rsidR="00E36358" w:rsidRPr="0085476B" w:rsidRDefault="00E36358" w:rsidP="00E36358">
      <w:pPr>
        <w:widowControl w:val="0"/>
        <w:rPr>
          <w:sz w:val="20"/>
          <w:szCs w:val="20"/>
        </w:rPr>
      </w:pPr>
      <w:r w:rsidRPr="0085476B">
        <w:rPr>
          <w:b/>
          <w:sz w:val="20"/>
          <w:szCs w:val="20"/>
        </w:rPr>
        <w:t xml:space="preserve">RESERVED / </w:t>
      </w:r>
      <w:r w:rsidRPr="0085476B">
        <w:rPr>
          <w:b/>
          <w:sz w:val="20"/>
          <w:szCs w:val="20"/>
          <w:lang w:val="fr-CA"/>
        </w:rPr>
        <w:t>EN DÉLIBÉRÉ</w:t>
      </w:r>
    </w:p>
    <w:p w:rsidR="00E36358" w:rsidRDefault="00E36358" w:rsidP="00E36358"/>
    <w:tbl>
      <w:tblPr>
        <w:tblW w:w="0" w:type="auto"/>
        <w:tblLayout w:type="fixed"/>
        <w:tblCellMar>
          <w:left w:w="0" w:type="dxa"/>
          <w:right w:w="0" w:type="dxa"/>
        </w:tblCellMar>
        <w:tblLook w:val="0000"/>
      </w:tblPr>
      <w:tblGrid>
        <w:gridCol w:w="4380"/>
        <w:gridCol w:w="720"/>
        <w:gridCol w:w="4380"/>
      </w:tblGrid>
      <w:tr w:rsidR="00E36358" w:rsidRPr="00370584" w:rsidTr="00370584">
        <w:tc>
          <w:tcPr>
            <w:tcW w:w="4380" w:type="dxa"/>
            <w:tcMar>
              <w:left w:w="0" w:type="dxa"/>
              <w:right w:w="0" w:type="dxa"/>
            </w:tcMar>
          </w:tcPr>
          <w:p w:rsidR="00E36358" w:rsidRPr="00CC4D84" w:rsidRDefault="00E36358" w:rsidP="00370584">
            <w:pPr>
              <w:widowControl w:val="0"/>
              <w:jc w:val="both"/>
              <w:rPr>
                <w:b/>
                <w:sz w:val="20"/>
                <w:szCs w:val="20"/>
                <w:u w:val="single"/>
              </w:rPr>
            </w:pPr>
            <w:r w:rsidRPr="00CC4D84">
              <w:rPr>
                <w:b/>
                <w:sz w:val="20"/>
                <w:szCs w:val="20"/>
                <w:u w:val="single"/>
              </w:rPr>
              <w:t>Nature of the case:</w:t>
            </w:r>
          </w:p>
          <w:p w:rsidR="00E36358" w:rsidRPr="00C1697B" w:rsidRDefault="00E36358" w:rsidP="00370584">
            <w:pPr>
              <w:widowControl w:val="0"/>
              <w:jc w:val="both"/>
              <w:rPr>
                <w:b/>
                <w:sz w:val="20"/>
                <w:szCs w:val="20"/>
              </w:rPr>
            </w:pPr>
          </w:p>
          <w:p w:rsidR="00E36358" w:rsidRPr="00C1697B" w:rsidRDefault="00E36358" w:rsidP="00370584">
            <w:pPr>
              <w:widowControl w:val="0"/>
              <w:jc w:val="both"/>
              <w:rPr>
                <w:b/>
                <w:sz w:val="20"/>
                <w:szCs w:val="20"/>
              </w:rPr>
            </w:pPr>
            <w:r w:rsidRPr="00660791">
              <w:rPr>
                <w:sz w:val="20"/>
                <w:szCs w:val="20"/>
              </w:rPr>
              <w:t xml:space="preserve">Environmental law </w:t>
            </w:r>
            <w:r w:rsidRPr="00660791">
              <w:rPr>
                <w:sz w:val="20"/>
                <w:szCs w:val="20"/>
              </w:rPr>
              <w:noBreakHyphen/>
              <w:t xml:space="preserve"> Offences </w:t>
            </w:r>
            <w:r w:rsidRPr="00660791">
              <w:rPr>
                <w:sz w:val="20"/>
                <w:szCs w:val="20"/>
              </w:rPr>
              <w:noBreakHyphen/>
              <w:t xml:space="preserve"> Discharge of a contaminant causing adverse effect to natural environment </w:t>
            </w:r>
            <w:r w:rsidRPr="00660791">
              <w:rPr>
                <w:sz w:val="20"/>
                <w:szCs w:val="20"/>
              </w:rPr>
              <w:noBreakHyphen/>
              <w:t xml:space="preserve"> Duty to notify Minister of the Environment </w:t>
            </w:r>
            <w:r w:rsidRPr="00660791">
              <w:rPr>
                <w:sz w:val="20"/>
                <w:szCs w:val="20"/>
              </w:rPr>
              <w:noBreakHyphen/>
              <w:t xml:space="preserve"> In order for s. 15(1) of the </w:t>
            </w:r>
            <w:r w:rsidRPr="00660791">
              <w:rPr>
                <w:i/>
                <w:sz w:val="20"/>
                <w:szCs w:val="20"/>
              </w:rPr>
              <w:t>Environmental Protection Act</w:t>
            </w:r>
            <w:r w:rsidRPr="00660791">
              <w:rPr>
                <w:sz w:val="20"/>
                <w:szCs w:val="20"/>
              </w:rPr>
              <w:t>, R.S.O. 1990, c. E</w:t>
            </w:r>
            <w:r w:rsidRPr="00660791">
              <w:rPr>
                <w:sz w:val="20"/>
                <w:szCs w:val="20"/>
              </w:rPr>
              <w:noBreakHyphen/>
              <w:t>19, to be engaged, is it necessary that the adverse effect include significant or non</w:t>
            </w:r>
            <w:r w:rsidRPr="00660791">
              <w:rPr>
                <w:sz w:val="20"/>
                <w:szCs w:val="20"/>
              </w:rPr>
              <w:noBreakHyphen/>
              <w:t>trivial harm (or its likelihood) to the natural environment, in addition to non</w:t>
            </w:r>
            <w:r w:rsidRPr="00660791">
              <w:rPr>
                <w:sz w:val="20"/>
                <w:szCs w:val="20"/>
              </w:rPr>
              <w:noBreakHyphen/>
              <w:t>trivial harm (or its likelihood) to an actual or likely use of the natural environment?</w:t>
            </w:r>
          </w:p>
        </w:tc>
        <w:tc>
          <w:tcPr>
            <w:tcW w:w="720" w:type="dxa"/>
            <w:tcMar>
              <w:left w:w="0" w:type="dxa"/>
              <w:right w:w="0" w:type="dxa"/>
            </w:tcMar>
          </w:tcPr>
          <w:p w:rsidR="00E36358" w:rsidRPr="00C1697B" w:rsidRDefault="00E36358" w:rsidP="00370584">
            <w:pPr>
              <w:widowControl w:val="0"/>
              <w:jc w:val="center"/>
              <w:rPr>
                <w:sz w:val="20"/>
                <w:szCs w:val="20"/>
              </w:rPr>
            </w:pPr>
          </w:p>
        </w:tc>
        <w:tc>
          <w:tcPr>
            <w:tcW w:w="4380" w:type="dxa"/>
            <w:tcMar>
              <w:left w:w="0" w:type="dxa"/>
              <w:right w:w="0" w:type="dxa"/>
            </w:tcMar>
          </w:tcPr>
          <w:p w:rsidR="00E36358" w:rsidRPr="00CC4D84" w:rsidRDefault="00E36358" w:rsidP="00370584">
            <w:pPr>
              <w:widowControl w:val="0"/>
              <w:jc w:val="both"/>
              <w:rPr>
                <w:b/>
                <w:sz w:val="20"/>
                <w:szCs w:val="20"/>
                <w:u w:val="single"/>
                <w:lang w:val="fr-CA"/>
              </w:rPr>
            </w:pPr>
            <w:r w:rsidRPr="00CC4D84">
              <w:rPr>
                <w:b/>
                <w:sz w:val="20"/>
                <w:szCs w:val="20"/>
                <w:u w:val="single"/>
                <w:lang w:val="fr-CA"/>
              </w:rPr>
              <w:t>Nature de la cause :</w:t>
            </w:r>
          </w:p>
          <w:p w:rsidR="00E36358" w:rsidRPr="00C1697B" w:rsidRDefault="00E36358" w:rsidP="00370584">
            <w:pPr>
              <w:widowControl w:val="0"/>
              <w:jc w:val="both"/>
              <w:rPr>
                <w:sz w:val="20"/>
                <w:szCs w:val="20"/>
                <w:lang w:val="fr-CA"/>
              </w:rPr>
            </w:pPr>
          </w:p>
          <w:p w:rsidR="00E36358" w:rsidRPr="00C1697B" w:rsidRDefault="00E36358" w:rsidP="00370584">
            <w:pPr>
              <w:widowControl w:val="0"/>
              <w:jc w:val="both"/>
              <w:rPr>
                <w:sz w:val="20"/>
                <w:szCs w:val="20"/>
                <w:lang w:val="fr-CA"/>
              </w:rPr>
            </w:pPr>
            <w:r w:rsidRPr="00EE6854">
              <w:rPr>
                <w:sz w:val="20"/>
                <w:szCs w:val="20"/>
                <w:lang w:val="fr-CA"/>
              </w:rPr>
              <w:t xml:space="preserve">Droit de l’environnement </w:t>
            </w:r>
            <w:r w:rsidRPr="00EE6854">
              <w:rPr>
                <w:sz w:val="20"/>
                <w:szCs w:val="20"/>
                <w:lang w:val="fr-CA"/>
              </w:rPr>
              <w:noBreakHyphen/>
              <w:t xml:space="preserve"> Infractions </w:t>
            </w:r>
            <w:r w:rsidRPr="00EE6854">
              <w:rPr>
                <w:sz w:val="20"/>
                <w:szCs w:val="20"/>
                <w:lang w:val="fr-CA"/>
              </w:rPr>
              <w:noBreakHyphen/>
              <w:t xml:space="preserve"> Rejet d’un contaminant entraînant des conséquences préjudiciables à l’environnement naturel </w:t>
            </w:r>
            <w:r w:rsidRPr="00EE6854">
              <w:rPr>
                <w:sz w:val="20"/>
                <w:szCs w:val="20"/>
                <w:lang w:val="fr-CA"/>
              </w:rPr>
              <w:noBreakHyphen/>
              <w:t xml:space="preserve"> Obligation d’aviser le ministre de l’Environnement </w:t>
            </w:r>
            <w:r w:rsidRPr="00EE6854">
              <w:rPr>
                <w:sz w:val="20"/>
                <w:szCs w:val="20"/>
                <w:lang w:val="fr-CA"/>
              </w:rPr>
              <w:noBreakHyphen/>
              <w:t xml:space="preserve"> Pour qu’entre en jeu le par. 15(1) de la </w:t>
            </w:r>
            <w:r w:rsidRPr="00EE6854">
              <w:rPr>
                <w:i/>
                <w:sz w:val="20"/>
                <w:szCs w:val="20"/>
                <w:lang w:val="fr-CA"/>
              </w:rPr>
              <w:t>Loi sur la protection de l’environnement</w:t>
            </w:r>
            <w:r w:rsidRPr="00EE6854">
              <w:rPr>
                <w:sz w:val="20"/>
                <w:szCs w:val="20"/>
                <w:lang w:val="fr-CA"/>
              </w:rPr>
              <w:t>, L.R.O. 1990, ch. E</w:t>
            </w:r>
            <w:r w:rsidRPr="00EE6854">
              <w:rPr>
                <w:sz w:val="20"/>
                <w:szCs w:val="20"/>
                <w:lang w:val="fr-CA"/>
              </w:rPr>
              <w:noBreakHyphen/>
              <w:t>19, faut</w:t>
            </w:r>
            <w:r w:rsidRPr="00EE6854">
              <w:rPr>
                <w:sz w:val="20"/>
                <w:szCs w:val="20"/>
                <w:lang w:val="fr-CA"/>
              </w:rPr>
              <w:noBreakHyphen/>
              <w:t>il que les conséquences préjudiciables comprennent une atteinte importante ou non négligeable (ou la probabilité d’une telle atteinte) à l’environnement naturel, en plus d’une atteinte non négligeable (ou la probabilité d’une telle atteinte) à un usage réel ou vraisemblable de l’environnement naturel?</w:t>
            </w:r>
          </w:p>
        </w:tc>
      </w:tr>
    </w:tbl>
    <w:p w:rsidR="00E36358" w:rsidRDefault="00E36358" w:rsidP="00E36358">
      <w:pPr>
        <w:widowControl w:val="0"/>
        <w:rPr>
          <w:sz w:val="20"/>
          <w:szCs w:val="20"/>
          <w:lang w:val="fr-CA"/>
        </w:rPr>
      </w:pPr>
    </w:p>
    <w:p w:rsidR="00E36358" w:rsidRDefault="00B35B95" w:rsidP="00E36358">
      <w:pPr>
        <w:widowControl w:val="0"/>
        <w:rPr>
          <w:sz w:val="20"/>
          <w:szCs w:val="20"/>
        </w:rPr>
      </w:pPr>
      <w:r w:rsidRPr="00B35B95">
        <w:rPr>
          <w:sz w:val="20"/>
          <w:szCs w:val="20"/>
          <w:lang w:val="fr-CA"/>
        </w:rPr>
        <w:pict>
          <v:rect id="_x0000_i1084" style="width:2in;height:1pt" o:hrpct="0" o:hralign="center" o:hrstd="t" o:hrnoshade="t" o:hr="t" fillcolor="black [3213]" stroked="f"/>
        </w:pict>
      </w:r>
    </w:p>
    <w:p w:rsidR="00E36358" w:rsidRDefault="00E36358" w:rsidP="00E36358">
      <w:pPr>
        <w:widowControl w:val="0"/>
        <w:rPr>
          <w:sz w:val="20"/>
          <w:szCs w:val="20"/>
        </w:rPr>
      </w:pPr>
    </w:p>
    <w:p w:rsidR="00E36358" w:rsidRPr="00C50A5C" w:rsidRDefault="00E36358" w:rsidP="00E36358">
      <w:pPr>
        <w:widowControl w:val="0"/>
        <w:rPr>
          <w:sz w:val="20"/>
          <w:szCs w:val="20"/>
        </w:rPr>
      </w:pPr>
      <w:r>
        <w:rPr>
          <w:sz w:val="20"/>
          <w:szCs w:val="20"/>
        </w:rPr>
        <w:t>21</w:t>
      </w:r>
      <w:r w:rsidRPr="00C50A5C">
        <w:rPr>
          <w:sz w:val="20"/>
          <w:szCs w:val="20"/>
        </w:rPr>
        <w:t>.0</w:t>
      </w:r>
      <w:r>
        <w:rPr>
          <w:sz w:val="20"/>
          <w:szCs w:val="20"/>
        </w:rPr>
        <w:t>5</w:t>
      </w:r>
      <w:r w:rsidRPr="00C50A5C">
        <w:rPr>
          <w:sz w:val="20"/>
          <w:szCs w:val="20"/>
        </w:rPr>
        <w:t>.201</w:t>
      </w:r>
      <w:r>
        <w:rPr>
          <w:sz w:val="20"/>
          <w:szCs w:val="20"/>
        </w:rPr>
        <w:t>3</w:t>
      </w:r>
    </w:p>
    <w:p w:rsidR="00E36358" w:rsidRDefault="00E36358" w:rsidP="00E36358">
      <w:pPr>
        <w:widowControl w:val="0"/>
        <w:rPr>
          <w:sz w:val="20"/>
          <w:szCs w:val="20"/>
        </w:rPr>
      </w:pPr>
    </w:p>
    <w:p w:rsidR="00E36358" w:rsidRPr="001D7BDC" w:rsidRDefault="00E36358" w:rsidP="00E36358">
      <w:pPr>
        <w:widowControl w:val="0"/>
        <w:ind w:left="720" w:hanging="720"/>
        <w:rPr>
          <w:sz w:val="20"/>
          <w:szCs w:val="20"/>
          <w:u w:val="single"/>
        </w:rPr>
      </w:pPr>
      <w:r w:rsidRPr="001D7BDC">
        <w:rPr>
          <w:sz w:val="20"/>
          <w:szCs w:val="20"/>
        </w:rPr>
        <w:t xml:space="preserve">Coram: </w:t>
      </w:r>
      <w:r w:rsidRPr="001D7BDC">
        <w:rPr>
          <w:sz w:val="20"/>
          <w:szCs w:val="20"/>
        </w:rPr>
        <w:tab/>
      </w:r>
      <w:r w:rsidRPr="001D7BDC">
        <w:rPr>
          <w:sz w:val="20"/>
          <w:szCs w:val="20"/>
          <w:u w:val="single"/>
        </w:rPr>
        <w:t>Les juges LeBel, Fish, Abella, Cromwell, Moldaver, Karakatsanis et Wagner</w:t>
      </w:r>
    </w:p>
    <w:p w:rsidR="00E36358" w:rsidRPr="00C50A5C" w:rsidRDefault="00E36358" w:rsidP="00E36358">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E36358" w:rsidRPr="00C50A5C" w:rsidTr="00370584">
        <w:tc>
          <w:tcPr>
            <w:tcW w:w="4380" w:type="dxa"/>
            <w:tcMar>
              <w:left w:w="0" w:type="dxa"/>
              <w:right w:w="0" w:type="dxa"/>
            </w:tcMar>
          </w:tcPr>
          <w:p w:rsidR="00E36358" w:rsidRDefault="00E36358" w:rsidP="00370584">
            <w:pPr>
              <w:widowControl w:val="0"/>
              <w:jc w:val="both"/>
              <w:rPr>
                <w:rFonts w:eastAsia="Calibri" w:cs="Times New Roman"/>
                <w:b/>
                <w:sz w:val="20"/>
                <w:szCs w:val="20"/>
                <w:lang w:val="fr-CA"/>
              </w:rPr>
            </w:pPr>
            <w:r w:rsidRPr="001F485E">
              <w:rPr>
                <w:rFonts w:eastAsia="Calibri" w:cs="Times New Roman"/>
                <w:b/>
                <w:sz w:val="20"/>
                <w:szCs w:val="20"/>
                <w:lang w:val="fr-CA"/>
              </w:rPr>
              <w:t xml:space="preserve">Sa Majesté la Reine </w:t>
            </w:r>
          </w:p>
          <w:p w:rsidR="00E36358" w:rsidRDefault="00E36358" w:rsidP="00370584">
            <w:pPr>
              <w:widowControl w:val="0"/>
              <w:jc w:val="both"/>
              <w:rPr>
                <w:rFonts w:eastAsia="Calibri" w:cs="Times New Roman"/>
                <w:b/>
                <w:sz w:val="20"/>
                <w:szCs w:val="20"/>
                <w:lang w:val="fr-CA"/>
              </w:rPr>
            </w:pPr>
          </w:p>
          <w:p w:rsidR="00E36358" w:rsidRDefault="00E36358" w:rsidP="00370584">
            <w:pPr>
              <w:widowControl w:val="0"/>
              <w:jc w:val="both"/>
              <w:rPr>
                <w:rFonts w:eastAsia="Calibri" w:cs="Times New Roman"/>
                <w:b/>
                <w:sz w:val="20"/>
                <w:szCs w:val="20"/>
                <w:lang w:val="fr-CA"/>
              </w:rPr>
            </w:pPr>
            <w:r>
              <w:rPr>
                <w:rFonts w:eastAsia="Calibri" w:cs="Times New Roman"/>
                <w:b/>
                <w:sz w:val="20"/>
                <w:szCs w:val="20"/>
                <w:lang w:val="fr-CA"/>
              </w:rPr>
              <w:tab/>
            </w:r>
            <w:r w:rsidRPr="001F485E">
              <w:rPr>
                <w:rFonts w:eastAsia="Calibri" w:cs="Times New Roman"/>
                <w:b/>
                <w:sz w:val="20"/>
                <w:szCs w:val="20"/>
                <w:lang w:val="fr-CA"/>
              </w:rPr>
              <w:t>c. (34743)</w:t>
            </w:r>
          </w:p>
          <w:p w:rsidR="00E36358" w:rsidRDefault="00E36358" w:rsidP="00370584">
            <w:pPr>
              <w:widowControl w:val="0"/>
              <w:jc w:val="both"/>
              <w:rPr>
                <w:rFonts w:eastAsia="Calibri" w:cs="Times New Roman"/>
                <w:b/>
                <w:sz w:val="20"/>
                <w:szCs w:val="20"/>
                <w:lang w:val="fr-CA"/>
              </w:rPr>
            </w:pPr>
          </w:p>
          <w:p w:rsidR="00E36358" w:rsidRPr="00C50A5C" w:rsidRDefault="00E36358" w:rsidP="00370584">
            <w:pPr>
              <w:widowControl w:val="0"/>
              <w:jc w:val="both"/>
              <w:rPr>
                <w:sz w:val="20"/>
                <w:szCs w:val="20"/>
                <w:lang w:val="fr-CA"/>
              </w:rPr>
            </w:pPr>
            <w:r w:rsidRPr="001F485E">
              <w:rPr>
                <w:rFonts w:eastAsia="Calibri" w:cs="Times New Roman"/>
                <w:b/>
                <w:sz w:val="20"/>
                <w:szCs w:val="20"/>
                <w:lang w:val="fr-CA"/>
              </w:rPr>
              <w:t xml:space="preserve">Stéphane McRae (Qc) (Criminelle) (Autorisation) </w:t>
            </w:r>
          </w:p>
        </w:tc>
        <w:tc>
          <w:tcPr>
            <w:tcW w:w="720" w:type="dxa"/>
            <w:tcMar>
              <w:left w:w="0" w:type="dxa"/>
              <w:right w:w="0" w:type="dxa"/>
            </w:tcMar>
          </w:tcPr>
          <w:p w:rsidR="00E36358" w:rsidRPr="00C50A5C" w:rsidRDefault="00E36358" w:rsidP="00370584">
            <w:pPr>
              <w:widowControl w:val="0"/>
              <w:jc w:val="center"/>
              <w:rPr>
                <w:sz w:val="20"/>
                <w:szCs w:val="20"/>
                <w:lang w:val="fr-CA"/>
              </w:rPr>
            </w:pPr>
          </w:p>
        </w:tc>
        <w:tc>
          <w:tcPr>
            <w:tcW w:w="4380" w:type="dxa"/>
            <w:tcMar>
              <w:left w:w="0" w:type="dxa"/>
              <w:right w:w="0" w:type="dxa"/>
            </w:tcMar>
          </w:tcPr>
          <w:p w:rsidR="00E36358" w:rsidRPr="004630D0" w:rsidRDefault="00E36358" w:rsidP="00370584">
            <w:pPr>
              <w:jc w:val="both"/>
              <w:rPr>
                <w:sz w:val="20"/>
                <w:szCs w:val="20"/>
                <w:lang w:val="fr-CA"/>
              </w:rPr>
            </w:pPr>
            <w:r w:rsidRPr="004630D0">
              <w:rPr>
                <w:sz w:val="20"/>
                <w:szCs w:val="20"/>
                <w:lang w:val="fr-CA"/>
              </w:rPr>
              <w:t>Sébastien Bergeron-Guyard</w:t>
            </w:r>
            <w:r>
              <w:rPr>
                <w:sz w:val="20"/>
                <w:szCs w:val="20"/>
                <w:lang w:val="fr-CA"/>
              </w:rPr>
              <w:t xml:space="preserve"> et </w:t>
            </w:r>
            <w:r w:rsidRPr="004630D0">
              <w:rPr>
                <w:sz w:val="20"/>
                <w:szCs w:val="20"/>
                <w:lang w:val="fr-CA"/>
              </w:rPr>
              <w:t>Thomas Jacques</w:t>
            </w:r>
            <w:r>
              <w:rPr>
                <w:sz w:val="20"/>
                <w:szCs w:val="20"/>
                <w:lang w:val="fr-CA"/>
              </w:rPr>
              <w:t xml:space="preserve"> p</w:t>
            </w:r>
            <w:r w:rsidRPr="004630D0">
              <w:rPr>
                <w:sz w:val="20"/>
                <w:szCs w:val="20"/>
                <w:lang w:val="fr-CA"/>
              </w:rPr>
              <w:t>our l’appelante.</w:t>
            </w:r>
          </w:p>
          <w:p w:rsidR="00E36358" w:rsidRPr="004630D0" w:rsidRDefault="00E36358" w:rsidP="00370584">
            <w:pPr>
              <w:jc w:val="both"/>
              <w:rPr>
                <w:sz w:val="20"/>
                <w:szCs w:val="20"/>
                <w:lang w:val="fr-CA"/>
              </w:rPr>
            </w:pPr>
          </w:p>
          <w:p w:rsidR="00E36358" w:rsidRPr="00C50A5C" w:rsidRDefault="00E36358" w:rsidP="00370584">
            <w:pPr>
              <w:widowControl w:val="0"/>
              <w:jc w:val="both"/>
              <w:rPr>
                <w:sz w:val="20"/>
                <w:szCs w:val="20"/>
              </w:rPr>
            </w:pPr>
            <w:r w:rsidRPr="004630D0">
              <w:rPr>
                <w:sz w:val="20"/>
                <w:szCs w:val="20"/>
                <w:lang w:val="fr-CA"/>
              </w:rPr>
              <w:t>Stéphanie Carrier</w:t>
            </w:r>
            <w:r>
              <w:rPr>
                <w:sz w:val="20"/>
                <w:szCs w:val="20"/>
                <w:lang w:val="fr-CA"/>
              </w:rPr>
              <w:t xml:space="preserve"> p</w:t>
            </w:r>
            <w:r w:rsidRPr="004630D0">
              <w:rPr>
                <w:sz w:val="20"/>
                <w:szCs w:val="20"/>
                <w:lang w:val="fr-CA"/>
              </w:rPr>
              <w:t>our l’intimé.</w:t>
            </w:r>
          </w:p>
        </w:tc>
      </w:tr>
    </w:tbl>
    <w:p w:rsidR="00E36358" w:rsidRDefault="00E36358" w:rsidP="00E36358">
      <w:pPr>
        <w:widowControl w:val="0"/>
      </w:pPr>
    </w:p>
    <w:p w:rsidR="00E36358" w:rsidRPr="0085476B" w:rsidRDefault="00E36358" w:rsidP="00E36358">
      <w:pPr>
        <w:widowControl w:val="0"/>
        <w:rPr>
          <w:sz w:val="20"/>
          <w:szCs w:val="20"/>
        </w:rPr>
      </w:pPr>
      <w:r w:rsidRPr="0085476B">
        <w:rPr>
          <w:b/>
          <w:sz w:val="20"/>
          <w:szCs w:val="20"/>
        </w:rPr>
        <w:t xml:space="preserve">RESERVED / </w:t>
      </w:r>
      <w:r w:rsidRPr="0085476B">
        <w:rPr>
          <w:b/>
          <w:sz w:val="20"/>
          <w:szCs w:val="20"/>
          <w:lang w:val="fr-CA"/>
        </w:rPr>
        <w:t>EN DÉLIBÉRÉ</w:t>
      </w:r>
    </w:p>
    <w:p w:rsidR="00E36358" w:rsidRDefault="00E36358" w:rsidP="00E36358"/>
    <w:tbl>
      <w:tblPr>
        <w:tblW w:w="0" w:type="auto"/>
        <w:tblLayout w:type="fixed"/>
        <w:tblCellMar>
          <w:left w:w="0" w:type="dxa"/>
          <w:right w:w="0" w:type="dxa"/>
        </w:tblCellMar>
        <w:tblLook w:val="0000"/>
      </w:tblPr>
      <w:tblGrid>
        <w:gridCol w:w="4380"/>
        <w:gridCol w:w="720"/>
        <w:gridCol w:w="4380"/>
      </w:tblGrid>
      <w:tr w:rsidR="00E36358" w:rsidRPr="00370584" w:rsidTr="00370584">
        <w:tc>
          <w:tcPr>
            <w:tcW w:w="4380" w:type="dxa"/>
            <w:tcMar>
              <w:left w:w="0" w:type="dxa"/>
              <w:right w:w="0" w:type="dxa"/>
            </w:tcMar>
          </w:tcPr>
          <w:p w:rsidR="00E36358" w:rsidRPr="00CC4D84" w:rsidRDefault="00E36358" w:rsidP="00370584">
            <w:pPr>
              <w:widowControl w:val="0"/>
              <w:jc w:val="both"/>
              <w:rPr>
                <w:b/>
                <w:sz w:val="20"/>
                <w:szCs w:val="20"/>
                <w:u w:val="single"/>
              </w:rPr>
            </w:pPr>
            <w:r w:rsidRPr="00CC4D84">
              <w:rPr>
                <w:b/>
                <w:sz w:val="20"/>
                <w:szCs w:val="20"/>
                <w:u w:val="single"/>
              </w:rPr>
              <w:t>Nature of the case:</w:t>
            </w:r>
          </w:p>
          <w:p w:rsidR="00E36358" w:rsidRPr="00C1697B" w:rsidRDefault="00E36358" w:rsidP="00370584">
            <w:pPr>
              <w:widowControl w:val="0"/>
              <w:jc w:val="both"/>
              <w:rPr>
                <w:b/>
                <w:sz w:val="20"/>
                <w:szCs w:val="20"/>
              </w:rPr>
            </w:pPr>
          </w:p>
          <w:p w:rsidR="00E36358" w:rsidRPr="006A245C" w:rsidRDefault="00E36358" w:rsidP="00370584">
            <w:pPr>
              <w:widowControl w:val="0"/>
              <w:jc w:val="both"/>
              <w:rPr>
                <w:sz w:val="20"/>
                <w:szCs w:val="20"/>
              </w:rPr>
            </w:pPr>
            <w:r w:rsidRPr="00660ED9">
              <w:rPr>
                <w:rStyle w:val="italic1"/>
                <w:color w:val="000000"/>
                <w:sz w:val="20"/>
                <w:szCs w:val="20"/>
              </w:rPr>
              <w:t xml:space="preserve">Criminal law </w:t>
            </w:r>
            <w:r w:rsidRPr="00660ED9">
              <w:rPr>
                <w:i/>
                <w:iCs/>
                <w:sz w:val="20"/>
                <w:szCs w:val="20"/>
              </w:rPr>
              <w:noBreakHyphen/>
            </w:r>
            <w:r w:rsidRPr="00660ED9">
              <w:rPr>
                <w:rStyle w:val="italic1"/>
                <w:color w:val="000000"/>
                <w:sz w:val="20"/>
                <w:szCs w:val="20"/>
              </w:rPr>
              <w:t xml:space="preserve"> Criminal Code </w:t>
            </w:r>
            <w:r w:rsidRPr="006A245C">
              <w:rPr>
                <w:rStyle w:val="italic1"/>
                <w:i w:val="0"/>
                <w:color w:val="000000"/>
                <w:sz w:val="20"/>
                <w:szCs w:val="20"/>
              </w:rPr>
              <w:t xml:space="preserve">offences </w:t>
            </w:r>
            <w:r w:rsidRPr="006A245C">
              <w:rPr>
                <w:i/>
                <w:iCs/>
                <w:sz w:val="20"/>
                <w:szCs w:val="20"/>
              </w:rPr>
              <w:noBreakHyphen/>
            </w:r>
            <w:r w:rsidRPr="006A245C">
              <w:rPr>
                <w:rStyle w:val="italic1"/>
                <w:i w:val="0"/>
                <w:color w:val="000000"/>
                <w:sz w:val="20"/>
                <w:szCs w:val="20"/>
              </w:rPr>
              <w:t xml:space="preserve"> Offences against person and reputation </w:t>
            </w:r>
            <w:r w:rsidRPr="006A245C">
              <w:rPr>
                <w:i/>
                <w:iCs/>
                <w:sz w:val="20"/>
                <w:szCs w:val="20"/>
              </w:rPr>
              <w:noBreakHyphen/>
            </w:r>
            <w:r w:rsidRPr="006A245C">
              <w:rPr>
                <w:rStyle w:val="italic1"/>
                <w:i w:val="0"/>
                <w:color w:val="000000"/>
                <w:sz w:val="20"/>
                <w:szCs w:val="20"/>
              </w:rPr>
              <w:t xml:space="preserve"> Harassment and threats </w:t>
            </w:r>
            <w:r w:rsidRPr="006A245C">
              <w:rPr>
                <w:i/>
                <w:iCs/>
                <w:sz w:val="20"/>
                <w:szCs w:val="20"/>
              </w:rPr>
              <w:noBreakHyphen/>
            </w:r>
            <w:r w:rsidRPr="006A245C">
              <w:rPr>
                <w:rStyle w:val="italic1"/>
                <w:i w:val="0"/>
                <w:color w:val="000000"/>
                <w:sz w:val="20"/>
                <w:szCs w:val="20"/>
              </w:rPr>
              <w:t xml:space="preserve"> Threats to cause death or bodily harm </w:t>
            </w:r>
            <w:r w:rsidRPr="006A245C">
              <w:rPr>
                <w:i/>
                <w:iCs/>
                <w:sz w:val="20"/>
                <w:szCs w:val="20"/>
              </w:rPr>
              <w:noBreakHyphen/>
            </w:r>
            <w:r w:rsidRPr="006A245C">
              <w:rPr>
                <w:rStyle w:val="italic1"/>
                <w:i w:val="0"/>
                <w:color w:val="000000"/>
                <w:sz w:val="20"/>
                <w:szCs w:val="20"/>
              </w:rPr>
              <w:t xml:space="preserve"> Whether Court of Appeal erred in introducing new legal standard or at least field of exclusion from </w:t>
            </w:r>
            <w:r w:rsidRPr="006A245C">
              <w:rPr>
                <w:rStyle w:val="italic1"/>
                <w:i w:val="0"/>
                <w:color w:val="000000"/>
                <w:sz w:val="20"/>
                <w:szCs w:val="20"/>
              </w:rPr>
              <w:lastRenderedPageBreak/>
              <w:t>scheme of s.</w:t>
            </w:r>
            <w:r w:rsidRPr="00660ED9">
              <w:rPr>
                <w:rStyle w:val="italic1"/>
                <w:color w:val="000000"/>
                <w:sz w:val="20"/>
                <w:szCs w:val="20"/>
              </w:rPr>
              <w:t> </w:t>
            </w:r>
            <w:r w:rsidRPr="00660ED9">
              <w:rPr>
                <w:sz w:val="20"/>
                <w:szCs w:val="20"/>
              </w:rPr>
              <w:t xml:space="preserve">264.1 of </w:t>
            </w:r>
            <w:r w:rsidRPr="00660ED9">
              <w:rPr>
                <w:i/>
                <w:sz w:val="20"/>
                <w:szCs w:val="20"/>
              </w:rPr>
              <w:t>Criminal Code</w:t>
            </w:r>
            <w:r w:rsidRPr="00660ED9">
              <w:rPr>
                <w:sz w:val="20"/>
                <w:szCs w:val="20"/>
              </w:rPr>
              <w:t xml:space="preserve"> and in holding that threatening remarks made in circumstances where it is assumed that expectation of confidentiality may exist cannot satisfy </w:t>
            </w:r>
            <w:r w:rsidRPr="00660ED9">
              <w:rPr>
                <w:i/>
                <w:sz w:val="20"/>
                <w:szCs w:val="20"/>
              </w:rPr>
              <w:t>actus reus</w:t>
            </w:r>
            <w:r w:rsidRPr="00660ED9">
              <w:rPr>
                <w:sz w:val="20"/>
                <w:szCs w:val="20"/>
              </w:rPr>
              <w:t xml:space="preserve"> and </w:t>
            </w:r>
            <w:r w:rsidRPr="00660ED9">
              <w:rPr>
                <w:i/>
                <w:sz w:val="20"/>
                <w:szCs w:val="20"/>
              </w:rPr>
              <w:t>mens rea</w:t>
            </w:r>
            <w:r w:rsidRPr="00660ED9">
              <w:rPr>
                <w:sz w:val="20"/>
                <w:szCs w:val="20"/>
              </w:rPr>
              <w:t xml:space="preserve"> requirements for offence created in that section </w:t>
            </w:r>
            <w:r w:rsidRPr="00660ED9">
              <w:rPr>
                <w:iCs/>
                <w:sz w:val="20"/>
                <w:szCs w:val="20"/>
              </w:rPr>
              <w:noBreakHyphen/>
            </w:r>
            <w:r w:rsidRPr="00660ED9">
              <w:rPr>
                <w:sz w:val="20"/>
                <w:szCs w:val="20"/>
              </w:rPr>
              <w:t xml:space="preserve"> Whether Court of Appeal erred in law by making it defence that threats uttered because of frustration, anger or desire for revenge.</w:t>
            </w:r>
          </w:p>
        </w:tc>
        <w:tc>
          <w:tcPr>
            <w:tcW w:w="720" w:type="dxa"/>
            <w:tcMar>
              <w:left w:w="0" w:type="dxa"/>
              <w:right w:w="0" w:type="dxa"/>
            </w:tcMar>
          </w:tcPr>
          <w:p w:rsidR="00E36358" w:rsidRPr="00C1697B" w:rsidRDefault="00E36358" w:rsidP="00370584">
            <w:pPr>
              <w:widowControl w:val="0"/>
              <w:jc w:val="center"/>
              <w:rPr>
                <w:sz w:val="20"/>
                <w:szCs w:val="20"/>
              </w:rPr>
            </w:pPr>
          </w:p>
        </w:tc>
        <w:tc>
          <w:tcPr>
            <w:tcW w:w="4380" w:type="dxa"/>
            <w:tcMar>
              <w:left w:w="0" w:type="dxa"/>
              <w:right w:w="0" w:type="dxa"/>
            </w:tcMar>
          </w:tcPr>
          <w:p w:rsidR="00E36358" w:rsidRPr="00CC4D84" w:rsidRDefault="00E36358" w:rsidP="00370584">
            <w:pPr>
              <w:widowControl w:val="0"/>
              <w:jc w:val="both"/>
              <w:rPr>
                <w:b/>
                <w:sz w:val="20"/>
                <w:szCs w:val="20"/>
                <w:u w:val="single"/>
                <w:lang w:val="fr-CA"/>
              </w:rPr>
            </w:pPr>
            <w:r w:rsidRPr="00CC4D84">
              <w:rPr>
                <w:b/>
                <w:sz w:val="20"/>
                <w:szCs w:val="20"/>
                <w:u w:val="single"/>
                <w:lang w:val="fr-CA"/>
              </w:rPr>
              <w:t>Nature de la cause :</w:t>
            </w:r>
          </w:p>
          <w:p w:rsidR="00E36358" w:rsidRPr="00C1697B" w:rsidRDefault="00E36358" w:rsidP="00370584">
            <w:pPr>
              <w:widowControl w:val="0"/>
              <w:jc w:val="both"/>
              <w:rPr>
                <w:sz w:val="20"/>
                <w:szCs w:val="20"/>
                <w:lang w:val="fr-CA"/>
              </w:rPr>
            </w:pPr>
          </w:p>
          <w:p w:rsidR="00E36358" w:rsidRPr="00C1697B" w:rsidRDefault="00E36358" w:rsidP="00370584">
            <w:pPr>
              <w:widowControl w:val="0"/>
              <w:jc w:val="both"/>
              <w:rPr>
                <w:sz w:val="20"/>
                <w:szCs w:val="20"/>
                <w:lang w:val="fr-CA"/>
              </w:rPr>
            </w:pPr>
            <w:r w:rsidRPr="0004190A">
              <w:rPr>
                <w:iCs/>
                <w:sz w:val="20"/>
                <w:szCs w:val="20"/>
                <w:lang w:val="fr-CA"/>
              </w:rPr>
              <w:t>Droit criminel</w:t>
            </w:r>
            <w:r w:rsidRPr="0004190A">
              <w:rPr>
                <w:i/>
                <w:iCs/>
                <w:sz w:val="20"/>
                <w:szCs w:val="20"/>
                <w:lang w:val="fr-CA"/>
              </w:rPr>
              <w:t xml:space="preserve"> </w:t>
            </w:r>
            <w:r w:rsidRPr="0004190A">
              <w:rPr>
                <w:iCs/>
                <w:sz w:val="20"/>
                <w:szCs w:val="20"/>
                <w:lang w:val="fr-CA"/>
              </w:rPr>
              <w:noBreakHyphen/>
              <w:t xml:space="preserve"> Infractions en vertu du </w:t>
            </w:r>
            <w:r w:rsidRPr="0004190A">
              <w:rPr>
                <w:i/>
                <w:iCs/>
                <w:sz w:val="20"/>
                <w:szCs w:val="20"/>
                <w:lang w:val="fr-CA"/>
              </w:rPr>
              <w:t>Code criminel</w:t>
            </w:r>
            <w:r w:rsidRPr="0004190A">
              <w:rPr>
                <w:iCs/>
                <w:sz w:val="20"/>
                <w:szCs w:val="20"/>
                <w:lang w:val="fr-CA"/>
              </w:rPr>
              <w:t xml:space="preserve"> </w:t>
            </w:r>
            <w:r w:rsidRPr="0004190A">
              <w:rPr>
                <w:iCs/>
                <w:sz w:val="20"/>
                <w:szCs w:val="20"/>
                <w:lang w:val="fr-CA"/>
              </w:rPr>
              <w:noBreakHyphen/>
              <w:t xml:space="preserve"> Infractions contre la personne et la réputation </w:t>
            </w:r>
            <w:r w:rsidRPr="0004190A">
              <w:rPr>
                <w:iCs/>
                <w:sz w:val="20"/>
                <w:szCs w:val="20"/>
                <w:lang w:val="fr-CA"/>
              </w:rPr>
              <w:noBreakHyphen/>
              <w:t xml:space="preserve"> Harcèlement et menaces </w:t>
            </w:r>
            <w:r w:rsidRPr="0004190A">
              <w:rPr>
                <w:iCs/>
                <w:sz w:val="20"/>
                <w:szCs w:val="20"/>
                <w:lang w:val="fr-CA"/>
              </w:rPr>
              <w:noBreakHyphen/>
              <w:t xml:space="preserve"> Menaces de causer la mort ou des lésions corporelles </w:t>
            </w:r>
            <w:r w:rsidRPr="0004190A">
              <w:rPr>
                <w:iCs/>
                <w:sz w:val="20"/>
                <w:szCs w:val="20"/>
                <w:lang w:val="fr-CA"/>
              </w:rPr>
              <w:noBreakHyphen/>
              <w:t xml:space="preserve"> </w:t>
            </w:r>
            <w:r w:rsidRPr="0004190A">
              <w:rPr>
                <w:sz w:val="20"/>
                <w:szCs w:val="20"/>
                <w:lang w:val="fr-CA"/>
              </w:rPr>
              <w:t>La Cour d’appel a</w:t>
            </w:r>
            <w:r w:rsidRPr="0004190A">
              <w:rPr>
                <w:sz w:val="20"/>
                <w:szCs w:val="20"/>
                <w:lang w:val="fr-CA"/>
              </w:rPr>
              <w:noBreakHyphen/>
              <w:t>t</w:t>
            </w:r>
            <w:r w:rsidRPr="0004190A">
              <w:rPr>
                <w:sz w:val="20"/>
                <w:szCs w:val="20"/>
                <w:lang w:val="fr-CA"/>
              </w:rPr>
              <w:noBreakHyphen/>
              <w:t xml:space="preserve">elle erré en introduisant une nouvelle norme juridique, ou </w:t>
            </w:r>
            <w:r w:rsidRPr="0004190A">
              <w:rPr>
                <w:sz w:val="20"/>
                <w:szCs w:val="20"/>
                <w:lang w:val="fr-CA"/>
              </w:rPr>
              <w:lastRenderedPageBreak/>
              <w:t xml:space="preserve">à tout le moins un champ d’exclusion du régime de l’art. 264.1 du </w:t>
            </w:r>
            <w:r w:rsidRPr="0004190A">
              <w:rPr>
                <w:i/>
                <w:sz w:val="20"/>
                <w:szCs w:val="20"/>
                <w:lang w:val="fr-CA"/>
              </w:rPr>
              <w:t>Code criminel</w:t>
            </w:r>
            <w:r w:rsidRPr="0004190A">
              <w:rPr>
                <w:sz w:val="20"/>
                <w:szCs w:val="20"/>
                <w:lang w:val="fr-CA"/>
              </w:rPr>
              <w:t>, et en statuant que les paroles menaçantes prononcées dans des circonstances où l’on suppose qu’il pourrait exister une expectative de confidentialité ne peuvent satisfaire à l’</w:t>
            </w:r>
            <w:r w:rsidRPr="0004190A">
              <w:rPr>
                <w:i/>
                <w:sz w:val="20"/>
                <w:szCs w:val="20"/>
                <w:lang w:val="fr-CA"/>
              </w:rPr>
              <w:t xml:space="preserve">actus reus </w:t>
            </w:r>
            <w:r w:rsidRPr="0004190A">
              <w:rPr>
                <w:sz w:val="20"/>
                <w:szCs w:val="20"/>
                <w:lang w:val="fr-CA"/>
              </w:rPr>
              <w:t xml:space="preserve">et à la </w:t>
            </w:r>
            <w:r w:rsidRPr="0004190A">
              <w:rPr>
                <w:i/>
                <w:sz w:val="20"/>
                <w:szCs w:val="20"/>
                <w:lang w:val="fr-CA"/>
              </w:rPr>
              <w:t>mens rea</w:t>
            </w:r>
            <w:r w:rsidRPr="0004190A">
              <w:rPr>
                <w:sz w:val="20"/>
                <w:szCs w:val="20"/>
                <w:lang w:val="fr-CA"/>
              </w:rPr>
              <w:t xml:space="preserve"> de l’infraction créée à cet article? </w:t>
            </w:r>
            <w:r w:rsidRPr="0004190A">
              <w:rPr>
                <w:sz w:val="20"/>
                <w:szCs w:val="20"/>
                <w:lang w:val="fr-CA"/>
              </w:rPr>
              <w:noBreakHyphen/>
              <w:t xml:space="preserve"> La Cour d’appel a</w:t>
            </w:r>
            <w:r w:rsidRPr="0004190A">
              <w:rPr>
                <w:sz w:val="20"/>
                <w:szCs w:val="20"/>
                <w:lang w:val="fr-CA"/>
              </w:rPr>
              <w:noBreakHyphen/>
              <w:t>t</w:t>
            </w:r>
            <w:r w:rsidRPr="0004190A">
              <w:rPr>
                <w:sz w:val="20"/>
                <w:szCs w:val="20"/>
                <w:lang w:val="fr-CA"/>
              </w:rPr>
              <w:noBreakHyphen/>
              <w:t>elle erré en droit en érigeant au titre de moyen de défense le fait que des menaces soient proférées en raison de la frustration, de la colère ou du désir de vengeance?</w:t>
            </w:r>
          </w:p>
        </w:tc>
      </w:tr>
    </w:tbl>
    <w:p w:rsidR="00E36358" w:rsidRDefault="00E36358" w:rsidP="00E36358">
      <w:pPr>
        <w:widowControl w:val="0"/>
        <w:rPr>
          <w:sz w:val="20"/>
          <w:szCs w:val="20"/>
          <w:lang w:val="fr-CA"/>
        </w:rPr>
      </w:pPr>
    </w:p>
    <w:p w:rsidR="00E36358" w:rsidRDefault="00B35B95" w:rsidP="00E36358">
      <w:pPr>
        <w:widowControl w:val="0"/>
        <w:rPr>
          <w:sz w:val="20"/>
          <w:szCs w:val="20"/>
        </w:rPr>
      </w:pPr>
      <w:r w:rsidRPr="00B35B95">
        <w:rPr>
          <w:sz w:val="20"/>
          <w:szCs w:val="20"/>
          <w:lang w:val="fr-CA"/>
        </w:rPr>
        <w:pict>
          <v:rect id="_x0000_i1085" style="width:2in;height:1pt" o:hrpct="0" o:hralign="center" o:hrstd="t" o:hrnoshade="t" o:hr="t" fillcolor="black [3213]" stroked="f"/>
        </w:pict>
      </w:r>
    </w:p>
    <w:p w:rsidR="00E36358" w:rsidRDefault="00E36358" w:rsidP="00E36358">
      <w:pPr>
        <w:widowControl w:val="0"/>
        <w:rPr>
          <w:sz w:val="20"/>
          <w:szCs w:val="20"/>
        </w:rPr>
      </w:pPr>
    </w:p>
    <w:p w:rsidR="00E36358" w:rsidRPr="00C50A5C" w:rsidRDefault="00E36358" w:rsidP="00E36358">
      <w:pPr>
        <w:widowControl w:val="0"/>
        <w:rPr>
          <w:sz w:val="20"/>
          <w:szCs w:val="20"/>
        </w:rPr>
      </w:pPr>
      <w:r>
        <w:rPr>
          <w:sz w:val="20"/>
          <w:szCs w:val="20"/>
        </w:rPr>
        <w:t>22</w:t>
      </w:r>
      <w:r w:rsidRPr="00C50A5C">
        <w:rPr>
          <w:sz w:val="20"/>
          <w:szCs w:val="20"/>
        </w:rPr>
        <w:t>.0</w:t>
      </w:r>
      <w:r>
        <w:rPr>
          <w:sz w:val="20"/>
          <w:szCs w:val="20"/>
        </w:rPr>
        <w:t>5</w:t>
      </w:r>
      <w:r w:rsidRPr="00C50A5C">
        <w:rPr>
          <w:sz w:val="20"/>
          <w:szCs w:val="20"/>
        </w:rPr>
        <w:t>.201</w:t>
      </w:r>
      <w:r>
        <w:rPr>
          <w:sz w:val="20"/>
          <w:szCs w:val="20"/>
        </w:rPr>
        <w:t>3</w:t>
      </w:r>
    </w:p>
    <w:p w:rsidR="00E36358" w:rsidRDefault="00E36358" w:rsidP="00E36358">
      <w:pPr>
        <w:widowControl w:val="0"/>
        <w:rPr>
          <w:sz w:val="20"/>
          <w:szCs w:val="20"/>
        </w:rPr>
      </w:pPr>
    </w:p>
    <w:p w:rsidR="00E36358" w:rsidRPr="005715E4" w:rsidRDefault="00E36358" w:rsidP="00E36358">
      <w:pPr>
        <w:widowControl w:val="0"/>
        <w:ind w:left="720" w:hanging="720"/>
        <w:rPr>
          <w:sz w:val="20"/>
          <w:szCs w:val="20"/>
          <w:u w:val="single"/>
        </w:rPr>
      </w:pPr>
      <w:r w:rsidRPr="005715E4">
        <w:rPr>
          <w:sz w:val="20"/>
          <w:szCs w:val="20"/>
        </w:rPr>
        <w:t xml:space="preserve">Coram: </w:t>
      </w:r>
      <w:r w:rsidRPr="005715E4">
        <w:rPr>
          <w:sz w:val="20"/>
          <w:szCs w:val="20"/>
        </w:rPr>
        <w:tab/>
      </w:r>
      <w:r w:rsidRPr="005715E4">
        <w:rPr>
          <w:sz w:val="20"/>
          <w:szCs w:val="20"/>
          <w:u w:val="single"/>
        </w:rPr>
        <w:t>McLachlin C.J. and LeBel, Fish, Rothstein, Cromwell, Karakatsanis and Wagner JJ.</w:t>
      </w:r>
    </w:p>
    <w:p w:rsidR="00E36358" w:rsidRPr="001F485E" w:rsidRDefault="00E36358" w:rsidP="00E36358">
      <w:pPr>
        <w:widowControl w:val="0"/>
        <w:ind w:left="720" w:hanging="720"/>
        <w:rPr>
          <w:sz w:val="20"/>
          <w:szCs w:val="20"/>
        </w:rPr>
      </w:pPr>
    </w:p>
    <w:tbl>
      <w:tblPr>
        <w:tblW w:w="0" w:type="auto"/>
        <w:tblLayout w:type="fixed"/>
        <w:tblCellMar>
          <w:left w:w="0" w:type="dxa"/>
          <w:right w:w="0" w:type="dxa"/>
        </w:tblCellMar>
        <w:tblLook w:val="0000"/>
      </w:tblPr>
      <w:tblGrid>
        <w:gridCol w:w="4380"/>
        <w:gridCol w:w="720"/>
        <w:gridCol w:w="4380"/>
      </w:tblGrid>
      <w:tr w:rsidR="00E36358" w:rsidRPr="00C50A5C" w:rsidTr="00370584">
        <w:tc>
          <w:tcPr>
            <w:tcW w:w="4380" w:type="dxa"/>
            <w:tcMar>
              <w:left w:w="0" w:type="dxa"/>
              <w:right w:w="0" w:type="dxa"/>
            </w:tcMar>
          </w:tcPr>
          <w:p w:rsidR="00E36358" w:rsidRDefault="00E36358" w:rsidP="00370584">
            <w:pPr>
              <w:widowControl w:val="0"/>
              <w:jc w:val="both"/>
              <w:rPr>
                <w:b/>
                <w:sz w:val="20"/>
                <w:szCs w:val="20"/>
                <w:lang w:val="fr-CA"/>
              </w:rPr>
            </w:pPr>
            <w:r w:rsidRPr="005715E4">
              <w:rPr>
                <w:b/>
                <w:sz w:val="20"/>
                <w:szCs w:val="20"/>
                <w:lang w:val="fr-CA"/>
              </w:rPr>
              <w:t xml:space="preserve">A.I. Enterprises Ltd. et al. </w:t>
            </w:r>
          </w:p>
          <w:p w:rsidR="00E36358" w:rsidRDefault="00E36358" w:rsidP="00370584">
            <w:pPr>
              <w:widowControl w:val="0"/>
              <w:jc w:val="both"/>
              <w:rPr>
                <w:b/>
                <w:sz w:val="20"/>
                <w:szCs w:val="20"/>
                <w:lang w:val="fr-CA"/>
              </w:rPr>
            </w:pPr>
          </w:p>
          <w:p w:rsidR="00E36358" w:rsidRDefault="00E36358" w:rsidP="00370584">
            <w:pPr>
              <w:widowControl w:val="0"/>
              <w:jc w:val="both"/>
              <w:rPr>
                <w:b/>
                <w:sz w:val="20"/>
                <w:szCs w:val="20"/>
                <w:lang w:val="fr-CA"/>
              </w:rPr>
            </w:pPr>
            <w:r>
              <w:rPr>
                <w:b/>
                <w:sz w:val="20"/>
                <w:szCs w:val="20"/>
                <w:lang w:val="fr-CA"/>
              </w:rPr>
              <w:tab/>
            </w:r>
            <w:r w:rsidRPr="005715E4">
              <w:rPr>
                <w:b/>
                <w:sz w:val="20"/>
                <w:szCs w:val="20"/>
                <w:lang w:val="fr-CA"/>
              </w:rPr>
              <w:t xml:space="preserve">v. </w:t>
            </w:r>
            <w:r w:rsidRPr="008D7178">
              <w:rPr>
                <w:b/>
                <w:sz w:val="20"/>
                <w:szCs w:val="20"/>
                <w:lang w:val="fr-CA"/>
              </w:rPr>
              <w:t>(34863)</w:t>
            </w:r>
          </w:p>
          <w:p w:rsidR="00E36358" w:rsidRDefault="00E36358" w:rsidP="00370584">
            <w:pPr>
              <w:widowControl w:val="0"/>
              <w:jc w:val="both"/>
              <w:rPr>
                <w:b/>
                <w:sz w:val="20"/>
                <w:szCs w:val="20"/>
                <w:lang w:val="fr-CA"/>
              </w:rPr>
            </w:pPr>
          </w:p>
          <w:p w:rsidR="00E36358" w:rsidRPr="00A512F2" w:rsidRDefault="00E36358" w:rsidP="00370584">
            <w:pPr>
              <w:widowControl w:val="0"/>
              <w:jc w:val="both"/>
              <w:rPr>
                <w:sz w:val="20"/>
                <w:szCs w:val="20"/>
              </w:rPr>
            </w:pPr>
            <w:r w:rsidRPr="005715E4">
              <w:rPr>
                <w:b/>
                <w:sz w:val="20"/>
                <w:szCs w:val="20"/>
                <w:lang w:val="fr-CA"/>
              </w:rPr>
              <w:t xml:space="preserve">Bram Enterprises Ltd. et al. </w:t>
            </w:r>
            <w:r w:rsidRPr="001F485E">
              <w:rPr>
                <w:b/>
                <w:sz w:val="20"/>
                <w:szCs w:val="20"/>
              </w:rPr>
              <w:t>(N.B.) (Civil) (By</w:t>
            </w:r>
            <w:r>
              <w:rPr>
                <w:b/>
                <w:sz w:val="20"/>
                <w:szCs w:val="20"/>
              </w:rPr>
              <w:t> </w:t>
            </w:r>
            <w:r w:rsidRPr="001F485E">
              <w:rPr>
                <w:b/>
                <w:sz w:val="20"/>
                <w:szCs w:val="20"/>
              </w:rPr>
              <w:t>Leave)</w:t>
            </w:r>
          </w:p>
        </w:tc>
        <w:tc>
          <w:tcPr>
            <w:tcW w:w="720" w:type="dxa"/>
            <w:tcMar>
              <w:left w:w="0" w:type="dxa"/>
              <w:right w:w="0" w:type="dxa"/>
            </w:tcMar>
          </w:tcPr>
          <w:p w:rsidR="00E36358" w:rsidRPr="00A512F2" w:rsidRDefault="00E36358" w:rsidP="00370584">
            <w:pPr>
              <w:widowControl w:val="0"/>
              <w:jc w:val="center"/>
              <w:rPr>
                <w:sz w:val="20"/>
                <w:szCs w:val="20"/>
              </w:rPr>
            </w:pPr>
          </w:p>
        </w:tc>
        <w:tc>
          <w:tcPr>
            <w:tcW w:w="4380" w:type="dxa"/>
            <w:tcMar>
              <w:left w:w="0" w:type="dxa"/>
              <w:right w:w="0" w:type="dxa"/>
            </w:tcMar>
          </w:tcPr>
          <w:p w:rsidR="00E36358" w:rsidRPr="008014A6" w:rsidRDefault="00E36358" w:rsidP="00370584">
            <w:pPr>
              <w:jc w:val="both"/>
              <w:rPr>
                <w:sz w:val="20"/>
                <w:szCs w:val="20"/>
                <w:lang w:val="en-US"/>
              </w:rPr>
            </w:pPr>
            <w:r w:rsidRPr="008014A6">
              <w:rPr>
                <w:sz w:val="20"/>
                <w:szCs w:val="20"/>
                <w:lang w:val="en-US"/>
              </w:rPr>
              <w:t>Richard J. Scott Q.C.</w:t>
            </w:r>
            <w:r>
              <w:rPr>
                <w:sz w:val="20"/>
                <w:szCs w:val="20"/>
                <w:lang w:val="en-US"/>
              </w:rPr>
              <w:t xml:space="preserve"> f</w:t>
            </w:r>
            <w:r w:rsidRPr="008014A6">
              <w:rPr>
                <w:sz w:val="20"/>
                <w:szCs w:val="20"/>
                <w:lang w:val="en-US"/>
              </w:rPr>
              <w:t xml:space="preserve">or the </w:t>
            </w:r>
            <w:r>
              <w:rPr>
                <w:sz w:val="20"/>
                <w:szCs w:val="20"/>
                <w:lang w:val="en-US"/>
              </w:rPr>
              <w:t>a</w:t>
            </w:r>
            <w:r w:rsidRPr="008014A6">
              <w:rPr>
                <w:sz w:val="20"/>
                <w:szCs w:val="20"/>
                <w:lang w:val="en-US"/>
              </w:rPr>
              <w:t>ppellants.</w:t>
            </w:r>
          </w:p>
          <w:p w:rsidR="00E36358" w:rsidRPr="008014A6" w:rsidRDefault="00E36358" w:rsidP="00370584">
            <w:pPr>
              <w:jc w:val="both"/>
              <w:rPr>
                <w:sz w:val="20"/>
                <w:szCs w:val="20"/>
                <w:lang w:val="en-US"/>
              </w:rPr>
            </w:pPr>
          </w:p>
          <w:p w:rsidR="00E36358" w:rsidRPr="008014A6" w:rsidRDefault="00E36358" w:rsidP="00370584">
            <w:pPr>
              <w:jc w:val="both"/>
              <w:rPr>
                <w:sz w:val="20"/>
                <w:szCs w:val="20"/>
                <w:lang w:val="en-US"/>
              </w:rPr>
            </w:pPr>
            <w:r w:rsidRPr="008014A6">
              <w:rPr>
                <w:sz w:val="20"/>
                <w:szCs w:val="20"/>
                <w:lang w:val="en-US"/>
              </w:rPr>
              <w:t>Charles LeBlond, Q.C.</w:t>
            </w:r>
            <w:r>
              <w:rPr>
                <w:sz w:val="20"/>
                <w:szCs w:val="20"/>
                <w:lang w:val="en-US"/>
              </w:rPr>
              <w:t xml:space="preserve"> and </w:t>
            </w:r>
            <w:r w:rsidRPr="008014A6">
              <w:rPr>
                <w:sz w:val="20"/>
                <w:szCs w:val="20"/>
                <w:lang w:val="en-US"/>
              </w:rPr>
              <w:t>Marie-France Major</w:t>
            </w:r>
            <w:r>
              <w:rPr>
                <w:sz w:val="20"/>
                <w:szCs w:val="20"/>
                <w:lang w:val="en-US"/>
              </w:rPr>
              <w:t xml:space="preserve"> f</w:t>
            </w:r>
            <w:r w:rsidRPr="008014A6">
              <w:rPr>
                <w:sz w:val="20"/>
                <w:szCs w:val="20"/>
                <w:lang w:val="en-US"/>
              </w:rPr>
              <w:t xml:space="preserve">or the </w:t>
            </w:r>
            <w:r>
              <w:rPr>
                <w:sz w:val="20"/>
                <w:szCs w:val="20"/>
                <w:lang w:val="en-US"/>
              </w:rPr>
              <w:t>r</w:t>
            </w:r>
            <w:r w:rsidRPr="008014A6">
              <w:rPr>
                <w:sz w:val="20"/>
                <w:szCs w:val="20"/>
                <w:lang w:val="en-US"/>
              </w:rPr>
              <w:t>espondents.</w:t>
            </w:r>
          </w:p>
          <w:p w:rsidR="00E36358" w:rsidRPr="008014A6" w:rsidRDefault="00E36358" w:rsidP="00370584">
            <w:pPr>
              <w:jc w:val="both"/>
              <w:rPr>
                <w:sz w:val="20"/>
                <w:szCs w:val="20"/>
                <w:lang w:val="en-US"/>
              </w:rPr>
            </w:pPr>
          </w:p>
          <w:p w:rsidR="00E36358" w:rsidRPr="00C50A5C" w:rsidRDefault="00E36358" w:rsidP="00370584">
            <w:pPr>
              <w:widowControl w:val="0"/>
              <w:jc w:val="both"/>
              <w:rPr>
                <w:sz w:val="20"/>
                <w:szCs w:val="20"/>
              </w:rPr>
            </w:pPr>
            <w:r w:rsidRPr="008014A6">
              <w:rPr>
                <w:sz w:val="20"/>
                <w:szCs w:val="20"/>
                <w:lang w:val="en-US"/>
              </w:rPr>
              <w:t>Gareth J. Morley</w:t>
            </w:r>
            <w:r>
              <w:rPr>
                <w:sz w:val="20"/>
                <w:szCs w:val="20"/>
                <w:lang w:val="en-US"/>
              </w:rPr>
              <w:t xml:space="preserve"> and </w:t>
            </w:r>
            <w:r w:rsidRPr="008014A6">
              <w:rPr>
                <w:sz w:val="20"/>
                <w:szCs w:val="20"/>
                <w:lang w:val="en-US"/>
              </w:rPr>
              <w:t>Christina Drake</w:t>
            </w:r>
            <w:r>
              <w:rPr>
                <w:sz w:val="20"/>
                <w:szCs w:val="20"/>
                <w:lang w:val="en-US"/>
              </w:rPr>
              <w:t xml:space="preserve"> f</w:t>
            </w:r>
            <w:r w:rsidRPr="008014A6">
              <w:rPr>
                <w:sz w:val="20"/>
                <w:szCs w:val="20"/>
                <w:lang w:val="en-US"/>
              </w:rPr>
              <w:t xml:space="preserve">or the </w:t>
            </w:r>
            <w:r>
              <w:rPr>
                <w:sz w:val="20"/>
                <w:szCs w:val="20"/>
                <w:lang w:val="en-US"/>
              </w:rPr>
              <w:t>i</w:t>
            </w:r>
            <w:r w:rsidRPr="008014A6">
              <w:rPr>
                <w:sz w:val="20"/>
                <w:szCs w:val="20"/>
                <w:lang w:val="en-US"/>
              </w:rPr>
              <w:t>ntervener.</w:t>
            </w:r>
          </w:p>
        </w:tc>
      </w:tr>
    </w:tbl>
    <w:p w:rsidR="00E36358" w:rsidRDefault="00E36358" w:rsidP="00E36358">
      <w:pPr>
        <w:widowControl w:val="0"/>
      </w:pPr>
    </w:p>
    <w:p w:rsidR="00E36358" w:rsidRPr="0085476B" w:rsidRDefault="00E36358" w:rsidP="00E36358">
      <w:pPr>
        <w:widowControl w:val="0"/>
        <w:rPr>
          <w:sz w:val="20"/>
          <w:szCs w:val="20"/>
        </w:rPr>
      </w:pPr>
      <w:r w:rsidRPr="0085476B">
        <w:rPr>
          <w:b/>
          <w:sz w:val="20"/>
          <w:szCs w:val="20"/>
        </w:rPr>
        <w:t xml:space="preserve">RESERVED / </w:t>
      </w:r>
      <w:r w:rsidRPr="0085476B">
        <w:rPr>
          <w:b/>
          <w:sz w:val="20"/>
          <w:szCs w:val="20"/>
          <w:lang w:val="fr-CA"/>
        </w:rPr>
        <w:t>EN DÉLIBÉRÉ</w:t>
      </w:r>
    </w:p>
    <w:p w:rsidR="00E36358" w:rsidRDefault="00E36358" w:rsidP="00E36358"/>
    <w:tbl>
      <w:tblPr>
        <w:tblW w:w="0" w:type="auto"/>
        <w:tblLayout w:type="fixed"/>
        <w:tblCellMar>
          <w:left w:w="0" w:type="dxa"/>
          <w:right w:w="0" w:type="dxa"/>
        </w:tblCellMar>
        <w:tblLook w:val="0000"/>
      </w:tblPr>
      <w:tblGrid>
        <w:gridCol w:w="4380"/>
        <w:gridCol w:w="720"/>
        <w:gridCol w:w="4380"/>
      </w:tblGrid>
      <w:tr w:rsidR="00E36358" w:rsidRPr="00370584" w:rsidTr="00370584">
        <w:tc>
          <w:tcPr>
            <w:tcW w:w="4380" w:type="dxa"/>
            <w:tcMar>
              <w:left w:w="0" w:type="dxa"/>
              <w:right w:w="0" w:type="dxa"/>
            </w:tcMar>
          </w:tcPr>
          <w:p w:rsidR="00E36358" w:rsidRPr="00CC4D84" w:rsidRDefault="00E36358" w:rsidP="00370584">
            <w:pPr>
              <w:widowControl w:val="0"/>
              <w:jc w:val="both"/>
              <w:rPr>
                <w:b/>
                <w:sz w:val="20"/>
                <w:szCs w:val="20"/>
                <w:u w:val="single"/>
              </w:rPr>
            </w:pPr>
            <w:r w:rsidRPr="00CC4D84">
              <w:rPr>
                <w:b/>
                <w:sz w:val="20"/>
                <w:szCs w:val="20"/>
                <w:u w:val="single"/>
              </w:rPr>
              <w:t>Nature of the case:</w:t>
            </w:r>
          </w:p>
          <w:p w:rsidR="00E36358" w:rsidRPr="00C1697B" w:rsidRDefault="00E36358" w:rsidP="00370584">
            <w:pPr>
              <w:widowControl w:val="0"/>
              <w:jc w:val="both"/>
              <w:rPr>
                <w:b/>
                <w:sz w:val="20"/>
                <w:szCs w:val="20"/>
              </w:rPr>
            </w:pPr>
          </w:p>
          <w:p w:rsidR="00E36358" w:rsidRPr="00C1697B" w:rsidRDefault="00E36358" w:rsidP="00370584">
            <w:pPr>
              <w:widowControl w:val="0"/>
              <w:jc w:val="both"/>
              <w:rPr>
                <w:b/>
                <w:sz w:val="20"/>
                <w:szCs w:val="20"/>
              </w:rPr>
            </w:pPr>
            <w:r w:rsidRPr="00AA51F7">
              <w:rPr>
                <w:sz w:val="20"/>
                <w:szCs w:val="20"/>
              </w:rPr>
              <w:t xml:space="preserve">Torts </w:t>
            </w:r>
            <w:r w:rsidRPr="00AA51F7">
              <w:rPr>
                <w:sz w:val="20"/>
                <w:szCs w:val="20"/>
              </w:rPr>
              <w:noBreakHyphen/>
              <w:t xml:space="preserve"> Intentional torts </w:t>
            </w:r>
            <w:r w:rsidRPr="00AA51F7">
              <w:rPr>
                <w:sz w:val="20"/>
                <w:szCs w:val="20"/>
              </w:rPr>
              <w:noBreakHyphen/>
              <w:t xml:space="preserve"> Economic tort of interfering with contractual relations by unlawful means </w:t>
            </w:r>
            <w:r w:rsidRPr="00AA51F7">
              <w:rPr>
                <w:sz w:val="20"/>
                <w:szCs w:val="20"/>
              </w:rPr>
              <w:noBreakHyphen/>
              <w:t xml:space="preserve"> Whether the Court of Appeal erred in law in failing to adopt and apply a definition of unlawful means that would require that any acts committed by the appellants against Greenarm Management Ltd. count as unlawful means only if they were actionable by that third party, subject to the single qualification that they would also be unlawful means if the only reason for which they were not actionable was because the third party had suffered no loss </w:t>
            </w:r>
            <w:r w:rsidRPr="00AA51F7">
              <w:rPr>
                <w:sz w:val="20"/>
                <w:szCs w:val="20"/>
              </w:rPr>
              <w:noBreakHyphen/>
              <w:t xml:space="preserve"> Whether the Court of Appeal erred in law in failing to exclude from the scope of unlawful means acts that were otherwise directly actionable by the respondents against the appellants </w:t>
            </w:r>
            <w:r w:rsidRPr="00AA51F7">
              <w:rPr>
                <w:sz w:val="20"/>
                <w:szCs w:val="20"/>
              </w:rPr>
              <w:noBreakHyphen/>
              <w:t xml:space="preserve"> Whether the Court of Appeal erred in law in failing to apply the proper test to determine whether the appellants had actual knowledge or a suspicion of sufficient strength that an agreement existed coupled with a deliberate choice not to make inquiries.</w:t>
            </w:r>
          </w:p>
        </w:tc>
        <w:tc>
          <w:tcPr>
            <w:tcW w:w="720" w:type="dxa"/>
            <w:tcMar>
              <w:left w:w="0" w:type="dxa"/>
              <w:right w:w="0" w:type="dxa"/>
            </w:tcMar>
          </w:tcPr>
          <w:p w:rsidR="00E36358" w:rsidRPr="00C1697B" w:rsidRDefault="00E36358" w:rsidP="00370584">
            <w:pPr>
              <w:widowControl w:val="0"/>
              <w:jc w:val="center"/>
              <w:rPr>
                <w:sz w:val="20"/>
                <w:szCs w:val="20"/>
              </w:rPr>
            </w:pPr>
          </w:p>
        </w:tc>
        <w:tc>
          <w:tcPr>
            <w:tcW w:w="4380" w:type="dxa"/>
            <w:tcMar>
              <w:left w:w="0" w:type="dxa"/>
              <w:right w:w="0" w:type="dxa"/>
            </w:tcMar>
          </w:tcPr>
          <w:p w:rsidR="00E36358" w:rsidRPr="00CC4D84" w:rsidRDefault="00E36358" w:rsidP="00370584">
            <w:pPr>
              <w:widowControl w:val="0"/>
              <w:jc w:val="both"/>
              <w:rPr>
                <w:b/>
                <w:sz w:val="20"/>
                <w:szCs w:val="20"/>
                <w:u w:val="single"/>
                <w:lang w:val="fr-CA"/>
              </w:rPr>
            </w:pPr>
            <w:r w:rsidRPr="00CC4D84">
              <w:rPr>
                <w:b/>
                <w:sz w:val="20"/>
                <w:szCs w:val="20"/>
                <w:u w:val="single"/>
                <w:lang w:val="fr-CA"/>
              </w:rPr>
              <w:t>Nature de la cause :</w:t>
            </w:r>
          </w:p>
          <w:p w:rsidR="00E36358" w:rsidRPr="00C1697B" w:rsidRDefault="00E36358" w:rsidP="00370584">
            <w:pPr>
              <w:widowControl w:val="0"/>
              <w:jc w:val="both"/>
              <w:rPr>
                <w:sz w:val="20"/>
                <w:szCs w:val="20"/>
                <w:lang w:val="fr-CA"/>
              </w:rPr>
            </w:pPr>
          </w:p>
          <w:p w:rsidR="00E36358" w:rsidRPr="00C1697B" w:rsidRDefault="00E36358" w:rsidP="00370584">
            <w:pPr>
              <w:widowControl w:val="0"/>
              <w:jc w:val="both"/>
              <w:rPr>
                <w:sz w:val="20"/>
                <w:szCs w:val="20"/>
                <w:lang w:val="fr-CA"/>
              </w:rPr>
            </w:pPr>
            <w:r w:rsidRPr="006B4D7D">
              <w:rPr>
                <w:sz w:val="20"/>
                <w:szCs w:val="20"/>
                <w:lang w:val="fr-CA"/>
              </w:rPr>
              <w:t xml:space="preserve">Responsabilité délictuelle </w:t>
            </w:r>
            <w:r w:rsidRPr="006B4D7D">
              <w:rPr>
                <w:sz w:val="20"/>
                <w:szCs w:val="20"/>
                <w:lang w:val="fr-CA"/>
              </w:rPr>
              <w:noBreakHyphen/>
              <w:t xml:space="preserve"> Délits intentionnels </w:t>
            </w:r>
            <w:r w:rsidRPr="006B4D7D">
              <w:rPr>
                <w:sz w:val="20"/>
                <w:szCs w:val="20"/>
                <w:lang w:val="fr-CA"/>
              </w:rPr>
              <w:noBreakHyphen/>
              <w:t xml:space="preserve"> Délit économique d’atteinte aux rapports contractuels par un moyen illicite </w:t>
            </w:r>
            <w:r w:rsidRPr="006B4D7D">
              <w:rPr>
                <w:sz w:val="20"/>
                <w:szCs w:val="20"/>
                <w:lang w:val="fr-CA"/>
              </w:rPr>
              <w:noBreakHyphen/>
              <w:t xml:space="preserve"> La Cour d’appel a</w:t>
            </w:r>
            <w:r w:rsidRPr="006B4D7D">
              <w:rPr>
                <w:sz w:val="20"/>
                <w:szCs w:val="20"/>
                <w:lang w:val="fr-CA"/>
              </w:rPr>
              <w:noBreakHyphen/>
              <w:t>t</w:t>
            </w:r>
            <w:r w:rsidRPr="006B4D7D">
              <w:rPr>
                <w:sz w:val="20"/>
                <w:szCs w:val="20"/>
                <w:lang w:val="fr-CA"/>
              </w:rPr>
              <w:noBreakHyphen/>
              <w:t xml:space="preserve">elle commis une erreur de droit en n’adoptant pas et en n’appliquant pas une définition de l’expression « moyen illicite » en vertu de laquelle les actes commis par les appelants à l’égard de Greenarm Management Ltd. ne sont illicites que s’ils sont susceptibles d’action de la part de ce tiers, à une seule réserve près, à savoir que ces actes constituent également un moyen illicite si la seule raison pour laquelle ils ne sont pas susceptibles d’action est que le tiers n’a subi aucune perte? </w:t>
            </w:r>
            <w:r w:rsidRPr="006B4D7D">
              <w:rPr>
                <w:sz w:val="20"/>
                <w:szCs w:val="20"/>
                <w:lang w:val="fr-CA"/>
              </w:rPr>
              <w:noBreakHyphen/>
              <w:t xml:space="preserve"> La Cour d’appel a</w:t>
            </w:r>
            <w:r w:rsidRPr="006B4D7D">
              <w:rPr>
                <w:sz w:val="20"/>
                <w:szCs w:val="20"/>
                <w:lang w:val="fr-CA"/>
              </w:rPr>
              <w:noBreakHyphen/>
              <w:t>t</w:t>
            </w:r>
            <w:r w:rsidRPr="006B4D7D">
              <w:rPr>
                <w:sz w:val="20"/>
                <w:szCs w:val="20"/>
                <w:lang w:val="fr-CA"/>
              </w:rPr>
              <w:noBreakHyphen/>
              <w:t xml:space="preserve">elle commis une erreur de droit en omettant d’exclure de la portée de l’expression « moyen illicite » des actes qui étaient par ailleurs directement susceptibles d’action de la part des intimées contre les appelants? </w:t>
            </w:r>
            <w:r w:rsidRPr="006B4D7D">
              <w:rPr>
                <w:sz w:val="20"/>
                <w:szCs w:val="20"/>
                <w:lang w:val="fr-CA"/>
              </w:rPr>
              <w:noBreakHyphen/>
              <w:t xml:space="preserve"> La Cour d’appel a</w:t>
            </w:r>
            <w:r w:rsidRPr="006B4D7D">
              <w:rPr>
                <w:sz w:val="20"/>
                <w:szCs w:val="20"/>
                <w:lang w:val="fr-CA"/>
              </w:rPr>
              <w:noBreakHyphen/>
              <w:t>t</w:t>
            </w:r>
            <w:r w:rsidRPr="006B4D7D">
              <w:rPr>
                <w:sz w:val="20"/>
                <w:szCs w:val="20"/>
                <w:lang w:val="fr-CA"/>
              </w:rPr>
              <w:noBreakHyphen/>
              <w:t>elle commis une erreur de droit en n’appliquant pas le bon critère pour déterminer si les appelants savaient réellement ou soupçonnaient assez fortement qu’une entente existait, tout en choisissant délibérément de ne pas faire d’enquête?</w:t>
            </w:r>
          </w:p>
        </w:tc>
      </w:tr>
    </w:tbl>
    <w:p w:rsidR="00E36358" w:rsidRDefault="00E36358" w:rsidP="00E36358">
      <w:pPr>
        <w:widowControl w:val="0"/>
        <w:rPr>
          <w:sz w:val="20"/>
          <w:szCs w:val="20"/>
          <w:lang w:val="fr-CA"/>
        </w:rPr>
      </w:pPr>
    </w:p>
    <w:p w:rsidR="00E36358" w:rsidRDefault="00B35B95" w:rsidP="00E36358">
      <w:pPr>
        <w:widowControl w:val="0"/>
        <w:rPr>
          <w:sz w:val="20"/>
          <w:szCs w:val="20"/>
        </w:rPr>
      </w:pPr>
      <w:r w:rsidRPr="00B35B95">
        <w:rPr>
          <w:sz w:val="20"/>
          <w:szCs w:val="20"/>
          <w:lang w:val="fr-CA"/>
        </w:rPr>
        <w:pict>
          <v:rect id="_x0000_i1086" style="width:2in;height:1pt" o:hrpct="0" o:hralign="center" o:hrstd="t" o:hrnoshade="t" o:hr="t" fillcolor="black [3213]" stroked="f"/>
        </w:pict>
      </w:r>
    </w:p>
    <w:p w:rsidR="00E36358" w:rsidRDefault="00E36358" w:rsidP="00E36358">
      <w:pPr>
        <w:widowControl w:val="0"/>
        <w:rPr>
          <w:sz w:val="20"/>
          <w:szCs w:val="20"/>
        </w:rPr>
      </w:pPr>
    </w:p>
    <w:p w:rsidR="00E36358" w:rsidRPr="00C50A5C" w:rsidRDefault="00E36358" w:rsidP="00E36358">
      <w:pPr>
        <w:widowControl w:val="0"/>
        <w:rPr>
          <w:sz w:val="20"/>
          <w:szCs w:val="20"/>
        </w:rPr>
      </w:pPr>
      <w:r>
        <w:rPr>
          <w:sz w:val="20"/>
          <w:szCs w:val="20"/>
        </w:rPr>
        <w:lastRenderedPageBreak/>
        <w:t>23</w:t>
      </w:r>
      <w:r w:rsidRPr="00C50A5C">
        <w:rPr>
          <w:sz w:val="20"/>
          <w:szCs w:val="20"/>
        </w:rPr>
        <w:t>.0</w:t>
      </w:r>
      <w:r>
        <w:rPr>
          <w:sz w:val="20"/>
          <w:szCs w:val="20"/>
        </w:rPr>
        <w:t>5</w:t>
      </w:r>
      <w:r w:rsidRPr="00C50A5C">
        <w:rPr>
          <w:sz w:val="20"/>
          <w:szCs w:val="20"/>
        </w:rPr>
        <w:t>.201</w:t>
      </w:r>
      <w:r>
        <w:rPr>
          <w:sz w:val="20"/>
          <w:szCs w:val="20"/>
        </w:rPr>
        <w:t>3</w:t>
      </w:r>
    </w:p>
    <w:p w:rsidR="00E36358" w:rsidRDefault="00E36358" w:rsidP="00E36358">
      <w:pPr>
        <w:widowControl w:val="0"/>
        <w:rPr>
          <w:sz w:val="20"/>
          <w:szCs w:val="20"/>
        </w:rPr>
      </w:pPr>
    </w:p>
    <w:p w:rsidR="00E36358" w:rsidRPr="005715E4" w:rsidRDefault="00E36358" w:rsidP="00E36358">
      <w:pPr>
        <w:widowControl w:val="0"/>
        <w:ind w:left="720" w:hanging="720"/>
        <w:rPr>
          <w:sz w:val="20"/>
          <w:szCs w:val="20"/>
          <w:u w:val="single"/>
        </w:rPr>
      </w:pPr>
      <w:r w:rsidRPr="005715E4">
        <w:rPr>
          <w:sz w:val="20"/>
          <w:szCs w:val="20"/>
        </w:rPr>
        <w:t xml:space="preserve">Coram: </w:t>
      </w:r>
      <w:r w:rsidRPr="005715E4">
        <w:rPr>
          <w:sz w:val="20"/>
          <w:szCs w:val="20"/>
        </w:rPr>
        <w:tab/>
      </w:r>
      <w:r w:rsidRPr="005715E4">
        <w:rPr>
          <w:sz w:val="20"/>
          <w:szCs w:val="20"/>
          <w:u w:val="single"/>
        </w:rPr>
        <w:t xml:space="preserve">McLachlin C.J. and LeBel, Fish, </w:t>
      </w:r>
      <w:r>
        <w:rPr>
          <w:sz w:val="20"/>
          <w:szCs w:val="20"/>
          <w:u w:val="single"/>
        </w:rPr>
        <w:t xml:space="preserve">Abella, </w:t>
      </w:r>
      <w:r w:rsidRPr="005715E4">
        <w:rPr>
          <w:sz w:val="20"/>
          <w:szCs w:val="20"/>
          <w:u w:val="single"/>
        </w:rPr>
        <w:t xml:space="preserve">Rothstein, </w:t>
      </w:r>
      <w:r>
        <w:rPr>
          <w:sz w:val="20"/>
          <w:szCs w:val="20"/>
          <w:u w:val="single"/>
        </w:rPr>
        <w:t>Moldaver</w:t>
      </w:r>
      <w:r w:rsidRPr="005715E4">
        <w:rPr>
          <w:sz w:val="20"/>
          <w:szCs w:val="20"/>
          <w:u w:val="single"/>
        </w:rPr>
        <w:t xml:space="preserve"> and Wagner JJ.</w:t>
      </w:r>
    </w:p>
    <w:p w:rsidR="00E36358" w:rsidRPr="00C50A5C" w:rsidRDefault="00E36358" w:rsidP="00E36358">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E36358" w:rsidRPr="00C50A5C" w:rsidTr="00370584">
        <w:tc>
          <w:tcPr>
            <w:tcW w:w="4380" w:type="dxa"/>
            <w:tcMar>
              <w:left w:w="0" w:type="dxa"/>
              <w:right w:w="0" w:type="dxa"/>
            </w:tcMar>
          </w:tcPr>
          <w:p w:rsidR="00E36358" w:rsidRPr="00C50A5C" w:rsidRDefault="00E36358" w:rsidP="00370584">
            <w:pPr>
              <w:widowControl w:val="0"/>
              <w:jc w:val="both"/>
              <w:rPr>
                <w:b/>
                <w:sz w:val="20"/>
                <w:szCs w:val="20"/>
              </w:rPr>
            </w:pPr>
            <w:r>
              <w:rPr>
                <w:b/>
                <w:sz w:val="20"/>
                <w:szCs w:val="20"/>
              </w:rPr>
              <w:t>Er</w:t>
            </w:r>
            <w:r w:rsidRPr="00C50A5C">
              <w:rPr>
                <w:b/>
                <w:sz w:val="20"/>
                <w:szCs w:val="20"/>
              </w:rPr>
              <w:t>i</w:t>
            </w:r>
            <w:r>
              <w:rPr>
                <w:b/>
                <w:sz w:val="20"/>
                <w:szCs w:val="20"/>
              </w:rPr>
              <w:t>n Lee M</w:t>
            </w:r>
            <w:r w:rsidRPr="00C50A5C">
              <w:rPr>
                <w:b/>
                <w:sz w:val="20"/>
                <w:szCs w:val="20"/>
              </w:rPr>
              <w:t>a</w:t>
            </w:r>
            <w:r>
              <w:rPr>
                <w:b/>
                <w:sz w:val="20"/>
                <w:szCs w:val="20"/>
              </w:rPr>
              <w:t>cDo</w:t>
            </w:r>
            <w:r w:rsidRPr="00C50A5C">
              <w:rPr>
                <w:b/>
                <w:sz w:val="20"/>
                <w:szCs w:val="20"/>
              </w:rPr>
              <w:t>n</w:t>
            </w:r>
            <w:r>
              <w:rPr>
                <w:b/>
                <w:sz w:val="20"/>
                <w:szCs w:val="20"/>
              </w:rPr>
              <w:t>ald</w:t>
            </w:r>
            <w:r w:rsidRPr="00C50A5C">
              <w:rPr>
                <w:b/>
                <w:sz w:val="20"/>
                <w:szCs w:val="20"/>
              </w:rPr>
              <w:t xml:space="preserve"> et al.</w:t>
            </w:r>
          </w:p>
          <w:p w:rsidR="00E36358" w:rsidRPr="00C50A5C" w:rsidRDefault="00E36358" w:rsidP="00370584">
            <w:pPr>
              <w:widowControl w:val="0"/>
              <w:jc w:val="both"/>
              <w:rPr>
                <w:b/>
                <w:sz w:val="20"/>
                <w:szCs w:val="20"/>
              </w:rPr>
            </w:pPr>
          </w:p>
          <w:p w:rsidR="00E36358" w:rsidRPr="00C50A5C" w:rsidRDefault="00E36358" w:rsidP="00370584">
            <w:pPr>
              <w:widowControl w:val="0"/>
              <w:tabs>
                <w:tab w:val="left" w:pos="736"/>
              </w:tabs>
              <w:jc w:val="both"/>
              <w:rPr>
                <w:b/>
                <w:sz w:val="20"/>
                <w:szCs w:val="20"/>
              </w:rPr>
            </w:pPr>
            <w:r w:rsidRPr="00C50A5C">
              <w:rPr>
                <w:b/>
                <w:sz w:val="20"/>
                <w:szCs w:val="20"/>
              </w:rPr>
              <w:tab/>
              <w:t>v. (3</w:t>
            </w:r>
            <w:r>
              <w:rPr>
                <w:b/>
                <w:sz w:val="20"/>
                <w:szCs w:val="20"/>
              </w:rPr>
              <w:t>49</w:t>
            </w:r>
            <w:r w:rsidRPr="00C50A5C">
              <w:rPr>
                <w:b/>
                <w:sz w:val="20"/>
                <w:szCs w:val="20"/>
              </w:rPr>
              <w:t>1</w:t>
            </w:r>
            <w:r>
              <w:rPr>
                <w:b/>
                <w:sz w:val="20"/>
                <w:szCs w:val="20"/>
              </w:rPr>
              <w:t>4</w:t>
            </w:r>
            <w:r w:rsidRPr="00C50A5C">
              <w:rPr>
                <w:b/>
                <w:sz w:val="20"/>
                <w:szCs w:val="20"/>
              </w:rPr>
              <w:t>)</w:t>
            </w:r>
          </w:p>
          <w:p w:rsidR="00E36358" w:rsidRPr="00C50A5C" w:rsidRDefault="00E36358" w:rsidP="00370584">
            <w:pPr>
              <w:widowControl w:val="0"/>
              <w:jc w:val="both"/>
              <w:rPr>
                <w:b/>
                <w:sz w:val="20"/>
                <w:szCs w:val="20"/>
              </w:rPr>
            </w:pPr>
          </w:p>
          <w:p w:rsidR="00E36358" w:rsidRPr="00D4699B" w:rsidRDefault="00E36358" w:rsidP="00370584">
            <w:pPr>
              <w:widowControl w:val="0"/>
              <w:jc w:val="both"/>
              <w:rPr>
                <w:sz w:val="20"/>
                <w:szCs w:val="20"/>
              </w:rPr>
            </w:pPr>
            <w:r w:rsidRPr="00DB3A75">
              <w:rPr>
                <w:rFonts w:eastAsia="Calibri" w:cs="Times New Roman"/>
                <w:b/>
                <w:sz w:val="20"/>
                <w:szCs w:val="20"/>
              </w:rPr>
              <w:t xml:space="preserve">Her Majesty the Queen </w:t>
            </w:r>
            <w:r>
              <w:rPr>
                <w:rFonts w:eastAsia="Calibri" w:cs="Times New Roman"/>
                <w:b/>
                <w:sz w:val="20"/>
                <w:szCs w:val="20"/>
              </w:rPr>
              <w:t xml:space="preserve">et al. </w:t>
            </w:r>
            <w:r w:rsidRPr="00C50A5C">
              <w:rPr>
                <w:b/>
                <w:sz w:val="20"/>
                <w:szCs w:val="20"/>
              </w:rPr>
              <w:t>(</w:t>
            </w:r>
            <w:r>
              <w:rPr>
                <w:b/>
                <w:sz w:val="20"/>
                <w:szCs w:val="20"/>
              </w:rPr>
              <w:t>N</w:t>
            </w:r>
            <w:r w:rsidRPr="00C50A5C">
              <w:rPr>
                <w:b/>
                <w:sz w:val="20"/>
                <w:szCs w:val="20"/>
              </w:rPr>
              <w:t>.</w:t>
            </w:r>
            <w:r>
              <w:rPr>
                <w:b/>
                <w:sz w:val="20"/>
                <w:szCs w:val="20"/>
              </w:rPr>
              <w:t>S</w:t>
            </w:r>
            <w:r w:rsidRPr="00C50A5C">
              <w:rPr>
                <w:b/>
                <w:sz w:val="20"/>
                <w:szCs w:val="20"/>
              </w:rPr>
              <w:t>.) (C</w:t>
            </w:r>
            <w:r>
              <w:rPr>
                <w:b/>
                <w:sz w:val="20"/>
                <w:szCs w:val="20"/>
              </w:rPr>
              <w:t>r</w:t>
            </w:r>
            <w:r w:rsidRPr="00C50A5C">
              <w:rPr>
                <w:b/>
                <w:sz w:val="20"/>
                <w:szCs w:val="20"/>
              </w:rPr>
              <w:t>i</w:t>
            </w:r>
            <w:r>
              <w:rPr>
                <w:b/>
                <w:sz w:val="20"/>
                <w:szCs w:val="20"/>
              </w:rPr>
              <w:t>m</w:t>
            </w:r>
            <w:r w:rsidRPr="00C50A5C">
              <w:rPr>
                <w:b/>
                <w:sz w:val="20"/>
                <w:szCs w:val="20"/>
              </w:rPr>
              <w:t>i</w:t>
            </w:r>
            <w:r>
              <w:rPr>
                <w:b/>
                <w:sz w:val="20"/>
                <w:szCs w:val="20"/>
              </w:rPr>
              <w:t>na</w:t>
            </w:r>
            <w:r w:rsidRPr="00C50A5C">
              <w:rPr>
                <w:b/>
                <w:sz w:val="20"/>
                <w:szCs w:val="20"/>
              </w:rPr>
              <w:t>l) (</w:t>
            </w:r>
            <w:r>
              <w:rPr>
                <w:b/>
                <w:sz w:val="20"/>
                <w:szCs w:val="20"/>
              </w:rPr>
              <w:t xml:space="preserve">As of Right and </w:t>
            </w:r>
            <w:r w:rsidRPr="00C50A5C">
              <w:rPr>
                <w:b/>
                <w:sz w:val="20"/>
                <w:szCs w:val="20"/>
              </w:rPr>
              <w:t>By Leave)</w:t>
            </w:r>
          </w:p>
        </w:tc>
        <w:tc>
          <w:tcPr>
            <w:tcW w:w="720" w:type="dxa"/>
            <w:tcMar>
              <w:left w:w="0" w:type="dxa"/>
              <w:right w:w="0" w:type="dxa"/>
            </w:tcMar>
          </w:tcPr>
          <w:p w:rsidR="00E36358" w:rsidRPr="00D4699B" w:rsidRDefault="00E36358" w:rsidP="00370584">
            <w:pPr>
              <w:widowControl w:val="0"/>
              <w:jc w:val="center"/>
              <w:rPr>
                <w:sz w:val="20"/>
                <w:szCs w:val="20"/>
              </w:rPr>
            </w:pPr>
          </w:p>
        </w:tc>
        <w:tc>
          <w:tcPr>
            <w:tcW w:w="4380" w:type="dxa"/>
            <w:tcMar>
              <w:left w:w="0" w:type="dxa"/>
              <w:right w:w="0" w:type="dxa"/>
            </w:tcMar>
          </w:tcPr>
          <w:p w:rsidR="00E36358" w:rsidRPr="00EC69D2" w:rsidRDefault="00E36358" w:rsidP="00370584">
            <w:pPr>
              <w:jc w:val="both"/>
              <w:rPr>
                <w:sz w:val="20"/>
                <w:szCs w:val="20"/>
              </w:rPr>
            </w:pPr>
            <w:r w:rsidRPr="00EC69D2">
              <w:rPr>
                <w:sz w:val="20"/>
                <w:szCs w:val="20"/>
                <w:lang w:val="en-US"/>
              </w:rPr>
              <w:t>Hersh Wolch, Q.C.</w:t>
            </w:r>
            <w:r>
              <w:rPr>
                <w:sz w:val="20"/>
                <w:szCs w:val="20"/>
                <w:lang w:val="en-US"/>
              </w:rPr>
              <w:t xml:space="preserve"> and </w:t>
            </w:r>
            <w:r w:rsidRPr="00EC69D2">
              <w:rPr>
                <w:sz w:val="20"/>
                <w:szCs w:val="20"/>
              </w:rPr>
              <w:t>Janna Watts</w:t>
            </w:r>
            <w:r>
              <w:rPr>
                <w:sz w:val="20"/>
                <w:szCs w:val="20"/>
              </w:rPr>
              <w:t xml:space="preserve"> f</w:t>
            </w:r>
            <w:r w:rsidRPr="00EC69D2">
              <w:rPr>
                <w:sz w:val="20"/>
                <w:szCs w:val="20"/>
                <w:lang w:val="en-US"/>
              </w:rPr>
              <w:t xml:space="preserve">or the </w:t>
            </w:r>
            <w:r>
              <w:rPr>
                <w:sz w:val="20"/>
                <w:szCs w:val="20"/>
                <w:lang w:val="en-US"/>
              </w:rPr>
              <w:t>a</w:t>
            </w:r>
            <w:r w:rsidRPr="00EC69D2">
              <w:rPr>
                <w:sz w:val="20"/>
                <w:szCs w:val="20"/>
                <w:lang w:val="en-US"/>
              </w:rPr>
              <w:t>ppellant/</w:t>
            </w:r>
            <w:r>
              <w:rPr>
                <w:sz w:val="20"/>
                <w:szCs w:val="20"/>
                <w:lang w:val="en-US"/>
              </w:rPr>
              <w:t>r</w:t>
            </w:r>
            <w:r w:rsidRPr="00EC69D2">
              <w:rPr>
                <w:sz w:val="20"/>
                <w:szCs w:val="20"/>
                <w:lang w:val="en-US"/>
              </w:rPr>
              <w:t>espondent</w:t>
            </w:r>
            <w:r>
              <w:rPr>
                <w:sz w:val="20"/>
                <w:szCs w:val="20"/>
                <w:lang w:val="en-US"/>
              </w:rPr>
              <w:t xml:space="preserve"> </w:t>
            </w:r>
            <w:r w:rsidRPr="00EC69D2">
              <w:rPr>
                <w:sz w:val="20"/>
                <w:szCs w:val="20"/>
              </w:rPr>
              <w:t>Erin Lee MacDonald</w:t>
            </w:r>
            <w:r>
              <w:rPr>
                <w:sz w:val="20"/>
                <w:szCs w:val="20"/>
              </w:rPr>
              <w:t>.</w:t>
            </w:r>
          </w:p>
          <w:p w:rsidR="00E36358" w:rsidRPr="00EC69D2" w:rsidRDefault="00E36358" w:rsidP="00370584">
            <w:pPr>
              <w:jc w:val="both"/>
              <w:rPr>
                <w:sz w:val="20"/>
                <w:szCs w:val="20"/>
                <w:lang w:val="en-US"/>
              </w:rPr>
            </w:pPr>
          </w:p>
          <w:p w:rsidR="00E36358" w:rsidRPr="00EC69D2" w:rsidRDefault="00E36358" w:rsidP="00370584">
            <w:pPr>
              <w:jc w:val="both"/>
              <w:rPr>
                <w:sz w:val="20"/>
                <w:szCs w:val="20"/>
              </w:rPr>
            </w:pPr>
            <w:r w:rsidRPr="00EC69D2">
              <w:rPr>
                <w:sz w:val="20"/>
                <w:szCs w:val="20"/>
                <w:lang w:val="en-US"/>
              </w:rPr>
              <w:t>William D. Delaney, Q.C.</w:t>
            </w:r>
            <w:r>
              <w:rPr>
                <w:sz w:val="20"/>
                <w:szCs w:val="20"/>
                <w:lang w:val="en-US"/>
              </w:rPr>
              <w:t xml:space="preserve"> and </w:t>
            </w:r>
            <w:r w:rsidRPr="00EC69D2">
              <w:rPr>
                <w:sz w:val="20"/>
                <w:szCs w:val="20"/>
              </w:rPr>
              <w:t>Timothy S. O’Leary</w:t>
            </w:r>
            <w:r>
              <w:rPr>
                <w:sz w:val="20"/>
                <w:szCs w:val="20"/>
              </w:rPr>
              <w:t xml:space="preserve"> f</w:t>
            </w:r>
            <w:r w:rsidRPr="00EC69D2">
              <w:rPr>
                <w:sz w:val="20"/>
                <w:szCs w:val="20"/>
                <w:lang w:val="en-US"/>
              </w:rPr>
              <w:t xml:space="preserve">or the </w:t>
            </w:r>
            <w:r>
              <w:rPr>
                <w:sz w:val="20"/>
                <w:szCs w:val="20"/>
                <w:lang w:val="en-US"/>
              </w:rPr>
              <w:t>r</w:t>
            </w:r>
            <w:r w:rsidRPr="00EC69D2">
              <w:rPr>
                <w:sz w:val="20"/>
                <w:szCs w:val="20"/>
                <w:lang w:val="en-US"/>
              </w:rPr>
              <w:t>espondent/</w:t>
            </w:r>
            <w:r>
              <w:rPr>
                <w:sz w:val="20"/>
                <w:szCs w:val="20"/>
                <w:lang w:val="en-US"/>
              </w:rPr>
              <w:t>a</w:t>
            </w:r>
            <w:r w:rsidRPr="00EC69D2">
              <w:rPr>
                <w:sz w:val="20"/>
                <w:szCs w:val="20"/>
                <w:lang w:val="en-US"/>
              </w:rPr>
              <w:t>ppellant</w:t>
            </w:r>
            <w:r>
              <w:rPr>
                <w:sz w:val="20"/>
                <w:szCs w:val="20"/>
                <w:lang w:val="en-US"/>
              </w:rPr>
              <w:t xml:space="preserve"> </w:t>
            </w:r>
            <w:r w:rsidRPr="00EC69D2">
              <w:rPr>
                <w:sz w:val="20"/>
                <w:szCs w:val="20"/>
              </w:rPr>
              <w:t>Her Majesty the Queen</w:t>
            </w:r>
            <w:r>
              <w:rPr>
                <w:sz w:val="20"/>
                <w:szCs w:val="20"/>
              </w:rPr>
              <w:t>.</w:t>
            </w:r>
          </w:p>
          <w:p w:rsidR="00E36358" w:rsidRPr="00EC69D2" w:rsidRDefault="00E36358" w:rsidP="00370584">
            <w:pPr>
              <w:jc w:val="both"/>
              <w:rPr>
                <w:sz w:val="20"/>
                <w:szCs w:val="20"/>
                <w:lang w:val="en-US"/>
              </w:rPr>
            </w:pPr>
          </w:p>
          <w:p w:rsidR="00E36358" w:rsidRPr="00EC69D2" w:rsidRDefault="00E36358" w:rsidP="00370584">
            <w:pPr>
              <w:jc w:val="both"/>
              <w:rPr>
                <w:sz w:val="20"/>
                <w:szCs w:val="20"/>
                <w:lang w:val="en-US"/>
              </w:rPr>
            </w:pPr>
            <w:r w:rsidRPr="00EC69D2">
              <w:rPr>
                <w:sz w:val="20"/>
                <w:szCs w:val="20"/>
                <w:lang w:val="en-US"/>
              </w:rPr>
              <w:t>James C. Martin</w:t>
            </w:r>
            <w:r>
              <w:rPr>
                <w:sz w:val="20"/>
                <w:szCs w:val="20"/>
                <w:lang w:val="en-US"/>
              </w:rPr>
              <w:t xml:space="preserve"> and </w:t>
            </w:r>
            <w:r w:rsidRPr="00EC69D2">
              <w:rPr>
                <w:sz w:val="20"/>
                <w:szCs w:val="20"/>
                <w:lang w:val="en-US"/>
              </w:rPr>
              <w:t>Ann Marie Simmons</w:t>
            </w:r>
            <w:r>
              <w:rPr>
                <w:sz w:val="20"/>
                <w:szCs w:val="20"/>
                <w:lang w:val="en-US"/>
              </w:rPr>
              <w:t xml:space="preserve"> f</w:t>
            </w:r>
            <w:r w:rsidRPr="00EC69D2">
              <w:rPr>
                <w:sz w:val="20"/>
                <w:szCs w:val="20"/>
                <w:lang w:val="en-US"/>
              </w:rPr>
              <w:t xml:space="preserve">or the </w:t>
            </w:r>
            <w:r>
              <w:rPr>
                <w:sz w:val="20"/>
                <w:szCs w:val="20"/>
                <w:lang w:val="en-US"/>
              </w:rPr>
              <w:t>i</w:t>
            </w:r>
            <w:r w:rsidRPr="00EC69D2">
              <w:rPr>
                <w:sz w:val="20"/>
                <w:szCs w:val="20"/>
                <w:lang w:val="en-US"/>
              </w:rPr>
              <w:t>ntervener</w:t>
            </w:r>
            <w:r>
              <w:rPr>
                <w:sz w:val="20"/>
                <w:szCs w:val="20"/>
                <w:lang w:val="en-US"/>
              </w:rPr>
              <w:t xml:space="preserve"> </w:t>
            </w:r>
            <w:r w:rsidRPr="00EC69D2">
              <w:rPr>
                <w:sz w:val="20"/>
                <w:szCs w:val="20"/>
                <w:lang w:val="en-US"/>
              </w:rPr>
              <w:t>Director of Public Prosecutions</w:t>
            </w:r>
            <w:r>
              <w:rPr>
                <w:sz w:val="20"/>
                <w:szCs w:val="20"/>
                <w:lang w:val="en-US"/>
              </w:rPr>
              <w:t>.</w:t>
            </w:r>
          </w:p>
          <w:p w:rsidR="00E36358" w:rsidRPr="00EC69D2" w:rsidRDefault="00E36358" w:rsidP="00370584">
            <w:pPr>
              <w:jc w:val="both"/>
              <w:rPr>
                <w:sz w:val="20"/>
                <w:szCs w:val="20"/>
                <w:lang w:val="en-US"/>
              </w:rPr>
            </w:pPr>
          </w:p>
          <w:p w:rsidR="00E36358" w:rsidRPr="00FA2E02" w:rsidRDefault="00E36358" w:rsidP="00370584">
            <w:pPr>
              <w:jc w:val="both"/>
              <w:rPr>
                <w:sz w:val="20"/>
                <w:szCs w:val="20"/>
                <w:lang w:val="en-US"/>
              </w:rPr>
            </w:pPr>
            <w:r w:rsidRPr="00EC69D2">
              <w:rPr>
                <w:sz w:val="20"/>
                <w:szCs w:val="20"/>
                <w:lang w:val="en-US"/>
              </w:rPr>
              <w:t>John C. Pearson</w:t>
            </w:r>
            <w:r>
              <w:rPr>
                <w:sz w:val="20"/>
                <w:szCs w:val="20"/>
                <w:lang w:val="en-US"/>
              </w:rPr>
              <w:t xml:space="preserve"> and </w:t>
            </w:r>
            <w:r w:rsidRPr="00EC69D2">
              <w:rPr>
                <w:sz w:val="20"/>
                <w:szCs w:val="20"/>
                <w:lang w:val="en-US"/>
              </w:rPr>
              <w:t>Michelle Campbell</w:t>
            </w:r>
            <w:r>
              <w:rPr>
                <w:sz w:val="20"/>
                <w:szCs w:val="20"/>
                <w:lang w:val="en-US"/>
              </w:rPr>
              <w:t xml:space="preserve"> fo</w:t>
            </w:r>
            <w:r w:rsidRPr="00EC69D2">
              <w:rPr>
                <w:sz w:val="20"/>
                <w:szCs w:val="20"/>
                <w:lang w:val="en-US"/>
              </w:rPr>
              <w:t>r the Intervener</w:t>
            </w:r>
            <w:r>
              <w:rPr>
                <w:sz w:val="20"/>
                <w:szCs w:val="20"/>
                <w:lang w:val="en-US"/>
              </w:rPr>
              <w:t xml:space="preserve"> </w:t>
            </w:r>
            <w:r w:rsidRPr="00EC69D2">
              <w:rPr>
                <w:sz w:val="20"/>
                <w:szCs w:val="20"/>
                <w:lang w:val="en-US"/>
              </w:rPr>
              <w:t>Attorney General of Ontario</w:t>
            </w:r>
            <w:r>
              <w:rPr>
                <w:sz w:val="20"/>
                <w:szCs w:val="20"/>
                <w:lang w:val="en-US"/>
              </w:rPr>
              <w:t>.</w:t>
            </w:r>
          </w:p>
        </w:tc>
      </w:tr>
    </w:tbl>
    <w:p w:rsidR="00E36358" w:rsidRDefault="00E36358" w:rsidP="00E36358">
      <w:pPr>
        <w:widowControl w:val="0"/>
      </w:pPr>
    </w:p>
    <w:p w:rsidR="00E36358" w:rsidRPr="0085476B" w:rsidRDefault="00E36358" w:rsidP="00E36358">
      <w:pPr>
        <w:widowControl w:val="0"/>
        <w:rPr>
          <w:sz w:val="20"/>
          <w:szCs w:val="20"/>
        </w:rPr>
      </w:pPr>
      <w:r w:rsidRPr="0085476B">
        <w:rPr>
          <w:b/>
          <w:sz w:val="20"/>
          <w:szCs w:val="20"/>
        </w:rPr>
        <w:t xml:space="preserve">RESERVED / </w:t>
      </w:r>
      <w:r w:rsidRPr="00D4699B">
        <w:rPr>
          <w:b/>
          <w:sz w:val="20"/>
          <w:szCs w:val="20"/>
        </w:rPr>
        <w:t>EN DÉLIBÉRÉ</w:t>
      </w:r>
    </w:p>
    <w:p w:rsidR="00E36358" w:rsidRDefault="00E36358" w:rsidP="00E36358"/>
    <w:tbl>
      <w:tblPr>
        <w:tblW w:w="0" w:type="auto"/>
        <w:tblLayout w:type="fixed"/>
        <w:tblCellMar>
          <w:left w:w="0" w:type="dxa"/>
          <w:right w:w="0" w:type="dxa"/>
        </w:tblCellMar>
        <w:tblLook w:val="0000"/>
      </w:tblPr>
      <w:tblGrid>
        <w:gridCol w:w="4380"/>
        <w:gridCol w:w="720"/>
        <w:gridCol w:w="4380"/>
      </w:tblGrid>
      <w:tr w:rsidR="00E36358" w:rsidRPr="00370584" w:rsidTr="00370584">
        <w:tc>
          <w:tcPr>
            <w:tcW w:w="4380" w:type="dxa"/>
            <w:tcMar>
              <w:left w:w="0" w:type="dxa"/>
              <w:right w:w="0" w:type="dxa"/>
            </w:tcMar>
          </w:tcPr>
          <w:p w:rsidR="00E36358" w:rsidRPr="00CC4D84" w:rsidRDefault="00E36358" w:rsidP="00370584">
            <w:pPr>
              <w:widowControl w:val="0"/>
              <w:jc w:val="both"/>
              <w:rPr>
                <w:b/>
                <w:sz w:val="20"/>
                <w:szCs w:val="20"/>
                <w:u w:val="single"/>
              </w:rPr>
            </w:pPr>
            <w:r w:rsidRPr="00CC4D84">
              <w:rPr>
                <w:b/>
                <w:sz w:val="20"/>
                <w:szCs w:val="20"/>
                <w:u w:val="single"/>
              </w:rPr>
              <w:t>Nature of the case:</w:t>
            </w:r>
          </w:p>
          <w:p w:rsidR="00E36358" w:rsidRPr="00C1697B" w:rsidRDefault="00E36358" w:rsidP="00370584">
            <w:pPr>
              <w:widowControl w:val="0"/>
              <w:jc w:val="both"/>
              <w:rPr>
                <w:b/>
                <w:sz w:val="20"/>
                <w:szCs w:val="20"/>
              </w:rPr>
            </w:pPr>
          </w:p>
          <w:p w:rsidR="00E36358" w:rsidRPr="00C1697B" w:rsidRDefault="00E36358" w:rsidP="00370584">
            <w:pPr>
              <w:widowControl w:val="0"/>
              <w:jc w:val="both"/>
              <w:rPr>
                <w:b/>
                <w:sz w:val="20"/>
                <w:szCs w:val="20"/>
              </w:rPr>
            </w:pPr>
            <w:r w:rsidRPr="000570A5">
              <w:rPr>
                <w:i/>
                <w:sz w:val="20"/>
                <w:szCs w:val="20"/>
              </w:rPr>
              <w:t>Canadian Charter of Rights and Freedoms</w:t>
            </w:r>
            <w:r w:rsidRPr="000570A5">
              <w:rPr>
                <w:sz w:val="20"/>
                <w:szCs w:val="20"/>
              </w:rPr>
              <w:t xml:space="preserve"> </w:t>
            </w:r>
            <w:r w:rsidRPr="000570A5">
              <w:rPr>
                <w:sz w:val="20"/>
                <w:szCs w:val="20"/>
              </w:rPr>
              <w:noBreakHyphen/>
              <w:t xml:space="preserve"> Criminal law </w:t>
            </w:r>
            <w:r w:rsidRPr="000570A5">
              <w:rPr>
                <w:sz w:val="20"/>
                <w:szCs w:val="20"/>
              </w:rPr>
              <w:noBreakHyphen/>
              <w:t xml:space="preserve"> Weapons offences </w:t>
            </w:r>
            <w:r w:rsidRPr="000570A5">
              <w:rPr>
                <w:sz w:val="20"/>
                <w:szCs w:val="20"/>
              </w:rPr>
              <w:noBreakHyphen/>
              <w:t xml:space="preserve"> Search and seizure </w:t>
            </w:r>
            <w:r w:rsidRPr="000570A5">
              <w:rPr>
                <w:sz w:val="20"/>
                <w:szCs w:val="20"/>
              </w:rPr>
              <w:noBreakHyphen/>
              <w:t xml:space="preserve"> Sentencing </w:t>
            </w:r>
            <w:r w:rsidRPr="000570A5">
              <w:rPr>
                <w:sz w:val="20"/>
                <w:szCs w:val="20"/>
              </w:rPr>
              <w:noBreakHyphen/>
              <w:t xml:space="preserve"> Minimum sentences </w:t>
            </w:r>
            <w:r w:rsidRPr="000570A5">
              <w:rPr>
                <w:sz w:val="20"/>
                <w:szCs w:val="20"/>
              </w:rPr>
              <w:noBreakHyphen/>
              <w:t xml:space="preserve"> Whether Mr. MacDonald’s s. 8 </w:t>
            </w:r>
            <w:r w:rsidRPr="000570A5">
              <w:rPr>
                <w:i/>
                <w:sz w:val="20"/>
                <w:szCs w:val="20"/>
              </w:rPr>
              <w:t>Charter</w:t>
            </w:r>
            <w:r w:rsidRPr="000570A5">
              <w:rPr>
                <w:sz w:val="20"/>
                <w:szCs w:val="20"/>
              </w:rPr>
              <w:t xml:space="preserve"> rights were breached </w:t>
            </w:r>
            <w:r w:rsidRPr="000570A5">
              <w:rPr>
                <w:sz w:val="20"/>
                <w:szCs w:val="20"/>
              </w:rPr>
              <w:noBreakHyphen/>
              <w:t xml:space="preserve"> Whether knowledge of illegality is an essential element of the offence of unauthorized possession of a loaded restricted firearm contrary to s. 95(1) of the </w:t>
            </w:r>
            <w:r w:rsidRPr="000570A5">
              <w:rPr>
                <w:i/>
                <w:sz w:val="20"/>
                <w:szCs w:val="20"/>
              </w:rPr>
              <w:t>Criminal Code</w:t>
            </w:r>
            <w:r w:rsidRPr="000570A5">
              <w:rPr>
                <w:sz w:val="20"/>
                <w:szCs w:val="20"/>
              </w:rPr>
              <w:t xml:space="preserve"> </w:t>
            </w:r>
            <w:r w:rsidRPr="000570A5">
              <w:rPr>
                <w:sz w:val="20"/>
                <w:szCs w:val="20"/>
              </w:rPr>
              <w:noBreakHyphen/>
              <w:t xml:space="preserve"> Whether Mr. MacDonald’s purported mistaken belief that his authorization to transport his firearm extended to his Halifax home constituted a mistake of fact as opposed to a mistake of law, therefore providing a defence to the charge </w:t>
            </w:r>
            <w:r w:rsidRPr="000570A5">
              <w:rPr>
                <w:sz w:val="20"/>
                <w:szCs w:val="20"/>
              </w:rPr>
              <w:noBreakHyphen/>
              <w:t xml:space="preserve"> Whether the Court of Appeal should have ordered a new trial on the s. 95(1) conviction, instead of entering an acquittal, because the defence of mistake of fact was not squarely before the trial judge </w:t>
            </w:r>
            <w:r w:rsidRPr="000570A5">
              <w:rPr>
                <w:sz w:val="20"/>
                <w:szCs w:val="20"/>
              </w:rPr>
              <w:noBreakHyphen/>
              <w:t xml:space="preserve"> Whether the Court of Appeal erred by reducing the sentences imposed for the s. 86 and s. 88 convictions </w:t>
            </w:r>
            <w:r w:rsidRPr="000570A5">
              <w:rPr>
                <w:sz w:val="20"/>
                <w:szCs w:val="20"/>
              </w:rPr>
              <w:noBreakHyphen/>
              <w:t xml:space="preserve"> Whether the mandatory minimum sentence prescribed by s. 95(2) of the </w:t>
            </w:r>
            <w:r w:rsidRPr="000570A5">
              <w:rPr>
                <w:i/>
                <w:sz w:val="20"/>
                <w:szCs w:val="20"/>
              </w:rPr>
              <w:t>Criminal Code</w:t>
            </w:r>
            <w:r w:rsidRPr="000570A5">
              <w:rPr>
                <w:sz w:val="20"/>
                <w:szCs w:val="20"/>
              </w:rPr>
              <w:t xml:space="preserve"> constitutes cruel and unusual punishment in violation of s. 12 of the </w:t>
            </w:r>
            <w:r w:rsidRPr="000570A5">
              <w:rPr>
                <w:i/>
                <w:sz w:val="20"/>
                <w:szCs w:val="20"/>
              </w:rPr>
              <w:t>Charter</w:t>
            </w:r>
            <w:r w:rsidRPr="000570A5">
              <w:rPr>
                <w:sz w:val="20"/>
                <w:szCs w:val="20"/>
              </w:rPr>
              <w:t xml:space="preserve">, and if so, whether that infringement is a reasonable limit which can be demonstrably justified in a free and democratic society under s. 1 of the </w:t>
            </w:r>
            <w:r w:rsidRPr="000570A5">
              <w:rPr>
                <w:i/>
                <w:sz w:val="20"/>
                <w:szCs w:val="20"/>
              </w:rPr>
              <w:t>Charter</w:t>
            </w:r>
            <w:r w:rsidRPr="000570A5">
              <w:rPr>
                <w:sz w:val="20"/>
                <w:szCs w:val="20"/>
              </w:rPr>
              <w:t>.</w:t>
            </w:r>
          </w:p>
        </w:tc>
        <w:tc>
          <w:tcPr>
            <w:tcW w:w="720" w:type="dxa"/>
            <w:tcMar>
              <w:left w:w="0" w:type="dxa"/>
              <w:right w:w="0" w:type="dxa"/>
            </w:tcMar>
          </w:tcPr>
          <w:p w:rsidR="00E36358" w:rsidRPr="00C1697B" w:rsidRDefault="00E36358" w:rsidP="00370584">
            <w:pPr>
              <w:widowControl w:val="0"/>
              <w:jc w:val="center"/>
              <w:rPr>
                <w:sz w:val="20"/>
                <w:szCs w:val="20"/>
              </w:rPr>
            </w:pPr>
          </w:p>
        </w:tc>
        <w:tc>
          <w:tcPr>
            <w:tcW w:w="4380" w:type="dxa"/>
            <w:tcMar>
              <w:left w:w="0" w:type="dxa"/>
              <w:right w:w="0" w:type="dxa"/>
            </w:tcMar>
          </w:tcPr>
          <w:p w:rsidR="00E36358" w:rsidRPr="00E36358" w:rsidRDefault="00E36358" w:rsidP="00370584">
            <w:pPr>
              <w:widowControl w:val="0"/>
              <w:jc w:val="both"/>
              <w:rPr>
                <w:b/>
                <w:sz w:val="20"/>
                <w:szCs w:val="20"/>
                <w:u w:val="single"/>
                <w:lang w:val="fr-CA"/>
              </w:rPr>
            </w:pPr>
            <w:r w:rsidRPr="00E36358">
              <w:rPr>
                <w:b/>
                <w:sz w:val="20"/>
                <w:szCs w:val="20"/>
                <w:u w:val="single"/>
                <w:lang w:val="fr-CA"/>
              </w:rPr>
              <w:t>Nature de la cause :</w:t>
            </w:r>
          </w:p>
          <w:p w:rsidR="00E36358" w:rsidRPr="00E36358" w:rsidRDefault="00E36358" w:rsidP="00370584">
            <w:pPr>
              <w:widowControl w:val="0"/>
              <w:jc w:val="both"/>
              <w:rPr>
                <w:sz w:val="20"/>
                <w:szCs w:val="20"/>
                <w:lang w:val="fr-CA"/>
              </w:rPr>
            </w:pPr>
          </w:p>
          <w:p w:rsidR="00E36358" w:rsidRPr="00D4699B" w:rsidRDefault="00E36358" w:rsidP="00370584">
            <w:pPr>
              <w:widowControl w:val="0"/>
              <w:jc w:val="both"/>
              <w:rPr>
                <w:sz w:val="20"/>
                <w:szCs w:val="20"/>
                <w:lang w:val="fr-CA"/>
              </w:rPr>
            </w:pPr>
            <w:r w:rsidRPr="008B58A5">
              <w:rPr>
                <w:i/>
                <w:sz w:val="20"/>
                <w:szCs w:val="20"/>
                <w:lang w:val="fr-CA"/>
              </w:rPr>
              <w:t xml:space="preserve">Charte canadienne des droits et libertés </w:t>
            </w:r>
            <w:r w:rsidRPr="008B58A5">
              <w:rPr>
                <w:sz w:val="20"/>
                <w:szCs w:val="20"/>
                <w:lang w:val="fr-CA"/>
              </w:rPr>
              <w:noBreakHyphen/>
              <w:t xml:space="preserve"> Droit criminel </w:t>
            </w:r>
            <w:r w:rsidRPr="008B58A5">
              <w:rPr>
                <w:sz w:val="20"/>
                <w:szCs w:val="20"/>
                <w:lang w:val="fr-CA"/>
              </w:rPr>
              <w:noBreakHyphen/>
              <w:t xml:space="preserve"> Infractions relatives aux armes </w:t>
            </w:r>
            <w:r w:rsidRPr="008B58A5">
              <w:rPr>
                <w:sz w:val="20"/>
                <w:szCs w:val="20"/>
                <w:lang w:val="fr-CA"/>
              </w:rPr>
              <w:noBreakHyphen/>
              <w:t xml:space="preserve"> Fouilles, perquisitions et saisies </w:t>
            </w:r>
            <w:r w:rsidRPr="008B58A5">
              <w:rPr>
                <w:sz w:val="20"/>
                <w:szCs w:val="20"/>
                <w:lang w:val="fr-CA"/>
              </w:rPr>
              <w:noBreakHyphen/>
              <w:t xml:space="preserve"> Détermination de la peine </w:t>
            </w:r>
            <w:r w:rsidRPr="008B58A5">
              <w:rPr>
                <w:sz w:val="20"/>
                <w:szCs w:val="20"/>
                <w:lang w:val="fr-CA"/>
              </w:rPr>
              <w:noBreakHyphen/>
              <w:t xml:space="preserve"> Peines minimales </w:t>
            </w:r>
            <w:r w:rsidRPr="008B58A5">
              <w:rPr>
                <w:sz w:val="20"/>
                <w:szCs w:val="20"/>
                <w:lang w:val="fr-CA"/>
              </w:rPr>
              <w:noBreakHyphen/>
              <w:t xml:space="preserve"> Les droits de M. MacDonald garantis par l’art. 8 de la </w:t>
            </w:r>
            <w:r w:rsidRPr="008B58A5">
              <w:rPr>
                <w:i/>
                <w:sz w:val="20"/>
                <w:szCs w:val="20"/>
                <w:lang w:val="fr-CA"/>
              </w:rPr>
              <w:t>Charte</w:t>
            </w:r>
            <w:r w:rsidRPr="008B58A5">
              <w:rPr>
                <w:sz w:val="20"/>
                <w:szCs w:val="20"/>
                <w:lang w:val="fr-CA"/>
              </w:rPr>
              <w:t xml:space="preserve"> ont</w:t>
            </w:r>
            <w:r w:rsidRPr="008B58A5">
              <w:rPr>
                <w:sz w:val="20"/>
                <w:szCs w:val="20"/>
                <w:lang w:val="fr-CA"/>
              </w:rPr>
              <w:noBreakHyphen/>
              <w:t xml:space="preserve">ils été violés? </w:t>
            </w:r>
            <w:r w:rsidRPr="008B58A5">
              <w:rPr>
                <w:sz w:val="20"/>
                <w:szCs w:val="20"/>
                <w:lang w:val="fr-CA"/>
              </w:rPr>
              <w:noBreakHyphen/>
              <w:t xml:space="preserve"> La connaissance de l’illégalité est</w:t>
            </w:r>
            <w:r w:rsidRPr="008B58A5">
              <w:rPr>
                <w:sz w:val="20"/>
                <w:szCs w:val="20"/>
                <w:lang w:val="fr-CA"/>
              </w:rPr>
              <w:noBreakHyphen/>
              <w:t>elle un élément essentiel de l’infraction de possession non autorisée d’une arme à feu à autorisation restreinte chargée, contraire au par. 95(1) du</w:t>
            </w:r>
            <w:r w:rsidRPr="008B58A5">
              <w:rPr>
                <w:i/>
                <w:sz w:val="20"/>
                <w:szCs w:val="20"/>
                <w:lang w:val="fr-CA"/>
              </w:rPr>
              <w:t xml:space="preserve"> Code criminel</w:t>
            </w:r>
            <w:r w:rsidRPr="008B58A5">
              <w:rPr>
                <w:sz w:val="20"/>
                <w:szCs w:val="20"/>
                <w:lang w:val="fr-CA"/>
              </w:rPr>
              <w:t>?</w:t>
            </w:r>
            <w:r w:rsidRPr="008B58A5">
              <w:rPr>
                <w:i/>
                <w:sz w:val="20"/>
                <w:szCs w:val="20"/>
                <w:lang w:val="fr-CA"/>
              </w:rPr>
              <w:t xml:space="preserve"> </w:t>
            </w:r>
            <w:r w:rsidRPr="008B58A5">
              <w:rPr>
                <w:sz w:val="20"/>
                <w:szCs w:val="20"/>
                <w:lang w:val="fr-CA"/>
              </w:rPr>
              <w:noBreakHyphen/>
              <w:t xml:space="preserve"> La prétendue croyance erronée de M. MacDonald selon laquelle son autorisation de transporter son arme à feu s’étendait à son domicile à Halifax constituait</w:t>
            </w:r>
            <w:r w:rsidRPr="008B58A5">
              <w:rPr>
                <w:sz w:val="20"/>
                <w:szCs w:val="20"/>
                <w:lang w:val="fr-CA"/>
              </w:rPr>
              <w:noBreakHyphen/>
              <w:t xml:space="preserve">elle une erreur de fait, par opposition à une erreur de droit, fournissant ainsi un moyen de défense à l’accusation? </w:t>
            </w:r>
            <w:r w:rsidRPr="008B58A5">
              <w:rPr>
                <w:sz w:val="20"/>
                <w:szCs w:val="20"/>
                <w:lang w:val="fr-CA"/>
              </w:rPr>
              <w:noBreakHyphen/>
              <w:t xml:space="preserve"> La Cour d’appel aurait</w:t>
            </w:r>
            <w:r w:rsidRPr="008B58A5">
              <w:rPr>
                <w:sz w:val="20"/>
                <w:szCs w:val="20"/>
                <w:lang w:val="fr-CA"/>
              </w:rPr>
              <w:noBreakHyphen/>
              <w:t xml:space="preserve">elle dû ordonner un nouveau procès relativement à la déclaration de culpabilité en vertu du par. 95(1), plutôt que d’inscrire un acquittement, puisque le moyen de défense d’erreur de fait n’avait pas été clairement soumis au juge du procès? </w:t>
            </w:r>
            <w:r w:rsidRPr="008B58A5">
              <w:rPr>
                <w:sz w:val="20"/>
                <w:szCs w:val="20"/>
                <w:lang w:val="fr-CA"/>
              </w:rPr>
              <w:noBreakHyphen/>
              <w:t xml:space="preserve"> La Cour d’appel a</w:t>
            </w:r>
            <w:r w:rsidRPr="008B58A5">
              <w:rPr>
                <w:sz w:val="20"/>
                <w:szCs w:val="20"/>
                <w:lang w:val="fr-CA"/>
              </w:rPr>
              <w:noBreakHyphen/>
              <w:t>t</w:t>
            </w:r>
            <w:r w:rsidRPr="008B58A5">
              <w:rPr>
                <w:sz w:val="20"/>
                <w:szCs w:val="20"/>
                <w:lang w:val="fr-CA"/>
              </w:rPr>
              <w:noBreakHyphen/>
              <w:t xml:space="preserve">elle eu tort de réduire les peines imposées relativement aux déclarations de culpabilité en vertu des art. 86 et 88? </w:t>
            </w:r>
            <w:r w:rsidRPr="008B58A5">
              <w:rPr>
                <w:sz w:val="20"/>
                <w:szCs w:val="20"/>
                <w:lang w:val="fr-CA"/>
              </w:rPr>
              <w:noBreakHyphen/>
              <w:t xml:space="preserve"> La peine minimale obligatoire prescrite au par. 95(2) du</w:t>
            </w:r>
            <w:r w:rsidRPr="008B58A5">
              <w:rPr>
                <w:i/>
                <w:sz w:val="20"/>
                <w:szCs w:val="20"/>
                <w:lang w:val="fr-CA"/>
              </w:rPr>
              <w:t xml:space="preserve"> Code criminel</w:t>
            </w:r>
            <w:r w:rsidRPr="008B58A5">
              <w:rPr>
                <w:sz w:val="20"/>
                <w:szCs w:val="20"/>
                <w:lang w:val="fr-CA"/>
              </w:rPr>
              <w:t xml:space="preserve"> constitue</w:t>
            </w:r>
            <w:r w:rsidRPr="008B58A5">
              <w:rPr>
                <w:sz w:val="20"/>
                <w:szCs w:val="20"/>
                <w:lang w:val="fr-CA"/>
              </w:rPr>
              <w:noBreakHyphen/>
              <w:t>t</w:t>
            </w:r>
            <w:r w:rsidRPr="008B58A5">
              <w:rPr>
                <w:sz w:val="20"/>
                <w:szCs w:val="20"/>
                <w:lang w:val="fr-CA"/>
              </w:rPr>
              <w:noBreakHyphen/>
              <w:t xml:space="preserve">elle une peine cruelle et inusitée qui viole l’art. 12 de la </w:t>
            </w:r>
            <w:r w:rsidRPr="008B58A5">
              <w:rPr>
                <w:i/>
                <w:sz w:val="20"/>
                <w:szCs w:val="20"/>
                <w:lang w:val="fr-CA"/>
              </w:rPr>
              <w:t>Charte</w:t>
            </w:r>
            <w:r w:rsidRPr="008B58A5">
              <w:rPr>
                <w:sz w:val="20"/>
                <w:szCs w:val="20"/>
                <w:lang w:val="fr-CA"/>
              </w:rPr>
              <w:t xml:space="preserve"> et, dans l’affirmative, l’atteinte constitue</w:t>
            </w:r>
            <w:r w:rsidRPr="008B58A5">
              <w:rPr>
                <w:sz w:val="20"/>
                <w:szCs w:val="20"/>
                <w:lang w:val="fr-CA"/>
              </w:rPr>
              <w:noBreakHyphen/>
              <w:t>t</w:t>
            </w:r>
            <w:r w:rsidRPr="008B58A5">
              <w:rPr>
                <w:sz w:val="20"/>
                <w:szCs w:val="20"/>
                <w:lang w:val="fr-CA"/>
              </w:rPr>
              <w:noBreakHyphen/>
              <w:t xml:space="preserve">elle une limite raisonnable dont la justification peut se démontrer dans le cadre d’une société libre et démocratique, au sens de l’article premier de la </w:t>
            </w:r>
            <w:r w:rsidRPr="008B58A5">
              <w:rPr>
                <w:i/>
                <w:sz w:val="20"/>
                <w:szCs w:val="20"/>
                <w:lang w:val="fr-CA"/>
              </w:rPr>
              <w:t>Charte</w:t>
            </w:r>
            <w:r w:rsidRPr="008B58A5">
              <w:rPr>
                <w:sz w:val="20"/>
                <w:szCs w:val="20"/>
                <w:lang w:val="fr-CA"/>
              </w:rPr>
              <w:t>?</w:t>
            </w:r>
          </w:p>
        </w:tc>
      </w:tr>
    </w:tbl>
    <w:p w:rsidR="00E36358" w:rsidRPr="00D4699B" w:rsidRDefault="00E36358" w:rsidP="00E36358">
      <w:pPr>
        <w:widowControl w:val="0"/>
        <w:rPr>
          <w:sz w:val="20"/>
          <w:szCs w:val="20"/>
          <w:lang w:val="fr-CA"/>
        </w:rPr>
      </w:pPr>
    </w:p>
    <w:p w:rsidR="00E36358" w:rsidRDefault="00B35B95" w:rsidP="00E36358">
      <w:pPr>
        <w:widowControl w:val="0"/>
        <w:rPr>
          <w:sz w:val="20"/>
          <w:szCs w:val="20"/>
        </w:rPr>
      </w:pPr>
      <w:r w:rsidRPr="00B35B95">
        <w:rPr>
          <w:sz w:val="20"/>
          <w:szCs w:val="20"/>
          <w:lang w:val="fr-CA"/>
        </w:rPr>
        <w:pict>
          <v:rect id="_x0000_i1087" style="width:2in;height:1pt" o:hrpct="0" o:hralign="center" o:hrstd="t" o:hrnoshade="t" o:hr="t" fillcolor="black [3213]" stroked="f"/>
        </w:pict>
      </w:r>
    </w:p>
    <w:p w:rsidR="00E36358" w:rsidRDefault="00E36358" w:rsidP="00E36358">
      <w:pPr>
        <w:widowControl w:val="0"/>
        <w:rPr>
          <w:sz w:val="20"/>
          <w:szCs w:val="20"/>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46"/>
          <w:headerReference w:type="default" r:id="rId47"/>
          <w:footerReference w:type="even" r:id="rId48"/>
          <w:footerReference w:type="default" r:id="rId49"/>
          <w:headerReference w:type="first" r:id="rId50"/>
          <w:footerReference w:type="first" r:id="rId51"/>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370584"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9B57A5" w:rsidRPr="003B3977" w:rsidRDefault="009B57A5" w:rsidP="009B57A5">
      <w:pPr>
        <w:rPr>
          <w:b/>
          <w:sz w:val="20"/>
          <w:szCs w:val="20"/>
        </w:rPr>
      </w:pPr>
      <w:r>
        <w:rPr>
          <w:b/>
          <w:sz w:val="20"/>
          <w:szCs w:val="20"/>
        </w:rPr>
        <w:t>MAY 23</w:t>
      </w:r>
      <w:r w:rsidRPr="003B3977">
        <w:rPr>
          <w:b/>
          <w:sz w:val="20"/>
          <w:szCs w:val="20"/>
        </w:rPr>
        <w:t>, 201</w:t>
      </w:r>
      <w:r>
        <w:rPr>
          <w:b/>
          <w:sz w:val="20"/>
          <w:szCs w:val="20"/>
        </w:rPr>
        <w:t xml:space="preserve">3 </w:t>
      </w:r>
      <w:r w:rsidRPr="003B3977">
        <w:rPr>
          <w:b/>
          <w:sz w:val="20"/>
          <w:szCs w:val="20"/>
        </w:rPr>
        <w:t xml:space="preserve">/ LE </w:t>
      </w:r>
      <w:r>
        <w:rPr>
          <w:b/>
          <w:sz w:val="20"/>
          <w:szCs w:val="20"/>
        </w:rPr>
        <w:t>23</w:t>
      </w:r>
      <w:r w:rsidRPr="003B3977">
        <w:rPr>
          <w:b/>
          <w:sz w:val="20"/>
          <w:szCs w:val="20"/>
        </w:rPr>
        <w:t xml:space="preserve"> </w:t>
      </w:r>
      <w:r>
        <w:rPr>
          <w:b/>
          <w:sz w:val="20"/>
          <w:szCs w:val="20"/>
        </w:rPr>
        <w:t>MAI</w:t>
      </w:r>
      <w:r w:rsidRPr="003B3977">
        <w:rPr>
          <w:b/>
          <w:sz w:val="20"/>
          <w:szCs w:val="20"/>
        </w:rPr>
        <w:t xml:space="preserve"> 201</w:t>
      </w:r>
      <w:r>
        <w:rPr>
          <w:b/>
          <w:sz w:val="20"/>
          <w:szCs w:val="20"/>
        </w:rPr>
        <w:t>3</w:t>
      </w:r>
    </w:p>
    <w:p w:rsidR="009B57A5" w:rsidRDefault="009B57A5" w:rsidP="009B57A5">
      <w:pPr>
        <w:rPr>
          <w:sz w:val="20"/>
          <w:szCs w:val="20"/>
        </w:rPr>
      </w:pPr>
    </w:p>
    <w:p w:rsidR="009B57A5" w:rsidRPr="00202C5F" w:rsidRDefault="00B35B95" w:rsidP="009B57A5">
      <w:pPr>
        <w:ind w:left="1440" w:hanging="1440"/>
        <w:jc w:val="both"/>
        <w:rPr>
          <w:sz w:val="20"/>
        </w:rPr>
      </w:pPr>
      <w:r w:rsidRPr="00202C5F">
        <w:rPr>
          <w:b/>
          <w:sz w:val="20"/>
        </w:rPr>
        <w:fldChar w:fldCharType="begin"/>
      </w:r>
      <w:r w:rsidR="009B57A5" w:rsidRPr="00202C5F">
        <w:rPr>
          <w:b/>
          <w:sz w:val="20"/>
        </w:rPr>
        <w:instrText xml:space="preserve"> SEQ CHAPTER \h \r 1</w:instrText>
      </w:r>
      <w:r w:rsidRPr="00202C5F">
        <w:rPr>
          <w:b/>
          <w:sz w:val="20"/>
        </w:rPr>
        <w:fldChar w:fldCharType="end"/>
      </w:r>
      <w:r w:rsidR="009B57A5" w:rsidRPr="00202C5F">
        <w:rPr>
          <w:b/>
          <w:sz w:val="20"/>
        </w:rPr>
        <w:t>3</w:t>
      </w:r>
      <w:r w:rsidR="009B57A5">
        <w:rPr>
          <w:b/>
          <w:sz w:val="20"/>
        </w:rPr>
        <w:t>4534</w:t>
      </w:r>
      <w:r w:rsidR="009B57A5" w:rsidRPr="00202C5F">
        <w:rPr>
          <w:sz w:val="20"/>
        </w:rPr>
        <w:tab/>
      </w:r>
      <w:r w:rsidR="009B57A5" w:rsidRPr="00EF3C78">
        <w:rPr>
          <w:b/>
          <w:sz w:val="20"/>
          <w:u w:val="single"/>
        </w:rPr>
        <w:t>Daishowa-Marubeni International Ltd.</w:t>
      </w:r>
      <w:r w:rsidR="009B57A5" w:rsidRPr="005157B1">
        <w:rPr>
          <w:b/>
          <w:sz w:val="20"/>
          <w:u w:val="single"/>
        </w:rPr>
        <w:t xml:space="preserve"> </w:t>
      </w:r>
      <w:r w:rsidR="009B57A5">
        <w:rPr>
          <w:b/>
          <w:sz w:val="20"/>
          <w:u w:val="single"/>
        </w:rPr>
        <w:t xml:space="preserve">v. </w:t>
      </w:r>
      <w:r w:rsidR="009B57A5" w:rsidRPr="00EF3C78">
        <w:rPr>
          <w:b/>
          <w:sz w:val="20"/>
          <w:u w:val="single"/>
        </w:rPr>
        <w:t xml:space="preserve">Her Majesty the Queen </w:t>
      </w:r>
      <w:r w:rsidR="009B57A5">
        <w:rPr>
          <w:b/>
          <w:sz w:val="20"/>
          <w:u w:val="single"/>
        </w:rPr>
        <w:t xml:space="preserve">– and – </w:t>
      </w:r>
      <w:r w:rsidR="009B57A5" w:rsidRPr="00EF3C78">
        <w:rPr>
          <w:b/>
          <w:sz w:val="20"/>
          <w:u w:val="single"/>
        </w:rPr>
        <w:t>Her Majesty the Queen in Right of Alberta, Tolko Industries Ltd., International Forest Products Limited, West Fraser Timber Co. Ltd., Canfor Corporation and Canadian Association of Petroleum Producers</w:t>
      </w:r>
      <w:r w:rsidR="009B57A5" w:rsidRPr="00EF3C78">
        <w:rPr>
          <w:b/>
          <w:sz w:val="20"/>
        </w:rPr>
        <w:t xml:space="preserve"> </w:t>
      </w:r>
      <w:r w:rsidR="009B57A5" w:rsidRPr="00202C5F">
        <w:rPr>
          <w:iCs/>
          <w:sz w:val="20"/>
        </w:rPr>
        <w:t>(</w:t>
      </w:r>
      <w:r w:rsidR="009B57A5">
        <w:rPr>
          <w:iCs/>
          <w:sz w:val="20"/>
        </w:rPr>
        <w:t>F.C</w:t>
      </w:r>
      <w:r w:rsidR="009B57A5" w:rsidRPr="00202C5F">
        <w:rPr>
          <w:iCs/>
          <w:sz w:val="20"/>
        </w:rPr>
        <w:t>.)</w:t>
      </w:r>
    </w:p>
    <w:p w:rsidR="009B57A5" w:rsidRPr="00202C5F" w:rsidRDefault="009B57A5" w:rsidP="009B57A5">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202C5F">
        <w:rPr>
          <w:b/>
          <w:sz w:val="20"/>
        </w:rPr>
        <w:t xml:space="preserve">2013 SCC </w:t>
      </w:r>
      <w:r>
        <w:rPr>
          <w:b/>
          <w:sz w:val="20"/>
        </w:rPr>
        <w:t>29</w:t>
      </w:r>
      <w:r w:rsidRPr="00202C5F">
        <w:rPr>
          <w:b/>
          <w:sz w:val="20"/>
        </w:rPr>
        <w:t xml:space="preserve"> / 2013 CSC </w:t>
      </w:r>
      <w:r>
        <w:rPr>
          <w:b/>
          <w:sz w:val="20"/>
        </w:rPr>
        <w:t>29</w:t>
      </w:r>
    </w:p>
    <w:p w:rsidR="009B57A5" w:rsidRPr="006C5F7A" w:rsidRDefault="009B57A5" w:rsidP="009B57A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9B57A5" w:rsidRPr="00321B75" w:rsidRDefault="009B57A5" w:rsidP="009B57A5">
      <w:pPr>
        <w:ind w:left="1440" w:hanging="1440"/>
        <w:rPr>
          <w:sz w:val="20"/>
          <w:u w:val="single"/>
        </w:rPr>
      </w:pPr>
      <w:r w:rsidRPr="006C5F7A">
        <w:rPr>
          <w:sz w:val="20"/>
        </w:rPr>
        <w:t>Coram:</w:t>
      </w:r>
      <w:r w:rsidRPr="006C5F7A">
        <w:rPr>
          <w:sz w:val="20"/>
        </w:rPr>
        <w:tab/>
      </w:r>
      <w:r w:rsidRPr="00EF3C78">
        <w:rPr>
          <w:sz w:val="20"/>
          <w:u w:val="single"/>
        </w:rPr>
        <w:t>McLachlin C.J. and LeBel, Fish, Abella, Rothstein, Cromwell, Moldaver, Karakatsanis and Wagner JJ.</w:t>
      </w:r>
    </w:p>
    <w:p w:rsidR="009B57A5" w:rsidRPr="00EF3C78" w:rsidRDefault="009B57A5" w:rsidP="009B57A5">
      <w:pPr>
        <w:tabs>
          <w:tab w:val="left" w:pos="0"/>
          <w:tab w:val="left" w:pos="720"/>
          <w:tab w:val="left" w:pos="2160"/>
          <w:tab w:val="left" w:pos="2880"/>
          <w:tab w:val="left" w:pos="3600"/>
          <w:tab w:val="left" w:pos="4320"/>
          <w:tab w:val="left" w:pos="5040"/>
          <w:tab w:val="left" w:pos="5760"/>
          <w:tab w:val="left" w:pos="6480"/>
          <w:tab w:val="left" w:pos="7200"/>
        </w:tabs>
        <w:ind w:left="1440" w:hanging="1440"/>
        <w:jc w:val="both"/>
        <w:rPr>
          <w:sz w:val="20"/>
          <w:u w:val="single"/>
        </w:rPr>
      </w:pPr>
    </w:p>
    <w:p w:rsidR="009B57A5" w:rsidRPr="00EF3C78" w:rsidRDefault="009B57A5" w:rsidP="009B57A5">
      <w:pPr>
        <w:jc w:val="both"/>
        <w:rPr>
          <w:sz w:val="20"/>
        </w:rPr>
      </w:pPr>
      <w:r w:rsidRPr="00EF3C78">
        <w:rPr>
          <w:sz w:val="20"/>
        </w:rPr>
        <w:t>The appeal from the judgment of the Federal Court of Appeal, Number A-287-10, 2011 FCA 267, dated September 23, 2011, heard on February 20, 2013, is allowed with costs throughout.  The matter is remitted to the Minister for reassessment in accordance with the reasons.</w:t>
      </w:r>
    </w:p>
    <w:p w:rsidR="009B57A5" w:rsidRPr="00EF3C78" w:rsidRDefault="009B57A5" w:rsidP="009B57A5">
      <w:pPr>
        <w:jc w:val="both"/>
        <w:rPr>
          <w:sz w:val="20"/>
        </w:rPr>
      </w:pPr>
    </w:p>
    <w:p w:rsidR="009B57A5" w:rsidRPr="00EF3C78" w:rsidRDefault="009B57A5" w:rsidP="009B57A5">
      <w:pPr>
        <w:jc w:val="both"/>
        <w:rPr>
          <w:sz w:val="20"/>
          <w:lang w:val="fr-CA"/>
        </w:rPr>
      </w:pPr>
      <w:r w:rsidRPr="00EF3C78">
        <w:rPr>
          <w:sz w:val="20"/>
          <w:lang w:val="fr-CA"/>
        </w:rPr>
        <w:t>L’appel interjeté contre l’arrêt de la Cour d’appel fédérale, numéro A-287-10, 2011 CAF 267, en date du 23 septembre 2011, entendu le 20 février 2013, est accueilli avec dépens devant toutes les cours.  L’affaire  est renvoyée au ministre pour l’établissement de nouvelles cotisations conformément aux motifs.</w:t>
      </w:r>
    </w:p>
    <w:p w:rsidR="009B57A5" w:rsidRPr="00081B01" w:rsidRDefault="009B57A5" w:rsidP="009B57A5">
      <w:pPr>
        <w:rPr>
          <w:sz w:val="20"/>
          <w:szCs w:val="20"/>
          <w:lang w:val="fr-CA"/>
        </w:rPr>
      </w:pPr>
    </w:p>
    <w:p w:rsidR="009B57A5" w:rsidRPr="003B3977" w:rsidRDefault="00B35B95" w:rsidP="009B57A5">
      <w:pPr>
        <w:spacing w:line="0" w:lineRule="atLeast"/>
        <w:rPr>
          <w:sz w:val="20"/>
          <w:szCs w:val="20"/>
        </w:rPr>
      </w:pPr>
      <w:r w:rsidRPr="00B35B95">
        <w:rPr>
          <w:b/>
          <w:sz w:val="20"/>
          <w:szCs w:val="20"/>
        </w:rPr>
        <w:pict>
          <v:rect id="_x0000_i1090" style="width:144.3pt;height:1pt" o:hrpct="300" o:hralign="center" o:hrstd="t" o:hrnoshade="t" o:hr="t" fillcolor="black [3213]" stroked="f"/>
        </w:pict>
      </w:r>
    </w:p>
    <w:p w:rsidR="009B57A5" w:rsidRPr="003B3977" w:rsidRDefault="009B57A5" w:rsidP="009B57A5">
      <w:pPr>
        <w:spacing w:line="0" w:lineRule="atLeast"/>
        <w:rPr>
          <w:sz w:val="20"/>
          <w:szCs w:val="20"/>
        </w:rPr>
      </w:pPr>
    </w:p>
    <w:p w:rsidR="009B57A5" w:rsidRPr="003B3977" w:rsidRDefault="009B57A5" w:rsidP="009B57A5">
      <w:pPr>
        <w:rPr>
          <w:b/>
          <w:sz w:val="20"/>
          <w:szCs w:val="20"/>
        </w:rPr>
      </w:pPr>
      <w:r>
        <w:rPr>
          <w:b/>
          <w:sz w:val="20"/>
          <w:szCs w:val="20"/>
        </w:rPr>
        <w:t>MAY</w:t>
      </w:r>
      <w:r w:rsidRPr="003B3977">
        <w:rPr>
          <w:b/>
          <w:sz w:val="20"/>
          <w:szCs w:val="20"/>
        </w:rPr>
        <w:t xml:space="preserve"> </w:t>
      </w:r>
      <w:r>
        <w:rPr>
          <w:b/>
          <w:sz w:val="20"/>
          <w:szCs w:val="20"/>
        </w:rPr>
        <w:t>24</w:t>
      </w:r>
      <w:r w:rsidRPr="003B3977">
        <w:rPr>
          <w:b/>
          <w:sz w:val="20"/>
          <w:szCs w:val="20"/>
        </w:rPr>
        <w:t>, 201</w:t>
      </w:r>
      <w:r>
        <w:rPr>
          <w:b/>
          <w:sz w:val="20"/>
          <w:szCs w:val="20"/>
        </w:rPr>
        <w:t>3</w:t>
      </w:r>
      <w:r w:rsidRPr="003B3977">
        <w:rPr>
          <w:b/>
          <w:sz w:val="20"/>
          <w:szCs w:val="20"/>
        </w:rPr>
        <w:t xml:space="preserve"> / LE </w:t>
      </w:r>
      <w:r>
        <w:rPr>
          <w:b/>
          <w:sz w:val="20"/>
          <w:szCs w:val="20"/>
        </w:rPr>
        <w:t>24</w:t>
      </w:r>
      <w:r w:rsidRPr="003B3977">
        <w:rPr>
          <w:b/>
          <w:sz w:val="20"/>
          <w:szCs w:val="20"/>
        </w:rPr>
        <w:t xml:space="preserve"> </w:t>
      </w:r>
      <w:r>
        <w:rPr>
          <w:b/>
          <w:sz w:val="20"/>
          <w:szCs w:val="20"/>
        </w:rPr>
        <w:t>MAI</w:t>
      </w:r>
      <w:r w:rsidRPr="003B3977">
        <w:rPr>
          <w:b/>
          <w:sz w:val="20"/>
          <w:szCs w:val="20"/>
        </w:rPr>
        <w:t xml:space="preserve"> 201</w:t>
      </w:r>
      <w:r>
        <w:rPr>
          <w:b/>
          <w:sz w:val="20"/>
          <w:szCs w:val="20"/>
        </w:rPr>
        <w:t>3</w:t>
      </w:r>
    </w:p>
    <w:p w:rsidR="009B57A5" w:rsidRDefault="009B57A5" w:rsidP="009B57A5">
      <w:pPr>
        <w:spacing w:line="0" w:lineRule="atLeast"/>
        <w:rPr>
          <w:rFonts w:cs="Times New Roman"/>
          <w:sz w:val="20"/>
          <w:szCs w:val="20"/>
        </w:rPr>
      </w:pPr>
    </w:p>
    <w:p w:rsidR="009B57A5" w:rsidRPr="002B467E" w:rsidRDefault="00B35B95" w:rsidP="009B57A5">
      <w:pPr>
        <w:tabs>
          <w:tab w:val="left" w:pos="0"/>
          <w:tab w:val="left" w:pos="1440"/>
        </w:tabs>
        <w:ind w:left="1440" w:hanging="1440"/>
        <w:jc w:val="both"/>
        <w:rPr>
          <w:sz w:val="20"/>
          <w:szCs w:val="20"/>
        </w:rPr>
      </w:pPr>
      <w:r w:rsidRPr="002B467E">
        <w:rPr>
          <w:b/>
          <w:sz w:val="20"/>
          <w:szCs w:val="20"/>
        </w:rPr>
        <w:fldChar w:fldCharType="begin"/>
      </w:r>
      <w:r w:rsidR="009B57A5" w:rsidRPr="002B467E">
        <w:rPr>
          <w:b/>
          <w:sz w:val="20"/>
          <w:szCs w:val="20"/>
        </w:rPr>
        <w:instrText xml:space="preserve"> SEQ CHAPTER \h \r 1</w:instrText>
      </w:r>
      <w:r w:rsidRPr="002B467E">
        <w:rPr>
          <w:b/>
          <w:sz w:val="20"/>
          <w:szCs w:val="20"/>
        </w:rPr>
        <w:fldChar w:fldCharType="end"/>
      </w:r>
      <w:r w:rsidR="009B57A5" w:rsidRPr="002B467E">
        <w:rPr>
          <w:b/>
          <w:sz w:val="20"/>
          <w:szCs w:val="20"/>
        </w:rPr>
        <w:t>34304</w:t>
      </w:r>
      <w:r w:rsidR="009B57A5" w:rsidRPr="002B467E">
        <w:rPr>
          <w:sz w:val="20"/>
          <w:szCs w:val="20"/>
        </w:rPr>
        <w:tab/>
      </w:r>
      <w:r w:rsidR="009B57A5" w:rsidRPr="002B467E">
        <w:rPr>
          <w:b/>
          <w:sz w:val="20"/>
          <w:szCs w:val="20"/>
          <w:u w:val="single"/>
        </w:rPr>
        <w:t xml:space="preserve">Eric Victor Cojocaru, an infant by his Guardian </w:t>
      </w:r>
      <w:r w:rsidR="009B57A5" w:rsidRPr="007E61C7">
        <w:rPr>
          <w:b/>
          <w:i/>
          <w:sz w:val="20"/>
          <w:szCs w:val="20"/>
          <w:u w:val="single"/>
        </w:rPr>
        <w:t>Ad Litem</w:t>
      </w:r>
      <w:r w:rsidR="009B57A5" w:rsidRPr="002B467E">
        <w:rPr>
          <w:b/>
          <w:sz w:val="20"/>
          <w:szCs w:val="20"/>
          <w:u w:val="single"/>
        </w:rPr>
        <w:t>, Monica Cojocaru and Monica Cojocaru v. British Columbia Women’s Hospital and Health Centre</w:t>
      </w:r>
      <w:r w:rsidR="009B57A5">
        <w:rPr>
          <w:b/>
          <w:sz w:val="20"/>
          <w:szCs w:val="20"/>
          <w:u w:val="single"/>
        </w:rPr>
        <w:t>,</w:t>
      </w:r>
      <w:r w:rsidR="009B57A5" w:rsidRPr="002B467E">
        <w:rPr>
          <w:b/>
          <w:sz w:val="20"/>
          <w:szCs w:val="20"/>
          <w:u w:val="single"/>
        </w:rPr>
        <w:t xml:space="preserve"> F. Bellini, Dale R. Steele, Jenise Yue and Fawaz Edris – AND BETWEEN – Eric Victor Cojocaru, an infant by his Guardian </w:t>
      </w:r>
      <w:r w:rsidR="009B57A5" w:rsidRPr="007E61C7">
        <w:rPr>
          <w:b/>
          <w:i/>
          <w:sz w:val="20"/>
          <w:szCs w:val="20"/>
          <w:u w:val="single"/>
        </w:rPr>
        <w:t>Ad Litem</w:t>
      </w:r>
      <w:r w:rsidR="009B57A5" w:rsidRPr="002B467E">
        <w:rPr>
          <w:b/>
          <w:sz w:val="20"/>
          <w:szCs w:val="20"/>
          <w:u w:val="single"/>
        </w:rPr>
        <w:t>, Monica Cojocaru and Monica Cojocaru v. Dale R. Steele, Jenise Yue</w:t>
      </w:r>
      <w:r w:rsidR="009B57A5">
        <w:rPr>
          <w:b/>
          <w:sz w:val="20"/>
          <w:szCs w:val="20"/>
          <w:u w:val="single"/>
        </w:rPr>
        <w:t>,</w:t>
      </w:r>
      <w:r w:rsidR="009B57A5" w:rsidRPr="002B467E">
        <w:rPr>
          <w:b/>
          <w:sz w:val="20"/>
          <w:szCs w:val="20"/>
          <w:u w:val="single"/>
        </w:rPr>
        <w:t xml:space="preserve"> Fawaz Edris, British Columbia Women’s Hospital and Health Centre and F. Bellini – and – Attorney General of Ontario, Trial Lawyers Association of British Columbia and Canadian Bar Association</w:t>
      </w:r>
      <w:r w:rsidR="009B57A5" w:rsidRPr="002B467E">
        <w:rPr>
          <w:b/>
          <w:sz w:val="20"/>
          <w:szCs w:val="20"/>
        </w:rPr>
        <w:t xml:space="preserve"> </w:t>
      </w:r>
      <w:r w:rsidR="009B57A5" w:rsidRPr="002B467E">
        <w:rPr>
          <w:iCs/>
          <w:sz w:val="20"/>
          <w:szCs w:val="20"/>
        </w:rPr>
        <w:t>(B.C</w:t>
      </w:r>
      <w:r w:rsidR="009B57A5">
        <w:rPr>
          <w:iCs/>
          <w:sz w:val="20"/>
          <w:szCs w:val="20"/>
        </w:rPr>
        <w:t>.</w:t>
      </w:r>
      <w:r w:rsidR="009B57A5" w:rsidRPr="002B467E">
        <w:rPr>
          <w:iCs/>
          <w:sz w:val="20"/>
          <w:szCs w:val="20"/>
        </w:rPr>
        <w:t>)</w:t>
      </w:r>
    </w:p>
    <w:p w:rsidR="009B57A5" w:rsidRPr="002B467E" w:rsidRDefault="009B57A5" w:rsidP="009B57A5">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2B467E">
        <w:rPr>
          <w:b/>
          <w:sz w:val="20"/>
          <w:szCs w:val="20"/>
        </w:rPr>
        <w:t>2013 SCC 30 / 2013 CSC 30</w:t>
      </w:r>
    </w:p>
    <w:p w:rsidR="009B57A5" w:rsidRPr="002B467E" w:rsidRDefault="009B57A5" w:rsidP="009B57A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9B57A5" w:rsidRPr="002B467E" w:rsidRDefault="009B57A5" w:rsidP="009B57A5">
      <w:pPr>
        <w:ind w:left="1440" w:hanging="1440"/>
        <w:rPr>
          <w:sz w:val="20"/>
          <w:szCs w:val="20"/>
          <w:u w:val="single"/>
        </w:rPr>
      </w:pPr>
      <w:r w:rsidRPr="002B467E">
        <w:rPr>
          <w:sz w:val="20"/>
          <w:szCs w:val="20"/>
        </w:rPr>
        <w:t>Coram:</w:t>
      </w:r>
      <w:r w:rsidRPr="002B467E">
        <w:rPr>
          <w:sz w:val="20"/>
          <w:szCs w:val="20"/>
        </w:rPr>
        <w:tab/>
      </w:r>
      <w:r w:rsidRPr="002B467E">
        <w:rPr>
          <w:sz w:val="20"/>
          <w:szCs w:val="20"/>
          <w:u w:val="single"/>
        </w:rPr>
        <w:t>McLachlin C.J. and LeBel, Fish, Abella, Rothstein, Cromwell, Moldaver, Karakatsanis and Wagner JJ.</w:t>
      </w:r>
    </w:p>
    <w:p w:rsidR="009B57A5" w:rsidRPr="002B467E" w:rsidRDefault="009B57A5" w:rsidP="009B57A5">
      <w:pPr>
        <w:tabs>
          <w:tab w:val="left" w:pos="0"/>
          <w:tab w:val="left" w:pos="720"/>
          <w:tab w:val="left" w:pos="2160"/>
          <w:tab w:val="left" w:pos="2880"/>
          <w:tab w:val="left" w:pos="3600"/>
          <w:tab w:val="left" w:pos="4320"/>
          <w:tab w:val="left" w:pos="5040"/>
          <w:tab w:val="left" w:pos="5760"/>
          <w:tab w:val="left" w:pos="6480"/>
          <w:tab w:val="left" w:pos="7200"/>
        </w:tabs>
        <w:ind w:left="1440" w:hanging="1440"/>
        <w:jc w:val="both"/>
        <w:rPr>
          <w:sz w:val="20"/>
          <w:szCs w:val="20"/>
          <w:u w:val="single"/>
        </w:rPr>
      </w:pPr>
    </w:p>
    <w:p w:rsidR="009B57A5" w:rsidRPr="002B467E" w:rsidRDefault="009B57A5" w:rsidP="009B57A5">
      <w:pPr>
        <w:jc w:val="both"/>
        <w:rPr>
          <w:sz w:val="20"/>
          <w:szCs w:val="20"/>
        </w:rPr>
      </w:pPr>
      <w:r w:rsidRPr="002B467E">
        <w:rPr>
          <w:sz w:val="20"/>
          <w:szCs w:val="20"/>
        </w:rPr>
        <w:t xml:space="preserve">The appeal from the judgment </w:t>
      </w:r>
      <w:bookmarkStart w:id="2" w:name="BM_1_"/>
      <w:bookmarkEnd w:id="2"/>
      <w:r w:rsidRPr="002B467E">
        <w:rPr>
          <w:sz w:val="20"/>
          <w:szCs w:val="20"/>
        </w:rPr>
        <w:t xml:space="preserve">of the Court of Appeal for British Columbia (Vancouver), Numbers CA037090 and CA037107, 2011 BCCA 192, dated April 14, 2011, heard on November 13, 2012, is allowed. The cross-appeal is allowed and the order of the trial judge is reversed in part. The appellants/respondents on cross-appeal are entitled to damages against Dr. Yue in the amount assessed by the trial judge and to costs in the courts below and on the appeal here, payable by Dr. Yue.  The actions against Nurse Bellini, the Hospital and Drs. Steele and Edris are dismissed.  Nurse Bellini and the Hospital are entitled to their costs on the cross-appeal alone, payable by the appellants/respondents on cross-appeal. </w:t>
      </w:r>
    </w:p>
    <w:p w:rsidR="009B57A5" w:rsidRPr="002B467E" w:rsidRDefault="009B57A5" w:rsidP="009B57A5">
      <w:pPr>
        <w:jc w:val="both"/>
        <w:rPr>
          <w:sz w:val="20"/>
          <w:szCs w:val="20"/>
        </w:rPr>
      </w:pPr>
    </w:p>
    <w:p w:rsidR="009B57A5" w:rsidRPr="00203DCA" w:rsidRDefault="009B57A5" w:rsidP="009B57A5">
      <w:pPr>
        <w:rPr>
          <w:sz w:val="20"/>
          <w:szCs w:val="20"/>
        </w:rPr>
      </w:pPr>
      <w:r w:rsidRPr="00203DCA">
        <w:rPr>
          <w:sz w:val="20"/>
          <w:szCs w:val="20"/>
        </w:rPr>
        <w:br w:type="page"/>
      </w:r>
    </w:p>
    <w:p w:rsidR="009B57A5" w:rsidRDefault="009B57A5" w:rsidP="009B57A5">
      <w:pPr>
        <w:jc w:val="both"/>
        <w:rPr>
          <w:sz w:val="20"/>
          <w:szCs w:val="20"/>
          <w:lang w:val="fr-CA"/>
        </w:rPr>
      </w:pPr>
      <w:r w:rsidRPr="002B467E">
        <w:rPr>
          <w:sz w:val="20"/>
          <w:szCs w:val="20"/>
          <w:lang w:val="fr-CA"/>
        </w:rPr>
        <w:lastRenderedPageBreak/>
        <w:t>L’appel interjeté contre l’arrêt de la Cour d’appel de la Colombie-Britannique (Vancouver), numéros CA037090 et CA037107, 2011 BCCA 192, en date du 14 avril 2011, entendu le 13 novembre 2012, est accueilli. L’appel incident est accueilli et l’ordonnance du juge de première instance est infirmée en partie. La D</w:t>
      </w:r>
      <w:r w:rsidRPr="002B467E">
        <w:rPr>
          <w:sz w:val="20"/>
          <w:szCs w:val="20"/>
          <w:vertAlign w:val="superscript"/>
          <w:lang w:val="fr-CA"/>
        </w:rPr>
        <w:t>re</w:t>
      </w:r>
      <w:r w:rsidRPr="002B467E">
        <w:rPr>
          <w:sz w:val="20"/>
          <w:szCs w:val="20"/>
          <w:lang w:val="fr-CA"/>
        </w:rPr>
        <w:t> Yue paiera aux appelants/intimés à l’appel incident le montant de dommages</w:t>
      </w:r>
      <w:r w:rsidRPr="002B467E">
        <w:rPr>
          <w:sz w:val="20"/>
          <w:szCs w:val="20"/>
          <w:lang w:val="fr-CA"/>
        </w:rPr>
        <w:noBreakHyphen/>
        <w:t>intérêts fixé par le juge de première instance et les dépens relativement aux instances devant les juridictions inférieures et au pourvoi devant notre Cour.  Les actions contre l’infirmière Bellini, l’hôpital et les D</w:t>
      </w:r>
      <w:r w:rsidRPr="002B467E">
        <w:rPr>
          <w:sz w:val="20"/>
          <w:szCs w:val="20"/>
          <w:vertAlign w:val="superscript"/>
          <w:lang w:val="fr-CA"/>
        </w:rPr>
        <w:t>rs</w:t>
      </w:r>
      <w:r w:rsidRPr="002B467E">
        <w:rPr>
          <w:sz w:val="20"/>
          <w:szCs w:val="20"/>
          <w:lang w:val="fr-CA"/>
        </w:rPr>
        <w:t xml:space="preserve"> Steele et Edris sont rejetées. L’infirmière Bellini et l’hôpital ont droit à leurs dépens relativement au pourvoi incident seulement, payables par les appelants/intimés à l’appel incident.</w:t>
      </w:r>
    </w:p>
    <w:p w:rsidR="009B57A5" w:rsidRPr="002B467E" w:rsidRDefault="009B57A5" w:rsidP="009B57A5">
      <w:pPr>
        <w:jc w:val="both"/>
        <w:rPr>
          <w:sz w:val="20"/>
          <w:szCs w:val="20"/>
          <w:lang w:val="fr-CA"/>
        </w:rPr>
      </w:pPr>
    </w:p>
    <w:p w:rsidR="009B57A5" w:rsidRPr="006C5F7A" w:rsidRDefault="00B35B95" w:rsidP="009B57A5">
      <w:pPr>
        <w:spacing w:line="0" w:lineRule="atLeast"/>
        <w:rPr>
          <w:rFonts w:cs="Times New Roman"/>
          <w:b/>
          <w:sz w:val="20"/>
          <w:szCs w:val="20"/>
        </w:rPr>
      </w:pPr>
      <w:r w:rsidRPr="00B35B95">
        <w:rPr>
          <w:rFonts w:cs="Times New Roman"/>
          <w:b/>
          <w:sz w:val="20"/>
          <w:szCs w:val="20"/>
        </w:rPr>
        <w:pict>
          <v:rect id="_x0000_i1091" style="width:144.3pt;height:1pt" o:hrpct="300" o:hralign="center" o:hrstd="t" o:hrnoshade="t" o:hr="t" fillcolor="black [3213]" stroked="f"/>
        </w:pict>
      </w:r>
    </w:p>
    <w:p w:rsidR="009B57A5" w:rsidRPr="006C5F7A" w:rsidRDefault="009B57A5" w:rsidP="009B57A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cs="Times New Roman"/>
          <w:sz w:val="20"/>
          <w:szCs w:val="20"/>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52"/>
          <w:headerReference w:type="default" r:id="rId53"/>
          <w:footerReference w:type="even" r:id="rId54"/>
          <w:footerReference w:type="default" r:id="rId55"/>
          <w:headerReference w:type="first" r:id="rId56"/>
          <w:footerReference w:type="first" r:id="rId57"/>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C0388E" w:rsidRPr="0001518C" w:rsidRDefault="00C0388E" w:rsidP="00C0388E">
      <w:pPr>
        <w:rPr>
          <w:rFonts w:eastAsia="Calibri" w:cs="Times New Roman"/>
          <w:sz w:val="20"/>
          <w:szCs w:val="20"/>
        </w:rPr>
      </w:pPr>
      <w:r w:rsidRPr="0001518C">
        <w:rPr>
          <w:rFonts w:eastAsia="Calibri" w:cs="Times New Roman"/>
          <w:i/>
          <w:sz w:val="20"/>
          <w:szCs w:val="20"/>
        </w:rPr>
        <w:t>Daishowa-Marubeni International Ltd. v. Her Majesty the Queen</w:t>
      </w:r>
      <w:r w:rsidRPr="0001518C">
        <w:rPr>
          <w:rFonts w:eastAsia="Calibri" w:cs="Times New Roman"/>
          <w:sz w:val="20"/>
          <w:szCs w:val="20"/>
        </w:rPr>
        <w:t xml:space="preserve"> (F.C.) (34534)</w:t>
      </w:r>
    </w:p>
    <w:p w:rsidR="00C0388E" w:rsidRPr="00D8238E" w:rsidRDefault="00C0388E" w:rsidP="00C0388E">
      <w:pPr>
        <w:jc w:val="both"/>
        <w:rPr>
          <w:b/>
          <w:sz w:val="20"/>
          <w:szCs w:val="20"/>
        </w:rPr>
      </w:pPr>
      <w:r w:rsidRPr="00D8238E">
        <w:rPr>
          <w:b/>
          <w:sz w:val="20"/>
          <w:szCs w:val="20"/>
        </w:rPr>
        <w:t xml:space="preserve">Indexed as:  </w:t>
      </w:r>
      <w:r w:rsidRPr="001E1705">
        <w:rPr>
          <w:rStyle w:val="SCCAppellantForIndexChar"/>
          <w:rFonts w:eastAsiaTheme="minorHAnsi"/>
          <w:sz w:val="20"/>
          <w:lang w:val="en-CA"/>
        </w:rPr>
        <w:t>Daishowa</w:t>
      </w:r>
      <w:r w:rsidRPr="001E1705">
        <w:rPr>
          <w:rStyle w:val="SCCAppellantForIndexChar"/>
          <w:rFonts w:eastAsiaTheme="minorHAnsi"/>
          <w:sz w:val="20"/>
          <w:lang w:val="en-CA"/>
        </w:rPr>
        <w:noBreakHyphen/>
        <w:t>Marubeni International Ltd.</w:t>
      </w:r>
      <w:r w:rsidRPr="00D8238E">
        <w:rPr>
          <w:b/>
          <w:sz w:val="20"/>
          <w:szCs w:val="20"/>
        </w:rPr>
        <w:t xml:space="preserve"> </w:t>
      </w:r>
      <w:r w:rsidRPr="00D8238E">
        <w:rPr>
          <w:b/>
          <w:i/>
          <w:sz w:val="20"/>
          <w:szCs w:val="20"/>
        </w:rPr>
        <w:t>v.</w:t>
      </w:r>
      <w:r w:rsidRPr="00D8238E">
        <w:rPr>
          <w:b/>
          <w:sz w:val="20"/>
          <w:szCs w:val="20"/>
        </w:rPr>
        <w:t xml:space="preserve"> Canada</w:t>
      </w:r>
      <w:r>
        <w:rPr>
          <w:b/>
          <w:sz w:val="20"/>
          <w:szCs w:val="20"/>
        </w:rPr>
        <w:t xml:space="preserve"> /</w:t>
      </w:r>
    </w:p>
    <w:p w:rsidR="00C0388E" w:rsidRPr="00370584" w:rsidRDefault="00C0388E" w:rsidP="00C0388E">
      <w:pPr>
        <w:rPr>
          <w:rFonts w:cs="Times New Roman"/>
          <w:i/>
          <w:sz w:val="20"/>
          <w:szCs w:val="20"/>
          <w:lang w:val="fr-CA"/>
        </w:rPr>
      </w:pPr>
      <w:r w:rsidRPr="00370584">
        <w:rPr>
          <w:b/>
          <w:sz w:val="20"/>
          <w:szCs w:val="20"/>
          <w:lang w:val="fr-CA"/>
        </w:rPr>
        <w:t>Répertorié : </w:t>
      </w:r>
      <w:r w:rsidRPr="00370584">
        <w:rPr>
          <w:rStyle w:val="SCCAppellantForIndexChar"/>
          <w:rFonts w:eastAsiaTheme="minorHAnsi"/>
          <w:sz w:val="20"/>
        </w:rPr>
        <w:t>Daishowa</w:t>
      </w:r>
      <w:r w:rsidRPr="00370584">
        <w:rPr>
          <w:rStyle w:val="SCCAppellantForIndexChar"/>
          <w:rFonts w:eastAsiaTheme="minorHAnsi"/>
          <w:sz w:val="20"/>
        </w:rPr>
        <w:noBreakHyphen/>
        <w:t>Marubeni International Ltd.</w:t>
      </w:r>
      <w:r w:rsidRPr="00370584">
        <w:rPr>
          <w:b/>
          <w:sz w:val="20"/>
          <w:szCs w:val="20"/>
          <w:lang w:val="fr-CA"/>
        </w:rPr>
        <w:t xml:space="preserve"> </w:t>
      </w:r>
      <w:r w:rsidRPr="00370584">
        <w:rPr>
          <w:b/>
          <w:i/>
          <w:sz w:val="20"/>
          <w:szCs w:val="20"/>
          <w:lang w:val="fr-CA"/>
        </w:rPr>
        <w:t>c.</w:t>
      </w:r>
      <w:r w:rsidRPr="00370584">
        <w:rPr>
          <w:b/>
          <w:sz w:val="20"/>
          <w:szCs w:val="20"/>
          <w:lang w:val="fr-CA"/>
        </w:rPr>
        <w:t xml:space="preserve"> Canada</w:t>
      </w:r>
    </w:p>
    <w:p w:rsidR="00C0388E" w:rsidRPr="00370584" w:rsidRDefault="00C0388E" w:rsidP="00C0388E">
      <w:pPr>
        <w:pStyle w:val="SCCSystemYear"/>
        <w:jc w:val="both"/>
        <w:rPr>
          <w:sz w:val="20"/>
        </w:rPr>
      </w:pPr>
      <w:r w:rsidRPr="00370584">
        <w:rPr>
          <w:sz w:val="20"/>
        </w:rPr>
        <w:t>Neutral citation:  2013 SCC 29 / Référence neutre : 2013 CSC 29</w:t>
      </w:r>
    </w:p>
    <w:p w:rsidR="00C0388E" w:rsidRPr="003B3977" w:rsidRDefault="00C0388E" w:rsidP="00C0388E">
      <w:pPr>
        <w:rPr>
          <w:rFonts w:cs="Times New Roman"/>
          <w:sz w:val="20"/>
          <w:szCs w:val="20"/>
          <w:lang w:val="fr-CA"/>
        </w:rPr>
      </w:pPr>
      <w:r w:rsidRPr="003B3977">
        <w:rPr>
          <w:rFonts w:cs="Times New Roman"/>
          <w:sz w:val="20"/>
          <w:szCs w:val="20"/>
          <w:lang w:val="fr-CA"/>
        </w:rPr>
        <w:t xml:space="preserve">Hearing:  </w:t>
      </w:r>
      <w:r>
        <w:rPr>
          <w:rFonts w:cs="Times New Roman"/>
          <w:sz w:val="20"/>
          <w:szCs w:val="20"/>
          <w:lang w:val="fr-CA"/>
        </w:rPr>
        <w:t>February 10</w:t>
      </w:r>
      <w:r w:rsidRPr="003B3977">
        <w:rPr>
          <w:rFonts w:cs="Times New Roman"/>
          <w:sz w:val="20"/>
          <w:szCs w:val="20"/>
          <w:lang w:val="fr-CA"/>
        </w:rPr>
        <w:t>, 201</w:t>
      </w:r>
      <w:r>
        <w:rPr>
          <w:rFonts w:cs="Times New Roman"/>
          <w:sz w:val="20"/>
          <w:szCs w:val="20"/>
          <w:lang w:val="fr-CA"/>
        </w:rPr>
        <w:t>3</w:t>
      </w:r>
      <w:r w:rsidRPr="003B3977">
        <w:rPr>
          <w:rFonts w:cs="Times New Roman"/>
          <w:sz w:val="20"/>
          <w:szCs w:val="20"/>
          <w:lang w:val="fr-CA"/>
        </w:rPr>
        <w:t xml:space="preserve"> / Judgment:  </w:t>
      </w:r>
      <w:r>
        <w:rPr>
          <w:rFonts w:cs="Times New Roman"/>
          <w:sz w:val="20"/>
          <w:szCs w:val="20"/>
          <w:lang w:val="fr-CA"/>
        </w:rPr>
        <w:t xml:space="preserve">May </w:t>
      </w:r>
      <w:r w:rsidRPr="003B3977">
        <w:rPr>
          <w:rFonts w:cs="Times New Roman"/>
          <w:sz w:val="20"/>
          <w:szCs w:val="20"/>
          <w:lang w:val="fr-CA"/>
        </w:rPr>
        <w:t>2</w:t>
      </w:r>
      <w:r>
        <w:rPr>
          <w:rFonts w:cs="Times New Roman"/>
          <w:sz w:val="20"/>
          <w:szCs w:val="20"/>
          <w:lang w:val="fr-CA"/>
        </w:rPr>
        <w:t>3</w:t>
      </w:r>
      <w:r w:rsidRPr="003B3977">
        <w:rPr>
          <w:rFonts w:cs="Times New Roman"/>
          <w:sz w:val="20"/>
          <w:szCs w:val="20"/>
          <w:lang w:val="fr-CA"/>
        </w:rPr>
        <w:t>, 201</w:t>
      </w:r>
      <w:r>
        <w:rPr>
          <w:rFonts w:cs="Times New Roman"/>
          <w:sz w:val="20"/>
          <w:szCs w:val="20"/>
          <w:lang w:val="fr-CA"/>
        </w:rPr>
        <w:t>3</w:t>
      </w:r>
    </w:p>
    <w:p w:rsidR="00C0388E" w:rsidRPr="003B3977" w:rsidRDefault="00C0388E" w:rsidP="00C0388E">
      <w:pPr>
        <w:rPr>
          <w:rFonts w:cs="Times New Roman"/>
          <w:sz w:val="20"/>
          <w:szCs w:val="20"/>
          <w:lang w:val="fr-CA"/>
        </w:rPr>
      </w:pPr>
      <w:r w:rsidRPr="003B3977">
        <w:rPr>
          <w:rFonts w:cs="Times New Roman"/>
          <w:sz w:val="20"/>
          <w:szCs w:val="20"/>
          <w:lang w:val="fr-CA"/>
        </w:rPr>
        <w:t xml:space="preserve">Audition : Le </w:t>
      </w:r>
      <w:r>
        <w:rPr>
          <w:rFonts w:cs="Times New Roman"/>
          <w:sz w:val="20"/>
          <w:szCs w:val="20"/>
          <w:lang w:val="fr-CA"/>
        </w:rPr>
        <w:t>10 février</w:t>
      </w:r>
      <w:r w:rsidRPr="003B3977">
        <w:rPr>
          <w:rFonts w:cs="Times New Roman"/>
          <w:sz w:val="20"/>
          <w:szCs w:val="20"/>
          <w:lang w:val="fr-CA"/>
        </w:rPr>
        <w:t xml:space="preserve"> 201</w:t>
      </w:r>
      <w:r>
        <w:rPr>
          <w:rFonts w:cs="Times New Roman"/>
          <w:sz w:val="20"/>
          <w:szCs w:val="20"/>
          <w:lang w:val="fr-CA"/>
        </w:rPr>
        <w:t>3</w:t>
      </w:r>
      <w:r w:rsidRPr="003B3977">
        <w:rPr>
          <w:rFonts w:cs="Times New Roman"/>
          <w:sz w:val="20"/>
          <w:szCs w:val="20"/>
          <w:lang w:val="fr-CA"/>
        </w:rPr>
        <w:t xml:space="preserve"> / Jugement : Le 2</w:t>
      </w:r>
      <w:r>
        <w:rPr>
          <w:rFonts w:cs="Times New Roman"/>
          <w:sz w:val="20"/>
          <w:szCs w:val="20"/>
          <w:lang w:val="fr-CA"/>
        </w:rPr>
        <w:t>3 mai</w:t>
      </w:r>
      <w:r w:rsidRPr="003B3977">
        <w:rPr>
          <w:rFonts w:cs="Times New Roman"/>
          <w:sz w:val="20"/>
          <w:szCs w:val="20"/>
          <w:lang w:val="fr-CA"/>
        </w:rPr>
        <w:t xml:space="preserve"> 201</w:t>
      </w:r>
      <w:r>
        <w:rPr>
          <w:rFonts w:cs="Times New Roman"/>
          <w:sz w:val="20"/>
          <w:szCs w:val="20"/>
          <w:lang w:val="fr-CA"/>
        </w:rPr>
        <w:t>3</w:t>
      </w:r>
    </w:p>
    <w:p w:rsidR="005C6840" w:rsidRPr="003B3977" w:rsidRDefault="00B35B95" w:rsidP="005C6840">
      <w:pPr>
        <w:rPr>
          <w:rFonts w:cs="Times New Roman"/>
          <w:sz w:val="20"/>
          <w:szCs w:val="20"/>
          <w:lang w:val="fr-CA"/>
        </w:rPr>
      </w:pPr>
      <w:r w:rsidRPr="00B35B95">
        <w:rPr>
          <w:rFonts w:cs="Times New Roman"/>
          <w:i/>
          <w:sz w:val="20"/>
          <w:szCs w:val="20"/>
        </w:rPr>
        <w:pict>
          <v:rect id="_x0000_i1094"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C0388E" w:rsidRPr="00D8238E" w:rsidRDefault="00C0388E" w:rsidP="00C0388E">
      <w:pPr>
        <w:jc w:val="both"/>
        <w:rPr>
          <w:sz w:val="20"/>
          <w:szCs w:val="20"/>
        </w:rPr>
      </w:pPr>
      <w:r w:rsidRPr="00D8238E">
        <w:rPr>
          <w:sz w:val="20"/>
          <w:szCs w:val="20"/>
        </w:rPr>
        <w:t>Present:  McLachlin C.J. and LeBel, Fish, Abella, Rothstein, Cromwell, Moldaver, Karakatsanis and Wagner JJ.</w:t>
      </w:r>
    </w:p>
    <w:p w:rsidR="00C0388E" w:rsidRDefault="00C0388E" w:rsidP="00C0388E">
      <w:pPr>
        <w:pStyle w:val="SCCLowerCourtNameLowercase"/>
        <w:spacing w:line="240" w:lineRule="auto"/>
        <w:rPr>
          <w:sz w:val="20"/>
        </w:rPr>
      </w:pPr>
    </w:p>
    <w:p w:rsidR="00C0388E" w:rsidRPr="00D8238E" w:rsidRDefault="00C0388E" w:rsidP="00C0388E">
      <w:pPr>
        <w:pStyle w:val="SCCNormalDoubleSpacing"/>
        <w:spacing w:line="240" w:lineRule="auto"/>
        <w:rPr>
          <w:i/>
          <w:sz w:val="20"/>
        </w:rPr>
      </w:pPr>
      <w:r w:rsidRPr="00D8238E">
        <w:rPr>
          <w:sz w:val="20"/>
        </w:rPr>
        <w:tab/>
      </w:r>
      <w:r w:rsidRPr="00D8238E">
        <w:rPr>
          <w:i/>
          <w:sz w:val="20"/>
        </w:rPr>
        <w:t>Taxation — Income tax — Proceeds of disposition — Sale of forest tenures — Reforestation obligations imposed on forest tenures — Value of reforestation obligations not included in vendor’s proceeds of disposition for tax purposes — Whether reforestation obligations should be included in vendor’s proceeds of disposition for tax purposes — Whether reforestation obligations are distinct debts — Whether reforestation obligations are contingent liabilities — Whether contracting parties agreeing to specific value for future reforestation obligations relevant for tax purposes — Income Tax Act, R.S.C. 1985, c. I</w:t>
      </w:r>
      <w:r w:rsidRPr="00D8238E">
        <w:rPr>
          <w:i/>
          <w:sz w:val="20"/>
        </w:rPr>
        <w:noBreakHyphen/>
        <w:t>13, s. 13(21).</w:t>
      </w:r>
    </w:p>
    <w:p w:rsidR="00C0388E" w:rsidRDefault="00C0388E" w:rsidP="00C0388E">
      <w:pPr>
        <w:pStyle w:val="SCCNormalDoubleSpacing"/>
        <w:spacing w:line="240" w:lineRule="auto"/>
        <w:rPr>
          <w:sz w:val="20"/>
        </w:rPr>
      </w:pPr>
    </w:p>
    <w:p w:rsidR="00C0388E" w:rsidRPr="00D8238E" w:rsidRDefault="00C0388E" w:rsidP="00C0388E">
      <w:pPr>
        <w:pStyle w:val="SCCNormalDoubleSpacing"/>
        <w:spacing w:line="240" w:lineRule="auto"/>
        <w:rPr>
          <w:sz w:val="20"/>
        </w:rPr>
      </w:pPr>
      <w:r w:rsidRPr="00D8238E">
        <w:rPr>
          <w:sz w:val="20"/>
        </w:rPr>
        <w:tab/>
        <w:t xml:space="preserve">In 1999 and 2000, DMI sold two forest tenures in Alberta.  Alberta’s regulatory regime imposed upon the licences an obligation to reforest the areas harvested, a process which generally takes eight to fourteen years.  Both sale agreements provided that the purchasers assumed the obligation to reforest. </w:t>
      </w:r>
    </w:p>
    <w:p w:rsidR="00C0388E" w:rsidRDefault="00C0388E" w:rsidP="00C0388E">
      <w:pPr>
        <w:pStyle w:val="SCCNormalDoubleSpacing"/>
        <w:spacing w:line="240" w:lineRule="auto"/>
        <w:rPr>
          <w:sz w:val="20"/>
        </w:rPr>
      </w:pPr>
    </w:p>
    <w:p w:rsidR="00C0388E" w:rsidRPr="00D8238E" w:rsidRDefault="00C0388E" w:rsidP="00C0388E">
      <w:pPr>
        <w:pStyle w:val="SCCNormalDoubleSpacing"/>
        <w:spacing w:line="240" w:lineRule="auto"/>
        <w:rPr>
          <w:sz w:val="20"/>
        </w:rPr>
      </w:pPr>
      <w:r w:rsidRPr="00D8238E">
        <w:rPr>
          <w:sz w:val="20"/>
        </w:rPr>
        <w:tab/>
        <w:t>In the years in which DMI harvested timber in accordance with the forest tenures, it did not claim a tax deduction for the estimated future reforestation obligations that arose as a result of the harvesting.  In the years in which the sales took place, DMI did not include in its income any amount to reflect the purchasers’ assumption of the reforestation obligations.</w:t>
      </w:r>
    </w:p>
    <w:p w:rsidR="00C0388E" w:rsidRDefault="00C0388E" w:rsidP="00C0388E">
      <w:pPr>
        <w:pStyle w:val="SCCNormalDoubleSpacing"/>
        <w:spacing w:line="240" w:lineRule="auto"/>
        <w:rPr>
          <w:sz w:val="20"/>
        </w:rPr>
      </w:pPr>
    </w:p>
    <w:p w:rsidR="00C0388E" w:rsidRPr="00D8238E" w:rsidRDefault="00C0388E" w:rsidP="00C0388E">
      <w:pPr>
        <w:pStyle w:val="SCCNormalDoubleSpacing"/>
        <w:spacing w:line="240" w:lineRule="auto"/>
        <w:rPr>
          <w:sz w:val="20"/>
        </w:rPr>
      </w:pPr>
      <w:r w:rsidRPr="00D8238E">
        <w:rPr>
          <w:sz w:val="20"/>
        </w:rPr>
        <w:tab/>
        <w:t xml:space="preserve">The Minister of National Revenue reassessed DMI with respect to the 1999 and 2000 taxation years to include amounts equal to the estimated cost of the reforestation obligations in the “proceeds of disposition” under s. 13(21) of the </w:t>
      </w:r>
      <w:r w:rsidRPr="00D8238E">
        <w:rPr>
          <w:i/>
          <w:sz w:val="20"/>
        </w:rPr>
        <w:t>Income Tax Act</w:t>
      </w:r>
      <w:r w:rsidRPr="00D8238E">
        <w:rPr>
          <w:sz w:val="20"/>
        </w:rPr>
        <w:t xml:space="preserve">.  The Tax Court of Canada allowed DMI’s appeal of the Minister’s reassessment in part, holding that, upon sale of a forest tenure, the purchaser’s assumption of reforestation obligations is properly included in the vendor’s proceeds of disposition under s. 13(21), but that only a percentage of the estimated cost should have been included.  A majority of the Court of Appeal held that DMI was required to include the entire estimated cost of the reforestation obligations associated with each tenure in its proceeds of disposition. </w:t>
      </w:r>
    </w:p>
    <w:p w:rsidR="00C0388E" w:rsidRDefault="00C0388E" w:rsidP="00C0388E">
      <w:pPr>
        <w:pStyle w:val="SCCNormalDoubleSpacing"/>
        <w:spacing w:line="240" w:lineRule="auto"/>
        <w:rPr>
          <w:sz w:val="20"/>
        </w:rPr>
      </w:pPr>
    </w:p>
    <w:p w:rsidR="00C0388E" w:rsidRPr="00D8238E" w:rsidRDefault="00C0388E" w:rsidP="00C0388E">
      <w:pPr>
        <w:pStyle w:val="SCCNormalDoubleSpacing"/>
        <w:spacing w:line="240" w:lineRule="auto"/>
        <w:rPr>
          <w:sz w:val="20"/>
        </w:rPr>
      </w:pPr>
      <w:r w:rsidRPr="00D8238E">
        <w:rPr>
          <w:sz w:val="20"/>
        </w:rPr>
        <w:tab/>
      </w:r>
      <w:r w:rsidRPr="00D8238E">
        <w:rPr>
          <w:i/>
          <w:sz w:val="20"/>
        </w:rPr>
        <w:t>Held</w:t>
      </w:r>
      <w:r w:rsidRPr="00D8238E">
        <w:rPr>
          <w:sz w:val="20"/>
        </w:rPr>
        <w:t>:  The appeal should be allowed and the matter should be remitted to the Minister for reassessment.</w:t>
      </w:r>
    </w:p>
    <w:p w:rsidR="00C0388E" w:rsidRDefault="00C0388E" w:rsidP="00C0388E">
      <w:pPr>
        <w:pStyle w:val="SCCNormalDoubleSpacing"/>
        <w:spacing w:line="240" w:lineRule="auto"/>
        <w:rPr>
          <w:sz w:val="20"/>
        </w:rPr>
      </w:pPr>
    </w:p>
    <w:p w:rsidR="00C0388E" w:rsidRPr="00D8238E" w:rsidRDefault="00C0388E" w:rsidP="00C0388E">
      <w:pPr>
        <w:pStyle w:val="SCCNormalDoubleSpacing"/>
        <w:spacing w:line="240" w:lineRule="auto"/>
        <w:rPr>
          <w:sz w:val="20"/>
        </w:rPr>
      </w:pPr>
      <w:r w:rsidRPr="00D8238E">
        <w:rPr>
          <w:sz w:val="20"/>
        </w:rPr>
        <w:tab/>
        <w:t xml:space="preserve">DMI was not required to include the estimated cost of reforestation in its “proceeds of disposition” for income tax purposes.  As a matter of principle, the assumption of a vendor’s liability by a purchaser may constitute part of the sale price and therefore part of the proceeds of disposition.  However, the reforestation obligation associated with a forest tenure is not a distinct existing liability that must be included in the proceeds disposition.  The reforestation obligation is embedded in the forest tenure by virtue of Alberta’s regulatory scheme, which prevents a vendor from selling forest tenures without also assigning the reforestation obligations.  As such, they are simply a future cost tied to the tenure that depresses the value of the tenure.  This is so irrespective of whether the contracting parties agreed to an estimated future cost for the reforestation or the vendor estimated the cost of future reforestation obligations to compute its income for accounting purposes. </w:t>
      </w:r>
    </w:p>
    <w:p w:rsidR="00C0388E" w:rsidRDefault="00C0388E" w:rsidP="00C0388E">
      <w:pPr>
        <w:pStyle w:val="SCCNormalDoubleSpacing"/>
        <w:spacing w:line="240" w:lineRule="auto"/>
        <w:rPr>
          <w:sz w:val="20"/>
        </w:rPr>
      </w:pPr>
    </w:p>
    <w:p w:rsidR="00C0388E" w:rsidRPr="00D8238E" w:rsidRDefault="00C0388E" w:rsidP="00C0388E">
      <w:pPr>
        <w:pStyle w:val="SCCNormalDoubleSpacing"/>
        <w:spacing w:line="240" w:lineRule="auto"/>
        <w:rPr>
          <w:sz w:val="20"/>
        </w:rPr>
      </w:pPr>
      <w:r w:rsidRPr="00D8238E">
        <w:rPr>
          <w:sz w:val="20"/>
        </w:rPr>
        <w:tab/>
        <w:t xml:space="preserve">DMI’s argument that the reforestation obligations should not be included in its proceeds of disposition because they are a “contingent liability” is misplaced because it implicitly assumes that the reforestation obligations are a distinct existing liability of the vendor.  As an embedded future cost, the reforestation obligations are properly excluded from proceeds of disposition regardless of whether they are contingent or absolute.  </w:t>
      </w:r>
    </w:p>
    <w:p w:rsidR="00C0388E" w:rsidRDefault="00C0388E" w:rsidP="00C0388E">
      <w:pPr>
        <w:pStyle w:val="SCCNormalDoubleSpacing"/>
        <w:spacing w:line="240" w:lineRule="auto"/>
        <w:rPr>
          <w:sz w:val="20"/>
        </w:rPr>
      </w:pPr>
    </w:p>
    <w:p w:rsidR="00C0388E" w:rsidRDefault="00C0388E" w:rsidP="00C0388E">
      <w:pPr>
        <w:pStyle w:val="SCCNormalDoubleSpacing"/>
        <w:spacing w:line="240" w:lineRule="auto"/>
        <w:rPr>
          <w:sz w:val="20"/>
        </w:rPr>
      </w:pPr>
      <w:r w:rsidRPr="00D8238E">
        <w:rPr>
          <w:sz w:val="20"/>
        </w:rPr>
        <w:tab/>
        <w:t xml:space="preserve">The conclusion that a purchaser’s assumption of the reforestation obligations is not part of the proceeds of disposition avoids the asymmetry inherent in the Minister’s approach, which would tax the vendor at the time of the </w:t>
      </w:r>
      <w:r w:rsidRPr="00D8238E">
        <w:rPr>
          <w:sz w:val="20"/>
        </w:rPr>
        <w:lastRenderedPageBreak/>
        <w:t>sale as if the reforestation obligations assumed by the purchaser were part of the sale price, but tax the purchaser as if they were not.</w:t>
      </w:r>
    </w:p>
    <w:p w:rsidR="00C0388E" w:rsidRDefault="00C0388E" w:rsidP="00C0388E">
      <w:pPr>
        <w:pStyle w:val="SCCNormalDoubleSpacing"/>
        <w:spacing w:line="240" w:lineRule="auto"/>
        <w:rPr>
          <w:sz w:val="20"/>
        </w:rPr>
      </w:pPr>
    </w:p>
    <w:p w:rsidR="00C0388E" w:rsidRPr="00D8238E" w:rsidRDefault="00C0388E" w:rsidP="00C0388E">
      <w:pPr>
        <w:pStyle w:val="SCCNormalDoubleSpacing"/>
        <w:spacing w:line="240" w:lineRule="auto"/>
        <w:rPr>
          <w:sz w:val="20"/>
          <w:lang w:val="en-US"/>
        </w:rPr>
      </w:pPr>
      <w:r w:rsidRPr="00D8238E">
        <w:rPr>
          <w:sz w:val="20"/>
        </w:rPr>
        <w:tab/>
        <w:t>APPEAL from a judgment of the Federal Court of Appeal (</w:t>
      </w:r>
      <w:r w:rsidRPr="00D8238E">
        <w:rPr>
          <w:sz w:val="20"/>
          <w:lang w:val="en-US"/>
        </w:rPr>
        <w:t>Nadon, Layden</w:t>
      </w:r>
      <w:r w:rsidRPr="00D8238E">
        <w:rPr>
          <w:sz w:val="20"/>
          <w:lang w:val="en-US"/>
        </w:rPr>
        <w:noBreakHyphen/>
        <w:t>Stevenson and Mainville JJ.A.), 2011 FCA 267, 422 N.R. 108, 2011 D.T.C. 5157, [2012] 1 C.T.C. 116, [2011] F.C.J. No. 1351 (QL), 2011 CarswellNat 3770, setting aside a decision of Miller J., 2010 TCC 317, 2010 D.T.C. 1216, [2010] 5 C.T.C. 2289, [2010] T.C.J. No. 228 (QL), 2010 CarswellNat 1649.  Appeal allowed.</w:t>
      </w:r>
    </w:p>
    <w:p w:rsidR="00C0388E" w:rsidRDefault="00C0388E" w:rsidP="00C0388E">
      <w:pPr>
        <w:pStyle w:val="SCCNormalDoubleSpacing"/>
        <w:spacing w:line="240" w:lineRule="auto"/>
        <w:rPr>
          <w:rStyle w:val="SCCCounselNameChar"/>
          <w:sz w:val="20"/>
        </w:rPr>
      </w:pPr>
    </w:p>
    <w:p w:rsidR="00C0388E" w:rsidRPr="00D8238E" w:rsidRDefault="00C0388E" w:rsidP="00C0388E">
      <w:pPr>
        <w:pStyle w:val="SCCNormalDoubleSpacing"/>
        <w:spacing w:line="240" w:lineRule="auto"/>
        <w:rPr>
          <w:sz w:val="20"/>
        </w:rPr>
      </w:pPr>
      <w:r w:rsidRPr="00D8238E">
        <w:rPr>
          <w:rStyle w:val="SCCCounselNameChar"/>
          <w:sz w:val="20"/>
        </w:rPr>
        <w:tab/>
        <w:t>John H. Saunders</w:t>
      </w:r>
      <w:r w:rsidRPr="00D8238E">
        <w:rPr>
          <w:rStyle w:val="SCCCounselPartyRoleChar"/>
          <w:sz w:val="20"/>
        </w:rPr>
        <w:t>, for the appellant.</w:t>
      </w:r>
    </w:p>
    <w:p w:rsidR="00C0388E" w:rsidRDefault="00C0388E" w:rsidP="00C0388E">
      <w:pPr>
        <w:pStyle w:val="SCCNormalDoubleSpacing"/>
        <w:spacing w:line="240" w:lineRule="auto"/>
        <w:rPr>
          <w:rStyle w:val="SCCCounselNameChar"/>
          <w:sz w:val="20"/>
        </w:rPr>
      </w:pPr>
    </w:p>
    <w:p w:rsidR="00C0388E" w:rsidRPr="00D8238E" w:rsidRDefault="00C0388E" w:rsidP="00C0388E">
      <w:pPr>
        <w:pStyle w:val="SCCNormalDoubleSpacing"/>
        <w:spacing w:line="240" w:lineRule="auto"/>
        <w:rPr>
          <w:sz w:val="20"/>
        </w:rPr>
      </w:pPr>
      <w:r w:rsidRPr="00D8238E">
        <w:rPr>
          <w:rStyle w:val="SCCCounselNameChar"/>
          <w:sz w:val="20"/>
        </w:rPr>
        <w:tab/>
        <w:t>David W. Jacyk</w:t>
      </w:r>
      <w:r w:rsidRPr="001E1705">
        <w:rPr>
          <w:rStyle w:val="SCCCounselSeparatorChar"/>
          <w:sz w:val="20"/>
          <w:lang w:val="en-CA"/>
        </w:rPr>
        <w:t xml:space="preserve"> and </w:t>
      </w:r>
      <w:r w:rsidRPr="001E1705">
        <w:rPr>
          <w:rStyle w:val="SCCCounselSeparatorChar"/>
          <w:i/>
          <w:sz w:val="20"/>
          <w:lang w:val="en-CA"/>
        </w:rPr>
        <w:t>Lisa M. Macdonell</w:t>
      </w:r>
      <w:r w:rsidRPr="00D8238E">
        <w:rPr>
          <w:rStyle w:val="SCCCounselPartyRoleChar"/>
          <w:sz w:val="20"/>
        </w:rPr>
        <w:t>, for the respondent.</w:t>
      </w:r>
    </w:p>
    <w:p w:rsidR="00C0388E" w:rsidRDefault="00C0388E" w:rsidP="00C0388E">
      <w:pPr>
        <w:pStyle w:val="SCCNormalDoubleSpacing"/>
        <w:spacing w:line="240" w:lineRule="auto"/>
        <w:rPr>
          <w:rStyle w:val="SCCCounselNameChar"/>
          <w:sz w:val="20"/>
        </w:rPr>
      </w:pPr>
    </w:p>
    <w:p w:rsidR="00C0388E" w:rsidRPr="00D8238E" w:rsidRDefault="00C0388E" w:rsidP="00C0388E">
      <w:pPr>
        <w:pStyle w:val="SCCNormalDoubleSpacing"/>
        <w:spacing w:line="240" w:lineRule="auto"/>
        <w:rPr>
          <w:sz w:val="20"/>
        </w:rPr>
      </w:pPr>
      <w:r w:rsidRPr="00D8238E">
        <w:rPr>
          <w:rStyle w:val="SCCCounselNameChar"/>
          <w:sz w:val="20"/>
        </w:rPr>
        <w:tab/>
        <w:t>Marta E. Burns</w:t>
      </w:r>
      <w:r w:rsidRPr="00D8238E">
        <w:rPr>
          <w:rStyle w:val="SCCCounselPartyRoleChar"/>
          <w:sz w:val="20"/>
        </w:rPr>
        <w:t xml:space="preserve">, </w:t>
      </w:r>
      <w:r w:rsidRPr="00D8238E">
        <w:rPr>
          <w:rStyle w:val="SCCCounselPartyRoleChar"/>
          <w:i/>
          <w:sz w:val="20"/>
        </w:rPr>
        <w:t>Michael Sobkin</w:t>
      </w:r>
      <w:r w:rsidRPr="00D8238E">
        <w:rPr>
          <w:rStyle w:val="SCCCounselPartyRoleChar"/>
          <w:sz w:val="20"/>
        </w:rPr>
        <w:t xml:space="preserve">, </w:t>
      </w:r>
      <w:r w:rsidRPr="00D8238E">
        <w:rPr>
          <w:rStyle w:val="SCCCounselNameChar"/>
          <w:sz w:val="20"/>
        </w:rPr>
        <w:t>Jeffrey W. A. Moore</w:t>
      </w:r>
      <w:r w:rsidRPr="001E1705">
        <w:rPr>
          <w:rStyle w:val="SCCCounselSeparatorChar"/>
          <w:sz w:val="20"/>
          <w:lang w:val="en-CA"/>
        </w:rPr>
        <w:t xml:space="preserve"> and </w:t>
      </w:r>
      <w:r w:rsidRPr="001E1705">
        <w:rPr>
          <w:rStyle w:val="SCCCounselSeparatorChar"/>
          <w:i/>
          <w:sz w:val="20"/>
          <w:lang w:val="en-CA"/>
        </w:rPr>
        <w:t>Monica Johnson</w:t>
      </w:r>
      <w:r w:rsidRPr="001E1705">
        <w:rPr>
          <w:rStyle w:val="SCCCounselSeparatorChar"/>
          <w:sz w:val="20"/>
          <w:lang w:val="en-CA"/>
        </w:rPr>
        <w:t xml:space="preserve">, </w:t>
      </w:r>
      <w:r w:rsidRPr="00D8238E">
        <w:rPr>
          <w:rStyle w:val="SCCCounselPartyRoleChar"/>
          <w:sz w:val="20"/>
        </w:rPr>
        <w:t>for the intervener Her Majesty the Queen in Right of Alberta.</w:t>
      </w:r>
    </w:p>
    <w:p w:rsidR="00C0388E" w:rsidRDefault="00C0388E" w:rsidP="00C0388E">
      <w:pPr>
        <w:pStyle w:val="SCCNormalDoubleSpacing"/>
        <w:spacing w:line="240" w:lineRule="auto"/>
        <w:rPr>
          <w:rStyle w:val="SCCCounselNameChar"/>
          <w:sz w:val="20"/>
        </w:rPr>
      </w:pPr>
    </w:p>
    <w:p w:rsidR="00C0388E" w:rsidRPr="00D8238E" w:rsidRDefault="00C0388E" w:rsidP="00C0388E">
      <w:pPr>
        <w:pStyle w:val="SCCNormalDoubleSpacing"/>
        <w:spacing w:line="240" w:lineRule="auto"/>
        <w:rPr>
          <w:sz w:val="20"/>
        </w:rPr>
      </w:pPr>
      <w:r w:rsidRPr="00D8238E">
        <w:rPr>
          <w:rStyle w:val="SCCCounselNameChar"/>
          <w:sz w:val="20"/>
        </w:rPr>
        <w:tab/>
        <w:t>Warren J. A. Mitchell, Q.C.</w:t>
      </w:r>
      <w:r w:rsidRPr="00D8238E">
        <w:rPr>
          <w:rStyle w:val="SCCCounselPartyRoleChar"/>
          <w:sz w:val="20"/>
        </w:rPr>
        <w:t xml:space="preserve">, </w:t>
      </w:r>
      <w:r w:rsidRPr="00D8238E">
        <w:rPr>
          <w:rStyle w:val="SCCCounselPartyRoleChar"/>
          <w:i/>
          <w:sz w:val="20"/>
        </w:rPr>
        <w:t>Ian Gamble</w:t>
      </w:r>
      <w:r w:rsidRPr="00D8238E">
        <w:rPr>
          <w:rStyle w:val="SCCCounselPartyRoleChar"/>
          <w:sz w:val="20"/>
        </w:rPr>
        <w:t xml:space="preserve"> and </w:t>
      </w:r>
      <w:r w:rsidRPr="00D8238E">
        <w:rPr>
          <w:rStyle w:val="SCCCounselPartyRoleChar"/>
          <w:i/>
          <w:sz w:val="20"/>
        </w:rPr>
        <w:t>Leah Plumridge</w:t>
      </w:r>
      <w:r w:rsidRPr="00D8238E">
        <w:rPr>
          <w:rStyle w:val="SCCCounselPartyRoleChar"/>
          <w:sz w:val="20"/>
        </w:rPr>
        <w:t>, for the interveners Tolko Industries Ltd., International Forest Products Ltd., West Fraser Timber Co. Ltd. and Canfor Corporation.</w:t>
      </w:r>
    </w:p>
    <w:p w:rsidR="00C0388E" w:rsidRDefault="00C0388E" w:rsidP="00C0388E">
      <w:pPr>
        <w:pStyle w:val="SCCNormalDoubleSpacing"/>
        <w:spacing w:line="240" w:lineRule="auto"/>
        <w:rPr>
          <w:rStyle w:val="SCCCounselNameChar"/>
          <w:sz w:val="20"/>
        </w:rPr>
      </w:pPr>
    </w:p>
    <w:p w:rsidR="00C0388E" w:rsidRPr="00D8238E" w:rsidRDefault="00C0388E" w:rsidP="00C0388E">
      <w:pPr>
        <w:pStyle w:val="SCCNormalDoubleSpacing"/>
        <w:spacing w:line="240" w:lineRule="auto"/>
        <w:rPr>
          <w:sz w:val="20"/>
        </w:rPr>
      </w:pPr>
      <w:r w:rsidRPr="00D8238E">
        <w:rPr>
          <w:rStyle w:val="SCCCounselNameChar"/>
          <w:sz w:val="20"/>
        </w:rPr>
        <w:tab/>
        <w:t>Al Meghji</w:t>
      </w:r>
      <w:r w:rsidRPr="001E1705">
        <w:rPr>
          <w:rStyle w:val="SCCCounselSeparatorChar"/>
          <w:sz w:val="20"/>
          <w:lang w:val="en-CA"/>
        </w:rPr>
        <w:t xml:space="preserve"> and </w:t>
      </w:r>
      <w:r w:rsidRPr="00D8238E">
        <w:rPr>
          <w:rStyle w:val="SCCCounselNameChar"/>
          <w:sz w:val="20"/>
        </w:rPr>
        <w:t>Monica Biringer</w:t>
      </w:r>
      <w:r w:rsidRPr="00D8238E">
        <w:rPr>
          <w:rStyle w:val="SCCCounselPartyRoleChar"/>
          <w:sz w:val="20"/>
        </w:rPr>
        <w:t>, for the intervener the Canadian Association of Petroleum Producers.</w:t>
      </w:r>
    </w:p>
    <w:p w:rsidR="00C0388E" w:rsidRDefault="00C0388E" w:rsidP="00C0388E">
      <w:pPr>
        <w:pStyle w:val="SCCLawFirm"/>
        <w:spacing w:line="240" w:lineRule="auto"/>
        <w:rPr>
          <w:sz w:val="20"/>
        </w:rPr>
      </w:pPr>
    </w:p>
    <w:p w:rsidR="00C0388E" w:rsidRPr="00D8238E" w:rsidRDefault="00C0388E" w:rsidP="00C0388E">
      <w:pPr>
        <w:pStyle w:val="SCCLawFirm"/>
        <w:spacing w:line="240" w:lineRule="auto"/>
        <w:rPr>
          <w:sz w:val="20"/>
        </w:rPr>
      </w:pPr>
      <w:r w:rsidRPr="00D8238E">
        <w:rPr>
          <w:sz w:val="20"/>
        </w:rPr>
        <w:tab/>
        <w:t>Solicitors for the appellant:  Wilson &amp; Partners, Vancouver.</w:t>
      </w:r>
    </w:p>
    <w:p w:rsidR="00C0388E" w:rsidRDefault="00C0388E" w:rsidP="00C0388E">
      <w:pPr>
        <w:pStyle w:val="SCCLawFirm"/>
        <w:spacing w:line="240" w:lineRule="auto"/>
        <w:rPr>
          <w:sz w:val="20"/>
        </w:rPr>
      </w:pPr>
    </w:p>
    <w:p w:rsidR="00C0388E" w:rsidRPr="00D8238E" w:rsidRDefault="00C0388E" w:rsidP="00C0388E">
      <w:pPr>
        <w:pStyle w:val="SCCLawFirm"/>
        <w:spacing w:line="240" w:lineRule="auto"/>
        <w:rPr>
          <w:sz w:val="20"/>
        </w:rPr>
      </w:pPr>
      <w:r w:rsidRPr="00D8238E">
        <w:rPr>
          <w:sz w:val="20"/>
        </w:rPr>
        <w:tab/>
        <w:t>Solicitor for the respondent:  Attorney General of Canada, Vancouver.</w:t>
      </w:r>
    </w:p>
    <w:p w:rsidR="00C0388E" w:rsidRDefault="00C0388E" w:rsidP="00C0388E">
      <w:pPr>
        <w:pStyle w:val="SCCLawFirm"/>
        <w:spacing w:line="240" w:lineRule="auto"/>
        <w:rPr>
          <w:sz w:val="20"/>
        </w:rPr>
      </w:pPr>
    </w:p>
    <w:p w:rsidR="00C0388E" w:rsidRPr="00D8238E" w:rsidRDefault="00C0388E" w:rsidP="00C0388E">
      <w:pPr>
        <w:pStyle w:val="SCCLawFirm"/>
        <w:spacing w:line="240" w:lineRule="auto"/>
        <w:rPr>
          <w:sz w:val="20"/>
        </w:rPr>
      </w:pPr>
      <w:r w:rsidRPr="00D8238E">
        <w:rPr>
          <w:sz w:val="20"/>
        </w:rPr>
        <w:tab/>
        <w:t>Solicitor for the intervener Her Majesty the Queen in Right of Alberta:  Attorney General of Alberta, Edmonton.</w:t>
      </w:r>
    </w:p>
    <w:p w:rsidR="00C0388E" w:rsidRDefault="00C0388E" w:rsidP="00C0388E">
      <w:pPr>
        <w:pStyle w:val="SCCLawFirm"/>
        <w:spacing w:line="240" w:lineRule="auto"/>
        <w:rPr>
          <w:sz w:val="20"/>
        </w:rPr>
      </w:pPr>
    </w:p>
    <w:p w:rsidR="00C0388E" w:rsidRPr="00D8238E" w:rsidRDefault="00C0388E" w:rsidP="00C0388E">
      <w:pPr>
        <w:pStyle w:val="SCCLawFirm"/>
        <w:spacing w:line="240" w:lineRule="auto"/>
        <w:rPr>
          <w:sz w:val="20"/>
        </w:rPr>
      </w:pPr>
      <w:r w:rsidRPr="00D8238E">
        <w:rPr>
          <w:sz w:val="20"/>
        </w:rPr>
        <w:tab/>
        <w:t>Solicitors for the interveners Tolko Industries Ltd., International Forest Products Ltd., West Fraser Timber Co. Ltd. and Canfor Corporation:  Thorsteinssons, Vancouver.</w:t>
      </w:r>
    </w:p>
    <w:p w:rsidR="00C0388E" w:rsidRDefault="00C0388E" w:rsidP="00C0388E">
      <w:pPr>
        <w:pStyle w:val="SCCLawFirm"/>
        <w:spacing w:line="240" w:lineRule="auto"/>
        <w:rPr>
          <w:sz w:val="20"/>
        </w:rPr>
      </w:pPr>
    </w:p>
    <w:p w:rsidR="00C0388E" w:rsidRDefault="00C0388E" w:rsidP="00C0388E">
      <w:pPr>
        <w:pStyle w:val="SCCLawFirm"/>
        <w:spacing w:line="240" w:lineRule="auto"/>
        <w:rPr>
          <w:sz w:val="20"/>
        </w:rPr>
      </w:pPr>
      <w:r w:rsidRPr="00D8238E">
        <w:rPr>
          <w:sz w:val="20"/>
        </w:rPr>
        <w:tab/>
        <w:t>Solicitors for the intervener the Canadian Association of Petroleum Producers:  Osler, Hoskin &amp; Harcourt, Toronto.</w:t>
      </w:r>
    </w:p>
    <w:p w:rsidR="00C0388E" w:rsidRPr="003B3977" w:rsidRDefault="00C0388E" w:rsidP="00C0388E">
      <w:pPr>
        <w:rPr>
          <w:rFonts w:cs="Times New Roman"/>
          <w:sz w:val="20"/>
          <w:szCs w:val="20"/>
          <w:lang w:val="fr-CA"/>
        </w:rPr>
      </w:pPr>
      <w:r w:rsidRPr="003B3977">
        <w:rPr>
          <w:rFonts w:cs="Times New Roman"/>
          <w:sz w:val="20"/>
          <w:szCs w:val="20"/>
          <w:lang w:val="fr-CA"/>
        </w:rPr>
        <w:t>________________________</w:t>
      </w:r>
    </w:p>
    <w:p w:rsidR="00C0388E" w:rsidRPr="003B3977" w:rsidRDefault="00C0388E" w:rsidP="00C0388E">
      <w:pPr>
        <w:rPr>
          <w:rFonts w:cs="Times New Roman"/>
          <w:sz w:val="20"/>
          <w:szCs w:val="20"/>
          <w:lang w:val="fr-CA"/>
        </w:rPr>
      </w:pPr>
    </w:p>
    <w:p w:rsidR="00C0388E" w:rsidRPr="00F330C1" w:rsidRDefault="00C0388E" w:rsidP="00C0388E">
      <w:pPr>
        <w:jc w:val="both"/>
        <w:rPr>
          <w:smallCaps/>
          <w:sz w:val="20"/>
          <w:szCs w:val="20"/>
          <w:lang w:val="fr-CA"/>
        </w:rPr>
      </w:pPr>
      <w:r w:rsidRPr="00F330C1">
        <w:rPr>
          <w:sz w:val="20"/>
          <w:szCs w:val="20"/>
          <w:lang w:val="fr-CA"/>
        </w:rPr>
        <w:t>Présents : La juge en chef McLachlin et les juges LeBel, Fish, Abella, Rothstein, Cromwell, Moldaver, Karakatsanis et Wagner.</w:t>
      </w:r>
    </w:p>
    <w:p w:rsidR="00C0388E" w:rsidRDefault="00C0388E" w:rsidP="00C0388E">
      <w:pPr>
        <w:pStyle w:val="SCCNormalDoubleSpacing"/>
        <w:spacing w:line="240" w:lineRule="auto"/>
        <w:rPr>
          <w:sz w:val="20"/>
          <w:lang w:val="fr-CA"/>
        </w:rPr>
      </w:pPr>
    </w:p>
    <w:p w:rsidR="00C0388E" w:rsidRPr="00F330C1" w:rsidRDefault="00C0388E" w:rsidP="00C0388E">
      <w:pPr>
        <w:pStyle w:val="SCCNormalDoubleSpacing"/>
        <w:spacing w:line="240" w:lineRule="auto"/>
        <w:rPr>
          <w:sz w:val="20"/>
          <w:lang w:val="fr-CA"/>
        </w:rPr>
      </w:pPr>
      <w:r w:rsidRPr="00F330C1">
        <w:rPr>
          <w:sz w:val="20"/>
          <w:lang w:val="fr-CA"/>
        </w:rPr>
        <w:tab/>
      </w:r>
      <w:r w:rsidRPr="00F330C1">
        <w:rPr>
          <w:i/>
          <w:sz w:val="20"/>
          <w:lang w:val="fr-CA"/>
        </w:rPr>
        <w:t>Droit fiscal — Impôt sur le revenu — Produit de disposition — Vente de tenures forestières — Tenures forestières assorties d’obligations de reboisement — Valeur des obligations relatives au reboisement non incluse dans le produit de disposition du vendeur aux fins de l’impôt — Les obligations relatives au reboisement doivent</w:t>
      </w:r>
      <w:r w:rsidRPr="00F330C1">
        <w:rPr>
          <w:i/>
          <w:sz w:val="20"/>
          <w:lang w:val="fr-CA"/>
        </w:rPr>
        <w:noBreakHyphen/>
        <w:t>elles être incluses dans le produit de disposition du vendeur aux fins de l’impôt? — Les obligations relatives au reboisement constituent</w:t>
      </w:r>
      <w:r w:rsidRPr="00F330C1">
        <w:rPr>
          <w:i/>
          <w:sz w:val="20"/>
          <w:lang w:val="fr-CA"/>
        </w:rPr>
        <w:noBreakHyphen/>
        <w:t>elles des dettes distinctes? — Les obligations relatives au reboisement constituent</w:t>
      </w:r>
      <w:r w:rsidRPr="00F330C1">
        <w:rPr>
          <w:i/>
          <w:sz w:val="20"/>
          <w:lang w:val="fr-CA"/>
        </w:rPr>
        <w:noBreakHyphen/>
        <w:t>elles des obligations éventuelles? — La valeur précise attribuée par les parties contractantes aux obligations futures relatives au reboisement est</w:t>
      </w:r>
      <w:r w:rsidRPr="00F330C1">
        <w:rPr>
          <w:i/>
          <w:sz w:val="20"/>
          <w:lang w:val="fr-CA"/>
        </w:rPr>
        <w:noBreakHyphen/>
        <w:t>elle pertinente aux fins de l’impôt? — Loi de l’impôt sur le revenu, L.R.C. 1985, ch. I</w:t>
      </w:r>
      <w:r w:rsidRPr="00F330C1">
        <w:rPr>
          <w:i/>
          <w:sz w:val="20"/>
          <w:lang w:val="fr-CA"/>
        </w:rPr>
        <w:noBreakHyphen/>
        <w:t>13, par. 13(2)</w:t>
      </w:r>
    </w:p>
    <w:p w:rsidR="00C0388E" w:rsidRDefault="00C0388E" w:rsidP="00C0388E">
      <w:pPr>
        <w:pStyle w:val="SCCNormalDoubleSpacing"/>
        <w:spacing w:line="240" w:lineRule="auto"/>
        <w:rPr>
          <w:sz w:val="20"/>
          <w:lang w:val="fr-CA"/>
        </w:rPr>
      </w:pPr>
    </w:p>
    <w:p w:rsidR="00C0388E" w:rsidRPr="00F330C1" w:rsidRDefault="00C0388E" w:rsidP="00C0388E">
      <w:pPr>
        <w:pStyle w:val="SCCNormalDoubleSpacing"/>
        <w:spacing w:line="240" w:lineRule="auto"/>
        <w:rPr>
          <w:sz w:val="20"/>
          <w:lang w:val="fr-CA"/>
        </w:rPr>
      </w:pPr>
      <w:r w:rsidRPr="00F330C1">
        <w:rPr>
          <w:sz w:val="20"/>
          <w:lang w:val="fr-CA"/>
        </w:rPr>
        <w:tab/>
        <w:t xml:space="preserve">En 1999 et 2000, DMI a vendu deux tenures forestières en Alberta.  Le régime de réglementation de l’Alberta incorporait aux permis de coupe de bois une obligation de reboiser les superficies récoltées, un processus qui prend généralement de huit à quatorze ans.  Les deux contrats de vente prévoyaient que les acheteurs prenaient en charge l’obligation relative au reboisement. </w:t>
      </w:r>
    </w:p>
    <w:p w:rsidR="00C0388E" w:rsidRDefault="00C0388E" w:rsidP="00C0388E">
      <w:pPr>
        <w:pStyle w:val="SCCNormalDoubleSpacing"/>
        <w:spacing w:line="240" w:lineRule="auto"/>
        <w:rPr>
          <w:sz w:val="20"/>
          <w:lang w:val="fr-CA"/>
        </w:rPr>
      </w:pPr>
    </w:p>
    <w:p w:rsidR="00C0388E" w:rsidRPr="00F330C1" w:rsidRDefault="00C0388E" w:rsidP="00C0388E">
      <w:pPr>
        <w:pStyle w:val="SCCNormalDoubleSpacing"/>
        <w:spacing w:line="240" w:lineRule="auto"/>
        <w:rPr>
          <w:sz w:val="20"/>
          <w:lang w:val="fr-CA"/>
        </w:rPr>
      </w:pPr>
      <w:r w:rsidRPr="00F330C1">
        <w:rPr>
          <w:sz w:val="20"/>
          <w:lang w:val="fr-CA"/>
        </w:rPr>
        <w:tab/>
        <w:t xml:space="preserve">Au cours des années durant lesquelles DMI a récolté du bois aux termes des tenures forestières, elle n’a réclamé aucune déduction fiscale au titre des obligations futures estimatives relatives au reboisement qui ont pris naissance du fait des récoltes.  Dans les années où les ventes ont eu lieu, DMI n’a pas inclus dans son revenu une somme qui tient compte de la prise en charge, par les acheteurs, de ses obligations relatives au reboisement. </w:t>
      </w:r>
    </w:p>
    <w:p w:rsidR="00C0388E" w:rsidRDefault="00C0388E" w:rsidP="00C0388E">
      <w:pPr>
        <w:pStyle w:val="SCCNormalDoubleSpacing"/>
        <w:spacing w:line="240" w:lineRule="auto"/>
        <w:rPr>
          <w:sz w:val="20"/>
          <w:lang w:val="fr-CA"/>
        </w:rPr>
      </w:pPr>
    </w:p>
    <w:p w:rsidR="00C0388E" w:rsidRPr="00F330C1" w:rsidRDefault="00C0388E" w:rsidP="00C0388E">
      <w:pPr>
        <w:pStyle w:val="SCCNormalDoubleSpacing"/>
        <w:spacing w:line="240" w:lineRule="auto"/>
        <w:rPr>
          <w:sz w:val="20"/>
          <w:lang w:val="fr-CA"/>
        </w:rPr>
      </w:pPr>
      <w:r w:rsidRPr="00F330C1">
        <w:rPr>
          <w:sz w:val="20"/>
          <w:lang w:val="fr-CA"/>
        </w:rPr>
        <w:lastRenderedPageBreak/>
        <w:tab/>
        <w:t xml:space="preserve">Le ministre du Revenu national a établi à l’égard de DMI de nouvelles cotisations pour les années d’imposition 1999 et 2000 afin d’inclure dans le « produit de disposition », aux termes du par. 13(21) de la </w:t>
      </w:r>
      <w:r w:rsidRPr="00F330C1">
        <w:rPr>
          <w:i/>
          <w:sz w:val="20"/>
          <w:lang w:val="fr-CA"/>
        </w:rPr>
        <w:t>Loi de l’impôt sur le revenu</w:t>
      </w:r>
      <w:r w:rsidRPr="00F330C1">
        <w:rPr>
          <w:sz w:val="20"/>
          <w:lang w:val="fr-CA"/>
        </w:rPr>
        <w:t xml:space="preserve">, une somme égale au coût estimatif des obligations relatives au reboisement.  La Cour canadienne de l’impôt a accueilli en partie l’appel interjeté par DMI à l’encontre de la nouvelle cotisation du ministre et a statué que, lors de la vente d’une tenure forestière, il y a lieu d’inclure dans le produit de disposition du vendeur, en application du par. 13(21), la valeur des obligations relatives au reboisement prises en charge par l’acheteur, mais qu’un pourcentage seulement du coût estimatif aurait dû être inclus.  La cour d’appel, à la majorité, a statué que DMI était tenue d’inclure dans son produit de disposition la totalité du coût estimatif des obligations relatives au reboisement liées à chaque tenure. </w:t>
      </w:r>
    </w:p>
    <w:p w:rsidR="00C0388E" w:rsidRDefault="00C0388E" w:rsidP="00C0388E">
      <w:pPr>
        <w:pStyle w:val="SCCNormalDoubleSpacing"/>
        <w:spacing w:line="240" w:lineRule="auto"/>
        <w:rPr>
          <w:sz w:val="20"/>
          <w:lang w:val="fr-CA"/>
        </w:rPr>
      </w:pPr>
    </w:p>
    <w:p w:rsidR="00C0388E" w:rsidRPr="00F330C1" w:rsidRDefault="00C0388E" w:rsidP="00C0388E">
      <w:pPr>
        <w:pStyle w:val="SCCNormalDoubleSpacing"/>
        <w:spacing w:line="240" w:lineRule="auto"/>
        <w:rPr>
          <w:sz w:val="20"/>
          <w:lang w:val="fr-CA"/>
        </w:rPr>
      </w:pPr>
      <w:r w:rsidRPr="00F330C1">
        <w:rPr>
          <w:sz w:val="20"/>
          <w:lang w:val="fr-CA"/>
        </w:rPr>
        <w:tab/>
      </w:r>
      <w:r w:rsidRPr="00F330C1">
        <w:rPr>
          <w:i/>
          <w:sz w:val="20"/>
          <w:lang w:val="fr-CA"/>
        </w:rPr>
        <w:t>Arrêt</w:t>
      </w:r>
      <w:r w:rsidRPr="00F330C1">
        <w:rPr>
          <w:sz w:val="20"/>
          <w:lang w:val="fr-CA"/>
        </w:rPr>
        <w:t> : Le pourvoi est accueilli et l’affaire est renvoyée au ministre pour l’établissement de nouvelles cotisations.</w:t>
      </w:r>
    </w:p>
    <w:p w:rsidR="00C0388E" w:rsidRDefault="00C0388E" w:rsidP="00C0388E">
      <w:pPr>
        <w:pStyle w:val="SCCNormalDoubleSpacing"/>
        <w:spacing w:line="240" w:lineRule="auto"/>
        <w:rPr>
          <w:sz w:val="20"/>
          <w:lang w:val="fr-CA"/>
        </w:rPr>
      </w:pPr>
    </w:p>
    <w:p w:rsidR="00C0388E" w:rsidRPr="00F330C1" w:rsidRDefault="00C0388E" w:rsidP="00C0388E">
      <w:pPr>
        <w:pStyle w:val="SCCNormalDoubleSpacing"/>
        <w:spacing w:line="240" w:lineRule="auto"/>
        <w:rPr>
          <w:sz w:val="20"/>
          <w:lang w:val="fr-CA"/>
        </w:rPr>
      </w:pPr>
      <w:r w:rsidRPr="00F330C1">
        <w:rPr>
          <w:sz w:val="20"/>
          <w:lang w:val="fr-CA"/>
        </w:rPr>
        <w:tab/>
        <w:t xml:space="preserve">DMI n’était pas tenue d’inclure dans son « produit de disposition », pour les fins de l’impôt, une estimation du coût des obligations relatives au reboisement.  En principe, la valeur d’une obligation du vendeur prise en charge par l’acheteur peut constituer une partie du prix de vente et, donc, du produit de disposition.  Cependant, les obligations relatives au reboisement liées à une tenure forestière ne constituent pas une obligation existante distincte qui doit être incluse dans le produit de disposition.  Les obligations relatives au reboisement sont inhérentes à la tenure forestière en vertu du régime de réglementation de l’Alberta, </w:t>
      </w:r>
      <w:r w:rsidRPr="00F330C1">
        <w:rPr>
          <w:sz w:val="20"/>
          <w:lang w:val="fr-FR"/>
        </w:rPr>
        <w:t>qui empêche une personne de vendre une tenure forestière sans transférer également les obligations relatives au reboisement.</w:t>
      </w:r>
      <w:r w:rsidRPr="00F330C1">
        <w:rPr>
          <w:sz w:val="20"/>
          <w:lang w:val="fr-CA"/>
        </w:rPr>
        <w:t xml:space="preserve">  Ces obligations constituent simplement un coût futur lié à la tenure et qui en diminue la valeur.  Il en est ainsi peu importe que les parties contractantes soient convenues d’un coût futur estimatif de ces obligations ou que le vendeur ait estimé le coût du reboisement futur pour calculer son revenu à des fins comptables.  </w:t>
      </w:r>
    </w:p>
    <w:p w:rsidR="00C0388E" w:rsidRDefault="00C0388E" w:rsidP="00C0388E">
      <w:pPr>
        <w:pStyle w:val="SCCNormalDoubleSpacing"/>
        <w:spacing w:line="240" w:lineRule="auto"/>
        <w:rPr>
          <w:sz w:val="20"/>
          <w:lang w:val="fr-CA"/>
        </w:rPr>
      </w:pPr>
    </w:p>
    <w:p w:rsidR="00C0388E" w:rsidRPr="00F330C1" w:rsidRDefault="00C0388E" w:rsidP="00C0388E">
      <w:pPr>
        <w:pStyle w:val="SCCNormalDoubleSpacing"/>
        <w:spacing w:line="240" w:lineRule="auto"/>
        <w:rPr>
          <w:sz w:val="20"/>
          <w:lang w:val="fr-CA"/>
        </w:rPr>
      </w:pPr>
      <w:r w:rsidRPr="00F330C1">
        <w:rPr>
          <w:sz w:val="20"/>
          <w:lang w:val="fr-CA"/>
        </w:rPr>
        <w:tab/>
        <w:t>L’argument de DMI selon lequel la valeur des obligations relatives au reboisement ne devrait pas être incluse dans son produit de disposition parce qu’il s’agit d’une « obligation éventuelle » est hors de propos car il suppose implicitement que les obligations de reboisement constituent pour le vendeur une obligation existante distincte.  S’agissant d’un coût futur inhérent aux tenures forestières, les obligations relatives au reboisement sont à juste titre exclues du produit de disposition, peu importe qu’elles soient éventuelles ou absolues.</w:t>
      </w:r>
    </w:p>
    <w:p w:rsidR="00C0388E" w:rsidRDefault="00C0388E" w:rsidP="00C0388E">
      <w:pPr>
        <w:pStyle w:val="SCCNormalDoubleSpacing"/>
        <w:spacing w:line="240" w:lineRule="auto"/>
        <w:rPr>
          <w:sz w:val="20"/>
          <w:lang w:val="fr-CA"/>
        </w:rPr>
      </w:pPr>
    </w:p>
    <w:p w:rsidR="00C0388E" w:rsidRDefault="00C0388E" w:rsidP="00C0388E">
      <w:pPr>
        <w:pStyle w:val="SCCNormalDoubleSpacing"/>
        <w:spacing w:line="240" w:lineRule="auto"/>
        <w:rPr>
          <w:sz w:val="20"/>
          <w:lang w:val="fr-CA"/>
        </w:rPr>
      </w:pPr>
      <w:r w:rsidRPr="00F330C1">
        <w:rPr>
          <w:sz w:val="20"/>
          <w:lang w:val="fr-CA"/>
        </w:rPr>
        <w:tab/>
        <w:t>La conclusion suivant laquelle la valeur des obligations relatives au reboisement prises en charge par l’acheteur ne fait pas partie du produit de disposition permet d’éviter l’asymétrie inhérente à la thèse soutenue par le ministre.  Selon cette thèse, au moment de la vente, le vendeur serait imposé comme si les obligations relatives au reboisement prises en charge par l’acheteur faisaient partie du prix de vente, alors que l’acheteur serait imposé comme si ces obligations n’en faisaient pas partie.</w:t>
      </w:r>
    </w:p>
    <w:p w:rsidR="00C0388E" w:rsidRDefault="00C0388E" w:rsidP="00C0388E">
      <w:pPr>
        <w:pStyle w:val="SCCNormalDoubleSpacing"/>
        <w:spacing w:line="240" w:lineRule="auto"/>
        <w:rPr>
          <w:sz w:val="20"/>
          <w:lang w:val="fr-CA"/>
        </w:rPr>
      </w:pPr>
    </w:p>
    <w:p w:rsidR="00C0388E" w:rsidRPr="00F330C1" w:rsidRDefault="00C0388E" w:rsidP="00C0388E">
      <w:pPr>
        <w:pStyle w:val="SCCNormalDoubleSpacing"/>
        <w:spacing w:line="240" w:lineRule="auto"/>
        <w:rPr>
          <w:sz w:val="20"/>
          <w:lang w:val="fr-CA"/>
        </w:rPr>
      </w:pPr>
      <w:r w:rsidRPr="00F330C1">
        <w:rPr>
          <w:sz w:val="20"/>
          <w:lang w:val="fr-CA"/>
        </w:rPr>
        <w:tab/>
        <w:t>POURVOI contre un arrêt de la Cour d’appel fédérale (les juges Nadon, Layden</w:t>
      </w:r>
      <w:r w:rsidRPr="00F330C1">
        <w:rPr>
          <w:sz w:val="20"/>
          <w:lang w:val="fr-CA"/>
        </w:rPr>
        <w:noBreakHyphen/>
        <w:t>Stevenson et Mainville), 2011 CAF 267, 422 N.R. 108, 2011 D.T.C. 5157, [2012] 1 C.T.C. 116, [2011] A.C.F. n</w:t>
      </w:r>
      <w:r w:rsidRPr="00F330C1">
        <w:rPr>
          <w:sz w:val="20"/>
          <w:vertAlign w:val="superscript"/>
          <w:lang w:val="fr-CA"/>
        </w:rPr>
        <w:t>o</w:t>
      </w:r>
      <w:r w:rsidRPr="00F330C1">
        <w:rPr>
          <w:sz w:val="20"/>
          <w:lang w:val="fr-CA"/>
        </w:rPr>
        <w:t> 1351 (QL), 2011 CarswellNat 6188, qui a infirmé une décision du juge Miller, 2010 CCI 317, 2010 D.T.C. 1216, [2010] 5 C.T.C. 2289, [2010] A.C.I. n</w:t>
      </w:r>
      <w:r w:rsidRPr="00F330C1">
        <w:rPr>
          <w:sz w:val="20"/>
          <w:vertAlign w:val="superscript"/>
          <w:lang w:val="fr-CA"/>
        </w:rPr>
        <w:t>o</w:t>
      </w:r>
      <w:r w:rsidRPr="00F330C1">
        <w:rPr>
          <w:sz w:val="20"/>
          <w:lang w:val="fr-CA"/>
        </w:rPr>
        <w:t> 228, 2010 CarswellNat 3908.  Pourvoi accueilli.</w:t>
      </w:r>
    </w:p>
    <w:p w:rsidR="00C0388E" w:rsidRDefault="00C0388E" w:rsidP="00C0388E">
      <w:pPr>
        <w:pStyle w:val="SCCNormalDoubleSpacing"/>
        <w:spacing w:line="240" w:lineRule="auto"/>
        <w:rPr>
          <w:rStyle w:val="SCCCounselNameChar"/>
          <w:sz w:val="20"/>
          <w:lang w:val="fr-CA"/>
        </w:rPr>
      </w:pPr>
    </w:p>
    <w:p w:rsidR="00C0388E" w:rsidRPr="00F330C1" w:rsidRDefault="00C0388E" w:rsidP="00C0388E">
      <w:pPr>
        <w:pStyle w:val="SCCNormalDoubleSpacing"/>
        <w:spacing w:line="240" w:lineRule="auto"/>
        <w:rPr>
          <w:sz w:val="20"/>
          <w:lang w:val="fr-CA"/>
        </w:rPr>
      </w:pPr>
      <w:r w:rsidRPr="00F330C1">
        <w:rPr>
          <w:rStyle w:val="SCCCounselNameChar"/>
          <w:sz w:val="20"/>
          <w:lang w:val="fr-CA"/>
        </w:rPr>
        <w:tab/>
        <w:t>John H. Saunders</w:t>
      </w:r>
      <w:r w:rsidRPr="00F330C1">
        <w:rPr>
          <w:rStyle w:val="SCCCounselPartyRoleChar"/>
          <w:sz w:val="20"/>
          <w:lang w:val="fr-CA"/>
        </w:rPr>
        <w:t>, pour l’appelante.</w:t>
      </w:r>
    </w:p>
    <w:p w:rsidR="00C0388E" w:rsidRDefault="00C0388E" w:rsidP="00C0388E">
      <w:pPr>
        <w:pStyle w:val="SCCNormalDoubleSpacing"/>
        <w:spacing w:line="240" w:lineRule="auto"/>
        <w:rPr>
          <w:rStyle w:val="SCCCounselNameChar"/>
          <w:sz w:val="20"/>
          <w:lang w:val="fr-CA"/>
        </w:rPr>
      </w:pPr>
    </w:p>
    <w:p w:rsidR="00C0388E" w:rsidRPr="00F330C1" w:rsidRDefault="00C0388E" w:rsidP="00C0388E">
      <w:pPr>
        <w:pStyle w:val="SCCNormalDoubleSpacing"/>
        <w:spacing w:line="240" w:lineRule="auto"/>
        <w:rPr>
          <w:sz w:val="20"/>
          <w:lang w:val="fr-CA"/>
        </w:rPr>
      </w:pPr>
      <w:r w:rsidRPr="00F330C1">
        <w:rPr>
          <w:rStyle w:val="SCCCounselNameChar"/>
          <w:sz w:val="20"/>
          <w:lang w:val="fr-CA"/>
        </w:rPr>
        <w:tab/>
        <w:t>David W. Jacyk</w:t>
      </w:r>
      <w:r w:rsidRPr="00F330C1">
        <w:rPr>
          <w:rStyle w:val="SCCCounselSeparatorChar"/>
          <w:sz w:val="20"/>
        </w:rPr>
        <w:t xml:space="preserve"> et </w:t>
      </w:r>
      <w:r w:rsidRPr="00F330C1">
        <w:rPr>
          <w:rStyle w:val="SCCCounselSeparatorChar"/>
          <w:i/>
          <w:sz w:val="20"/>
        </w:rPr>
        <w:t>Lisa M. Macdonell</w:t>
      </w:r>
      <w:r w:rsidRPr="00F330C1">
        <w:rPr>
          <w:rStyle w:val="SCCCounselPartyRoleChar"/>
          <w:sz w:val="20"/>
          <w:lang w:val="fr-CA"/>
        </w:rPr>
        <w:t>, pour l’intimée.</w:t>
      </w:r>
    </w:p>
    <w:p w:rsidR="00C0388E" w:rsidRDefault="00C0388E" w:rsidP="00C0388E">
      <w:pPr>
        <w:pStyle w:val="SCCNormalDoubleSpacing"/>
        <w:spacing w:line="240" w:lineRule="auto"/>
        <w:rPr>
          <w:rStyle w:val="SCCCounselNameChar"/>
          <w:sz w:val="20"/>
          <w:lang w:val="fr-CA"/>
        </w:rPr>
      </w:pPr>
    </w:p>
    <w:p w:rsidR="00C0388E" w:rsidRPr="00F330C1" w:rsidRDefault="00C0388E" w:rsidP="00C0388E">
      <w:pPr>
        <w:pStyle w:val="SCCNormalDoubleSpacing"/>
        <w:spacing w:line="240" w:lineRule="auto"/>
        <w:rPr>
          <w:sz w:val="20"/>
          <w:lang w:val="fr-CA"/>
        </w:rPr>
      </w:pPr>
      <w:r w:rsidRPr="00F330C1">
        <w:rPr>
          <w:rStyle w:val="SCCCounselNameChar"/>
          <w:sz w:val="20"/>
          <w:lang w:val="fr-CA"/>
        </w:rPr>
        <w:tab/>
        <w:t>Marta E. Burns</w:t>
      </w:r>
      <w:r w:rsidRPr="00F330C1">
        <w:rPr>
          <w:rStyle w:val="SCCCounselPartyRoleChar"/>
          <w:sz w:val="20"/>
          <w:lang w:val="fr-CA"/>
        </w:rPr>
        <w:t xml:space="preserve">, </w:t>
      </w:r>
      <w:r w:rsidRPr="00F330C1">
        <w:rPr>
          <w:rStyle w:val="SCCCounselPartyRoleChar"/>
          <w:i/>
          <w:sz w:val="20"/>
          <w:lang w:val="fr-CA"/>
        </w:rPr>
        <w:t>Michael Sobkin</w:t>
      </w:r>
      <w:r w:rsidRPr="00F330C1">
        <w:rPr>
          <w:rStyle w:val="SCCCounselPartyRoleChar"/>
          <w:sz w:val="20"/>
          <w:lang w:val="fr-CA"/>
        </w:rPr>
        <w:t xml:space="preserve">, </w:t>
      </w:r>
      <w:r w:rsidRPr="00F330C1">
        <w:rPr>
          <w:rStyle w:val="SCCCounselNameChar"/>
          <w:sz w:val="20"/>
          <w:lang w:val="fr-CA"/>
        </w:rPr>
        <w:t>Jeffrey W. A. Moore</w:t>
      </w:r>
      <w:r w:rsidRPr="00F330C1">
        <w:rPr>
          <w:rStyle w:val="SCCCounselSeparatorChar"/>
          <w:sz w:val="20"/>
        </w:rPr>
        <w:t xml:space="preserve"> et </w:t>
      </w:r>
      <w:r w:rsidRPr="00F330C1">
        <w:rPr>
          <w:rStyle w:val="SCCCounselSeparatorChar"/>
          <w:i/>
          <w:sz w:val="20"/>
        </w:rPr>
        <w:t>Monica Johnson</w:t>
      </w:r>
      <w:r w:rsidRPr="00F330C1">
        <w:rPr>
          <w:rStyle w:val="SCCCounselSeparatorChar"/>
          <w:sz w:val="20"/>
        </w:rPr>
        <w:t xml:space="preserve">, </w:t>
      </w:r>
      <w:r w:rsidRPr="00F330C1">
        <w:rPr>
          <w:rStyle w:val="SCCCounselPartyRoleChar"/>
          <w:sz w:val="20"/>
          <w:lang w:val="fr-CA"/>
        </w:rPr>
        <w:t>pour l’intervenante Sa Majesté la Reine du chef de l’Alberta.</w:t>
      </w:r>
    </w:p>
    <w:p w:rsidR="00C0388E" w:rsidRDefault="00C0388E" w:rsidP="00C0388E">
      <w:pPr>
        <w:pStyle w:val="SCCNormalDoubleSpacing"/>
        <w:spacing w:line="240" w:lineRule="auto"/>
        <w:rPr>
          <w:rStyle w:val="SCCCounselNameChar"/>
          <w:sz w:val="20"/>
          <w:lang w:val="fr-CA"/>
        </w:rPr>
      </w:pPr>
    </w:p>
    <w:p w:rsidR="00C0388E" w:rsidRPr="00F330C1" w:rsidRDefault="00C0388E" w:rsidP="00C0388E">
      <w:pPr>
        <w:pStyle w:val="SCCNormalDoubleSpacing"/>
        <w:spacing w:line="240" w:lineRule="auto"/>
        <w:rPr>
          <w:sz w:val="20"/>
          <w:lang w:val="fr-CA"/>
        </w:rPr>
      </w:pPr>
      <w:r w:rsidRPr="00F330C1">
        <w:rPr>
          <w:rStyle w:val="SCCCounselNameChar"/>
          <w:sz w:val="20"/>
          <w:lang w:val="fr-CA"/>
        </w:rPr>
        <w:tab/>
        <w:t>Warren J. A. Mitchell, c.r.</w:t>
      </w:r>
      <w:r w:rsidRPr="00F330C1">
        <w:rPr>
          <w:rStyle w:val="SCCCounselPartyRoleChar"/>
          <w:sz w:val="20"/>
          <w:lang w:val="fr-CA"/>
        </w:rPr>
        <w:t xml:space="preserve">, </w:t>
      </w:r>
      <w:r w:rsidRPr="00F330C1">
        <w:rPr>
          <w:rStyle w:val="SCCCounselPartyRoleChar"/>
          <w:i/>
          <w:sz w:val="20"/>
          <w:lang w:val="fr-CA"/>
        </w:rPr>
        <w:t>Ian Gamble</w:t>
      </w:r>
      <w:r w:rsidRPr="00F330C1">
        <w:rPr>
          <w:rStyle w:val="SCCCounselPartyRoleChar"/>
          <w:sz w:val="20"/>
          <w:lang w:val="fr-CA"/>
        </w:rPr>
        <w:t xml:space="preserve"> et </w:t>
      </w:r>
      <w:r w:rsidRPr="00F330C1">
        <w:rPr>
          <w:rStyle w:val="SCCCounselPartyRoleChar"/>
          <w:i/>
          <w:sz w:val="20"/>
          <w:lang w:val="fr-CA"/>
        </w:rPr>
        <w:t>Leah Plumridge</w:t>
      </w:r>
      <w:r w:rsidRPr="00F330C1">
        <w:rPr>
          <w:rStyle w:val="SCCCounselPartyRoleChar"/>
          <w:sz w:val="20"/>
          <w:lang w:val="fr-CA"/>
        </w:rPr>
        <w:t>, pour les intervenantes Tolko Industries Ltd., International Forest Products Ltd., West Fraser Timber Co. Ltd. et Canfor Corporation.</w:t>
      </w:r>
    </w:p>
    <w:p w:rsidR="00C0388E" w:rsidRDefault="00C0388E" w:rsidP="00C0388E">
      <w:pPr>
        <w:pStyle w:val="SCCNormalDoubleSpacing"/>
        <w:spacing w:line="240" w:lineRule="auto"/>
        <w:rPr>
          <w:rStyle w:val="SCCCounselNameChar"/>
          <w:sz w:val="20"/>
          <w:lang w:val="fr-CA"/>
        </w:rPr>
      </w:pPr>
    </w:p>
    <w:p w:rsidR="00C0388E" w:rsidRPr="00F330C1" w:rsidRDefault="00C0388E" w:rsidP="00C0388E">
      <w:pPr>
        <w:pStyle w:val="SCCNormalDoubleSpacing"/>
        <w:spacing w:line="240" w:lineRule="auto"/>
        <w:rPr>
          <w:sz w:val="20"/>
          <w:lang w:val="fr-CA"/>
        </w:rPr>
      </w:pPr>
      <w:r w:rsidRPr="00F330C1">
        <w:rPr>
          <w:rStyle w:val="SCCCounselNameChar"/>
          <w:sz w:val="20"/>
          <w:lang w:val="fr-CA"/>
        </w:rPr>
        <w:tab/>
        <w:t>Al Meghji et</w:t>
      </w:r>
      <w:r w:rsidRPr="00F330C1">
        <w:rPr>
          <w:rStyle w:val="SCCCounselSeparatorChar"/>
          <w:sz w:val="20"/>
        </w:rPr>
        <w:t xml:space="preserve"> </w:t>
      </w:r>
      <w:r w:rsidRPr="00F330C1">
        <w:rPr>
          <w:rStyle w:val="SCCCounselNameChar"/>
          <w:sz w:val="20"/>
          <w:lang w:val="fr-CA"/>
        </w:rPr>
        <w:t>Monica Biringer</w:t>
      </w:r>
      <w:r w:rsidRPr="00F330C1">
        <w:rPr>
          <w:rStyle w:val="SCCCounselPartyRoleChar"/>
          <w:sz w:val="20"/>
          <w:lang w:val="fr-CA"/>
        </w:rPr>
        <w:t>, pour l’intervenante l’Association canadienne des producteurs pétroliers.</w:t>
      </w:r>
    </w:p>
    <w:p w:rsidR="00C0388E" w:rsidRDefault="00C0388E" w:rsidP="00C0388E">
      <w:pPr>
        <w:pStyle w:val="SCCLawFirm"/>
        <w:spacing w:line="240" w:lineRule="auto"/>
        <w:rPr>
          <w:sz w:val="20"/>
          <w:lang w:val="fr-CA"/>
        </w:rPr>
      </w:pPr>
    </w:p>
    <w:p w:rsidR="00C0388E" w:rsidRPr="00F330C1" w:rsidRDefault="00C0388E" w:rsidP="00C0388E">
      <w:pPr>
        <w:pStyle w:val="SCCLawFirm"/>
        <w:spacing w:line="240" w:lineRule="auto"/>
        <w:rPr>
          <w:sz w:val="20"/>
          <w:lang w:val="fr-CA"/>
        </w:rPr>
      </w:pPr>
      <w:r w:rsidRPr="00F330C1">
        <w:rPr>
          <w:sz w:val="20"/>
          <w:lang w:val="fr-CA"/>
        </w:rPr>
        <w:tab/>
        <w:t>Procureurs de l’appelante : Wilson &amp; Partners, Vancouver.</w:t>
      </w:r>
    </w:p>
    <w:p w:rsidR="00C0388E" w:rsidRDefault="00C0388E" w:rsidP="00C0388E">
      <w:pPr>
        <w:pStyle w:val="SCCLawFirm"/>
        <w:spacing w:line="240" w:lineRule="auto"/>
        <w:rPr>
          <w:sz w:val="20"/>
          <w:lang w:val="fr-CA"/>
        </w:rPr>
      </w:pPr>
    </w:p>
    <w:p w:rsidR="00C0388E" w:rsidRPr="00F330C1" w:rsidRDefault="00C0388E" w:rsidP="00C0388E">
      <w:pPr>
        <w:pStyle w:val="SCCLawFirm"/>
        <w:spacing w:line="240" w:lineRule="auto"/>
        <w:rPr>
          <w:sz w:val="20"/>
          <w:lang w:val="fr-CA"/>
        </w:rPr>
      </w:pPr>
      <w:r w:rsidRPr="00F330C1">
        <w:rPr>
          <w:sz w:val="20"/>
          <w:lang w:val="fr-CA"/>
        </w:rPr>
        <w:lastRenderedPageBreak/>
        <w:tab/>
        <w:t>Procureur de l’intimée : Procureur general du Canada, Vancouver.</w:t>
      </w:r>
    </w:p>
    <w:p w:rsidR="00C0388E" w:rsidRDefault="00C0388E" w:rsidP="00C0388E">
      <w:pPr>
        <w:pStyle w:val="SCCLawFirm"/>
        <w:spacing w:line="240" w:lineRule="auto"/>
        <w:rPr>
          <w:sz w:val="20"/>
          <w:lang w:val="fr-CA"/>
        </w:rPr>
      </w:pPr>
    </w:p>
    <w:p w:rsidR="00C0388E" w:rsidRPr="00F330C1" w:rsidRDefault="00C0388E" w:rsidP="00C0388E">
      <w:pPr>
        <w:pStyle w:val="SCCLawFirm"/>
        <w:spacing w:line="240" w:lineRule="auto"/>
        <w:rPr>
          <w:sz w:val="20"/>
          <w:lang w:val="fr-CA"/>
        </w:rPr>
      </w:pPr>
      <w:r w:rsidRPr="00F330C1">
        <w:rPr>
          <w:sz w:val="20"/>
          <w:lang w:val="fr-CA"/>
        </w:rPr>
        <w:tab/>
        <w:t xml:space="preserve">Procureurs de l’intervenante Sa Majesté la Reine du chef de l'Alberta : Procureur général de l’Alberta, Edmonton; </w:t>
      </w:r>
      <w:r w:rsidRPr="00F330C1">
        <w:rPr>
          <w:rStyle w:val="SCCCounselPartyRoleChar"/>
          <w:sz w:val="20"/>
          <w:lang w:val="fr-CA"/>
        </w:rPr>
        <w:t>Michael Sobkin, Ottawa</w:t>
      </w:r>
      <w:r w:rsidRPr="00F330C1">
        <w:rPr>
          <w:sz w:val="20"/>
          <w:lang w:val="fr-CA"/>
        </w:rPr>
        <w:t>.</w:t>
      </w:r>
    </w:p>
    <w:p w:rsidR="00C0388E" w:rsidRDefault="00C0388E" w:rsidP="00C0388E">
      <w:pPr>
        <w:pStyle w:val="SCCLawFirm"/>
        <w:spacing w:line="240" w:lineRule="auto"/>
        <w:rPr>
          <w:sz w:val="20"/>
          <w:lang w:val="fr-CA"/>
        </w:rPr>
      </w:pPr>
    </w:p>
    <w:p w:rsidR="00C0388E" w:rsidRPr="00F330C1" w:rsidRDefault="00C0388E" w:rsidP="00C0388E">
      <w:pPr>
        <w:pStyle w:val="SCCLawFirm"/>
        <w:spacing w:line="240" w:lineRule="auto"/>
        <w:rPr>
          <w:sz w:val="20"/>
          <w:lang w:val="fr-CA"/>
        </w:rPr>
      </w:pPr>
      <w:r w:rsidRPr="00F330C1">
        <w:rPr>
          <w:sz w:val="20"/>
          <w:lang w:val="fr-CA"/>
        </w:rPr>
        <w:tab/>
        <w:t>Procureurs des intervenantes Tolko Industries Ltd., International Forest Products Ltd., West Fraser Timber Co. Ltd. et Canfor Corporation : Thorsteinssons, Vancouver.</w:t>
      </w:r>
    </w:p>
    <w:p w:rsidR="00C0388E" w:rsidRDefault="00C0388E" w:rsidP="00C0388E">
      <w:pPr>
        <w:pStyle w:val="SCCLawFirm"/>
        <w:spacing w:line="240" w:lineRule="auto"/>
        <w:rPr>
          <w:sz w:val="20"/>
          <w:lang w:val="fr-CA"/>
        </w:rPr>
      </w:pPr>
    </w:p>
    <w:p w:rsidR="00C0388E" w:rsidRDefault="00C0388E" w:rsidP="00C0388E">
      <w:pPr>
        <w:pStyle w:val="SCCLawFirm"/>
        <w:spacing w:line="240" w:lineRule="auto"/>
        <w:rPr>
          <w:sz w:val="20"/>
          <w:lang w:val="fr-CA"/>
        </w:rPr>
      </w:pPr>
      <w:r w:rsidRPr="00F330C1">
        <w:rPr>
          <w:sz w:val="20"/>
          <w:lang w:val="fr-CA"/>
        </w:rPr>
        <w:tab/>
        <w:t>Procureurs de l’intervenante l’Association canadienne des producteurs pétroliers : Osler, Hoskin &amp; Harcourt, Toronto.</w:t>
      </w:r>
    </w:p>
    <w:p w:rsidR="003B3977" w:rsidRDefault="003B3977" w:rsidP="005C6840">
      <w:pPr>
        <w:rPr>
          <w:rFonts w:cs="Times New Roman"/>
          <w:sz w:val="20"/>
          <w:szCs w:val="20"/>
          <w:lang w:val="fr-CA"/>
        </w:rPr>
      </w:pPr>
    </w:p>
    <w:p w:rsidR="005C6840" w:rsidRDefault="00B35B95" w:rsidP="005C6840">
      <w:pPr>
        <w:rPr>
          <w:lang w:val="fr-CA"/>
        </w:rPr>
      </w:pPr>
      <w:r w:rsidRPr="00B35B95">
        <w:rPr>
          <w:rFonts w:cs="Times New Roman"/>
          <w:sz w:val="20"/>
          <w:szCs w:val="20"/>
          <w:lang w:val="fr-CA"/>
        </w:rPr>
        <w:pict>
          <v:rect id="_x0000_i1095" style="width:144.3pt;height:1pt" o:hrpct="300" o:hralign="center" o:hrstd="t" o:hrnoshade="t" o:hr="t" fillcolor="black [3213]" stroked="f"/>
        </w:pict>
      </w:r>
      <w:r w:rsidR="005C6840">
        <w:rPr>
          <w:lang w:val="fr-CA"/>
        </w:rPr>
        <w:br w:type="page"/>
      </w:r>
    </w:p>
    <w:p w:rsidR="00C0388E" w:rsidRPr="0001518C" w:rsidRDefault="00C0388E" w:rsidP="00C0388E">
      <w:pPr>
        <w:jc w:val="both"/>
        <w:rPr>
          <w:rFonts w:eastAsia="Calibri" w:cs="Times New Roman"/>
          <w:sz w:val="20"/>
          <w:szCs w:val="20"/>
        </w:rPr>
      </w:pPr>
      <w:r w:rsidRPr="0001518C">
        <w:rPr>
          <w:rFonts w:eastAsia="Calibri" w:cs="Times New Roman"/>
          <w:i/>
          <w:sz w:val="20"/>
          <w:szCs w:val="20"/>
        </w:rPr>
        <w:lastRenderedPageBreak/>
        <w:t xml:space="preserve">Eric Victor Cojocaru, an infant by his Guardian Ad Litem, Monica Cojocaru et al. v. British Columbia Women’s Hospital and Health Center et al. </w:t>
      </w:r>
      <w:r w:rsidRPr="0001518C">
        <w:rPr>
          <w:rFonts w:eastAsia="Calibri" w:cs="Times New Roman"/>
          <w:sz w:val="20"/>
          <w:szCs w:val="20"/>
        </w:rPr>
        <w:t>(B.C.) (34304)</w:t>
      </w:r>
    </w:p>
    <w:p w:rsidR="00C0388E" w:rsidRDefault="00C0388E" w:rsidP="00C0388E">
      <w:pPr>
        <w:jc w:val="both"/>
        <w:rPr>
          <w:b/>
          <w:spacing w:val="3"/>
          <w:sz w:val="20"/>
          <w:szCs w:val="20"/>
        </w:rPr>
      </w:pPr>
      <w:r w:rsidRPr="003B21E5">
        <w:rPr>
          <w:b/>
          <w:sz w:val="20"/>
          <w:szCs w:val="20"/>
        </w:rPr>
        <w:t xml:space="preserve">Indexed as:  Cojocaru </w:t>
      </w:r>
      <w:r w:rsidRPr="003B21E5">
        <w:rPr>
          <w:b/>
          <w:i/>
          <w:sz w:val="20"/>
          <w:szCs w:val="20"/>
        </w:rPr>
        <w:t>v.</w:t>
      </w:r>
      <w:r w:rsidRPr="003B21E5">
        <w:rPr>
          <w:b/>
          <w:sz w:val="20"/>
          <w:szCs w:val="20"/>
        </w:rPr>
        <w:t xml:space="preserve"> British Columbia Women’s Hospital and Health Centre</w:t>
      </w:r>
      <w:r w:rsidRPr="003B3977">
        <w:rPr>
          <w:b/>
          <w:spacing w:val="3"/>
          <w:sz w:val="20"/>
          <w:szCs w:val="20"/>
        </w:rPr>
        <w:t xml:space="preserve"> /</w:t>
      </w:r>
    </w:p>
    <w:p w:rsidR="00C0388E" w:rsidRPr="003B3977" w:rsidRDefault="00C0388E" w:rsidP="00C0388E">
      <w:pPr>
        <w:jc w:val="both"/>
        <w:rPr>
          <w:spacing w:val="3"/>
          <w:sz w:val="20"/>
          <w:szCs w:val="20"/>
        </w:rPr>
      </w:pPr>
      <w:r w:rsidRPr="00402BC0">
        <w:rPr>
          <w:b/>
          <w:sz w:val="20"/>
          <w:szCs w:val="20"/>
          <w:lang w:val="en-US"/>
        </w:rPr>
        <w:t>Répertorié : </w:t>
      </w:r>
      <w:r w:rsidRPr="00402BC0">
        <w:rPr>
          <w:rStyle w:val="SCCAppellantForIndexChar"/>
          <w:rFonts w:eastAsiaTheme="minorHAnsi"/>
          <w:sz w:val="20"/>
          <w:lang w:val="en-US"/>
        </w:rPr>
        <w:t>Cojocaru</w:t>
      </w:r>
      <w:r w:rsidRPr="00402BC0">
        <w:rPr>
          <w:b/>
          <w:sz w:val="20"/>
          <w:szCs w:val="20"/>
          <w:lang w:val="en-US"/>
        </w:rPr>
        <w:t xml:space="preserve"> </w:t>
      </w:r>
      <w:r w:rsidRPr="00402BC0">
        <w:rPr>
          <w:b/>
          <w:i/>
          <w:sz w:val="20"/>
          <w:szCs w:val="20"/>
          <w:lang w:val="en-US"/>
        </w:rPr>
        <w:t>c.</w:t>
      </w:r>
      <w:r w:rsidRPr="00402BC0">
        <w:rPr>
          <w:b/>
          <w:sz w:val="20"/>
          <w:szCs w:val="20"/>
          <w:lang w:val="en-US"/>
        </w:rPr>
        <w:t xml:space="preserve"> </w:t>
      </w:r>
      <w:r w:rsidRPr="00402BC0">
        <w:rPr>
          <w:rStyle w:val="SCCRespondentForIndexChar"/>
          <w:rFonts w:eastAsiaTheme="minorHAnsi"/>
          <w:sz w:val="20"/>
        </w:rPr>
        <w:t>British Columbia Women’s Hospital and Health Centre</w:t>
      </w:r>
    </w:p>
    <w:p w:rsidR="00C0388E" w:rsidRPr="00F11827" w:rsidRDefault="00C0388E" w:rsidP="00C0388E">
      <w:pPr>
        <w:pStyle w:val="SCCSystemYear"/>
        <w:jc w:val="both"/>
        <w:rPr>
          <w:sz w:val="20"/>
        </w:rPr>
      </w:pPr>
      <w:r w:rsidRPr="00F11827">
        <w:rPr>
          <w:sz w:val="20"/>
        </w:rPr>
        <w:t>Neutral citation:  2013 SCC 30 / Référence neutre : 2013 CSC 30</w:t>
      </w:r>
    </w:p>
    <w:p w:rsidR="00C0388E" w:rsidRPr="00F11827" w:rsidRDefault="00C0388E" w:rsidP="00C0388E">
      <w:pPr>
        <w:rPr>
          <w:sz w:val="20"/>
          <w:szCs w:val="20"/>
          <w:lang w:val="fr-CA"/>
        </w:rPr>
      </w:pPr>
      <w:r w:rsidRPr="00F11827">
        <w:rPr>
          <w:sz w:val="20"/>
          <w:szCs w:val="20"/>
          <w:lang w:val="fr-CA"/>
        </w:rPr>
        <w:t xml:space="preserve">Hearing:  November 13, 2012 / Judgment:  </w:t>
      </w:r>
      <w:r w:rsidRPr="00F11827">
        <w:rPr>
          <w:rFonts w:cs="Times New Roman"/>
          <w:sz w:val="20"/>
          <w:szCs w:val="20"/>
          <w:lang w:val="fr-CA"/>
        </w:rPr>
        <w:t>May 24, 2013</w:t>
      </w:r>
    </w:p>
    <w:p w:rsidR="00C0388E" w:rsidRPr="003B3977" w:rsidRDefault="00C0388E" w:rsidP="00C0388E">
      <w:pPr>
        <w:rPr>
          <w:sz w:val="20"/>
          <w:szCs w:val="20"/>
          <w:lang w:val="fr-CA"/>
        </w:rPr>
      </w:pPr>
      <w:r w:rsidRPr="003B3977">
        <w:rPr>
          <w:sz w:val="20"/>
          <w:szCs w:val="20"/>
          <w:lang w:val="fr-CA"/>
        </w:rPr>
        <w:t>Audition : Le 1</w:t>
      </w:r>
      <w:r>
        <w:rPr>
          <w:sz w:val="20"/>
          <w:szCs w:val="20"/>
          <w:lang w:val="fr-CA"/>
        </w:rPr>
        <w:t>3</w:t>
      </w:r>
      <w:r w:rsidRPr="003B3977">
        <w:rPr>
          <w:sz w:val="20"/>
          <w:szCs w:val="20"/>
          <w:lang w:val="fr-CA"/>
        </w:rPr>
        <w:t xml:space="preserve"> </w:t>
      </w:r>
      <w:r>
        <w:rPr>
          <w:sz w:val="20"/>
          <w:szCs w:val="20"/>
          <w:lang w:val="fr-CA"/>
        </w:rPr>
        <w:t>nove</w:t>
      </w:r>
      <w:r w:rsidRPr="003B3977">
        <w:rPr>
          <w:sz w:val="20"/>
          <w:szCs w:val="20"/>
          <w:lang w:val="fr-CA"/>
        </w:rPr>
        <w:t>m</w:t>
      </w:r>
      <w:r>
        <w:rPr>
          <w:sz w:val="20"/>
          <w:szCs w:val="20"/>
          <w:lang w:val="fr-CA"/>
        </w:rPr>
        <w:t>bre</w:t>
      </w:r>
      <w:r w:rsidRPr="003B3977">
        <w:rPr>
          <w:sz w:val="20"/>
          <w:szCs w:val="20"/>
          <w:lang w:val="fr-CA"/>
        </w:rPr>
        <w:t xml:space="preserve"> 201</w:t>
      </w:r>
      <w:r>
        <w:rPr>
          <w:sz w:val="20"/>
          <w:szCs w:val="20"/>
          <w:lang w:val="fr-CA"/>
        </w:rPr>
        <w:t>2</w:t>
      </w:r>
      <w:r w:rsidRPr="003B3977">
        <w:rPr>
          <w:sz w:val="20"/>
          <w:szCs w:val="20"/>
          <w:lang w:val="fr-CA"/>
        </w:rPr>
        <w:t xml:space="preserve"> / Jugement : Le 2</w:t>
      </w:r>
      <w:r>
        <w:rPr>
          <w:sz w:val="20"/>
          <w:szCs w:val="20"/>
          <w:lang w:val="fr-CA"/>
        </w:rPr>
        <w:t>4 mai</w:t>
      </w:r>
      <w:r w:rsidRPr="003B3977">
        <w:rPr>
          <w:sz w:val="20"/>
          <w:szCs w:val="20"/>
          <w:lang w:val="fr-CA"/>
        </w:rPr>
        <w:t xml:space="preserve"> 201</w:t>
      </w:r>
      <w:r>
        <w:rPr>
          <w:sz w:val="20"/>
          <w:szCs w:val="20"/>
          <w:lang w:val="fr-CA"/>
        </w:rPr>
        <w:t>3</w:t>
      </w:r>
    </w:p>
    <w:p w:rsidR="005C6840" w:rsidRPr="003B3977" w:rsidRDefault="00B35B95" w:rsidP="005C6840">
      <w:pPr>
        <w:rPr>
          <w:sz w:val="20"/>
          <w:szCs w:val="20"/>
          <w:lang w:val="fr-CA"/>
        </w:rPr>
      </w:pPr>
      <w:r w:rsidRPr="00B35B95">
        <w:rPr>
          <w:i/>
          <w:sz w:val="20"/>
          <w:szCs w:val="20"/>
        </w:rPr>
        <w:pict>
          <v:rect id="_x0000_i1096"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C0388E" w:rsidRPr="003B21E5" w:rsidRDefault="00C0388E" w:rsidP="00C0388E">
      <w:pPr>
        <w:jc w:val="both"/>
        <w:rPr>
          <w:sz w:val="20"/>
          <w:szCs w:val="20"/>
        </w:rPr>
      </w:pPr>
      <w:r w:rsidRPr="003B21E5">
        <w:rPr>
          <w:sz w:val="20"/>
          <w:szCs w:val="20"/>
        </w:rPr>
        <w:t>Present:  McLachlin C.J. and LeBel, Fish, Abella, Rothstein, Cromwell, Moldaver, Karakatsanis and Wagner JJ.</w:t>
      </w:r>
    </w:p>
    <w:p w:rsidR="00C0388E" w:rsidRDefault="00C0388E" w:rsidP="00C0388E">
      <w:pPr>
        <w:pStyle w:val="SCCLowerCourtNameLowercase"/>
        <w:spacing w:line="240" w:lineRule="auto"/>
        <w:rPr>
          <w:sz w:val="20"/>
        </w:rPr>
      </w:pPr>
    </w:p>
    <w:p w:rsidR="00C0388E" w:rsidRPr="003B21E5" w:rsidRDefault="00C0388E" w:rsidP="00C0388E">
      <w:pPr>
        <w:pStyle w:val="SCCNormalDoubleSpacing"/>
        <w:spacing w:line="240" w:lineRule="auto"/>
        <w:rPr>
          <w:i/>
          <w:iCs/>
          <w:sz w:val="20"/>
        </w:rPr>
      </w:pPr>
      <w:r w:rsidRPr="003B21E5">
        <w:rPr>
          <w:i/>
          <w:iCs/>
          <w:sz w:val="20"/>
        </w:rPr>
        <w:tab/>
        <w:t>Torts — Negligence — Causation — Health law — Consent to care — Failure to inform — Plaintiffs alleging defendants were negligent in failing to obtain informed consent to vaginal birth after caesarean section or to prostaglandin induction and in failing to attend to plaintiff — Plaintiffs alleging lack of proper care resulted in ruptured uterus and son born with brain damage — Whether trial judge’s conclusion on liability of various defendants disclose palpable errors of fact or legal errors and should be set aside.</w:t>
      </w:r>
    </w:p>
    <w:p w:rsidR="00C0388E" w:rsidRDefault="00C0388E" w:rsidP="00C0388E">
      <w:pPr>
        <w:pStyle w:val="SCCNormalDoubleSpacing"/>
        <w:spacing w:line="240" w:lineRule="auto"/>
        <w:rPr>
          <w:i/>
          <w:iCs/>
          <w:sz w:val="20"/>
        </w:rPr>
      </w:pPr>
    </w:p>
    <w:p w:rsidR="00C0388E" w:rsidRPr="003B21E5" w:rsidRDefault="00C0388E" w:rsidP="00C0388E">
      <w:pPr>
        <w:pStyle w:val="SCCNormalDoubleSpacing"/>
        <w:spacing w:line="240" w:lineRule="auto"/>
        <w:rPr>
          <w:i/>
          <w:sz w:val="20"/>
        </w:rPr>
      </w:pPr>
      <w:r w:rsidRPr="003B21E5">
        <w:rPr>
          <w:i/>
          <w:iCs/>
          <w:sz w:val="20"/>
        </w:rPr>
        <w:tab/>
      </w:r>
      <w:r w:rsidRPr="003B21E5">
        <w:rPr>
          <w:i/>
          <w:sz w:val="20"/>
        </w:rPr>
        <w:t xml:space="preserve">Judgments and orders — Reasons — Trial judge delivering reasons for judgment consisting of reproduction of plaintiffs’ written submissions — Whether trial judge’s decision should be set aside because reasons for judgment incorporated large portions of material prepared by others. </w:t>
      </w:r>
    </w:p>
    <w:p w:rsidR="00C0388E" w:rsidRDefault="00C0388E" w:rsidP="00C0388E">
      <w:pPr>
        <w:pStyle w:val="SCCNormalDoubleSpacing"/>
        <w:spacing w:line="240" w:lineRule="auto"/>
        <w:rPr>
          <w:sz w:val="20"/>
        </w:rPr>
      </w:pPr>
    </w:p>
    <w:p w:rsidR="00C0388E" w:rsidRPr="003B21E5" w:rsidRDefault="00C0388E" w:rsidP="00C0388E">
      <w:pPr>
        <w:pStyle w:val="SCCNormalDoubleSpacing"/>
        <w:spacing w:line="240" w:lineRule="auto"/>
        <w:rPr>
          <w:sz w:val="20"/>
        </w:rPr>
      </w:pPr>
      <w:r w:rsidRPr="003B21E5">
        <w:rPr>
          <w:sz w:val="20"/>
        </w:rPr>
        <w:tab/>
        <w:t>Eric Victor Cojocaru, the son of Monica Cojocaru, suffered brain damage during his birth at the British Columbia Women’s Hospital and Health Centre.  Ms. Cojocaru had previously given birth to a child by caesarean section performed in Romania.  On the recommendation of Dr. Yue, Ms. Cojocaru’s prenatal care obstetrician, Ms. Cojocaru attempted to deliver Eric by “vaginal birth after caesarean section” or “VBAC”.  On the day in question, Ms. Cojocaru’s labour was induced at the Hospital by Dr. Edris, an obstetrical resident, with prostaglandin gel.  Ms. Cojocaru was under the care of the on</w:t>
      </w:r>
      <w:r w:rsidRPr="003B21E5">
        <w:rPr>
          <w:sz w:val="20"/>
        </w:rPr>
        <w:noBreakHyphen/>
        <w:t>call obstetrician, Dr. Steele.  As Ms. Cojocaru was a high</w:t>
      </w:r>
      <w:r w:rsidRPr="003B21E5">
        <w:rPr>
          <w:sz w:val="20"/>
        </w:rPr>
        <w:noBreakHyphen/>
        <w:t>risk patient, she remained at the Hospital and was attended to by Nurses Verwoerd and Bellini.  During her labour later in the day, Ms. Cojocaru experienced a uterine rupture, which restricted Eric’s oxygen supply.  It was accepted that the scar from the previous caesarean section was implicated in the rupture.  An emergency caesarean section was then performed.  Eric suffered brain damage, which has given rise to cerebral palsy.  Eric and his mother brought an action in negligence against the Hospital, the attending Nurses Bellini, MacQueen and Verwoerd and Drs. Steele, Yue and Edris.</w:t>
      </w:r>
    </w:p>
    <w:p w:rsidR="00C0388E" w:rsidRDefault="00C0388E" w:rsidP="00C0388E">
      <w:pPr>
        <w:pStyle w:val="SCCNormalDoubleSpacing"/>
        <w:spacing w:line="240" w:lineRule="auto"/>
        <w:rPr>
          <w:sz w:val="20"/>
        </w:rPr>
      </w:pPr>
    </w:p>
    <w:p w:rsidR="00C0388E" w:rsidRPr="003B21E5" w:rsidRDefault="00C0388E" w:rsidP="00C0388E">
      <w:pPr>
        <w:pStyle w:val="SCCNormalDoubleSpacing"/>
        <w:spacing w:line="240" w:lineRule="auto"/>
        <w:rPr>
          <w:sz w:val="20"/>
        </w:rPr>
      </w:pPr>
      <w:r w:rsidRPr="003B21E5">
        <w:rPr>
          <w:sz w:val="20"/>
        </w:rPr>
        <w:tab/>
        <w:t>At trial, the Hospital, Nurse Bellini and the three doctors were found liable in negligence and damages were awarded to the plaintiffs in the amount of $4 million.  The trial judge’s reasons reproduced large portions of the submissions of the plaintiffs.  However, the trial judge did not accept all the submissions of the plaintiffs, discussed a number of issues and stated his final conclusions in his own words.  The majority of the Court of Appeal held that the trial judge’s decision should be set aside because of the extensive copying from the plaintiffs’ submissions and ordered a new trial.  The dissenting justice did not set aside the judgment because of the copying, but reviewed the case on its merits, and determined that the actions against Dr. Steele, Dr. Edris, the Hospital and Nurse Bellini should be dismissed.  He indicated that he would have also reduced the damage award against the remaining defendant, Dr. Yue.  The plaintiffs appealed the order of a new trial.  The Hospital and Nurse Bellini cross</w:t>
      </w:r>
      <w:r w:rsidRPr="003B21E5">
        <w:rPr>
          <w:sz w:val="20"/>
        </w:rPr>
        <w:noBreakHyphen/>
        <w:t>appealed asking that the issue of liability and damages be resolved by the Court, rather than sending the matter back for a new trial.</w:t>
      </w:r>
    </w:p>
    <w:p w:rsidR="00C0388E" w:rsidRDefault="00C0388E" w:rsidP="00C0388E">
      <w:pPr>
        <w:pStyle w:val="SCCNormalDoubleSpacing"/>
        <w:spacing w:line="240" w:lineRule="auto"/>
        <w:rPr>
          <w:i/>
          <w:sz w:val="20"/>
        </w:rPr>
      </w:pPr>
    </w:p>
    <w:p w:rsidR="00C0388E" w:rsidRPr="003B21E5" w:rsidRDefault="00C0388E" w:rsidP="00C0388E">
      <w:pPr>
        <w:pStyle w:val="SCCNormalDoubleSpacing"/>
        <w:spacing w:line="240" w:lineRule="auto"/>
        <w:rPr>
          <w:sz w:val="20"/>
        </w:rPr>
      </w:pPr>
      <w:r w:rsidRPr="003B21E5">
        <w:rPr>
          <w:i/>
          <w:sz w:val="20"/>
        </w:rPr>
        <w:tab/>
        <w:t>Held</w:t>
      </w:r>
      <w:r w:rsidRPr="003B21E5">
        <w:rPr>
          <w:sz w:val="20"/>
        </w:rPr>
        <w:t>:  The appeal and the cross</w:t>
      </w:r>
      <w:r w:rsidRPr="003B21E5">
        <w:rPr>
          <w:sz w:val="20"/>
        </w:rPr>
        <w:noBreakHyphen/>
        <w:t>appeal should be allowed.</w:t>
      </w:r>
    </w:p>
    <w:p w:rsidR="00C0388E" w:rsidRDefault="00C0388E" w:rsidP="00C0388E">
      <w:pPr>
        <w:pStyle w:val="SCCNormalDoubleSpacing"/>
        <w:spacing w:line="240" w:lineRule="auto"/>
        <w:rPr>
          <w:sz w:val="20"/>
        </w:rPr>
      </w:pPr>
    </w:p>
    <w:p w:rsidR="00C0388E" w:rsidRPr="003B21E5" w:rsidRDefault="00C0388E" w:rsidP="00C0388E">
      <w:pPr>
        <w:pStyle w:val="SCCNormalDoubleSpacing"/>
        <w:spacing w:line="240" w:lineRule="auto"/>
        <w:rPr>
          <w:sz w:val="20"/>
        </w:rPr>
      </w:pPr>
      <w:r w:rsidRPr="003B21E5">
        <w:rPr>
          <w:sz w:val="20"/>
        </w:rPr>
        <w:tab/>
        <w:t>As a general rule, it is good judicial practice for a judge to set out the contending positions of the parties on the facts and the law, and explain in his or her own words her conclusions on the facts and the law.  However, including the material of others is not prohibited.  Judicial copying is a long</w:t>
      </w:r>
      <w:r w:rsidRPr="003B21E5">
        <w:rPr>
          <w:sz w:val="20"/>
        </w:rPr>
        <w:noBreakHyphen/>
        <w:t>standing and accepted practice, although if carried to excess, may raise problems.  If the incorporation of the material of others is evidence that would lead a reasonable person to conclude, taking into account all relevant circumstances, that the decision</w:t>
      </w:r>
      <w:r w:rsidRPr="003B21E5">
        <w:rPr>
          <w:sz w:val="20"/>
        </w:rPr>
        <w:noBreakHyphen/>
        <w:t>making process was fundamentally unfair, in the sense that the judge did not put her mind to the facts, the argument and the issues, and decide them impartially and independently, the judgment can be set aside.</w:t>
      </w:r>
    </w:p>
    <w:p w:rsidR="00C0388E" w:rsidRDefault="00C0388E" w:rsidP="00C0388E">
      <w:pPr>
        <w:pStyle w:val="SCCNormalDoubleSpacing"/>
        <w:spacing w:line="240" w:lineRule="auto"/>
        <w:rPr>
          <w:sz w:val="20"/>
        </w:rPr>
      </w:pPr>
    </w:p>
    <w:p w:rsidR="00C0388E" w:rsidRPr="003B21E5" w:rsidRDefault="00C0388E" w:rsidP="00C0388E">
      <w:pPr>
        <w:pStyle w:val="SCCNormalDoubleSpacing"/>
        <w:spacing w:line="240" w:lineRule="auto"/>
        <w:rPr>
          <w:sz w:val="20"/>
        </w:rPr>
      </w:pPr>
      <w:r w:rsidRPr="003B21E5">
        <w:rPr>
          <w:sz w:val="20"/>
        </w:rPr>
        <w:lastRenderedPageBreak/>
        <w:tab/>
        <w:t>A complaint that a judge’s decision should be set aside because the reasons for judgment incorporate materials from other sources is essentially a procedural complaint.  Judicial decisions benefit from a presumption of integrity and impartiality — a presumption that the judge has done her job as she is sworn to do.  The party seeking to set aside a judicial decision because the judge’s reasons incorporated the material of others bears the burden of showing that the presumption is rebutted.  The threshold for rebutting the presumption of judicial integrity and impartiality is high, and it requires cogent evidence.  The question is whether the evidence presented by the party challenging the judgment convinces the reviewing court that a reasonable person would conclude that the judge did not perform her sworn duty to review and consider the evidence with an open mind.</w:t>
      </w:r>
    </w:p>
    <w:p w:rsidR="00C0388E" w:rsidRDefault="00C0388E" w:rsidP="00C0388E">
      <w:pPr>
        <w:pStyle w:val="SCCNormalDoubleSpacing"/>
        <w:spacing w:line="240" w:lineRule="auto"/>
        <w:rPr>
          <w:sz w:val="20"/>
        </w:rPr>
      </w:pPr>
    </w:p>
    <w:p w:rsidR="00C0388E" w:rsidRPr="003B21E5" w:rsidRDefault="00C0388E" w:rsidP="00C0388E">
      <w:pPr>
        <w:pStyle w:val="SCCNormalDoubleSpacing"/>
        <w:spacing w:line="240" w:lineRule="auto"/>
        <w:rPr>
          <w:sz w:val="20"/>
        </w:rPr>
      </w:pPr>
      <w:r w:rsidRPr="003B21E5">
        <w:rPr>
          <w:sz w:val="20"/>
        </w:rPr>
        <w:tab/>
        <w:t>The fact that a judge attributes copied material to the author tells us nothing about whether she put her mind to the issues addressed in that copying.  Nor is lack of originality alone a flaw in judgment</w:t>
      </w:r>
      <w:r w:rsidRPr="003B21E5">
        <w:rPr>
          <w:sz w:val="20"/>
        </w:rPr>
        <w:noBreakHyphen/>
        <w:t>writing; on the contrary, it is part and parcel of the judicial process.  To set aside a judgment for failure to attribute sources or for lack of originality alone would be to misunderstand the nature of the judge’s task and the time</w:t>
      </w:r>
      <w:r w:rsidRPr="003B21E5">
        <w:rPr>
          <w:sz w:val="20"/>
        </w:rPr>
        <w:noBreakHyphen/>
        <w:t>honoured traditions of judgment</w:t>
      </w:r>
      <w:r w:rsidRPr="003B21E5">
        <w:rPr>
          <w:sz w:val="20"/>
        </w:rPr>
        <w:noBreakHyphen/>
        <w:t xml:space="preserve">writing.  The concern about copying in the judicial context is not that the judge is taking credit for someone else’s prose, but rather that it may be evidence that the reasons for judgment do not reflect the judge’s thinking.  Extensive copying and failure to attribute outside sources are in most situations practices to be discouraged.  But lack of originality and failure to attribute sources do not in themselves rebut the presumption of judicial impartiality and integrity.  This occurs only if the copying is of such a character that a reasonable person apprised of the circumstances would conclude that the judge did not put her mind to the evidence and the issues and did not render an impartial, independent decision. </w:t>
      </w:r>
    </w:p>
    <w:p w:rsidR="00C0388E" w:rsidRDefault="00C0388E" w:rsidP="00C0388E">
      <w:pPr>
        <w:pStyle w:val="SCCNormalDoubleSpacing"/>
        <w:spacing w:line="240" w:lineRule="auto"/>
        <w:rPr>
          <w:sz w:val="20"/>
        </w:rPr>
      </w:pPr>
    </w:p>
    <w:p w:rsidR="00C0388E" w:rsidRPr="003B21E5" w:rsidRDefault="00C0388E" w:rsidP="00C0388E">
      <w:pPr>
        <w:pStyle w:val="SCCNormalDoubleSpacing"/>
        <w:spacing w:line="240" w:lineRule="auto"/>
        <w:rPr>
          <w:sz w:val="20"/>
        </w:rPr>
      </w:pPr>
      <w:r w:rsidRPr="003B21E5">
        <w:rPr>
          <w:sz w:val="20"/>
        </w:rPr>
        <w:tab/>
        <w:t xml:space="preserve">Here, taking full account of the complexity of the case, and accepting that it would have been preferable for the trial judge to discuss the facts and issues in his own words, it cannot be concluded that the trial judge failed to consider the issues and make an independent decision on them.  The presumption of judicial integrity and impartiality has not been displaced.  On the contrary, the reasons demonstrate that the trial judge addressed his mind to the issues he had to decide.  The fact that he rejected some of the plaintiffs’ key submissions demonstrates that he considered the issues independently and impartially.  The absence in the reasons of an analysis of causation, and the alleged errors the reasons contain, go not to procedural unfairness, but to the substance of the reasons — whether the trial judge, having made his own decision, erred in law or made palpable and overriding errors of fact.  The judgment should not be set aside on the ground that the trial judge incorporated large parts of the plaintiffs’ submissions in his reasons.  </w:t>
      </w:r>
    </w:p>
    <w:p w:rsidR="00C0388E" w:rsidRDefault="00C0388E" w:rsidP="00C0388E">
      <w:pPr>
        <w:pStyle w:val="SCCNormalDoubleSpacing"/>
        <w:spacing w:line="240" w:lineRule="auto"/>
        <w:rPr>
          <w:sz w:val="20"/>
        </w:rPr>
      </w:pPr>
    </w:p>
    <w:p w:rsidR="00C0388E" w:rsidRPr="003B21E5" w:rsidRDefault="00C0388E" w:rsidP="00C0388E">
      <w:pPr>
        <w:pStyle w:val="SCCNormalDoubleSpacing"/>
        <w:spacing w:line="240" w:lineRule="auto"/>
        <w:rPr>
          <w:sz w:val="20"/>
        </w:rPr>
      </w:pPr>
      <w:r w:rsidRPr="003B21E5">
        <w:rPr>
          <w:sz w:val="20"/>
        </w:rPr>
        <w:tab/>
        <w:t>This said, aspects of the reasons disclose palpable and overriding error and must be set aside.  No causal connection was established between the injury and Dr. Yue’s alleged negligence in failing to verify the orientation of the previous caesarean scar before recommending VBAC.  The finding of liability against Dr. Yue for recommending VBAC should thus be set aside.  However, the evidence in this case supports the trial judge’s finding of liability against Dr. Yue for failing to obtain Ms. Cojocaru’s informed consent to VBAC and should therefore be affirmed.  Dr. Yue failed to adequately inform Ms. Cojocaru of the risks of VBAC.  There is however no evidence to support a causal relationship between the induction and the harm suffered and therefore, the finding of liability against Dr. Yue for failure to obtain Ms. Cojocaru’s informed consent to induction of the birth cannot be sustained.  The trial judge’s findings on damages were supported by the evidence and disclose no palpable and overriding error that would justify appellate intervention.</w:t>
      </w:r>
    </w:p>
    <w:p w:rsidR="00C0388E" w:rsidRDefault="00C0388E" w:rsidP="00C0388E">
      <w:pPr>
        <w:pStyle w:val="SCCNormalDoubleSpacing"/>
        <w:spacing w:line="240" w:lineRule="auto"/>
        <w:rPr>
          <w:sz w:val="20"/>
        </w:rPr>
      </w:pPr>
    </w:p>
    <w:p w:rsidR="00C0388E" w:rsidRDefault="00C0388E" w:rsidP="00C0388E">
      <w:pPr>
        <w:pStyle w:val="SCCNormalDoubleSpacing"/>
        <w:spacing w:line="240" w:lineRule="auto"/>
        <w:rPr>
          <w:sz w:val="20"/>
        </w:rPr>
      </w:pPr>
      <w:r w:rsidRPr="003B21E5">
        <w:rPr>
          <w:sz w:val="20"/>
        </w:rPr>
        <w:tab/>
        <w:t xml:space="preserve">Dr. Edris cannot be held liable for inducing labour without ascertaining the orientation of Ms. Cojocaru’s uterine scar because there was no causal connection between this alleged negligence and the injury.  The evidence also failed to establish a causal link between Dr. Steele’s actions and the injury.  Lastly, even if Nurse Bellini had observed and reacted to the signs of uterine rupture earlier, as the trial judge said she should have done, the child could not have been delivered in time to avoid permanent brain damage because no operating room staffed with an anaesthetist was available in time.  Therefore, the trial judge’s findings of liability against Nurse Bellini, the Hospital, Dr. Steele and Dr. Edris must be set aside.  </w:t>
      </w:r>
    </w:p>
    <w:p w:rsidR="00C0388E" w:rsidRDefault="00C0388E" w:rsidP="00C0388E">
      <w:pPr>
        <w:pStyle w:val="SCCNormalDoubleSpacing"/>
        <w:spacing w:line="240" w:lineRule="auto"/>
        <w:rPr>
          <w:sz w:val="20"/>
        </w:rPr>
      </w:pPr>
    </w:p>
    <w:p w:rsidR="00C0388E" w:rsidRPr="003B21E5" w:rsidRDefault="00C0388E" w:rsidP="00C0388E">
      <w:pPr>
        <w:pStyle w:val="SCCNormalDoubleSpacing"/>
        <w:spacing w:line="240" w:lineRule="auto"/>
        <w:rPr>
          <w:sz w:val="20"/>
        </w:rPr>
      </w:pPr>
      <w:r w:rsidRPr="003B21E5">
        <w:rPr>
          <w:sz w:val="20"/>
        </w:rPr>
        <w:tab/>
        <w:t>APPEAL and CROSS</w:t>
      </w:r>
      <w:r w:rsidRPr="003B21E5">
        <w:rPr>
          <w:sz w:val="20"/>
        </w:rPr>
        <w:noBreakHyphen/>
        <w:t>APPEAL from a judgment of the British Columbia Court of Appeal (Levine, Smith and Kirkpatrick JJ.A.), 2011 BCCA 192, 17 B.C.L.R. (5th) 253, 303 B.C.A.C. 278, 512 W.A.C. 278, 44 Admin L.R. (5th) 231, 81 C.C.L.T. (3d) 183, [2011] 7 W.W.R. 82, [2011] B.C.J. No. 680 (QL), 2011 CarswellBC 886, setting aside a decision of Groves J., 2009 BCSC 494, 65 C.C.L.T. (3d) 75, [2009] B.C.J. No. 731 (QL), 2009 CarswellBC 917.  Appeal and cross</w:t>
      </w:r>
      <w:r w:rsidRPr="003B21E5">
        <w:rPr>
          <w:sz w:val="20"/>
        </w:rPr>
        <w:noBreakHyphen/>
        <w:t xml:space="preserve">appeal allowed. </w:t>
      </w:r>
    </w:p>
    <w:p w:rsidR="00C0388E" w:rsidRDefault="00C0388E" w:rsidP="00C0388E">
      <w:pPr>
        <w:pStyle w:val="SCCNormalDoubleSpacing"/>
        <w:spacing w:line="240" w:lineRule="auto"/>
        <w:rPr>
          <w:i/>
          <w:sz w:val="20"/>
        </w:rPr>
      </w:pPr>
    </w:p>
    <w:p w:rsidR="00C0388E" w:rsidRPr="003B21E5" w:rsidRDefault="00C0388E" w:rsidP="00C0388E">
      <w:pPr>
        <w:pStyle w:val="SCCNormalDoubleSpacing"/>
        <w:spacing w:line="240" w:lineRule="auto"/>
        <w:rPr>
          <w:sz w:val="20"/>
        </w:rPr>
      </w:pPr>
      <w:r w:rsidRPr="003B21E5">
        <w:rPr>
          <w:i/>
          <w:sz w:val="20"/>
        </w:rPr>
        <w:lastRenderedPageBreak/>
        <w:tab/>
        <w:t>Paul McGivern</w:t>
      </w:r>
      <w:r w:rsidRPr="003B21E5">
        <w:rPr>
          <w:sz w:val="20"/>
        </w:rPr>
        <w:t xml:space="preserve">, </w:t>
      </w:r>
      <w:r w:rsidRPr="003B21E5">
        <w:rPr>
          <w:i/>
          <w:sz w:val="20"/>
        </w:rPr>
        <w:t>Dan Shugarman</w:t>
      </w:r>
      <w:r w:rsidRPr="003B21E5">
        <w:rPr>
          <w:sz w:val="20"/>
        </w:rPr>
        <w:t>,</w:t>
      </w:r>
      <w:r w:rsidRPr="003B21E5">
        <w:rPr>
          <w:i/>
          <w:sz w:val="20"/>
        </w:rPr>
        <w:t xml:space="preserve"> Ann Howell</w:t>
      </w:r>
      <w:r w:rsidRPr="003B21E5">
        <w:rPr>
          <w:sz w:val="20"/>
        </w:rPr>
        <w:t xml:space="preserve"> </w:t>
      </w:r>
      <w:r w:rsidRPr="003B21E5">
        <w:rPr>
          <w:i/>
          <w:sz w:val="20"/>
        </w:rPr>
        <w:t>and Marie</w:t>
      </w:r>
      <w:r w:rsidRPr="003B21E5">
        <w:rPr>
          <w:i/>
          <w:sz w:val="20"/>
        </w:rPr>
        <w:noBreakHyphen/>
        <w:t>France Major</w:t>
      </w:r>
      <w:r w:rsidRPr="003B21E5">
        <w:rPr>
          <w:sz w:val="20"/>
        </w:rPr>
        <w:t>, for the appellants/respondents on cross</w:t>
      </w:r>
      <w:r w:rsidRPr="003B21E5">
        <w:rPr>
          <w:sz w:val="20"/>
        </w:rPr>
        <w:noBreakHyphen/>
        <w:t>appeal.</w:t>
      </w:r>
    </w:p>
    <w:p w:rsidR="00C0388E" w:rsidRDefault="00C0388E" w:rsidP="00C0388E">
      <w:pPr>
        <w:pStyle w:val="SCCNormalDoubleSpacing"/>
        <w:spacing w:line="240" w:lineRule="auto"/>
        <w:rPr>
          <w:i/>
          <w:sz w:val="20"/>
        </w:rPr>
      </w:pPr>
    </w:p>
    <w:p w:rsidR="00C0388E" w:rsidRPr="003B21E5" w:rsidRDefault="00C0388E" w:rsidP="00C0388E">
      <w:pPr>
        <w:pStyle w:val="SCCNormalDoubleSpacing"/>
        <w:spacing w:line="240" w:lineRule="auto"/>
        <w:rPr>
          <w:sz w:val="20"/>
        </w:rPr>
      </w:pPr>
      <w:r w:rsidRPr="003B21E5">
        <w:rPr>
          <w:i/>
          <w:sz w:val="20"/>
        </w:rPr>
        <w:tab/>
        <w:t>Catherine L. Woods, Q.C.,</w:t>
      </w:r>
      <w:r w:rsidRPr="003B21E5">
        <w:rPr>
          <w:sz w:val="20"/>
        </w:rPr>
        <w:t xml:space="preserve"> and </w:t>
      </w:r>
      <w:r w:rsidRPr="003B21E5">
        <w:rPr>
          <w:i/>
          <w:sz w:val="20"/>
        </w:rPr>
        <w:t>Adam Howden</w:t>
      </w:r>
      <w:r w:rsidRPr="003B21E5">
        <w:rPr>
          <w:i/>
          <w:sz w:val="20"/>
        </w:rPr>
        <w:noBreakHyphen/>
        <w:t>Duke</w:t>
      </w:r>
      <w:r w:rsidRPr="003B21E5">
        <w:rPr>
          <w:sz w:val="20"/>
        </w:rPr>
        <w:t>, for the respondents/appellants on cross</w:t>
      </w:r>
      <w:r w:rsidRPr="003B21E5">
        <w:rPr>
          <w:sz w:val="20"/>
        </w:rPr>
        <w:noBreakHyphen/>
        <w:t>appeal British Columbia Women’s Hospital and Health Centre and F. Bellini.</w:t>
      </w:r>
    </w:p>
    <w:p w:rsidR="00C0388E" w:rsidRDefault="00C0388E" w:rsidP="00C0388E">
      <w:pPr>
        <w:pStyle w:val="SCCNormalDoubleSpacing"/>
        <w:spacing w:line="240" w:lineRule="auto"/>
        <w:rPr>
          <w:i/>
          <w:sz w:val="20"/>
        </w:rPr>
      </w:pPr>
    </w:p>
    <w:p w:rsidR="00C0388E" w:rsidRPr="003B21E5" w:rsidRDefault="00C0388E" w:rsidP="00C0388E">
      <w:pPr>
        <w:pStyle w:val="SCCNormalDoubleSpacing"/>
        <w:spacing w:line="240" w:lineRule="auto"/>
        <w:rPr>
          <w:sz w:val="20"/>
        </w:rPr>
      </w:pPr>
      <w:r w:rsidRPr="003B21E5">
        <w:rPr>
          <w:i/>
          <w:sz w:val="20"/>
        </w:rPr>
        <w:tab/>
        <w:t>James M. Lepp, Q.C.</w:t>
      </w:r>
      <w:r w:rsidRPr="003B21E5">
        <w:rPr>
          <w:sz w:val="20"/>
        </w:rPr>
        <w:t xml:space="preserve">, </w:t>
      </w:r>
      <w:r w:rsidRPr="003B21E5">
        <w:rPr>
          <w:i/>
          <w:sz w:val="20"/>
        </w:rPr>
        <w:t>Mandeep K. Gill</w:t>
      </w:r>
      <w:r w:rsidRPr="003B21E5">
        <w:rPr>
          <w:sz w:val="20"/>
        </w:rPr>
        <w:t xml:space="preserve"> and </w:t>
      </w:r>
      <w:r w:rsidRPr="003B21E5">
        <w:rPr>
          <w:i/>
          <w:sz w:val="20"/>
        </w:rPr>
        <w:t>Daniel J. Reid</w:t>
      </w:r>
      <w:r w:rsidRPr="003B21E5">
        <w:rPr>
          <w:sz w:val="20"/>
        </w:rPr>
        <w:t>, for the respondents Dale R. Steele, Jenise Yue and Fawaz Edris.</w:t>
      </w:r>
    </w:p>
    <w:p w:rsidR="00C0388E" w:rsidRDefault="00C0388E" w:rsidP="00C0388E">
      <w:pPr>
        <w:pStyle w:val="SCCNormalDoubleSpacing"/>
        <w:spacing w:line="240" w:lineRule="auto"/>
        <w:rPr>
          <w:i/>
          <w:sz w:val="20"/>
        </w:rPr>
      </w:pPr>
    </w:p>
    <w:p w:rsidR="00C0388E" w:rsidRPr="003B21E5" w:rsidRDefault="00C0388E" w:rsidP="00C0388E">
      <w:pPr>
        <w:pStyle w:val="SCCNormalDoubleSpacing"/>
        <w:spacing w:line="240" w:lineRule="auto"/>
        <w:rPr>
          <w:sz w:val="20"/>
        </w:rPr>
      </w:pPr>
      <w:r w:rsidRPr="003B21E5">
        <w:rPr>
          <w:i/>
          <w:sz w:val="20"/>
        </w:rPr>
        <w:tab/>
        <w:t>M. David Lepofsky</w:t>
      </w:r>
      <w:r w:rsidRPr="003B21E5">
        <w:rPr>
          <w:sz w:val="20"/>
        </w:rPr>
        <w:t>, for the intervener the Attorney General of Ontario.</w:t>
      </w:r>
    </w:p>
    <w:p w:rsidR="00C0388E" w:rsidRDefault="00C0388E" w:rsidP="00C0388E">
      <w:pPr>
        <w:pStyle w:val="SCCNormalDoubleSpacing"/>
        <w:spacing w:line="240" w:lineRule="auto"/>
        <w:rPr>
          <w:i/>
          <w:sz w:val="20"/>
        </w:rPr>
      </w:pPr>
    </w:p>
    <w:p w:rsidR="00C0388E" w:rsidRPr="003B21E5" w:rsidRDefault="00C0388E" w:rsidP="00C0388E">
      <w:pPr>
        <w:pStyle w:val="SCCNormalDoubleSpacing"/>
        <w:spacing w:line="240" w:lineRule="auto"/>
        <w:rPr>
          <w:sz w:val="20"/>
        </w:rPr>
      </w:pPr>
      <w:r w:rsidRPr="003B21E5">
        <w:rPr>
          <w:i/>
          <w:sz w:val="20"/>
        </w:rPr>
        <w:tab/>
        <w:t>George K. Macintosh, Q.C.,</w:t>
      </w:r>
      <w:r w:rsidRPr="003B21E5">
        <w:rPr>
          <w:sz w:val="20"/>
        </w:rPr>
        <w:t xml:space="preserve"> and </w:t>
      </w:r>
      <w:r w:rsidRPr="003B21E5">
        <w:rPr>
          <w:i/>
          <w:sz w:val="20"/>
        </w:rPr>
        <w:t>Tim Dickson</w:t>
      </w:r>
      <w:r w:rsidRPr="003B21E5">
        <w:rPr>
          <w:sz w:val="20"/>
        </w:rPr>
        <w:t>, for the intervener the Trial Lawyers Association of British Columbia.</w:t>
      </w:r>
    </w:p>
    <w:p w:rsidR="00C0388E" w:rsidRDefault="00C0388E" w:rsidP="00C0388E">
      <w:pPr>
        <w:pStyle w:val="SCCNormalDoubleSpacing"/>
        <w:spacing w:line="240" w:lineRule="auto"/>
        <w:rPr>
          <w:i/>
          <w:sz w:val="20"/>
        </w:rPr>
      </w:pPr>
    </w:p>
    <w:p w:rsidR="00C0388E" w:rsidRPr="003B21E5" w:rsidRDefault="00C0388E" w:rsidP="00C0388E">
      <w:pPr>
        <w:pStyle w:val="SCCNormalDoubleSpacing"/>
        <w:spacing w:line="240" w:lineRule="auto"/>
        <w:rPr>
          <w:sz w:val="20"/>
        </w:rPr>
      </w:pPr>
      <w:r w:rsidRPr="003B21E5">
        <w:rPr>
          <w:i/>
          <w:sz w:val="20"/>
        </w:rPr>
        <w:tab/>
        <w:t>Mahmud Jamal</w:t>
      </w:r>
      <w:r w:rsidRPr="003B21E5">
        <w:rPr>
          <w:sz w:val="20"/>
        </w:rPr>
        <w:t xml:space="preserve"> and </w:t>
      </w:r>
      <w:r w:rsidRPr="003B21E5">
        <w:rPr>
          <w:i/>
          <w:sz w:val="20"/>
        </w:rPr>
        <w:t>Raphael Eghan</w:t>
      </w:r>
      <w:r w:rsidRPr="003B21E5">
        <w:rPr>
          <w:sz w:val="20"/>
        </w:rPr>
        <w:t>, for the intervener the Canadian Bar Association.</w:t>
      </w:r>
    </w:p>
    <w:p w:rsidR="00C0388E" w:rsidRDefault="00C0388E" w:rsidP="00C0388E">
      <w:pPr>
        <w:pStyle w:val="SCCLawFirm"/>
        <w:spacing w:line="240" w:lineRule="auto"/>
        <w:rPr>
          <w:sz w:val="20"/>
        </w:rPr>
      </w:pPr>
    </w:p>
    <w:p w:rsidR="00C0388E" w:rsidRPr="003B21E5" w:rsidRDefault="00C0388E" w:rsidP="00C0388E">
      <w:pPr>
        <w:pStyle w:val="SCCLawFirm"/>
        <w:spacing w:line="240" w:lineRule="auto"/>
        <w:rPr>
          <w:sz w:val="20"/>
        </w:rPr>
      </w:pPr>
      <w:r w:rsidRPr="003B21E5">
        <w:rPr>
          <w:sz w:val="20"/>
        </w:rPr>
        <w:tab/>
        <w:t>Solicitors for the appellants/respondents on cross</w:t>
      </w:r>
      <w:r w:rsidRPr="003B21E5">
        <w:rPr>
          <w:sz w:val="20"/>
        </w:rPr>
        <w:noBreakHyphen/>
        <w:t>appeal:  Pacific Medical Law, Vancouver; Whitelaw Twining Law Corp., Vancouver; Supreme Advocacy, Ottawa.</w:t>
      </w:r>
    </w:p>
    <w:p w:rsidR="00C0388E" w:rsidRDefault="00C0388E" w:rsidP="00C0388E">
      <w:pPr>
        <w:pStyle w:val="SCCLawFirm"/>
        <w:spacing w:line="240" w:lineRule="auto"/>
        <w:rPr>
          <w:sz w:val="20"/>
        </w:rPr>
      </w:pPr>
    </w:p>
    <w:p w:rsidR="00C0388E" w:rsidRPr="003B21E5" w:rsidRDefault="00C0388E" w:rsidP="00C0388E">
      <w:pPr>
        <w:pStyle w:val="SCCLawFirm"/>
        <w:spacing w:line="240" w:lineRule="auto"/>
        <w:rPr>
          <w:sz w:val="20"/>
        </w:rPr>
      </w:pPr>
      <w:r w:rsidRPr="003B21E5">
        <w:rPr>
          <w:sz w:val="20"/>
        </w:rPr>
        <w:tab/>
        <w:t>Solicitors for the respondents/appellants on cross</w:t>
      </w:r>
      <w:r w:rsidRPr="003B21E5">
        <w:rPr>
          <w:sz w:val="20"/>
        </w:rPr>
        <w:noBreakHyphen/>
        <w:t>appeal British Columbia Women’s Hospital and Health Centre and F. Bellini:  Guild Yule, Vancouver.</w:t>
      </w:r>
    </w:p>
    <w:p w:rsidR="00C0388E" w:rsidRDefault="00C0388E" w:rsidP="00C0388E">
      <w:pPr>
        <w:pStyle w:val="SCCLawFirm"/>
        <w:spacing w:line="240" w:lineRule="auto"/>
        <w:rPr>
          <w:sz w:val="20"/>
        </w:rPr>
      </w:pPr>
    </w:p>
    <w:p w:rsidR="00C0388E" w:rsidRPr="003B21E5" w:rsidRDefault="00C0388E" w:rsidP="00C0388E">
      <w:pPr>
        <w:pStyle w:val="SCCLawFirm"/>
        <w:spacing w:line="240" w:lineRule="auto"/>
        <w:rPr>
          <w:sz w:val="20"/>
        </w:rPr>
      </w:pPr>
      <w:r w:rsidRPr="003B21E5">
        <w:rPr>
          <w:sz w:val="20"/>
        </w:rPr>
        <w:tab/>
        <w:t>Solicitors for the respondents Dale R. Steele, Jenise Yue and Fawaz Edris:  Harper Grey, Vancouver.</w:t>
      </w:r>
    </w:p>
    <w:p w:rsidR="00C0388E" w:rsidRDefault="00C0388E" w:rsidP="00C0388E">
      <w:pPr>
        <w:pStyle w:val="SCCLawFirm"/>
        <w:spacing w:line="240" w:lineRule="auto"/>
        <w:rPr>
          <w:sz w:val="20"/>
        </w:rPr>
      </w:pPr>
    </w:p>
    <w:p w:rsidR="00C0388E" w:rsidRPr="003B21E5" w:rsidRDefault="00C0388E" w:rsidP="00C0388E">
      <w:pPr>
        <w:pStyle w:val="SCCLawFirm"/>
        <w:spacing w:line="240" w:lineRule="auto"/>
        <w:rPr>
          <w:sz w:val="20"/>
        </w:rPr>
      </w:pPr>
      <w:r w:rsidRPr="003B21E5">
        <w:rPr>
          <w:sz w:val="20"/>
        </w:rPr>
        <w:tab/>
        <w:t>Solicitor for the intervener the Attorney General of Ontario:  Attorney General of Ontario, Toronto.</w:t>
      </w:r>
    </w:p>
    <w:p w:rsidR="00C0388E" w:rsidRDefault="00C0388E" w:rsidP="00C0388E">
      <w:pPr>
        <w:pStyle w:val="SCCLawFirm"/>
        <w:spacing w:line="240" w:lineRule="auto"/>
        <w:rPr>
          <w:sz w:val="20"/>
        </w:rPr>
      </w:pPr>
    </w:p>
    <w:p w:rsidR="00C0388E" w:rsidRPr="003B21E5" w:rsidRDefault="00C0388E" w:rsidP="00C0388E">
      <w:pPr>
        <w:pStyle w:val="SCCLawFirm"/>
        <w:spacing w:line="240" w:lineRule="auto"/>
        <w:rPr>
          <w:sz w:val="20"/>
        </w:rPr>
      </w:pPr>
      <w:r w:rsidRPr="003B21E5">
        <w:rPr>
          <w:sz w:val="20"/>
        </w:rPr>
        <w:tab/>
        <w:t>Solicitors for the intervener the Trial Lawyers Association of British Columbia:  Farris, Vaughan, Wills &amp; Murphy, Vancouver.</w:t>
      </w:r>
    </w:p>
    <w:p w:rsidR="00C0388E" w:rsidRDefault="00C0388E" w:rsidP="00C0388E">
      <w:pPr>
        <w:pStyle w:val="SCCLawFirm"/>
        <w:spacing w:line="240" w:lineRule="auto"/>
        <w:rPr>
          <w:sz w:val="20"/>
        </w:rPr>
      </w:pPr>
    </w:p>
    <w:p w:rsidR="00C0388E" w:rsidRDefault="00C0388E" w:rsidP="00C0388E">
      <w:pPr>
        <w:pStyle w:val="SCCLawFirm"/>
        <w:spacing w:line="240" w:lineRule="auto"/>
        <w:rPr>
          <w:sz w:val="20"/>
        </w:rPr>
      </w:pPr>
      <w:r w:rsidRPr="003B21E5">
        <w:rPr>
          <w:sz w:val="20"/>
        </w:rPr>
        <w:tab/>
        <w:t>Solicitors for the intervener the Canadian Bar Association:  Osler, Hoskin &amp; Harcourt, Toronto.</w:t>
      </w:r>
    </w:p>
    <w:p w:rsidR="00C0388E" w:rsidRPr="00203DCA" w:rsidRDefault="00C0388E" w:rsidP="00C0388E">
      <w:pPr>
        <w:rPr>
          <w:sz w:val="20"/>
          <w:szCs w:val="20"/>
          <w:lang w:val="fr-CA"/>
        </w:rPr>
      </w:pPr>
      <w:r w:rsidRPr="00203DCA">
        <w:rPr>
          <w:sz w:val="20"/>
          <w:szCs w:val="20"/>
          <w:lang w:val="fr-CA"/>
        </w:rPr>
        <w:t>________________________</w:t>
      </w:r>
    </w:p>
    <w:p w:rsidR="00C0388E" w:rsidRPr="00203DCA" w:rsidRDefault="00C0388E" w:rsidP="00C0388E">
      <w:pPr>
        <w:rPr>
          <w:sz w:val="20"/>
          <w:szCs w:val="20"/>
          <w:lang w:val="fr-CA"/>
        </w:rPr>
      </w:pPr>
    </w:p>
    <w:p w:rsidR="00C0388E" w:rsidRPr="00402BC0" w:rsidRDefault="00C0388E" w:rsidP="00C0388E">
      <w:pPr>
        <w:jc w:val="both"/>
        <w:rPr>
          <w:sz w:val="20"/>
          <w:szCs w:val="20"/>
          <w:lang w:val="fr-CA"/>
        </w:rPr>
      </w:pPr>
      <w:r w:rsidRPr="00402BC0">
        <w:rPr>
          <w:sz w:val="20"/>
          <w:szCs w:val="20"/>
          <w:lang w:val="fr-CA"/>
        </w:rPr>
        <w:t>Présents : La juge en chef McLachlin et les juges LeBel, Fish, Abella, Rothstein, Cromwell, Moldaver, Karakatsanis et Wagner.</w:t>
      </w:r>
    </w:p>
    <w:p w:rsidR="00C0388E" w:rsidRDefault="00C0388E" w:rsidP="00C0388E">
      <w:pPr>
        <w:jc w:val="both"/>
        <w:rPr>
          <w:smallCaps/>
          <w:sz w:val="20"/>
          <w:lang w:val="fr-CA"/>
        </w:rPr>
      </w:pPr>
    </w:p>
    <w:p w:rsidR="00C0388E" w:rsidRPr="00402BC0" w:rsidRDefault="00C0388E" w:rsidP="00C0388E">
      <w:pPr>
        <w:pStyle w:val="SCCNormalDoubleSpacing"/>
        <w:spacing w:line="240" w:lineRule="auto"/>
        <w:rPr>
          <w:i/>
          <w:iCs/>
          <w:sz w:val="20"/>
          <w:lang w:val="fr-FR"/>
        </w:rPr>
      </w:pPr>
      <w:r w:rsidRPr="00402BC0">
        <w:rPr>
          <w:i/>
          <w:iCs/>
          <w:sz w:val="20"/>
          <w:lang w:val="fr-FR"/>
        </w:rPr>
        <w:tab/>
        <w:t xml:space="preserve">Responsabilité délictuelle — Négligence — Lien de causalité — Droit de la santé — Consentement à des soins — Défaut d’informer — Demandeurs alléguant la négligence des défendeurs pour ne pas avoir obtenu le consentement éclairé à un accouchement vaginal après césarienne ou au déclenchement du travail avec de la prostaglandine et pour ne pas s’être occupés de la demanderesse — Demandeurs alléguant que le manque de soins adéquats a causé une rupture utérine et des dommages cérébraux au nouveau-né — La conclusion du juge de première instance sur la responsabilité des différents défendeurs doit-elle être annulée en raison d’erreurs de fait manifestes ou d’erreurs de droit? </w:t>
      </w:r>
    </w:p>
    <w:p w:rsidR="00C0388E" w:rsidRDefault="00C0388E" w:rsidP="00C0388E">
      <w:pPr>
        <w:pStyle w:val="SCCNormalDoubleSpacing"/>
        <w:spacing w:line="240" w:lineRule="auto"/>
        <w:rPr>
          <w:i/>
          <w:iCs/>
          <w:sz w:val="20"/>
          <w:lang w:val="fr-FR"/>
        </w:rPr>
      </w:pPr>
    </w:p>
    <w:p w:rsidR="00C0388E" w:rsidRPr="00402BC0" w:rsidRDefault="00C0388E" w:rsidP="00C0388E">
      <w:pPr>
        <w:pStyle w:val="SCCNormalDoubleSpacing"/>
        <w:spacing w:line="240" w:lineRule="auto"/>
        <w:rPr>
          <w:i/>
          <w:sz w:val="20"/>
          <w:lang w:val="fr-FR"/>
        </w:rPr>
      </w:pPr>
      <w:r w:rsidRPr="00402BC0">
        <w:rPr>
          <w:i/>
          <w:iCs/>
          <w:sz w:val="20"/>
          <w:lang w:val="fr-FR"/>
        </w:rPr>
        <w:tab/>
      </w:r>
      <w:r w:rsidRPr="00402BC0">
        <w:rPr>
          <w:i/>
          <w:sz w:val="20"/>
          <w:lang w:val="fr-FR"/>
        </w:rPr>
        <w:t xml:space="preserve">Jugements et ordonnances — Motifs — Motifs du juge de première instance composés d’extraits des prétentions écrites des demandeurs — La décision du juge de première instance doit-elle être annulée parce que ses motifs incorporent de larges extraits de documents préparés par d’autres. </w:t>
      </w:r>
    </w:p>
    <w:p w:rsidR="00C0388E" w:rsidRDefault="00C0388E" w:rsidP="00C0388E">
      <w:pPr>
        <w:pStyle w:val="SCCNormalDoubleSpacing"/>
        <w:spacing w:line="240" w:lineRule="auto"/>
        <w:rPr>
          <w:sz w:val="20"/>
          <w:lang w:val="fr-FR"/>
        </w:rPr>
      </w:pPr>
    </w:p>
    <w:p w:rsidR="00C0388E" w:rsidRPr="00402BC0" w:rsidRDefault="00C0388E" w:rsidP="00C0388E">
      <w:pPr>
        <w:pStyle w:val="SCCNormalDoubleSpacing"/>
        <w:spacing w:line="240" w:lineRule="auto"/>
        <w:rPr>
          <w:sz w:val="20"/>
          <w:lang w:val="fr-FR"/>
        </w:rPr>
      </w:pPr>
      <w:r w:rsidRPr="00402BC0">
        <w:rPr>
          <w:sz w:val="20"/>
          <w:lang w:val="fr-FR"/>
        </w:rPr>
        <w:tab/>
        <w:t xml:space="preserve">Eric Victor Cojocaru, </w:t>
      </w:r>
      <w:r w:rsidRPr="00402BC0">
        <w:rPr>
          <w:sz w:val="20"/>
          <w:lang w:val="fr-CA"/>
        </w:rPr>
        <w:t>le fils de Monica Cojocaru, a subi des lésions cérébrales à sa naissance au British Columbia Women’s Hospital and Health Care Centre</w:t>
      </w:r>
      <w:r w:rsidRPr="00402BC0">
        <w:rPr>
          <w:sz w:val="20"/>
          <w:lang w:val="fr-FR"/>
        </w:rPr>
        <w:t xml:space="preserve">.  </w:t>
      </w:r>
      <w:r w:rsidRPr="00402BC0">
        <w:rPr>
          <w:sz w:val="20"/>
          <w:lang w:val="fr-CA"/>
        </w:rPr>
        <w:t>Madame Cojocaru avait précédemment donné naissance à un enfant par césarienne en Roumanie.  Sur recommandation de la D</w:t>
      </w:r>
      <w:r w:rsidRPr="00402BC0">
        <w:rPr>
          <w:sz w:val="20"/>
          <w:vertAlign w:val="superscript"/>
          <w:lang w:val="fr-CA"/>
        </w:rPr>
        <w:t>re</w:t>
      </w:r>
      <w:r w:rsidRPr="00402BC0">
        <w:rPr>
          <w:sz w:val="20"/>
          <w:lang w:val="fr-CA"/>
        </w:rPr>
        <w:t> Yue, l’obstétricienne qui l’a suivie pendant sa grossesse, M</w:t>
      </w:r>
      <w:r w:rsidRPr="00402BC0">
        <w:rPr>
          <w:sz w:val="20"/>
          <w:vertAlign w:val="superscript"/>
          <w:lang w:val="fr-CA"/>
        </w:rPr>
        <w:t>me</w:t>
      </w:r>
      <w:r w:rsidRPr="00402BC0">
        <w:rPr>
          <w:sz w:val="20"/>
          <w:lang w:val="fr-CA"/>
        </w:rPr>
        <w:t xml:space="preserve"> Cojocaru a tenté de donner naissance à Eric par « accouchement vaginal après césarienne » ou « AVAC ».  </w:t>
      </w:r>
      <w:r w:rsidRPr="00402BC0">
        <w:rPr>
          <w:sz w:val="20"/>
          <w:lang w:val="fr-FR"/>
        </w:rPr>
        <w:t xml:space="preserve">Le jour des événements, </w:t>
      </w:r>
      <w:r w:rsidRPr="00402BC0">
        <w:rPr>
          <w:sz w:val="20"/>
          <w:lang w:val="fr-CA"/>
        </w:rPr>
        <w:t>le D</w:t>
      </w:r>
      <w:r w:rsidRPr="00402BC0">
        <w:rPr>
          <w:sz w:val="20"/>
          <w:vertAlign w:val="superscript"/>
          <w:lang w:val="fr-CA"/>
        </w:rPr>
        <w:t>r</w:t>
      </w:r>
      <w:r w:rsidRPr="00402BC0">
        <w:rPr>
          <w:sz w:val="20"/>
          <w:lang w:val="fr-CA"/>
        </w:rPr>
        <w:t> Edris, résident en obstétrique, a provoqué le travail de M</w:t>
      </w:r>
      <w:r w:rsidRPr="00402BC0">
        <w:rPr>
          <w:sz w:val="20"/>
          <w:vertAlign w:val="superscript"/>
          <w:lang w:val="fr-CA"/>
        </w:rPr>
        <w:t>me</w:t>
      </w:r>
      <w:r w:rsidRPr="00402BC0">
        <w:rPr>
          <w:sz w:val="20"/>
          <w:lang w:val="fr-CA"/>
        </w:rPr>
        <w:t> Cojocaru en utilisant un gel de prostaglandine</w:t>
      </w:r>
      <w:r w:rsidRPr="00402BC0">
        <w:rPr>
          <w:sz w:val="20"/>
          <w:lang w:val="fr-FR"/>
        </w:rPr>
        <w:t xml:space="preserve">.  </w:t>
      </w:r>
      <w:r w:rsidRPr="00402BC0">
        <w:rPr>
          <w:sz w:val="20"/>
          <w:lang w:val="fr-CA"/>
        </w:rPr>
        <w:t>C’est l’obstétricien de garde, le D</w:t>
      </w:r>
      <w:r w:rsidRPr="00402BC0">
        <w:rPr>
          <w:sz w:val="20"/>
          <w:vertAlign w:val="superscript"/>
          <w:lang w:val="fr-CA"/>
        </w:rPr>
        <w:t>r</w:t>
      </w:r>
      <w:r w:rsidRPr="00402BC0">
        <w:rPr>
          <w:sz w:val="20"/>
          <w:lang w:val="fr-CA"/>
        </w:rPr>
        <w:t xml:space="preserve"> Steele, qui avait la charge </w:t>
      </w:r>
      <w:r w:rsidRPr="00402BC0">
        <w:rPr>
          <w:sz w:val="20"/>
          <w:lang w:val="fr-FR"/>
        </w:rPr>
        <w:t xml:space="preserve">de </w:t>
      </w:r>
      <w:r w:rsidRPr="00402BC0">
        <w:rPr>
          <w:sz w:val="20"/>
          <w:lang w:val="fr-CA"/>
        </w:rPr>
        <w:t>M</w:t>
      </w:r>
      <w:r w:rsidRPr="00402BC0">
        <w:rPr>
          <w:sz w:val="20"/>
          <w:vertAlign w:val="superscript"/>
          <w:lang w:val="fr-CA"/>
        </w:rPr>
        <w:t>me</w:t>
      </w:r>
      <w:r w:rsidRPr="00402BC0">
        <w:rPr>
          <w:sz w:val="20"/>
          <w:lang w:val="fr-CA"/>
        </w:rPr>
        <w:t> Cojocaru</w:t>
      </w:r>
      <w:r w:rsidRPr="00402BC0">
        <w:rPr>
          <w:sz w:val="20"/>
          <w:lang w:val="fr-FR"/>
        </w:rPr>
        <w:t xml:space="preserve">.  </w:t>
      </w:r>
      <w:r w:rsidRPr="00402BC0">
        <w:rPr>
          <w:sz w:val="20"/>
          <w:lang w:val="fr-CA"/>
        </w:rPr>
        <w:t>M</w:t>
      </w:r>
      <w:r w:rsidRPr="00402BC0">
        <w:rPr>
          <w:sz w:val="20"/>
          <w:vertAlign w:val="superscript"/>
          <w:lang w:val="fr-CA"/>
        </w:rPr>
        <w:t>me</w:t>
      </w:r>
      <w:r w:rsidRPr="00402BC0">
        <w:rPr>
          <w:sz w:val="20"/>
          <w:lang w:val="fr-CA"/>
        </w:rPr>
        <w:t xml:space="preserve"> Cojocaru étant une patiente à haut risque, elle est demeurée à l’hôpital pendant la journée, sous les soins des infirmières </w:t>
      </w:r>
      <w:r w:rsidRPr="00402BC0">
        <w:rPr>
          <w:sz w:val="20"/>
          <w:lang w:val="fr-FR"/>
        </w:rPr>
        <w:t>Verwoerd et Bellini.  Plus tard ce jour-là, au cours du travail, M</w:t>
      </w:r>
      <w:r w:rsidRPr="00402BC0">
        <w:rPr>
          <w:sz w:val="20"/>
          <w:vertAlign w:val="superscript"/>
          <w:lang w:val="fr-FR"/>
        </w:rPr>
        <w:t>me</w:t>
      </w:r>
      <w:r w:rsidRPr="00402BC0">
        <w:rPr>
          <w:sz w:val="20"/>
          <w:lang w:val="fr-FR"/>
        </w:rPr>
        <w:t xml:space="preserve"> Cojocaru a subi une rupture utérine </w:t>
      </w:r>
      <w:r w:rsidRPr="00402BC0">
        <w:rPr>
          <w:sz w:val="20"/>
          <w:lang w:val="fr-FR"/>
        </w:rPr>
        <w:lastRenderedPageBreak/>
        <w:t xml:space="preserve">entraînant une réduction de l’apport en oxygène pour Eric.  </w:t>
      </w:r>
      <w:r w:rsidRPr="00402BC0">
        <w:rPr>
          <w:sz w:val="20"/>
          <w:lang w:val="fr-CA"/>
        </w:rPr>
        <w:t xml:space="preserve">Les parties ont accepté que la cicatrice de la césarienne antérieure a joué un rôle dans la rupture </w:t>
      </w:r>
      <w:r w:rsidRPr="00402BC0">
        <w:rPr>
          <w:sz w:val="20"/>
          <w:lang w:val="fr-FR"/>
        </w:rPr>
        <w:t>utérine</w:t>
      </w:r>
      <w:r w:rsidRPr="00402BC0">
        <w:rPr>
          <w:sz w:val="20"/>
          <w:lang w:val="fr-CA"/>
        </w:rPr>
        <w:t>.  Une césarienne d’urgence a alors été pratiquée.  Eric a subi des lésions cérébrales, en raison desquelles il souffre de paralysie cérébrale.  Eric et sa mère ont intenté une action pour négligence contre l’hôpital, les infirmières traitantes Bellini, MacQueen et Verwoerd, et les D</w:t>
      </w:r>
      <w:r w:rsidRPr="00402BC0">
        <w:rPr>
          <w:sz w:val="20"/>
          <w:vertAlign w:val="superscript"/>
          <w:lang w:val="fr-CA"/>
        </w:rPr>
        <w:t>rs</w:t>
      </w:r>
      <w:r w:rsidRPr="00402BC0">
        <w:rPr>
          <w:sz w:val="20"/>
          <w:lang w:val="fr-CA"/>
        </w:rPr>
        <w:t> Steele, Yue et Edris.</w:t>
      </w:r>
    </w:p>
    <w:p w:rsidR="00C0388E" w:rsidRDefault="00C0388E" w:rsidP="00C0388E">
      <w:pPr>
        <w:pStyle w:val="SCCNormalDoubleSpacing"/>
        <w:spacing w:line="240" w:lineRule="auto"/>
        <w:rPr>
          <w:sz w:val="20"/>
          <w:lang w:val="fr-FR"/>
        </w:rPr>
      </w:pPr>
    </w:p>
    <w:p w:rsidR="00C0388E" w:rsidRPr="00402BC0" w:rsidRDefault="00C0388E" w:rsidP="00C0388E">
      <w:pPr>
        <w:pStyle w:val="SCCNormalDoubleSpacing"/>
        <w:spacing w:line="240" w:lineRule="auto"/>
        <w:rPr>
          <w:sz w:val="20"/>
          <w:lang w:val="fr-FR"/>
        </w:rPr>
      </w:pPr>
      <w:r w:rsidRPr="00402BC0">
        <w:rPr>
          <w:sz w:val="20"/>
          <w:lang w:val="fr-FR"/>
        </w:rPr>
        <w:tab/>
      </w:r>
      <w:r w:rsidRPr="00402BC0">
        <w:rPr>
          <w:sz w:val="20"/>
          <w:lang w:val="fr-CA"/>
        </w:rPr>
        <w:t>Le juge de première instance a conclu que l’hôpital, l’infirmière Bellini et trois médecins étaient responsables de négligence et a accordé aux demandeurs des dommages</w:t>
      </w:r>
      <w:r w:rsidRPr="00402BC0">
        <w:rPr>
          <w:sz w:val="20"/>
          <w:lang w:val="fr-CA"/>
        </w:rPr>
        <w:noBreakHyphen/>
        <w:t>intérêts de quatre millions de dollars</w:t>
      </w:r>
      <w:r w:rsidRPr="00402BC0">
        <w:rPr>
          <w:sz w:val="20"/>
          <w:lang w:val="fr-FR"/>
        </w:rPr>
        <w:t xml:space="preserve">.  </w:t>
      </w:r>
      <w:r w:rsidRPr="00402BC0">
        <w:rPr>
          <w:sz w:val="20"/>
          <w:lang w:val="fr-CA"/>
        </w:rPr>
        <w:t>Dans ses motifs, le juge de première instance a reproduit de larges extraits des prétentions des demandeurs</w:t>
      </w:r>
      <w:r w:rsidRPr="00402BC0">
        <w:rPr>
          <w:sz w:val="20"/>
          <w:lang w:val="fr-FR"/>
        </w:rPr>
        <w:t xml:space="preserve">.  </w:t>
      </w:r>
      <w:r w:rsidRPr="00402BC0">
        <w:rPr>
          <w:sz w:val="20"/>
          <w:lang w:val="fr-CA"/>
        </w:rPr>
        <w:t>Toutefois, il ne les a pas toutes retenues, il a analysé certaines questions en litige et a énoncé ses conclusions finales dans ses propres mots.</w:t>
      </w:r>
      <w:r w:rsidRPr="00402BC0">
        <w:rPr>
          <w:sz w:val="20"/>
          <w:lang w:val="fr-FR"/>
        </w:rPr>
        <w:t xml:space="preserve">  </w:t>
      </w:r>
      <w:r w:rsidRPr="00402BC0">
        <w:rPr>
          <w:sz w:val="20"/>
          <w:lang w:val="fr-CA"/>
        </w:rPr>
        <w:t>La Cour d’appel a statué à la majorité que la décision du juge de première instance devait être annulée en raison de la reproduction de larges extraits des prétentions des demandeurs et elle a ordonné la tenue d’un nouveau procès</w:t>
      </w:r>
      <w:r w:rsidRPr="00402BC0">
        <w:rPr>
          <w:sz w:val="20"/>
          <w:lang w:val="fr-FR"/>
        </w:rPr>
        <w:t xml:space="preserve">.  Le juge dissident n’aurait pas annulé le jugement pour cause de reproduction, mais il a examiné l’affaire au fond et </w:t>
      </w:r>
      <w:r w:rsidRPr="00402BC0">
        <w:rPr>
          <w:sz w:val="20"/>
          <w:lang w:val="fr-CA"/>
        </w:rPr>
        <w:t>a statué que les actions contre le D</w:t>
      </w:r>
      <w:r w:rsidRPr="00402BC0">
        <w:rPr>
          <w:sz w:val="20"/>
          <w:vertAlign w:val="superscript"/>
          <w:lang w:val="fr-CA"/>
        </w:rPr>
        <w:t>r </w:t>
      </w:r>
      <w:r w:rsidRPr="00402BC0">
        <w:rPr>
          <w:sz w:val="20"/>
          <w:lang w:val="fr-CA"/>
        </w:rPr>
        <w:t>Steele, le D</w:t>
      </w:r>
      <w:r w:rsidRPr="00402BC0">
        <w:rPr>
          <w:sz w:val="20"/>
          <w:vertAlign w:val="superscript"/>
          <w:lang w:val="fr-CA"/>
        </w:rPr>
        <w:t>r </w:t>
      </w:r>
      <w:r w:rsidRPr="00402BC0">
        <w:rPr>
          <w:sz w:val="20"/>
          <w:lang w:val="fr-CA"/>
        </w:rPr>
        <w:t>Edris, l’hôpital et l’infirmière Bellini devaient être rejetées</w:t>
      </w:r>
      <w:r w:rsidRPr="00402BC0">
        <w:rPr>
          <w:sz w:val="20"/>
          <w:lang w:val="fr-FR"/>
        </w:rPr>
        <w:t xml:space="preserve">.  </w:t>
      </w:r>
      <w:r w:rsidRPr="00402BC0">
        <w:rPr>
          <w:sz w:val="20"/>
          <w:lang w:val="fr-CA"/>
        </w:rPr>
        <w:t>Il aurait en outre réduit le montant des dommages</w:t>
      </w:r>
      <w:r w:rsidRPr="00402BC0">
        <w:rPr>
          <w:sz w:val="20"/>
          <w:lang w:val="fr-CA"/>
        </w:rPr>
        <w:noBreakHyphen/>
        <w:t>intérêts payables par la défenderesse restante, la D</w:t>
      </w:r>
      <w:r w:rsidRPr="00402BC0">
        <w:rPr>
          <w:sz w:val="20"/>
          <w:vertAlign w:val="superscript"/>
          <w:lang w:val="fr-CA"/>
        </w:rPr>
        <w:t>re</w:t>
      </w:r>
      <w:r w:rsidRPr="00402BC0">
        <w:rPr>
          <w:sz w:val="20"/>
          <w:lang w:val="fr-CA"/>
        </w:rPr>
        <w:t> Yue</w:t>
      </w:r>
      <w:r w:rsidRPr="00402BC0">
        <w:rPr>
          <w:sz w:val="20"/>
          <w:lang w:val="fr-FR"/>
        </w:rPr>
        <w:t xml:space="preserve">.  Les demandeurs ont interjeté appel concernant la tenue d’un nouveau procès.  </w:t>
      </w:r>
      <w:r w:rsidRPr="00402BC0">
        <w:rPr>
          <w:sz w:val="20"/>
          <w:lang w:val="fr-CA"/>
        </w:rPr>
        <w:t>L’hôpital et l’infirmière Bellini ont formé un appel incident et demandé à la Cour de trancher les questions de la responsabilité et des dommages-intérêts, plutôt que de les renvoyer pour examen dans le cadre d’un nouveau procès</w:t>
      </w:r>
      <w:r w:rsidRPr="00402BC0">
        <w:rPr>
          <w:sz w:val="20"/>
          <w:lang w:val="fr-FR"/>
        </w:rPr>
        <w:t>.</w:t>
      </w:r>
    </w:p>
    <w:p w:rsidR="00C0388E" w:rsidRDefault="00C0388E" w:rsidP="00C0388E">
      <w:pPr>
        <w:pStyle w:val="SCCNormalDoubleSpacing"/>
        <w:spacing w:line="240" w:lineRule="auto"/>
        <w:rPr>
          <w:i/>
          <w:sz w:val="20"/>
          <w:lang w:val="fr-FR"/>
        </w:rPr>
      </w:pPr>
    </w:p>
    <w:p w:rsidR="00C0388E" w:rsidRPr="00402BC0" w:rsidRDefault="00C0388E" w:rsidP="00C0388E">
      <w:pPr>
        <w:pStyle w:val="SCCNormalDoubleSpacing"/>
        <w:spacing w:line="240" w:lineRule="auto"/>
        <w:rPr>
          <w:sz w:val="20"/>
          <w:lang w:val="fr-FR"/>
        </w:rPr>
      </w:pPr>
      <w:r w:rsidRPr="00402BC0">
        <w:rPr>
          <w:i/>
          <w:sz w:val="20"/>
          <w:lang w:val="fr-FR"/>
        </w:rPr>
        <w:tab/>
        <w:t>Arrêt </w:t>
      </w:r>
      <w:r w:rsidRPr="00402BC0">
        <w:rPr>
          <w:sz w:val="20"/>
          <w:lang w:val="fr-FR"/>
        </w:rPr>
        <w:t xml:space="preserve">: Le pourvoi et le pourvoi incident sont accueillis. </w:t>
      </w:r>
    </w:p>
    <w:p w:rsidR="00C0388E" w:rsidRDefault="00C0388E" w:rsidP="00C0388E">
      <w:pPr>
        <w:pStyle w:val="SCCNormalDoubleSpacing"/>
        <w:spacing w:line="240" w:lineRule="auto"/>
        <w:rPr>
          <w:sz w:val="20"/>
          <w:lang w:val="fr-FR"/>
        </w:rPr>
      </w:pPr>
    </w:p>
    <w:p w:rsidR="00C0388E" w:rsidRPr="00402BC0" w:rsidRDefault="00C0388E" w:rsidP="00C0388E">
      <w:pPr>
        <w:pStyle w:val="SCCNormalDoubleSpacing"/>
        <w:spacing w:line="240" w:lineRule="auto"/>
        <w:rPr>
          <w:sz w:val="20"/>
          <w:lang w:val="fr-FR"/>
        </w:rPr>
      </w:pPr>
      <w:r w:rsidRPr="00402BC0">
        <w:rPr>
          <w:sz w:val="20"/>
          <w:lang w:val="fr-FR"/>
        </w:rPr>
        <w:tab/>
        <w:t>En règle générale, il est de bon usage pour le juge d’énoncer les arguments opposés des parties sur les faits et le droit et d’expliquer dans ses propres mots ses conclusions sur les faits et le droit.  Il ne lui est toutefois pas interdit d’inclure des extraits d’autres sources.  La</w:t>
      </w:r>
      <w:r w:rsidRPr="00402BC0">
        <w:rPr>
          <w:sz w:val="20"/>
          <w:lang w:val="fr-CA"/>
        </w:rPr>
        <w:t xml:space="preserve"> reproduction d’autres textes dans les motifs de jugement est une pratique acceptée et appliquée depuis longtemps, mais qui, utilisée de manière excessive, peut poser problème. </w:t>
      </w:r>
      <w:r w:rsidRPr="00402BC0">
        <w:rPr>
          <w:sz w:val="20"/>
          <w:lang w:val="fr-FR"/>
        </w:rPr>
        <w:t xml:space="preserve"> Dans le cas où l’incorporation d’extraits d’autres sources constitue une preuve qui amènerait une personne raisonnable à conclure, en tenant compte de toutes les circonstances pertinentes, que le processus décisionnel était fondamentalement inéquitable, en ce sens que le juge n’a pas </w:t>
      </w:r>
      <w:r w:rsidRPr="00402BC0">
        <w:rPr>
          <w:sz w:val="20"/>
          <w:lang w:val="fr-CA"/>
        </w:rPr>
        <w:t>porté son attention sur les faits, les arguments et les questions en litige et que sa décision à leur égard n’a pas été rendue de façon impartiale et indépendante</w:t>
      </w:r>
      <w:r w:rsidRPr="00402BC0">
        <w:rPr>
          <w:sz w:val="20"/>
          <w:lang w:val="fr-FR"/>
        </w:rPr>
        <w:t>, le jugement peut être annulé.</w:t>
      </w:r>
    </w:p>
    <w:p w:rsidR="00C0388E" w:rsidRDefault="00C0388E" w:rsidP="00C0388E">
      <w:pPr>
        <w:pStyle w:val="SCCNormalDoubleSpacing"/>
        <w:spacing w:line="240" w:lineRule="auto"/>
        <w:rPr>
          <w:sz w:val="20"/>
          <w:lang w:val="fr-FR"/>
        </w:rPr>
      </w:pPr>
    </w:p>
    <w:p w:rsidR="00C0388E" w:rsidRPr="00402BC0" w:rsidRDefault="00C0388E" w:rsidP="00C0388E">
      <w:pPr>
        <w:pStyle w:val="SCCNormalDoubleSpacing"/>
        <w:spacing w:line="240" w:lineRule="auto"/>
        <w:rPr>
          <w:sz w:val="20"/>
          <w:lang w:val="fr-FR"/>
        </w:rPr>
      </w:pPr>
      <w:r w:rsidRPr="00402BC0">
        <w:rPr>
          <w:sz w:val="20"/>
          <w:lang w:val="fr-FR"/>
        </w:rPr>
        <w:tab/>
      </w:r>
      <w:r w:rsidRPr="00402BC0">
        <w:rPr>
          <w:sz w:val="20"/>
          <w:lang w:val="fr-CA"/>
        </w:rPr>
        <w:t>Un recours fondé sur la prétention qu’une décision devrait être annulée parce que les motifs du jugement incorporent des extraits d’autres sources est essentiellement de nature procédurale</w:t>
      </w:r>
      <w:r w:rsidRPr="00402BC0">
        <w:rPr>
          <w:sz w:val="20"/>
          <w:lang w:val="fr-FR"/>
        </w:rPr>
        <w:t xml:space="preserve">.  Les décisions judiciaires bénéficient d’une présomption d’intégrité et d’impartialité — </w:t>
      </w:r>
      <w:r w:rsidRPr="00402BC0">
        <w:rPr>
          <w:sz w:val="20"/>
          <w:lang w:val="fr-CA"/>
        </w:rPr>
        <w:t xml:space="preserve">le juge est présumé avoir honoré son serment en accomplissant sa tâche. </w:t>
      </w:r>
      <w:r w:rsidRPr="00402BC0">
        <w:rPr>
          <w:sz w:val="20"/>
          <w:lang w:val="fr-FR"/>
        </w:rPr>
        <w:t xml:space="preserve"> La </w:t>
      </w:r>
      <w:r w:rsidRPr="00402BC0">
        <w:rPr>
          <w:sz w:val="20"/>
          <w:lang w:val="fr-CA"/>
        </w:rPr>
        <w:t>partie qui demande l’annulation d’une décision parce que les motifs du juge incorporent des extraits d’autres textes doit démontrer que cette présomption est réfutée.  La norme à laquelle il faut satisfaire pour réfuter la présomption d’intégrité et d’impartialité judiciaires est exigeante et requiert une preuve convaincante</w:t>
      </w:r>
      <w:r w:rsidRPr="00402BC0">
        <w:rPr>
          <w:sz w:val="20"/>
          <w:lang w:val="fr-FR"/>
        </w:rPr>
        <w:t xml:space="preserve">.  </w:t>
      </w:r>
      <w:r w:rsidRPr="00402BC0">
        <w:rPr>
          <w:sz w:val="20"/>
          <w:lang w:val="fr-CA"/>
        </w:rPr>
        <w:t>La question est de savoir si la preuve présentée par la partie qui conteste le jugement convainc le tribunal siégeant en révision qu’une personne raisonnable conclurait que le juge n’a pas honoré son serment d’examiner et de considérer la preuve avec un esprit ouvert</w:t>
      </w:r>
      <w:r w:rsidRPr="00402BC0">
        <w:rPr>
          <w:sz w:val="20"/>
          <w:lang w:val="fr-FR"/>
        </w:rPr>
        <w:t xml:space="preserve">. </w:t>
      </w:r>
    </w:p>
    <w:p w:rsidR="00C0388E" w:rsidRDefault="00C0388E" w:rsidP="00C0388E">
      <w:pPr>
        <w:pStyle w:val="SCCNormalDoubleSpacing"/>
        <w:spacing w:line="240" w:lineRule="auto"/>
        <w:rPr>
          <w:sz w:val="20"/>
          <w:lang w:val="fr-FR"/>
        </w:rPr>
      </w:pPr>
    </w:p>
    <w:p w:rsidR="00C0388E" w:rsidRPr="00402BC0" w:rsidRDefault="00C0388E" w:rsidP="00C0388E">
      <w:pPr>
        <w:pStyle w:val="SCCNormalDoubleSpacing"/>
        <w:spacing w:line="240" w:lineRule="auto"/>
        <w:rPr>
          <w:sz w:val="20"/>
          <w:lang w:val="fr-FR"/>
        </w:rPr>
      </w:pPr>
      <w:r w:rsidRPr="00402BC0">
        <w:rPr>
          <w:sz w:val="20"/>
          <w:lang w:val="fr-FR"/>
        </w:rPr>
        <w:tab/>
      </w:r>
      <w:r w:rsidRPr="00402BC0">
        <w:rPr>
          <w:sz w:val="20"/>
          <w:lang w:val="fr-CA"/>
        </w:rPr>
        <w:t>Le fait que le juge attribue un extrait à son auteur ne révèle aucunement s’il a porté son attention sur les questions traitées dans cet extrait.  Le fait que les motifs ne soient pas en totalité un produit original ne constitue pas non plus une lacune dans la rédaction du jugement</w:t>
      </w:r>
      <w:r w:rsidRPr="00402BC0">
        <w:rPr>
          <w:sz w:val="20"/>
          <w:lang w:val="fr-FR"/>
        </w:rPr>
        <w:t xml:space="preserve">; </w:t>
      </w:r>
      <w:r w:rsidRPr="00402BC0">
        <w:rPr>
          <w:sz w:val="20"/>
          <w:lang w:val="fr-CA"/>
        </w:rPr>
        <w:t xml:space="preserve">cela fait au contraire partie intégrante du processus judiciaire. </w:t>
      </w:r>
      <w:r w:rsidRPr="00402BC0">
        <w:rPr>
          <w:sz w:val="20"/>
          <w:lang w:val="fr-FR"/>
        </w:rPr>
        <w:t xml:space="preserve"> </w:t>
      </w:r>
      <w:r w:rsidRPr="00402BC0">
        <w:rPr>
          <w:sz w:val="20"/>
          <w:lang w:val="fr-CA"/>
        </w:rPr>
        <w:t>Annuler un jugement parce que le juge n’a pas mentionné ses sources ou n’a pas produit un texte original, sans plus, serait mal comprendre la nature de sa tâche et les traditions consacrées de la rédaction de motifs</w:t>
      </w:r>
      <w:r w:rsidRPr="00402BC0">
        <w:rPr>
          <w:sz w:val="20"/>
          <w:lang w:val="fr-FR"/>
        </w:rPr>
        <w:t xml:space="preserve">.  </w:t>
      </w:r>
      <w:r w:rsidRPr="00402BC0">
        <w:rPr>
          <w:sz w:val="20"/>
          <w:lang w:val="fr-CA"/>
        </w:rPr>
        <w:t>Si la reproduction dans le contexte judiciaire pose problème, ce n’est pas que le juge s’approprie le texte de quelqu’un d’autre, mais plutôt que la reproduction peut démontrer que les motifs du jugement ne reflètent pas sa pensée</w:t>
      </w:r>
      <w:r w:rsidRPr="00402BC0">
        <w:rPr>
          <w:sz w:val="20"/>
          <w:lang w:val="fr-FR"/>
        </w:rPr>
        <w:t xml:space="preserve">.  </w:t>
      </w:r>
      <w:r w:rsidRPr="00402BC0">
        <w:rPr>
          <w:sz w:val="20"/>
          <w:lang w:val="fr-CA"/>
        </w:rPr>
        <w:t>La reproduction de larges extraits et l’omission d’en mentionner les sources constituent dans la plupart des cas des pratiques déconseillées</w:t>
      </w:r>
      <w:r w:rsidRPr="00402BC0">
        <w:rPr>
          <w:sz w:val="20"/>
          <w:lang w:val="fr-FR"/>
        </w:rPr>
        <w:t xml:space="preserve">.  </w:t>
      </w:r>
      <w:r w:rsidRPr="00402BC0">
        <w:rPr>
          <w:sz w:val="20"/>
          <w:lang w:val="fr-CA"/>
        </w:rPr>
        <w:t>Mais le défaut de produire un texte original et le défaut de mentionner les sources des textes reproduits, sans plus, ne réfutent pas la présomption d’impartialité et d’intégrité judiciaires</w:t>
      </w:r>
      <w:r w:rsidRPr="00402BC0">
        <w:rPr>
          <w:sz w:val="20"/>
          <w:lang w:val="fr-FR"/>
        </w:rPr>
        <w:t xml:space="preserve">.  </w:t>
      </w:r>
      <w:r w:rsidRPr="00402BC0">
        <w:rPr>
          <w:sz w:val="20"/>
          <w:lang w:val="fr-CA"/>
        </w:rPr>
        <w:t>La présomption est réfutée uniquement si la reproduction est telle qu’une personne raisonnable, informée des circonstances, conclurait que le juge n’a pas porté son attention sur la preuve et les questions en litige et n’a pas rendu une décision impartiale et indépendante</w:t>
      </w:r>
      <w:r w:rsidRPr="00402BC0">
        <w:rPr>
          <w:sz w:val="20"/>
          <w:lang w:val="fr-FR"/>
        </w:rPr>
        <w:t xml:space="preserve">. </w:t>
      </w:r>
    </w:p>
    <w:p w:rsidR="00C0388E" w:rsidRDefault="00C0388E" w:rsidP="00C0388E">
      <w:pPr>
        <w:pStyle w:val="SCCNormalDoubleSpacing"/>
        <w:spacing w:line="240" w:lineRule="auto"/>
        <w:rPr>
          <w:sz w:val="20"/>
          <w:lang w:val="fr-FR"/>
        </w:rPr>
      </w:pPr>
    </w:p>
    <w:p w:rsidR="00C0388E" w:rsidRPr="00402BC0" w:rsidRDefault="00C0388E" w:rsidP="00C0388E">
      <w:pPr>
        <w:pStyle w:val="SCCNormalDoubleSpacing"/>
        <w:spacing w:line="240" w:lineRule="auto"/>
        <w:rPr>
          <w:sz w:val="20"/>
          <w:lang w:val="fr-FR"/>
        </w:rPr>
      </w:pPr>
      <w:r w:rsidRPr="00402BC0">
        <w:rPr>
          <w:sz w:val="20"/>
          <w:lang w:val="fr-FR"/>
        </w:rPr>
        <w:tab/>
        <w:t xml:space="preserve">En l’espèce, en tenant pleinement compte de la complexité de l’affaire et en acceptant qu’il aurait été préférable que le juge de première instance analyse les faits et les questions en litige dans ses propres mots, on ne peut </w:t>
      </w:r>
      <w:r w:rsidRPr="00402BC0">
        <w:rPr>
          <w:sz w:val="20"/>
          <w:lang w:val="fr-CA"/>
        </w:rPr>
        <w:t xml:space="preserve">conclure qu’il n’a pas examiné les questions en litige et ne les a pas tranchées de façon indépendante. La présomption </w:t>
      </w:r>
      <w:r w:rsidRPr="00402BC0">
        <w:rPr>
          <w:sz w:val="20"/>
          <w:lang w:val="fr-CA"/>
        </w:rPr>
        <w:lastRenderedPageBreak/>
        <w:t>d’intégrité et d’impartialité judiciaires n’a pas été réfutée</w:t>
      </w:r>
      <w:r w:rsidRPr="00402BC0">
        <w:rPr>
          <w:sz w:val="20"/>
          <w:lang w:val="fr-FR"/>
        </w:rPr>
        <w:t xml:space="preserve">.  </w:t>
      </w:r>
      <w:r w:rsidRPr="00402BC0">
        <w:rPr>
          <w:sz w:val="20"/>
          <w:lang w:val="fr-CA"/>
        </w:rPr>
        <w:t>Au contraire, les motifs démontrent que le juge de première instance a porté son attention sur les questions qu’il devait trancher</w:t>
      </w:r>
      <w:r w:rsidRPr="00402BC0">
        <w:rPr>
          <w:sz w:val="20"/>
          <w:lang w:val="fr-FR"/>
        </w:rPr>
        <w:t xml:space="preserve">.  Le </w:t>
      </w:r>
      <w:r w:rsidRPr="00402BC0">
        <w:rPr>
          <w:sz w:val="20"/>
          <w:lang w:val="fr-CA"/>
        </w:rPr>
        <w:t>fait qu’il a rejeté certaines des prétentions clés des demandeurs démontre qu’il a examiné les questions en litige de façon indépendante et impartiale</w:t>
      </w:r>
      <w:r w:rsidRPr="00402BC0">
        <w:rPr>
          <w:sz w:val="20"/>
          <w:lang w:val="fr-FR"/>
        </w:rPr>
        <w:t xml:space="preserve">.  L’absence dans les motifs d’une analyse du lien de causalité et les prétendues erreurs qu’ils comportent ne concernent pas le caractère équitable de la procédure, mais le fond des motifs — </w:t>
      </w:r>
      <w:r w:rsidRPr="00402BC0">
        <w:rPr>
          <w:sz w:val="20"/>
          <w:lang w:val="fr-CA"/>
        </w:rPr>
        <w:t>soit la question de savoir si le juge de première instance, ayant rendu sa propre décision, a commis une erreur de droit ou a commis des erreurs de fait manifestes et dominantes</w:t>
      </w:r>
      <w:r w:rsidRPr="00402BC0">
        <w:rPr>
          <w:sz w:val="20"/>
          <w:lang w:val="fr-FR"/>
        </w:rPr>
        <w:t>.  Sa</w:t>
      </w:r>
      <w:r w:rsidRPr="00402BC0">
        <w:rPr>
          <w:sz w:val="20"/>
          <w:lang w:val="fr-CA"/>
        </w:rPr>
        <w:t xml:space="preserve"> décision ne doit pas être annulée pour cause de reproduction de larges extraits des prétentions des demandeurs dans ses motifs</w:t>
      </w:r>
      <w:r w:rsidRPr="00402BC0">
        <w:rPr>
          <w:sz w:val="20"/>
          <w:lang w:val="fr-FR"/>
        </w:rPr>
        <w:t xml:space="preserve">.  </w:t>
      </w:r>
    </w:p>
    <w:p w:rsidR="00C0388E" w:rsidRDefault="00C0388E" w:rsidP="00C0388E">
      <w:pPr>
        <w:pStyle w:val="SCCNormalDoubleSpacing"/>
        <w:spacing w:line="240" w:lineRule="auto"/>
        <w:rPr>
          <w:sz w:val="20"/>
          <w:lang w:val="fr-FR"/>
        </w:rPr>
      </w:pPr>
    </w:p>
    <w:p w:rsidR="00C0388E" w:rsidRPr="00402BC0" w:rsidRDefault="00C0388E" w:rsidP="00C0388E">
      <w:pPr>
        <w:pStyle w:val="SCCNormalDoubleSpacing"/>
        <w:spacing w:line="240" w:lineRule="auto"/>
        <w:rPr>
          <w:sz w:val="20"/>
          <w:lang w:val="fr-FR"/>
        </w:rPr>
      </w:pPr>
      <w:r w:rsidRPr="00402BC0">
        <w:rPr>
          <w:sz w:val="20"/>
          <w:lang w:val="fr-FR"/>
        </w:rPr>
        <w:tab/>
        <w:t xml:space="preserve">Cela dit, </w:t>
      </w:r>
      <w:r w:rsidRPr="00402BC0">
        <w:rPr>
          <w:sz w:val="20"/>
          <w:lang w:val="fr-CA"/>
        </w:rPr>
        <w:t>certains aspects des motifs présentent une erreur manifeste et dominante et doivent être annulés.  Aucun lien de causalité n’a été établi entre le préjudice et la prétendue négligence de la D</w:t>
      </w:r>
      <w:r w:rsidRPr="00402BC0">
        <w:rPr>
          <w:sz w:val="20"/>
          <w:vertAlign w:val="superscript"/>
          <w:lang w:val="fr-CA"/>
        </w:rPr>
        <w:t>re</w:t>
      </w:r>
      <w:r w:rsidRPr="00402BC0">
        <w:rPr>
          <w:sz w:val="20"/>
          <w:lang w:val="fr-CA"/>
        </w:rPr>
        <w:t> Yue pour ne pas avoir vérifié l’orientation de la cicatrice de la césarienne antérieure avant de recommander un AVAC.  La conclusion que la D</w:t>
      </w:r>
      <w:r w:rsidRPr="00402BC0">
        <w:rPr>
          <w:sz w:val="20"/>
          <w:vertAlign w:val="superscript"/>
          <w:lang w:val="fr-CA"/>
        </w:rPr>
        <w:t>re</w:t>
      </w:r>
      <w:r w:rsidRPr="00402BC0">
        <w:rPr>
          <w:sz w:val="20"/>
          <w:lang w:val="fr-CA"/>
        </w:rPr>
        <w:t xml:space="preserve"> Yue est responsable pour avoir recommandé un AVAC doit donc être infirmée.  </w:t>
      </w:r>
      <w:r w:rsidRPr="00402BC0">
        <w:rPr>
          <w:sz w:val="20"/>
          <w:lang w:val="fr-FR"/>
        </w:rPr>
        <w:t xml:space="preserve">Toutefois, la </w:t>
      </w:r>
      <w:r w:rsidRPr="00402BC0">
        <w:rPr>
          <w:sz w:val="20"/>
          <w:lang w:val="fr-CA"/>
        </w:rPr>
        <w:t>conclusion de responsabilité tirée par le juge de première instance contre la D</w:t>
      </w:r>
      <w:r w:rsidRPr="00402BC0">
        <w:rPr>
          <w:sz w:val="20"/>
          <w:vertAlign w:val="superscript"/>
          <w:lang w:val="fr-CA"/>
        </w:rPr>
        <w:t>re</w:t>
      </w:r>
      <w:r w:rsidRPr="00402BC0">
        <w:rPr>
          <w:sz w:val="20"/>
          <w:lang w:val="fr-CA"/>
        </w:rPr>
        <w:t> Yue pour ne pas avoir obtenu le consentement éclairé de M</w:t>
      </w:r>
      <w:r w:rsidRPr="00402BC0">
        <w:rPr>
          <w:sz w:val="20"/>
          <w:vertAlign w:val="superscript"/>
          <w:lang w:val="fr-CA"/>
        </w:rPr>
        <w:t>me</w:t>
      </w:r>
      <w:r w:rsidRPr="00402BC0">
        <w:rPr>
          <w:sz w:val="20"/>
          <w:lang w:val="fr-CA"/>
        </w:rPr>
        <w:t> </w:t>
      </w:r>
      <w:r w:rsidRPr="00402BC0">
        <w:rPr>
          <w:sz w:val="20"/>
          <w:lang w:val="fr-FR"/>
        </w:rPr>
        <w:t>Cojocaru à l’AVAC est étayée par la preuve et doit être confirmée.  La D</w:t>
      </w:r>
      <w:r w:rsidRPr="00402BC0">
        <w:rPr>
          <w:sz w:val="20"/>
          <w:vertAlign w:val="superscript"/>
          <w:lang w:val="fr-FR"/>
        </w:rPr>
        <w:t>re</w:t>
      </w:r>
      <w:r w:rsidRPr="00402BC0">
        <w:rPr>
          <w:sz w:val="20"/>
          <w:lang w:val="fr-FR"/>
        </w:rPr>
        <w:t xml:space="preserve"> Yue n’a pas informé correctement </w:t>
      </w:r>
      <w:r w:rsidRPr="00402BC0">
        <w:rPr>
          <w:sz w:val="20"/>
          <w:lang w:val="fr-CA"/>
        </w:rPr>
        <w:t>M</w:t>
      </w:r>
      <w:r w:rsidRPr="00402BC0">
        <w:rPr>
          <w:sz w:val="20"/>
          <w:vertAlign w:val="superscript"/>
          <w:lang w:val="fr-CA"/>
        </w:rPr>
        <w:t>me</w:t>
      </w:r>
      <w:r w:rsidRPr="00402BC0">
        <w:rPr>
          <w:sz w:val="20"/>
          <w:lang w:val="fr-CA"/>
        </w:rPr>
        <w:t> </w:t>
      </w:r>
      <w:r w:rsidRPr="00402BC0">
        <w:rPr>
          <w:sz w:val="20"/>
          <w:lang w:val="fr-FR"/>
        </w:rPr>
        <w:t>Cojocaru des risques d’un AVAC.  Aucune</w:t>
      </w:r>
      <w:r w:rsidRPr="00402BC0">
        <w:rPr>
          <w:sz w:val="20"/>
          <w:lang w:val="fr-CA"/>
        </w:rPr>
        <w:t xml:space="preserve"> preuve n’étaye cependant une relation de cause à effet entre le déclenchement et le préjudice subi,</w:t>
      </w:r>
      <w:r w:rsidRPr="00402BC0">
        <w:rPr>
          <w:sz w:val="20"/>
          <w:lang w:val="fr-FR"/>
        </w:rPr>
        <w:t xml:space="preserve"> de sorte que la conclusion de responsabilité tirée contre la D</w:t>
      </w:r>
      <w:r w:rsidRPr="00402BC0">
        <w:rPr>
          <w:sz w:val="20"/>
          <w:vertAlign w:val="superscript"/>
          <w:lang w:val="fr-FR"/>
        </w:rPr>
        <w:t>re</w:t>
      </w:r>
      <w:r w:rsidRPr="00402BC0">
        <w:rPr>
          <w:sz w:val="20"/>
          <w:lang w:val="fr-FR"/>
        </w:rPr>
        <w:t xml:space="preserve"> Yue pour son défaut d’obtenir le consentement éclairé de </w:t>
      </w:r>
      <w:r w:rsidRPr="00402BC0">
        <w:rPr>
          <w:sz w:val="20"/>
          <w:lang w:val="fr-CA"/>
        </w:rPr>
        <w:t>M</w:t>
      </w:r>
      <w:r w:rsidRPr="00402BC0">
        <w:rPr>
          <w:sz w:val="20"/>
          <w:vertAlign w:val="superscript"/>
          <w:lang w:val="fr-CA"/>
        </w:rPr>
        <w:t>me</w:t>
      </w:r>
      <w:r w:rsidRPr="00402BC0">
        <w:rPr>
          <w:sz w:val="20"/>
          <w:lang w:val="fr-CA"/>
        </w:rPr>
        <w:t> </w:t>
      </w:r>
      <w:r w:rsidRPr="00402BC0">
        <w:rPr>
          <w:sz w:val="20"/>
          <w:lang w:val="fr-FR"/>
        </w:rPr>
        <w:t xml:space="preserve">Cojocaru au déclenchement ne peut être confirmée.  Les conclusions du juge de première instance </w:t>
      </w:r>
      <w:r w:rsidRPr="00402BC0">
        <w:rPr>
          <w:sz w:val="20"/>
          <w:lang w:val="fr-CA"/>
        </w:rPr>
        <w:t>sur les dommages</w:t>
      </w:r>
      <w:r w:rsidRPr="00402BC0">
        <w:rPr>
          <w:sz w:val="20"/>
          <w:lang w:val="fr-CA"/>
        </w:rPr>
        <w:noBreakHyphen/>
        <w:t>intérêts étaient étayées par la preuve et ne présentent aucune erreur manifeste et dominante qui justifierait une intervention en appel</w:t>
      </w:r>
      <w:r w:rsidRPr="00402BC0">
        <w:rPr>
          <w:sz w:val="20"/>
          <w:lang w:val="fr-FR"/>
        </w:rPr>
        <w:t>.</w:t>
      </w:r>
    </w:p>
    <w:p w:rsidR="00C0388E" w:rsidRDefault="00C0388E" w:rsidP="00C0388E">
      <w:pPr>
        <w:pStyle w:val="SCCNormalDoubleSpacing"/>
        <w:spacing w:line="240" w:lineRule="auto"/>
        <w:rPr>
          <w:sz w:val="20"/>
          <w:lang w:val="fr-FR"/>
        </w:rPr>
      </w:pPr>
    </w:p>
    <w:p w:rsidR="00C0388E" w:rsidRDefault="00C0388E" w:rsidP="00C0388E">
      <w:pPr>
        <w:pStyle w:val="SCCNormalDoubleSpacing"/>
        <w:spacing w:line="240" w:lineRule="auto"/>
        <w:rPr>
          <w:sz w:val="20"/>
          <w:lang w:val="fr-FR"/>
        </w:rPr>
      </w:pPr>
      <w:r w:rsidRPr="00402BC0">
        <w:rPr>
          <w:sz w:val="20"/>
          <w:lang w:val="fr-FR"/>
        </w:rPr>
        <w:tab/>
        <w:t xml:space="preserve">Le Dr Edris ne peut être tenu responsable pour avoir déclenché le travail sans vérifier l’orientation de la cicatrice utérine de </w:t>
      </w:r>
      <w:r w:rsidRPr="00402BC0">
        <w:rPr>
          <w:sz w:val="20"/>
          <w:lang w:val="fr-CA"/>
        </w:rPr>
        <w:t>M</w:t>
      </w:r>
      <w:r w:rsidRPr="00402BC0">
        <w:rPr>
          <w:sz w:val="20"/>
          <w:vertAlign w:val="superscript"/>
          <w:lang w:val="fr-CA"/>
        </w:rPr>
        <w:t>me</w:t>
      </w:r>
      <w:r w:rsidRPr="00402BC0">
        <w:rPr>
          <w:sz w:val="20"/>
          <w:lang w:val="fr-CA"/>
        </w:rPr>
        <w:t> </w:t>
      </w:r>
      <w:r w:rsidRPr="00402BC0">
        <w:rPr>
          <w:sz w:val="20"/>
          <w:lang w:val="fr-FR"/>
        </w:rPr>
        <w:t xml:space="preserve">Cojocaru, parce qu’il </w:t>
      </w:r>
      <w:r w:rsidRPr="00402BC0">
        <w:rPr>
          <w:sz w:val="20"/>
          <w:lang w:val="fr-CA"/>
        </w:rPr>
        <w:t xml:space="preserve">n’existait aucun lien de causalité entre cette prétendue négligence et le préjudice subi.  </w:t>
      </w:r>
      <w:r w:rsidRPr="00402BC0">
        <w:rPr>
          <w:sz w:val="20"/>
          <w:lang w:val="fr-FR"/>
        </w:rPr>
        <w:t>La</w:t>
      </w:r>
      <w:r w:rsidRPr="00402BC0">
        <w:rPr>
          <w:sz w:val="20"/>
          <w:lang w:val="fr-CA"/>
        </w:rPr>
        <w:t xml:space="preserve"> preuve n’établissait non plus aucun lien de causalité entre les actes du D</w:t>
      </w:r>
      <w:r w:rsidRPr="00402BC0">
        <w:rPr>
          <w:sz w:val="20"/>
          <w:vertAlign w:val="superscript"/>
          <w:lang w:val="fr-CA"/>
        </w:rPr>
        <w:t>r</w:t>
      </w:r>
      <w:r w:rsidRPr="00402BC0">
        <w:rPr>
          <w:sz w:val="20"/>
          <w:lang w:val="fr-CA"/>
        </w:rPr>
        <w:t xml:space="preserve"> Steele et le préjudice.  Enfin, même si l’infirmière Bellini avait remarqué les signes de rupture utérine et avait agi en conséquence plus tôt, comme elle aurait dû le faire selon le juge de première instance, l’enfant n’aurait pas pu naître à temps pour éviter les lésions cérébrales permanentes, puisqu’aucune salle d’opération dotée d’un anesthésiste n’a été disponible </w:t>
      </w:r>
      <w:r w:rsidRPr="00402BC0">
        <w:rPr>
          <w:sz w:val="20"/>
          <w:lang w:val="fr-FR"/>
        </w:rPr>
        <w:t>à temps.  Par conséquent, les conclusions de responsabilité tirée par le juge de première instance contre l’infirmière Bellini, l’hôpital, le D</w:t>
      </w:r>
      <w:r w:rsidRPr="00402BC0">
        <w:rPr>
          <w:sz w:val="20"/>
          <w:vertAlign w:val="superscript"/>
          <w:lang w:val="fr-FR"/>
        </w:rPr>
        <w:t>r</w:t>
      </w:r>
      <w:r w:rsidRPr="00402BC0">
        <w:rPr>
          <w:sz w:val="20"/>
          <w:lang w:val="fr-FR"/>
        </w:rPr>
        <w:t> Steele et le D</w:t>
      </w:r>
      <w:r w:rsidRPr="00402BC0">
        <w:rPr>
          <w:sz w:val="20"/>
          <w:vertAlign w:val="superscript"/>
          <w:lang w:val="fr-FR"/>
        </w:rPr>
        <w:t>r</w:t>
      </w:r>
      <w:r w:rsidRPr="00402BC0">
        <w:rPr>
          <w:sz w:val="20"/>
          <w:lang w:val="fr-FR"/>
        </w:rPr>
        <w:t xml:space="preserve"> Edris doivent être annulées.  </w:t>
      </w:r>
    </w:p>
    <w:p w:rsidR="00C0388E" w:rsidRDefault="00C0388E" w:rsidP="00C0388E">
      <w:pPr>
        <w:pStyle w:val="SCCNormalDoubleSpacing"/>
        <w:spacing w:line="240" w:lineRule="auto"/>
        <w:rPr>
          <w:sz w:val="20"/>
          <w:lang w:val="fr-FR"/>
        </w:rPr>
      </w:pPr>
    </w:p>
    <w:p w:rsidR="00C0388E" w:rsidRPr="00402BC0" w:rsidRDefault="00C0388E" w:rsidP="00C0388E">
      <w:pPr>
        <w:pStyle w:val="SCCNormalDoubleSpacing"/>
        <w:spacing w:line="240" w:lineRule="auto"/>
        <w:rPr>
          <w:sz w:val="20"/>
          <w:lang w:val="fr-CA"/>
        </w:rPr>
      </w:pPr>
      <w:r w:rsidRPr="00F11827">
        <w:rPr>
          <w:sz w:val="20"/>
          <w:lang w:val="fr-CA"/>
        </w:rPr>
        <w:tab/>
      </w:r>
      <w:r w:rsidRPr="00402BC0">
        <w:rPr>
          <w:sz w:val="20"/>
          <w:lang w:val="fr-CA"/>
        </w:rPr>
        <w:t>POURVOI et POURVOI INCIDENT contre un arrêt de la Cour d’appel de la Colombie</w:t>
      </w:r>
      <w:r w:rsidRPr="00402BC0">
        <w:rPr>
          <w:sz w:val="20"/>
          <w:lang w:val="fr-CA"/>
        </w:rPr>
        <w:noBreakHyphen/>
        <w:t>Britannique (les juges Levine, Smith et Kirkpatrick), 2011 BCCA 192, 17 B.C.L.R. (5th) 253, 303 B.C.A.C. 278, 512 W.A.C. 278, 44 Admin. L.R. (5th) 231, 81 C.C.L.T. (3d) 183, [2011] 7 W.W.R. 82, [2011] B.C.J. No. 680 (QL), 2011 CarswellBC 886, qui a annulé la décision du juge Groves, 2009 BCSC 494, 65 C.C.L.T. (3d) 75, [2009] B.C.J. No. 731 (QL), 2009 CarswellBC 917.  Pourvoi et pourvoi incident accueillis.</w:t>
      </w:r>
    </w:p>
    <w:p w:rsidR="00C0388E" w:rsidRDefault="00C0388E" w:rsidP="00C0388E">
      <w:pPr>
        <w:pStyle w:val="SCCNormalDoubleSpacing"/>
        <w:spacing w:line="240" w:lineRule="auto"/>
        <w:rPr>
          <w:rStyle w:val="SCCCounselNameChar"/>
          <w:sz w:val="20"/>
          <w:lang w:val="fr-CA"/>
        </w:rPr>
      </w:pPr>
    </w:p>
    <w:p w:rsidR="00C0388E" w:rsidRPr="00402BC0" w:rsidRDefault="00C0388E" w:rsidP="00C0388E">
      <w:pPr>
        <w:pStyle w:val="SCCNormalDoubleSpacing"/>
        <w:spacing w:line="240" w:lineRule="auto"/>
        <w:rPr>
          <w:sz w:val="20"/>
          <w:lang w:val="fr-CA"/>
        </w:rPr>
      </w:pPr>
      <w:r w:rsidRPr="00402BC0">
        <w:rPr>
          <w:rStyle w:val="SCCCounselNameChar"/>
          <w:sz w:val="20"/>
          <w:lang w:val="fr-CA"/>
        </w:rPr>
        <w:tab/>
        <w:t>Paul McGivern</w:t>
      </w:r>
      <w:r w:rsidRPr="00402BC0">
        <w:rPr>
          <w:rStyle w:val="SCCCounselSeparatorChar"/>
          <w:sz w:val="20"/>
        </w:rPr>
        <w:t xml:space="preserve">, </w:t>
      </w:r>
      <w:r w:rsidRPr="00402BC0">
        <w:rPr>
          <w:rStyle w:val="SCCCounselNameChar"/>
          <w:sz w:val="20"/>
          <w:lang w:val="fr-CA"/>
        </w:rPr>
        <w:t>Dan Shugarman, Ann Howell et Marie</w:t>
      </w:r>
      <w:r w:rsidRPr="00402BC0">
        <w:rPr>
          <w:rStyle w:val="SCCCounselNameChar"/>
          <w:sz w:val="20"/>
          <w:lang w:val="fr-CA"/>
        </w:rPr>
        <w:noBreakHyphen/>
        <w:t>France Major</w:t>
      </w:r>
      <w:r w:rsidRPr="00402BC0">
        <w:rPr>
          <w:rStyle w:val="SCCCounselPartyRoleChar"/>
          <w:sz w:val="20"/>
          <w:lang w:val="fr-CA"/>
        </w:rPr>
        <w:t>, pour les appelants/intimés au pourvoi incident.</w:t>
      </w:r>
    </w:p>
    <w:p w:rsidR="00C0388E" w:rsidRDefault="00C0388E" w:rsidP="00C0388E">
      <w:pPr>
        <w:pStyle w:val="SCCNormalDoubleSpacing"/>
        <w:spacing w:line="240" w:lineRule="auto"/>
        <w:rPr>
          <w:rStyle w:val="SCCCounselNameChar"/>
          <w:sz w:val="20"/>
          <w:lang w:val="fr-CA"/>
        </w:rPr>
      </w:pPr>
    </w:p>
    <w:p w:rsidR="00C0388E" w:rsidRPr="00402BC0" w:rsidRDefault="00C0388E" w:rsidP="00C0388E">
      <w:pPr>
        <w:pStyle w:val="SCCNormalDoubleSpacing"/>
        <w:spacing w:line="240" w:lineRule="auto"/>
        <w:rPr>
          <w:sz w:val="20"/>
          <w:lang w:val="fr-CA"/>
        </w:rPr>
      </w:pPr>
      <w:r w:rsidRPr="00402BC0">
        <w:rPr>
          <w:rStyle w:val="SCCCounselNameChar"/>
          <w:sz w:val="20"/>
          <w:lang w:val="fr-CA"/>
        </w:rPr>
        <w:tab/>
        <w:t>Catherine L. Woods, c.r.,</w:t>
      </w:r>
      <w:r w:rsidRPr="00402BC0">
        <w:rPr>
          <w:rStyle w:val="SCCCounselSeparatorChar"/>
          <w:sz w:val="20"/>
        </w:rPr>
        <w:t xml:space="preserve"> et </w:t>
      </w:r>
      <w:r w:rsidRPr="00402BC0">
        <w:rPr>
          <w:rStyle w:val="SCCCounselNameChar"/>
          <w:sz w:val="20"/>
          <w:lang w:val="fr-CA"/>
        </w:rPr>
        <w:t>Adam Howden</w:t>
      </w:r>
      <w:r w:rsidRPr="00402BC0">
        <w:rPr>
          <w:rStyle w:val="SCCCounselNameChar"/>
          <w:sz w:val="20"/>
          <w:lang w:val="fr-CA"/>
        </w:rPr>
        <w:noBreakHyphen/>
        <w:t>Duke</w:t>
      </w:r>
      <w:r w:rsidRPr="00402BC0">
        <w:rPr>
          <w:rStyle w:val="SCCCounselPartyRoleChar"/>
          <w:sz w:val="20"/>
          <w:lang w:val="fr-CA"/>
        </w:rPr>
        <w:t>, pour les intimés/appelants au pourvoi incident</w:t>
      </w:r>
      <w:r w:rsidRPr="00402BC0">
        <w:rPr>
          <w:sz w:val="20"/>
          <w:lang w:val="fr-CA"/>
        </w:rPr>
        <w:t xml:space="preserve"> </w:t>
      </w:r>
      <w:r w:rsidRPr="00402BC0">
        <w:rPr>
          <w:rStyle w:val="SCCCounselPartyRoleChar"/>
          <w:sz w:val="20"/>
          <w:lang w:val="fr-CA"/>
        </w:rPr>
        <w:t>British Columbia Women’s Hospital and Health Centre et F. Bellini.</w:t>
      </w:r>
    </w:p>
    <w:p w:rsidR="00C0388E" w:rsidRDefault="00C0388E" w:rsidP="00C0388E">
      <w:pPr>
        <w:pStyle w:val="SCCNormalDoubleSpacing"/>
        <w:spacing w:line="240" w:lineRule="auto"/>
        <w:rPr>
          <w:rStyle w:val="SCCCounselNameChar"/>
          <w:sz w:val="20"/>
          <w:lang w:val="fr-CA"/>
        </w:rPr>
      </w:pPr>
    </w:p>
    <w:p w:rsidR="00C0388E" w:rsidRPr="00402BC0" w:rsidRDefault="00C0388E" w:rsidP="00C0388E">
      <w:pPr>
        <w:pStyle w:val="SCCNormalDoubleSpacing"/>
        <w:spacing w:line="240" w:lineRule="auto"/>
        <w:rPr>
          <w:sz w:val="20"/>
          <w:lang w:val="fr-CA"/>
        </w:rPr>
      </w:pPr>
      <w:r w:rsidRPr="00402BC0">
        <w:rPr>
          <w:rStyle w:val="SCCCounselNameChar"/>
          <w:sz w:val="20"/>
          <w:lang w:val="fr-CA"/>
        </w:rPr>
        <w:tab/>
        <w:t>James M. Lepp, c.r.,</w:t>
      </w:r>
      <w:r w:rsidRPr="00402BC0">
        <w:rPr>
          <w:rStyle w:val="SCCCounselSeparatorChar"/>
          <w:sz w:val="20"/>
        </w:rPr>
        <w:t xml:space="preserve"> </w:t>
      </w:r>
      <w:r w:rsidRPr="00402BC0">
        <w:rPr>
          <w:rStyle w:val="SCCCounselNameChar"/>
          <w:sz w:val="20"/>
          <w:lang w:val="fr-CA"/>
        </w:rPr>
        <w:t>Mandeep K. Gill</w:t>
      </w:r>
      <w:r w:rsidRPr="00402BC0">
        <w:rPr>
          <w:rStyle w:val="SCCCounselSeparatorChar"/>
          <w:sz w:val="20"/>
        </w:rPr>
        <w:t xml:space="preserve"> et </w:t>
      </w:r>
      <w:r w:rsidRPr="00402BC0">
        <w:rPr>
          <w:rStyle w:val="SCCCounselNameChar"/>
          <w:sz w:val="20"/>
          <w:lang w:val="fr-CA"/>
        </w:rPr>
        <w:t>Daniel J. Reid</w:t>
      </w:r>
      <w:r w:rsidRPr="00402BC0">
        <w:rPr>
          <w:rStyle w:val="SCCCounselPartyRoleChar"/>
          <w:sz w:val="20"/>
          <w:lang w:val="fr-CA"/>
        </w:rPr>
        <w:t>, pour les intimés Dale R. Steele, Jenise Yue et Fawaz Edris.</w:t>
      </w:r>
    </w:p>
    <w:p w:rsidR="00C0388E" w:rsidRDefault="00C0388E" w:rsidP="00C0388E">
      <w:pPr>
        <w:pStyle w:val="SCCNormalDoubleSpacing"/>
        <w:spacing w:line="240" w:lineRule="auto"/>
        <w:rPr>
          <w:rStyle w:val="SCCCounselNameChar"/>
          <w:sz w:val="20"/>
          <w:lang w:val="fr-CA"/>
        </w:rPr>
      </w:pPr>
    </w:p>
    <w:p w:rsidR="00C0388E" w:rsidRPr="00402BC0" w:rsidRDefault="00C0388E" w:rsidP="00C0388E">
      <w:pPr>
        <w:pStyle w:val="SCCNormalDoubleSpacing"/>
        <w:spacing w:line="240" w:lineRule="auto"/>
        <w:rPr>
          <w:sz w:val="20"/>
          <w:lang w:val="fr-CA"/>
        </w:rPr>
      </w:pPr>
      <w:r w:rsidRPr="00402BC0">
        <w:rPr>
          <w:rStyle w:val="SCCCounselNameChar"/>
          <w:sz w:val="20"/>
          <w:lang w:val="fr-CA"/>
        </w:rPr>
        <w:tab/>
        <w:t>M. David Lepofsky</w:t>
      </w:r>
      <w:r w:rsidRPr="00402BC0">
        <w:rPr>
          <w:rStyle w:val="SCCCounselPartyRoleChar"/>
          <w:sz w:val="20"/>
          <w:lang w:val="fr-CA"/>
        </w:rPr>
        <w:t>, pour l’intervenant le procureur général de l’Ontario.</w:t>
      </w:r>
    </w:p>
    <w:p w:rsidR="00C0388E" w:rsidRDefault="00C0388E" w:rsidP="00C0388E">
      <w:pPr>
        <w:pStyle w:val="SCCNormalDoubleSpacing"/>
        <w:spacing w:line="240" w:lineRule="auto"/>
        <w:rPr>
          <w:rStyle w:val="SCCCounselNameChar"/>
          <w:sz w:val="20"/>
          <w:lang w:val="fr-CA"/>
        </w:rPr>
      </w:pPr>
    </w:p>
    <w:p w:rsidR="00C0388E" w:rsidRPr="00402BC0" w:rsidRDefault="00C0388E" w:rsidP="00C0388E">
      <w:pPr>
        <w:pStyle w:val="SCCNormalDoubleSpacing"/>
        <w:spacing w:line="240" w:lineRule="auto"/>
        <w:rPr>
          <w:sz w:val="20"/>
        </w:rPr>
      </w:pPr>
      <w:r w:rsidRPr="00402BC0">
        <w:rPr>
          <w:rStyle w:val="SCCCounselNameChar"/>
          <w:sz w:val="20"/>
          <w:lang w:val="fr-CA"/>
        </w:rPr>
        <w:tab/>
      </w:r>
      <w:r w:rsidRPr="00402BC0">
        <w:rPr>
          <w:rStyle w:val="SCCCounselNameChar"/>
          <w:sz w:val="20"/>
        </w:rPr>
        <w:t>George K. Macintosh</w:t>
      </w:r>
      <w:r w:rsidRPr="00402BC0">
        <w:rPr>
          <w:rStyle w:val="SCCCounselNameChar"/>
          <w:sz w:val="20"/>
          <w:lang w:val="en-US"/>
        </w:rPr>
        <w:t>, c.r.,</w:t>
      </w:r>
      <w:r w:rsidRPr="00402BC0">
        <w:rPr>
          <w:rStyle w:val="SCCCounselSeparatorChar"/>
          <w:sz w:val="20"/>
          <w:lang w:val="en-US"/>
        </w:rPr>
        <w:t xml:space="preserve"> </w:t>
      </w:r>
      <w:r w:rsidRPr="00F11827">
        <w:rPr>
          <w:rStyle w:val="SCCCounselSeparatorChar"/>
          <w:sz w:val="20"/>
          <w:lang w:val="en-CA"/>
        </w:rPr>
        <w:t xml:space="preserve">et </w:t>
      </w:r>
      <w:r w:rsidRPr="00402BC0">
        <w:rPr>
          <w:rStyle w:val="SCCCounselNameChar"/>
          <w:sz w:val="20"/>
        </w:rPr>
        <w:t>Tim Dickson</w:t>
      </w:r>
      <w:r w:rsidRPr="00402BC0">
        <w:rPr>
          <w:rStyle w:val="SCCCounselPartyRoleChar"/>
          <w:sz w:val="20"/>
        </w:rPr>
        <w:t>, pour l’intervenante Trial Lawyers Association of British Columbia.</w:t>
      </w:r>
    </w:p>
    <w:p w:rsidR="00C0388E" w:rsidRDefault="00C0388E" w:rsidP="00C0388E">
      <w:pPr>
        <w:pStyle w:val="SCCNormalDoubleSpacing"/>
        <w:spacing w:line="240" w:lineRule="auto"/>
        <w:rPr>
          <w:rStyle w:val="SCCCounselNameChar"/>
          <w:sz w:val="20"/>
          <w:lang w:val="en-US"/>
        </w:rPr>
      </w:pPr>
    </w:p>
    <w:p w:rsidR="00C0388E" w:rsidRPr="00402BC0" w:rsidRDefault="00C0388E" w:rsidP="00C0388E">
      <w:pPr>
        <w:pStyle w:val="SCCNormalDoubleSpacing"/>
        <w:spacing w:line="240" w:lineRule="auto"/>
        <w:rPr>
          <w:sz w:val="20"/>
          <w:lang w:val="fr-CA"/>
        </w:rPr>
      </w:pPr>
      <w:r w:rsidRPr="00402BC0">
        <w:rPr>
          <w:rStyle w:val="SCCCounselNameChar"/>
          <w:sz w:val="20"/>
          <w:lang w:val="en-US"/>
        </w:rPr>
        <w:tab/>
      </w:r>
      <w:r w:rsidRPr="00402BC0">
        <w:rPr>
          <w:rStyle w:val="SCCCounselNameChar"/>
          <w:sz w:val="20"/>
          <w:lang w:val="fr-CA"/>
        </w:rPr>
        <w:t>Mahmud Jamal</w:t>
      </w:r>
      <w:r w:rsidRPr="00402BC0">
        <w:rPr>
          <w:rStyle w:val="SCCCounselSeparatorChar"/>
          <w:sz w:val="20"/>
        </w:rPr>
        <w:t xml:space="preserve"> et </w:t>
      </w:r>
      <w:r w:rsidRPr="00402BC0">
        <w:rPr>
          <w:rStyle w:val="SCCCounselNameChar"/>
          <w:sz w:val="20"/>
          <w:lang w:val="fr-CA"/>
        </w:rPr>
        <w:t>Raphael Eghan</w:t>
      </w:r>
      <w:r w:rsidRPr="00402BC0">
        <w:rPr>
          <w:rStyle w:val="SCCCounselPartyRoleChar"/>
          <w:sz w:val="20"/>
          <w:lang w:val="fr-CA"/>
        </w:rPr>
        <w:t>, pour l’intervenante l’Association du Barreau canadien.</w:t>
      </w:r>
    </w:p>
    <w:p w:rsidR="00C0388E" w:rsidRDefault="00C0388E" w:rsidP="00C0388E">
      <w:pPr>
        <w:pStyle w:val="SCCLawFirm"/>
        <w:spacing w:line="240" w:lineRule="auto"/>
        <w:rPr>
          <w:sz w:val="20"/>
          <w:lang w:val="fr-CA"/>
        </w:rPr>
      </w:pPr>
    </w:p>
    <w:p w:rsidR="00C0388E" w:rsidRPr="00402BC0" w:rsidRDefault="00C0388E" w:rsidP="00C0388E">
      <w:pPr>
        <w:pStyle w:val="SCCLawFirm"/>
        <w:spacing w:line="240" w:lineRule="auto"/>
        <w:rPr>
          <w:sz w:val="20"/>
          <w:lang w:val="fr-CA"/>
        </w:rPr>
      </w:pPr>
      <w:r w:rsidRPr="00402BC0">
        <w:rPr>
          <w:sz w:val="20"/>
          <w:lang w:val="fr-CA"/>
        </w:rPr>
        <w:tab/>
        <w:t>Procureurs des appelants/intimés au pourvoi incident : Pacific Medical Law, Vancouver; Whitelaw Twining Law Corp., Vancouver; Supreme Advocacy, Ottawa.</w:t>
      </w:r>
    </w:p>
    <w:p w:rsidR="00C0388E" w:rsidRDefault="00C0388E" w:rsidP="00C0388E">
      <w:pPr>
        <w:pStyle w:val="SCCLawFirm"/>
        <w:spacing w:line="240" w:lineRule="auto"/>
        <w:rPr>
          <w:sz w:val="20"/>
          <w:lang w:val="fr-CA"/>
        </w:rPr>
      </w:pPr>
    </w:p>
    <w:p w:rsidR="00C0388E" w:rsidRPr="00402BC0" w:rsidRDefault="00C0388E" w:rsidP="00C0388E">
      <w:pPr>
        <w:pStyle w:val="SCCLawFirm"/>
        <w:spacing w:line="240" w:lineRule="auto"/>
        <w:rPr>
          <w:sz w:val="20"/>
          <w:lang w:val="fr-CA"/>
        </w:rPr>
      </w:pPr>
      <w:r w:rsidRPr="00402BC0">
        <w:rPr>
          <w:sz w:val="20"/>
          <w:lang w:val="fr-CA"/>
        </w:rPr>
        <w:lastRenderedPageBreak/>
        <w:tab/>
        <w:t>Procureurs des intimés/appelants au pourvoi incident</w:t>
      </w:r>
      <w:r w:rsidRPr="00402BC0">
        <w:rPr>
          <w:rStyle w:val="SCCCounselPartyRoleChar"/>
          <w:sz w:val="20"/>
          <w:lang w:val="fr-CA"/>
        </w:rPr>
        <w:t xml:space="preserve"> British Columbia Women’s Hospital and Health Centre et F. Bellini</w:t>
      </w:r>
      <w:r w:rsidRPr="00402BC0">
        <w:rPr>
          <w:sz w:val="20"/>
          <w:lang w:val="fr-CA"/>
        </w:rPr>
        <w:t> : Guild Yule, Vancouver.</w:t>
      </w:r>
    </w:p>
    <w:p w:rsidR="00C0388E" w:rsidRDefault="00C0388E" w:rsidP="00C0388E">
      <w:pPr>
        <w:pStyle w:val="SCCLawFirm"/>
        <w:spacing w:line="240" w:lineRule="auto"/>
        <w:rPr>
          <w:sz w:val="20"/>
          <w:lang w:val="fr-CA"/>
        </w:rPr>
      </w:pPr>
    </w:p>
    <w:p w:rsidR="00C0388E" w:rsidRPr="00402BC0" w:rsidRDefault="00C0388E" w:rsidP="00C0388E">
      <w:pPr>
        <w:pStyle w:val="SCCLawFirm"/>
        <w:spacing w:line="240" w:lineRule="auto"/>
        <w:rPr>
          <w:sz w:val="20"/>
          <w:lang w:val="fr-CA"/>
        </w:rPr>
      </w:pPr>
      <w:r w:rsidRPr="00402BC0">
        <w:rPr>
          <w:sz w:val="20"/>
          <w:lang w:val="fr-CA"/>
        </w:rPr>
        <w:tab/>
        <w:t xml:space="preserve">Procureurs des intimés </w:t>
      </w:r>
      <w:r w:rsidRPr="00402BC0">
        <w:rPr>
          <w:rStyle w:val="SCCCounselPartyRoleChar"/>
          <w:sz w:val="20"/>
          <w:lang w:val="fr-CA"/>
        </w:rPr>
        <w:t>Dale R. Steele, Jenise Yue et Fawaz Edris :</w:t>
      </w:r>
      <w:r w:rsidRPr="00402BC0">
        <w:rPr>
          <w:sz w:val="20"/>
          <w:lang w:val="fr-CA"/>
        </w:rPr>
        <w:t> Harper Grey, Vancouver.</w:t>
      </w:r>
    </w:p>
    <w:p w:rsidR="00C0388E" w:rsidRDefault="00C0388E" w:rsidP="00C0388E">
      <w:pPr>
        <w:pStyle w:val="SCCLawFirm"/>
        <w:spacing w:line="240" w:lineRule="auto"/>
        <w:rPr>
          <w:sz w:val="20"/>
          <w:lang w:val="fr-CA"/>
        </w:rPr>
      </w:pPr>
    </w:p>
    <w:p w:rsidR="00C0388E" w:rsidRPr="00402BC0" w:rsidRDefault="00C0388E" w:rsidP="00C0388E">
      <w:pPr>
        <w:pStyle w:val="SCCLawFirm"/>
        <w:spacing w:line="240" w:lineRule="auto"/>
        <w:rPr>
          <w:sz w:val="20"/>
          <w:lang w:val="fr-CA"/>
        </w:rPr>
      </w:pPr>
      <w:r w:rsidRPr="00402BC0">
        <w:rPr>
          <w:sz w:val="20"/>
          <w:lang w:val="fr-CA"/>
        </w:rPr>
        <w:tab/>
        <w:t>Procureur de l’intervenant le procureur général de l’Ontario : Procureur général de l’Ontario, Toronto.</w:t>
      </w:r>
    </w:p>
    <w:p w:rsidR="00C0388E" w:rsidRDefault="00C0388E" w:rsidP="00C0388E">
      <w:pPr>
        <w:pStyle w:val="SCCLawFirm"/>
        <w:spacing w:line="240" w:lineRule="auto"/>
        <w:rPr>
          <w:sz w:val="20"/>
          <w:lang w:val="fr-CA"/>
        </w:rPr>
      </w:pPr>
    </w:p>
    <w:p w:rsidR="00C0388E" w:rsidRPr="00402BC0" w:rsidRDefault="00C0388E" w:rsidP="00C0388E">
      <w:pPr>
        <w:pStyle w:val="SCCLawFirm"/>
        <w:spacing w:line="240" w:lineRule="auto"/>
        <w:rPr>
          <w:sz w:val="20"/>
        </w:rPr>
      </w:pPr>
      <w:r w:rsidRPr="00402BC0">
        <w:rPr>
          <w:sz w:val="20"/>
          <w:lang w:val="fr-CA"/>
        </w:rPr>
        <w:tab/>
      </w:r>
      <w:r w:rsidRPr="00402BC0">
        <w:rPr>
          <w:sz w:val="20"/>
        </w:rPr>
        <w:t>Procureurs de l’intervenante Trial Lawyers Association of British Columbia : Farris, Vaughan, Wills &amp; Murphy, Vancouver.</w:t>
      </w:r>
    </w:p>
    <w:p w:rsidR="00C0388E" w:rsidRDefault="00C0388E" w:rsidP="00C0388E">
      <w:pPr>
        <w:pStyle w:val="SCCLawFirm"/>
        <w:spacing w:line="240" w:lineRule="auto"/>
        <w:rPr>
          <w:sz w:val="20"/>
          <w:lang w:val="en-US"/>
        </w:rPr>
      </w:pPr>
    </w:p>
    <w:p w:rsidR="00C0388E" w:rsidRDefault="00C0388E" w:rsidP="00C0388E">
      <w:pPr>
        <w:pStyle w:val="SCCLawFirm"/>
        <w:spacing w:line="240" w:lineRule="auto"/>
        <w:rPr>
          <w:sz w:val="20"/>
          <w:lang w:val="fr-CA"/>
        </w:rPr>
      </w:pPr>
      <w:r w:rsidRPr="00402BC0">
        <w:rPr>
          <w:sz w:val="20"/>
          <w:lang w:val="en-US"/>
        </w:rPr>
        <w:tab/>
      </w:r>
      <w:r w:rsidRPr="00402BC0">
        <w:rPr>
          <w:sz w:val="20"/>
          <w:lang w:val="fr-CA"/>
        </w:rPr>
        <w:t>Procureurs de l’intervenante l’Association du Barreau canadien : Osler, Hoskin &amp; Harcourt, Toronto.</w:t>
      </w:r>
    </w:p>
    <w:p w:rsidR="00C0388E" w:rsidRPr="00F11827" w:rsidRDefault="00C0388E" w:rsidP="00C0388E">
      <w:pPr>
        <w:rPr>
          <w:sz w:val="20"/>
          <w:szCs w:val="20"/>
          <w:lang w:val="fr-CA"/>
        </w:rPr>
      </w:pPr>
    </w:p>
    <w:p w:rsidR="00C0388E" w:rsidRDefault="00B35B95" w:rsidP="00C0388E">
      <w:pPr>
        <w:rPr>
          <w:sz w:val="20"/>
          <w:szCs w:val="20"/>
        </w:rPr>
      </w:pPr>
      <w:r w:rsidRPr="00B35B95">
        <w:rPr>
          <w:rFonts w:cs="Times New Roman"/>
          <w:sz w:val="20"/>
          <w:szCs w:val="20"/>
          <w:lang w:val="fr-CA"/>
        </w:rPr>
        <w:pict>
          <v:rect id="_x0000_i1097" style="width:144.3pt;height:1pt" o:hrpct="300" o:hralign="center" o:hrstd="t" o:hrnoshade="t" o:hr="t" fillcolor="black [3213]" stroked="f"/>
        </w:pict>
      </w:r>
    </w:p>
    <w:p w:rsidR="00C0388E" w:rsidRPr="003F4721" w:rsidRDefault="00C0388E" w:rsidP="00C0388E">
      <w:pPr>
        <w:rPr>
          <w:sz w:val="20"/>
          <w:szCs w:val="20"/>
        </w:rPr>
      </w:pPr>
    </w:p>
    <w:p w:rsidR="003B3977" w:rsidRPr="003F4721" w:rsidRDefault="003B39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58"/>
          <w:headerReference w:type="default" r:id="rId59"/>
          <w:footerReference w:type="even" r:id="rId60"/>
          <w:footerReference w:type="default" r:id="rId61"/>
          <w:headerReference w:type="first" r:id="rId62"/>
          <w:footerReference w:type="first" r:id="rId63"/>
          <w:pgSz w:w="12240" w:h="15840"/>
          <w:pgMar w:top="720" w:right="965" w:bottom="1080" w:left="1656" w:header="576" w:footer="960" w:gutter="0"/>
          <w:cols w:space="720"/>
          <w:titlePg/>
          <w:docGrid w:linePitch="272"/>
        </w:sectPr>
      </w:pPr>
    </w:p>
    <w:p w:rsidR="00091FA6" w:rsidRPr="002E0C7E" w:rsidRDefault="00B35B95"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370584">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370584">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370584">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370584">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370584">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370584">
            <w:pPr>
              <w:widowControl w:val="0"/>
              <w:jc w:val="center"/>
              <w:rPr>
                <w:rFonts w:ascii="Arial" w:hAnsi="Arial"/>
                <w:sz w:val="14"/>
              </w:rPr>
            </w:pPr>
            <w:r w:rsidRPr="002E0C7E">
              <w:rPr>
                <w:rFonts w:ascii="Arial" w:hAnsi="Arial"/>
                <w:b/>
                <w:sz w:val="14"/>
              </w:rPr>
              <w:t>DECEMBER - DÉCEMBRE</w:t>
            </w:r>
          </w:p>
        </w:tc>
      </w:tr>
      <w:tr w:rsidR="00091FA6" w:rsidRPr="002E0C7E" w:rsidTr="00370584">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S</w:t>
            </w:r>
          </w:p>
          <w:p w:rsidR="00091FA6" w:rsidRPr="002E0C7E" w:rsidRDefault="00091FA6" w:rsidP="00370584">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M</w:t>
            </w:r>
          </w:p>
          <w:p w:rsidR="00091FA6" w:rsidRPr="002E0C7E" w:rsidRDefault="00091FA6" w:rsidP="00370584">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T</w:t>
            </w:r>
          </w:p>
          <w:p w:rsidR="00091FA6" w:rsidRPr="002E0C7E" w:rsidRDefault="00091FA6" w:rsidP="00370584">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W</w:t>
            </w:r>
          </w:p>
          <w:p w:rsidR="00091FA6" w:rsidRPr="002E0C7E" w:rsidRDefault="00091FA6" w:rsidP="00370584">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T</w:t>
            </w:r>
          </w:p>
          <w:p w:rsidR="00091FA6" w:rsidRPr="002E0C7E" w:rsidRDefault="00091FA6" w:rsidP="00370584">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F</w:t>
            </w:r>
          </w:p>
          <w:p w:rsidR="00091FA6" w:rsidRPr="002E0C7E" w:rsidRDefault="00091FA6" w:rsidP="00370584">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S</w:t>
            </w:r>
          </w:p>
          <w:p w:rsidR="00091FA6" w:rsidRPr="002E0C7E" w:rsidRDefault="00091FA6" w:rsidP="00370584">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S</w:t>
            </w:r>
          </w:p>
          <w:p w:rsidR="00091FA6" w:rsidRPr="002E0C7E" w:rsidRDefault="00091FA6" w:rsidP="00370584">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M</w:t>
            </w:r>
          </w:p>
          <w:p w:rsidR="00091FA6" w:rsidRPr="002E0C7E" w:rsidRDefault="00091FA6" w:rsidP="00370584">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T</w:t>
            </w:r>
          </w:p>
          <w:p w:rsidR="00091FA6" w:rsidRPr="002E0C7E" w:rsidRDefault="00091FA6" w:rsidP="00370584">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W</w:t>
            </w:r>
          </w:p>
          <w:p w:rsidR="00091FA6" w:rsidRPr="002E0C7E" w:rsidRDefault="00091FA6" w:rsidP="00370584">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T</w:t>
            </w:r>
          </w:p>
          <w:p w:rsidR="00091FA6" w:rsidRPr="002E0C7E" w:rsidRDefault="00091FA6" w:rsidP="00370584">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F</w:t>
            </w:r>
          </w:p>
          <w:p w:rsidR="00091FA6" w:rsidRPr="002E0C7E" w:rsidRDefault="00091FA6" w:rsidP="00370584">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S</w:t>
            </w:r>
          </w:p>
          <w:p w:rsidR="00091FA6" w:rsidRPr="002E0C7E" w:rsidRDefault="00091FA6" w:rsidP="00370584">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S</w:t>
            </w:r>
          </w:p>
          <w:p w:rsidR="00091FA6" w:rsidRPr="002E0C7E" w:rsidRDefault="00091FA6" w:rsidP="00370584">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M</w:t>
            </w:r>
          </w:p>
          <w:p w:rsidR="00091FA6" w:rsidRPr="002E0C7E" w:rsidRDefault="00091FA6" w:rsidP="00370584">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T</w:t>
            </w:r>
          </w:p>
          <w:p w:rsidR="00091FA6" w:rsidRPr="002E0C7E" w:rsidRDefault="00091FA6" w:rsidP="00370584">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W</w:t>
            </w:r>
          </w:p>
          <w:p w:rsidR="00091FA6" w:rsidRPr="002E0C7E" w:rsidRDefault="00091FA6" w:rsidP="00370584">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T</w:t>
            </w:r>
          </w:p>
          <w:p w:rsidR="00091FA6" w:rsidRPr="002E0C7E" w:rsidRDefault="00091FA6" w:rsidP="00370584">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F</w:t>
            </w:r>
          </w:p>
          <w:p w:rsidR="00091FA6" w:rsidRPr="002E0C7E" w:rsidRDefault="00091FA6" w:rsidP="00370584">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S</w:t>
            </w:r>
          </w:p>
          <w:p w:rsidR="00091FA6" w:rsidRPr="002E0C7E" w:rsidRDefault="00091FA6" w:rsidP="00370584">
            <w:pPr>
              <w:widowControl w:val="0"/>
              <w:jc w:val="center"/>
              <w:rPr>
                <w:rFonts w:ascii="Arial" w:hAnsi="Arial"/>
                <w:sz w:val="14"/>
              </w:rPr>
            </w:pPr>
            <w:r w:rsidRPr="002E0C7E">
              <w:rPr>
                <w:rFonts w:ascii="Arial" w:hAnsi="Arial"/>
                <w:sz w:val="14"/>
              </w:rPr>
              <w:t>S</w:t>
            </w:r>
          </w:p>
        </w:tc>
      </w:tr>
      <w:tr w:rsidR="00091FA6" w:rsidRPr="002E0C7E" w:rsidTr="00370584">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1</w:t>
            </w:r>
          </w:p>
        </w:tc>
      </w:tr>
      <w:tr w:rsidR="00091FA6" w:rsidRPr="002E0C7E" w:rsidTr="00370584">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370584">
            <w:pPr>
              <w:widowControl w:val="0"/>
              <w:jc w:val="center"/>
              <w:rPr>
                <w:rFonts w:ascii="Arial" w:hAnsi="Arial"/>
                <w:b/>
                <w:sz w:val="14"/>
              </w:rPr>
            </w:pPr>
            <w:r w:rsidRPr="000C583B">
              <w:rPr>
                <w:rFonts w:ascii="Arial" w:hAnsi="Arial"/>
                <w:b/>
                <w:sz w:val="14"/>
              </w:rPr>
              <w:t>H</w:t>
            </w:r>
          </w:p>
          <w:p w:rsidR="00091FA6" w:rsidRPr="002E0C7E" w:rsidRDefault="00091FA6" w:rsidP="00370584">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370584">
            <w:pPr>
              <w:widowControl w:val="0"/>
              <w:jc w:val="center"/>
              <w:rPr>
                <w:rFonts w:ascii="Arial" w:hAnsi="Arial"/>
                <w:b/>
                <w:sz w:val="14"/>
              </w:rPr>
            </w:pPr>
            <w:r w:rsidRPr="000C583B">
              <w:rPr>
                <w:rFonts w:ascii="Arial" w:hAnsi="Arial"/>
                <w:b/>
                <w:sz w:val="14"/>
              </w:rPr>
              <w:t>M</w:t>
            </w:r>
          </w:p>
          <w:p w:rsidR="00091FA6" w:rsidRPr="002E0C7E" w:rsidRDefault="00091FA6" w:rsidP="00370584">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b/>
                <w:sz w:val="14"/>
              </w:rPr>
              <w:t>M</w:t>
            </w:r>
          </w:p>
          <w:p w:rsidR="00091FA6" w:rsidRPr="002E0C7E" w:rsidRDefault="00091FA6" w:rsidP="00370584">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b/>
                <w:sz w:val="14"/>
              </w:rPr>
              <w:t>M</w:t>
            </w:r>
          </w:p>
          <w:p w:rsidR="00091FA6" w:rsidRPr="002E0C7E" w:rsidRDefault="00091FA6" w:rsidP="00370584">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8</w:t>
            </w:r>
          </w:p>
        </w:tc>
      </w:tr>
      <w:tr w:rsidR="00091FA6" w:rsidRPr="002E0C7E" w:rsidTr="00370584">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370584">
            <w:pPr>
              <w:widowControl w:val="0"/>
              <w:jc w:val="center"/>
              <w:rPr>
                <w:rFonts w:ascii="Arial" w:hAnsi="Arial"/>
                <w:b/>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370584">
            <w:pPr>
              <w:widowControl w:val="0"/>
              <w:jc w:val="center"/>
              <w:rPr>
                <w:rFonts w:ascii="Arial" w:hAnsi="Arial"/>
                <w:sz w:val="14"/>
              </w:rPr>
            </w:pPr>
            <w:r>
              <w:rPr>
                <w:rFonts w:ascii="Arial" w:hAnsi="Arial"/>
                <w:b/>
                <w:sz w:val="14"/>
              </w:rPr>
              <w:t>H</w:t>
            </w: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370584">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370584">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Pr>
                <w:rFonts w:ascii="Arial" w:hAnsi="Arial"/>
                <w:sz w:val="14"/>
              </w:rPr>
              <w:t>23</w:t>
            </w:r>
          </w:p>
          <w:p w:rsidR="00091FA6" w:rsidRPr="002E0C7E" w:rsidRDefault="00091FA6" w:rsidP="00370584">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Pr>
                <w:rFonts w:ascii="Arial" w:hAnsi="Arial"/>
                <w:sz w:val="14"/>
              </w:rPr>
              <w:t>24</w:t>
            </w:r>
          </w:p>
          <w:p w:rsidR="00091FA6" w:rsidRPr="002E0C7E" w:rsidRDefault="00091FA6" w:rsidP="00370584">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b/>
                <w:sz w:val="14"/>
              </w:rPr>
              <w:t>H</w:t>
            </w: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370584">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370584">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370584">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370584">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370584">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370584">
            <w:pPr>
              <w:widowControl w:val="0"/>
              <w:jc w:val="center"/>
              <w:rPr>
                <w:rFonts w:ascii="Arial" w:hAnsi="Arial"/>
                <w:sz w:val="14"/>
              </w:rPr>
            </w:pPr>
            <w:r w:rsidRPr="002E0C7E">
              <w:rPr>
                <w:rFonts w:ascii="Arial" w:hAnsi="Arial"/>
                <w:b/>
                <w:sz w:val="14"/>
              </w:rPr>
              <w:t>MARCH - MARS</w:t>
            </w:r>
          </w:p>
        </w:tc>
      </w:tr>
      <w:tr w:rsidR="00091FA6" w:rsidRPr="002E0C7E" w:rsidTr="00370584">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S</w:t>
            </w:r>
          </w:p>
          <w:p w:rsidR="00091FA6" w:rsidRPr="002E0C7E" w:rsidRDefault="00091FA6" w:rsidP="00370584">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M</w:t>
            </w:r>
          </w:p>
          <w:p w:rsidR="00091FA6" w:rsidRPr="002E0C7E" w:rsidRDefault="00091FA6" w:rsidP="00370584">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T</w:t>
            </w:r>
          </w:p>
          <w:p w:rsidR="00091FA6" w:rsidRPr="002E0C7E" w:rsidRDefault="00091FA6" w:rsidP="00370584">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W</w:t>
            </w:r>
          </w:p>
          <w:p w:rsidR="00091FA6" w:rsidRPr="002E0C7E" w:rsidRDefault="00091FA6" w:rsidP="00370584">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T</w:t>
            </w:r>
          </w:p>
          <w:p w:rsidR="00091FA6" w:rsidRPr="002E0C7E" w:rsidRDefault="00091FA6" w:rsidP="00370584">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F</w:t>
            </w:r>
          </w:p>
          <w:p w:rsidR="00091FA6" w:rsidRPr="002E0C7E" w:rsidRDefault="00091FA6" w:rsidP="00370584">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S</w:t>
            </w:r>
          </w:p>
          <w:p w:rsidR="00091FA6" w:rsidRPr="002E0C7E" w:rsidRDefault="00091FA6" w:rsidP="00370584">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S</w:t>
            </w:r>
          </w:p>
          <w:p w:rsidR="00091FA6" w:rsidRPr="002E0C7E" w:rsidRDefault="00091FA6" w:rsidP="00370584">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M</w:t>
            </w:r>
          </w:p>
          <w:p w:rsidR="00091FA6" w:rsidRPr="002E0C7E" w:rsidRDefault="00091FA6" w:rsidP="00370584">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T</w:t>
            </w:r>
          </w:p>
          <w:p w:rsidR="00091FA6" w:rsidRPr="002E0C7E" w:rsidRDefault="00091FA6" w:rsidP="00370584">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W</w:t>
            </w:r>
          </w:p>
          <w:p w:rsidR="00091FA6" w:rsidRPr="002E0C7E" w:rsidRDefault="00091FA6" w:rsidP="00370584">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T</w:t>
            </w:r>
          </w:p>
          <w:p w:rsidR="00091FA6" w:rsidRPr="002E0C7E" w:rsidRDefault="00091FA6" w:rsidP="00370584">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F</w:t>
            </w:r>
          </w:p>
          <w:p w:rsidR="00091FA6" w:rsidRPr="002E0C7E" w:rsidRDefault="00091FA6" w:rsidP="00370584">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S</w:t>
            </w:r>
          </w:p>
          <w:p w:rsidR="00091FA6" w:rsidRPr="002E0C7E" w:rsidRDefault="00091FA6" w:rsidP="00370584">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S</w:t>
            </w:r>
          </w:p>
          <w:p w:rsidR="00091FA6" w:rsidRPr="002E0C7E" w:rsidRDefault="00091FA6" w:rsidP="00370584">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M</w:t>
            </w:r>
          </w:p>
          <w:p w:rsidR="00091FA6" w:rsidRPr="002E0C7E" w:rsidRDefault="00091FA6" w:rsidP="00370584">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T</w:t>
            </w:r>
          </w:p>
          <w:p w:rsidR="00091FA6" w:rsidRPr="002E0C7E" w:rsidRDefault="00091FA6" w:rsidP="00370584">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W</w:t>
            </w:r>
          </w:p>
          <w:p w:rsidR="00091FA6" w:rsidRPr="002E0C7E" w:rsidRDefault="00091FA6" w:rsidP="00370584">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T</w:t>
            </w:r>
          </w:p>
          <w:p w:rsidR="00091FA6" w:rsidRPr="002E0C7E" w:rsidRDefault="00091FA6" w:rsidP="00370584">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F</w:t>
            </w:r>
          </w:p>
          <w:p w:rsidR="00091FA6" w:rsidRPr="002E0C7E" w:rsidRDefault="00091FA6" w:rsidP="00370584">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S</w:t>
            </w:r>
          </w:p>
          <w:p w:rsidR="00091FA6" w:rsidRPr="002E0C7E" w:rsidRDefault="00091FA6" w:rsidP="00370584">
            <w:pPr>
              <w:widowControl w:val="0"/>
              <w:jc w:val="center"/>
              <w:rPr>
                <w:rFonts w:ascii="Arial" w:hAnsi="Arial"/>
                <w:sz w:val="14"/>
              </w:rPr>
            </w:pPr>
            <w:r w:rsidRPr="002E0C7E">
              <w:rPr>
                <w:rFonts w:ascii="Arial" w:hAnsi="Arial"/>
                <w:sz w:val="14"/>
              </w:rPr>
              <w:t>S</w:t>
            </w:r>
          </w:p>
        </w:tc>
      </w:tr>
      <w:tr w:rsidR="00091FA6" w:rsidRPr="002E0C7E" w:rsidTr="00370584">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370584">
            <w:pPr>
              <w:widowControl w:val="0"/>
              <w:jc w:val="center"/>
              <w:rPr>
                <w:rFonts w:ascii="Arial" w:hAnsi="Arial"/>
                <w:b/>
                <w:sz w:val="14"/>
              </w:rPr>
            </w:pPr>
            <w:r>
              <w:rPr>
                <w:rFonts w:ascii="Arial" w:hAnsi="Arial"/>
                <w:b/>
                <w:sz w:val="14"/>
              </w:rPr>
              <w:t>H</w:t>
            </w:r>
          </w:p>
          <w:p w:rsidR="00091FA6" w:rsidRPr="002E0C7E" w:rsidRDefault="00091FA6" w:rsidP="00370584">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2</w:t>
            </w:r>
          </w:p>
        </w:tc>
      </w:tr>
      <w:tr w:rsidR="00091FA6" w:rsidRPr="002E0C7E" w:rsidTr="00370584">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9</w:t>
            </w:r>
          </w:p>
        </w:tc>
      </w:tr>
      <w:tr w:rsidR="00091FA6" w:rsidRPr="002E0C7E" w:rsidTr="00370584">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370584">
            <w:pPr>
              <w:widowControl w:val="0"/>
              <w:jc w:val="center"/>
              <w:rPr>
                <w:rFonts w:ascii="Arial" w:hAnsi="Arial"/>
                <w:b/>
                <w:sz w:val="14"/>
              </w:rPr>
            </w:pPr>
            <w:r>
              <w:rPr>
                <w:rFonts w:ascii="Arial" w:hAnsi="Arial"/>
                <w:b/>
                <w:sz w:val="14"/>
              </w:rPr>
              <w:t>M</w:t>
            </w: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370584">
            <w:pPr>
              <w:widowControl w:val="0"/>
              <w:jc w:val="center"/>
              <w:rPr>
                <w:rFonts w:ascii="Arial" w:hAnsi="Arial"/>
                <w:b/>
                <w:sz w:val="14"/>
              </w:rPr>
            </w:pPr>
            <w:r>
              <w:rPr>
                <w:rFonts w:ascii="Arial" w:hAnsi="Arial"/>
                <w:b/>
                <w:sz w:val="14"/>
              </w:rPr>
              <w:t>M</w:t>
            </w: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370584">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370584">
            <w:pPr>
              <w:widowControl w:val="0"/>
              <w:jc w:val="center"/>
              <w:rPr>
                <w:rFonts w:ascii="Arial" w:hAnsi="Arial"/>
                <w:b/>
                <w:sz w:val="14"/>
              </w:rPr>
            </w:pPr>
            <w:r>
              <w:rPr>
                <w:rFonts w:ascii="Arial" w:hAnsi="Arial"/>
                <w:b/>
                <w:sz w:val="14"/>
              </w:rPr>
              <w:t>M</w:t>
            </w: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370584">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Pr>
                <w:rFonts w:ascii="Arial" w:hAnsi="Arial"/>
                <w:sz w:val="14"/>
              </w:rPr>
              <w:t>24</w:t>
            </w:r>
          </w:p>
          <w:p w:rsidR="00091FA6" w:rsidRPr="002E0C7E" w:rsidRDefault="00091FA6" w:rsidP="00370584">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370584">
            <w:pPr>
              <w:widowControl w:val="0"/>
              <w:jc w:val="center"/>
              <w:rPr>
                <w:rFonts w:ascii="Arial" w:hAnsi="Arial"/>
                <w:b/>
                <w:sz w:val="14"/>
              </w:rPr>
            </w:pPr>
            <w:r w:rsidRPr="00261B35">
              <w:rPr>
                <w:rFonts w:ascii="Arial" w:hAnsi="Arial"/>
                <w:b/>
                <w:sz w:val="14"/>
              </w:rPr>
              <w:t>H</w:t>
            </w:r>
          </w:p>
          <w:p w:rsidR="00091FA6" w:rsidRPr="002E0C7E" w:rsidRDefault="00091FA6" w:rsidP="00370584">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370584">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370584">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370584">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370584">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370584">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370584">
            <w:pPr>
              <w:widowControl w:val="0"/>
              <w:jc w:val="center"/>
              <w:rPr>
                <w:rFonts w:ascii="Arial" w:hAnsi="Arial"/>
                <w:sz w:val="14"/>
              </w:rPr>
            </w:pPr>
            <w:r w:rsidRPr="002E0C7E">
              <w:rPr>
                <w:rFonts w:ascii="Arial" w:hAnsi="Arial"/>
                <w:b/>
                <w:sz w:val="14"/>
              </w:rPr>
              <w:t>JUNE - JUIN</w:t>
            </w:r>
          </w:p>
        </w:tc>
      </w:tr>
      <w:tr w:rsidR="00091FA6" w:rsidRPr="002E0C7E" w:rsidTr="00370584">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S</w:t>
            </w:r>
          </w:p>
          <w:p w:rsidR="00091FA6" w:rsidRPr="002E0C7E" w:rsidRDefault="00091FA6" w:rsidP="00370584">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M</w:t>
            </w:r>
          </w:p>
          <w:p w:rsidR="00091FA6" w:rsidRPr="002E0C7E" w:rsidRDefault="00091FA6" w:rsidP="00370584">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T</w:t>
            </w:r>
          </w:p>
          <w:p w:rsidR="00091FA6" w:rsidRPr="002E0C7E" w:rsidRDefault="00091FA6" w:rsidP="00370584">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W</w:t>
            </w:r>
          </w:p>
          <w:p w:rsidR="00091FA6" w:rsidRPr="002E0C7E" w:rsidRDefault="00091FA6" w:rsidP="00370584">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T</w:t>
            </w:r>
          </w:p>
          <w:p w:rsidR="00091FA6" w:rsidRPr="002E0C7E" w:rsidRDefault="00091FA6" w:rsidP="00370584">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F</w:t>
            </w:r>
          </w:p>
          <w:p w:rsidR="00091FA6" w:rsidRPr="002E0C7E" w:rsidRDefault="00091FA6" w:rsidP="00370584">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S</w:t>
            </w:r>
          </w:p>
          <w:p w:rsidR="00091FA6" w:rsidRPr="002E0C7E" w:rsidRDefault="00091FA6" w:rsidP="00370584">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S</w:t>
            </w:r>
          </w:p>
          <w:p w:rsidR="00091FA6" w:rsidRPr="002E0C7E" w:rsidRDefault="00091FA6" w:rsidP="00370584">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M</w:t>
            </w:r>
          </w:p>
          <w:p w:rsidR="00091FA6" w:rsidRPr="002E0C7E" w:rsidRDefault="00091FA6" w:rsidP="00370584">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T</w:t>
            </w:r>
          </w:p>
          <w:p w:rsidR="00091FA6" w:rsidRPr="002E0C7E" w:rsidRDefault="00091FA6" w:rsidP="00370584">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W</w:t>
            </w:r>
          </w:p>
          <w:p w:rsidR="00091FA6" w:rsidRPr="002E0C7E" w:rsidRDefault="00091FA6" w:rsidP="00370584">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T</w:t>
            </w:r>
          </w:p>
          <w:p w:rsidR="00091FA6" w:rsidRPr="002E0C7E" w:rsidRDefault="00091FA6" w:rsidP="00370584">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F</w:t>
            </w:r>
          </w:p>
          <w:p w:rsidR="00091FA6" w:rsidRPr="002E0C7E" w:rsidRDefault="00091FA6" w:rsidP="00370584">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S</w:t>
            </w:r>
          </w:p>
          <w:p w:rsidR="00091FA6" w:rsidRPr="002E0C7E" w:rsidRDefault="00091FA6" w:rsidP="00370584">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S</w:t>
            </w:r>
          </w:p>
          <w:p w:rsidR="00091FA6" w:rsidRPr="002E0C7E" w:rsidRDefault="00091FA6" w:rsidP="00370584">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M</w:t>
            </w:r>
          </w:p>
          <w:p w:rsidR="00091FA6" w:rsidRPr="002E0C7E" w:rsidRDefault="00091FA6" w:rsidP="00370584">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T</w:t>
            </w:r>
          </w:p>
          <w:p w:rsidR="00091FA6" w:rsidRPr="002E0C7E" w:rsidRDefault="00091FA6" w:rsidP="00370584">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W</w:t>
            </w:r>
          </w:p>
          <w:p w:rsidR="00091FA6" w:rsidRPr="002E0C7E" w:rsidRDefault="00091FA6" w:rsidP="00370584">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T</w:t>
            </w:r>
          </w:p>
          <w:p w:rsidR="00091FA6" w:rsidRPr="002E0C7E" w:rsidRDefault="00091FA6" w:rsidP="00370584">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F</w:t>
            </w:r>
          </w:p>
          <w:p w:rsidR="00091FA6" w:rsidRPr="002E0C7E" w:rsidRDefault="00091FA6" w:rsidP="00370584">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sidRPr="002E0C7E">
              <w:rPr>
                <w:rFonts w:ascii="Arial" w:hAnsi="Arial"/>
                <w:sz w:val="14"/>
              </w:rPr>
              <w:t>s</w:t>
            </w:r>
          </w:p>
          <w:p w:rsidR="00091FA6" w:rsidRPr="002E0C7E" w:rsidRDefault="00091FA6" w:rsidP="00370584">
            <w:pPr>
              <w:widowControl w:val="0"/>
              <w:jc w:val="center"/>
              <w:rPr>
                <w:rFonts w:ascii="Arial" w:hAnsi="Arial"/>
                <w:sz w:val="14"/>
              </w:rPr>
            </w:pPr>
            <w:r w:rsidRPr="002E0C7E">
              <w:rPr>
                <w:rFonts w:ascii="Arial" w:hAnsi="Arial"/>
                <w:sz w:val="14"/>
              </w:rPr>
              <w:t>s</w:t>
            </w:r>
          </w:p>
        </w:tc>
      </w:tr>
      <w:tr w:rsidR="00091FA6" w:rsidRPr="002E0C7E" w:rsidTr="00370584">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370584">
            <w:pPr>
              <w:widowControl w:val="0"/>
              <w:jc w:val="center"/>
              <w:rPr>
                <w:rFonts w:ascii="Arial" w:hAnsi="Arial"/>
                <w:b/>
                <w:sz w:val="14"/>
              </w:rPr>
            </w:pPr>
            <w:r w:rsidRPr="002453E3">
              <w:rPr>
                <w:rFonts w:ascii="Arial" w:hAnsi="Arial"/>
                <w:b/>
                <w:sz w:val="14"/>
              </w:rPr>
              <w:t>H</w:t>
            </w:r>
          </w:p>
          <w:p w:rsidR="00091FA6" w:rsidRPr="002E0C7E" w:rsidRDefault="00091FA6" w:rsidP="00370584">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b/>
                <w:sz w:val="14"/>
              </w:rPr>
            </w:pPr>
          </w:p>
          <w:p w:rsidR="00091FA6" w:rsidRPr="002E0C7E" w:rsidRDefault="00091FA6" w:rsidP="00370584">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1</w:t>
            </w:r>
          </w:p>
        </w:tc>
      </w:tr>
      <w:tr w:rsidR="00091FA6" w:rsidRPr="002E0C7E" w:rsidTr="00370584">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370584">
            <w:pPr>
              <w:widowControl w:val="0"/>
              <w:jc w:val="center"/>
              <w:rPr>
                <w:rFonts w:ascii="Arial" w:hAnsi="Arial"/>
                <w:b/>
                <w:sz w:val="14"/>
              </w:rPr>
            </w:pPr>
          </w:p>
          <w:p w:rsidR="00091FA6" w:rsidRPr="002E0C7E" w:rsidRDefault="00091FA6" w:rsidP="0037058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8</w:t>
            </w:r>
          </w:p>
        </w:tc>
      </w:tr>
      <w:tr w:rsidR="00091FA6" w:rsidRPr="002E0C7E" w:rsidTr="00370584">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370584">
            <w:pPr>
              <w:widowControl w:val="0"/>
              <w:jc w:val="center"/>
              <w:rPr>
                <w:rFonts w:ascii="Arial" w:hAnsi="Arial"/>
                <w:b/>
                <w:sz w:val="14"/>
              </w:rPr>
            </w:pPr>
            <w:r w:rsidRPr="00DB5777">
              <w:rPr>
                <w:rFonts w:ascii="Arial" w:hAnsi="Arial"/>
                <w:b/>
                <w:sz w:val="14"/>
              </w:rPr>
              <w:t>M</w:t>
            </w: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370584">
            <w:pPr>
              <w:widowControl w:val="0"/>
              <w:jc w:val="center"/>
              <w:rPr>
                <w:rFonts w:ascii="Arial" w:hAnsi="Arial"/>
                <w:b/>
                <w:sz w:val="14"/>
              </w:rPr>
            </w:pPr>
            <w:r w:rsidRPr="002453E3">
              <w:rPr>
                <w:rFonts w:ascii="Arial" w:hAnsi="Arial"/>
                <w:b/>
                <w:sz w:val="14"/>
              </w:rPr>
              <w:t>M</w:t>
            </w: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370584">
            <w:pPr>
              <w:widowControl w:val="0"/>
              <w:jc w:val="center"/>
              <w:rPr>
                <w:rFonts w:ascii="Arial" w:hAnsi="Arial"/>
                <w:b/>
                <w:sz w:val="14"/>
              </w:rPr>
            </w:pPr>
            <w:r w:rsidRPr="006A1E8D">
              <w:rPr>
                <w:rFonts w:ascii="Arial" w:hAnsi="Arial"/>
                <w:b/>
                <w:sz w:val="14"/>
              </w:rPr>
              <w:t>M</w:t>
            </w: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370584">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370584">
            <w:pPr>
              <w:widowControl w:val="0"/>
              <w:jc w:val="center"/>
              <w:rPr>
                <w:rFonts w:ascii="Arial" w:hAnsi="Arial"/>
                <w:b/>
                <w:sz w:val="14"/>
              </w:rPr>
            </w:pPr>
            <w:r>
              <w:rPr>
                <w:rFonts w:ascii="Arial" w:hAnsi="Arial"/>
                <w:b/>
                <w:sz w:val="14"/>
              </w:rPr>
              <w:t>H</w:t>
            </w: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370584">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r>
              <w:rPr>
                <w:rFonts w:ascii="Arial" w:hAnsi="Arial"/>
                <w:sz w:val="14"/>
              </w:rPr>
              <w:t>23</w:t>
            </w:r>
          </w:p>
          <w:p w:rsidR="00091FA6" w:rsidRPr="002E0C7E" w:rsidRDefault="00091FA6" w:rsidP="00370584">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370584">
            <w:pPr>
              <w:widowControl w:val="0"/>
              <w:jc w:val="center"/>
              <w:rPr>
                <w:rFonts w:ascii="Arial" w:hAnsi="Arial"/>
                <w:sz w:val="14"/>
              </w:rPr>
            </w:pPr>
          </w:p>
          <w:p w:rsidR="00091FA6" w:rsidRPr="002E0C7E" w:rsidRDefault="00091FA6" w:rsidP="00370584">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370584">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370584">
            <w:pPr>
              <w:widowControl w:val="0"/>
              <w:rPr>
                <w:rFonts w:ascii="Arial" w:hAnsi="Arial"/>
                <w:sz w:val="16"/>
              </w:rPr>
            </w:pPr>
            <w:r w:rsidRPr="002E0C7E">
              <w:rPr>
                <w:rFonts w:ascii="Arial" w:hAnsi="Arial"/>
                <w:sz w:val="16"/>
              </w:rPr>
              <w:t>Sittings of the court:</w:t>
            </w:r>
          </w:p>
          <w:p w:rsidR="00091FA6" w:rsidRPr="002E0C7E" w:rsidRDefault="00091FA6" w:rsidP="00370584">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370584">
            <w:pPr>
              <w:widowControl w:val="0"/>
              <w:rPr>
                <w:rFonts w:ascii="Arial" w:hAnsi="Arial"/>
                <w:sz w:val="16"/>
              </w:rPr>
            </w:pPr>
          </w:p>
          <w:p w:rsidR="00091FA6" w:rsidRPr="002E0C7E" w:rsidRDefault="00091FA6" w:rsidP="00370584">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3705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3705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3705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3705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3705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370584">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3705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3705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3705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3705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370584">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3705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3705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370584">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3705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64"/>
      <w:footerReference w:type="default" r:id="rId65"/>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584" w:rsidRDefault="00370584" w:rsidP="00A87207">
      <w:r>
        <w:separator/>
      </w:r>
    </w:p>
  </w:endnote>
  <w:endnote w:type="continuationSeparator" w:id="0">
    <w:p w:rsidR="00370584" w:rsidRDefault="00370584"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84" w:rsidRDefault="00370584">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84" w:rsidRDefault="00370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70584" w:rsidRDefault="00370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70584" w:rsidRDefault="00370584">
    <w:pPr>
      <w:tabs>
        <w:tab w:val="center" w:pos="4740"/>
      </w:tabs>
    </w:pPr>
    <w:r>
      <w:tab/>
      <w:t xml:space="preserve">- </w:t>
    </w:r>
    <w:r>
      <w:pgNum/>
    </w:r>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84" w:rsidRDefault="00B35B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35B95">
      <w:rPr>
        <w:lang w:val="fr-CA"/>
      </w:rPr>
      <w:pict>
        <v:rect id="_x0000_i1072" style="width:480.95pt;height:1pt" o:hralign="center" o:hrstd="t" o:hrnoshade="t" o:hr="t" fillcolor="black [3213]" stroked="f"/>
      </w:pict>
    </w:r>
  </w:p>
  <w:p w:rsidR="00370584" w:rsidRPr="0009648D" w:rsidRDefault="00370584" w:rsidP="00ED7E83">
    <w:pPr>
      <w:tabs>
        <w:tab w:val="center" w:pos="4680"/>
      </w:tabs>
    </w:pPr>
    <w:r>
      <w:tab/>
    </w:r>
    <w:r w:rsidRPr="0009648D">
      <w:t xml:space="preserve">- </w:t>
    </w:r>
    <w:fldSimple w:instr=" PAGE   \* MERGEFORMAT ">
      <w:r w:rsidR="00695043">
        <w:rPr>
          <w:noProof/>
        </w:rPr>
        <w:t>940</w:t>
      </w:r>
    </w:fldSimple>
    <w:r w:rsidRPr="0009648D">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84" w:rsidRDefault="00B35B95">
    <w:pPr>
      <w:pStyle w:val="Footer"/>
      <w:rPr>
        <w:lang w:val="fr-CA"/>
      </w:rPr>
    </w:pPr>
    <w:r w:rsidRPr="00B35B95">
      <w:rPr>
        <w:lang w:val="fr-CA"/>
      </w:rPr>
      <w:pict>
        <v:rect id="_x0000_i1073" style="width:480.95pt;height:1pt" o:hralign="center" o:hrstd="t" o:hrnoshade="t" o:hr="t" fillcolor="black [3213]" stroked="f"/>
      </w:pict>
    </w:r>
  </w:p>
  <w:p w:rsidR="00370584" w:rsidRDefault="00370584" w:rsidP="00245129">
    <w:pPr>
      <w:tabs>
        <w:tab w:val="center" w:pos="4680"/>
      </w:tabs>
    </w:pPr>
    <w:r>
      <w:tab/>
    </w:r>
    <w:r w:rsidRPr="0009648D">
      <w:t xml:space="preserve">- </w:t>
    </w:r>
    <w:fldSimple w:instr=" PAGE   \* MERGEFORMAT ">
      <w:r w:rsidR="00695043">
        <w:rPr>
          <w:noProof/>
        </w:rPr>
        <w:t>934</w:t>
      </w:r>
    </w:fldSimple>
    <w:r w:rsidRPr="0009648D">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84" w:rsidRDefault="00370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70584" w:rsidRDefault="00370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70584" w:rsidRDefault="00370584">
    <w:pPr>
      <w:tabs>
        <w:tab w:val="center" w:pos="4740"/>
      </w:tabs>
    </w:pPr>
    <w:r>
      <w:tab/>
      <w:t xml:space="preserve">- </w:t>
    </w:r>
    <w:r>
      <w:pgNum/>
    </w:r>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84" w:rsidRDefault="00B35B95" w:rsidP="00755F22">
    <w:pPr>
      <w:tabs>
        <w:tab w:val="left" w:pos="-1440"/>
        <w:tab w:val="left" w:pos="-720"/>
      </w:tabs>
    </w:pPr>
    <w:r>
      <w:pict>
        <v:rect id="_x0000_i1079" style="width:480.95pt;height:1pt" o:hralign="center" o:hrstd="t" o:hrnoshade="t" o:hr="t" fillcolor="black [3213]" stroked="f"/>
      </w:pict>
    </w:r>
  </w:p>
  <w:p w:rsidR="00370584" w:rsidRDefault="00370584" w:rsidP="00EB2B90">
    <w:pPr>
      <w:tabs>
        <w:tab w:val="center" w:pos="4680"/>
      </w:tabs>
    </w:pPr>
    <w:r>
      <w:tab/>
      <w:t xml:space="preserve">- </w:t>
    </w:r>
    <w:fldSimple w:instr=" PAGE   \* MERGEFORMAT ">
      <w:r w:rsidR="00695043">
        <w:rPr>
          <w:noProof/>
        </w:rPr>
        <w:t>959</w:t>
      </w:r>
    </w:fldSimple>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84" w:rsidRDefault="00B35B95" w:rsidP="00EB2B90">
    <w:pPr>
      <w:tabs>
        <w:tab w:val="center" w:pos="4680"/>
      </w:tabs>
    </w:pPr>
    <w:r>
      <w:pict>
        <v:rect id="_x0000_i1080" style="width:480.95pt;height:1pt" o:hralign="center" o:hrstd="t" o:hrnoshade="t" o:hr="t" fillcolor="black [3213]" stroked="f"/>
      </w:pict>
    </w:r>
  </w:p>
  <w:p w:rsidR="00370584" w:rsidRPr="0031432F" w:rsidRDefault="00370584" w:rsidP="00EB2B90">
    <w:pPr>
      <w:tabs>
        <w:tab w:val="center" w:pos="4680"/>
      </w:tabs>
    </w:pPr>
    <w:r>
      <w:tab/>
      <w:t xml:space="preserve">- </w:t>
    </w:r>
    <w:fldSimple w:instr=" PAGE   \* MERGEFORMAT ">
      <w:r w:rsidR="00695043">
        <w:rPr>
          <w:noProof/>
        </w:rPr>
        <w:t>956</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84" w:rsidRDefault="00370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70584" w:rsidRDefault="00370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70584" w:rsidRDefault="00370584">
    <w:pPr>
      <w:tabs>
        <w:tab w:val="center" w:pos="4740"/>
      </w:tabs>
    </w:pPr>
    <w:r>
      <w:tab/>
      <w:t xml:space="preserve">- </w:t>
    </w:r>
    <w:r>
      <w:pgNum/>
    </w:r>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84" w:rsidRDefault="00B35B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35B95">
      <w:rPr>
        <w:lang w:val="fr-CA"/>
      </w:rPr>
      <w:pict>
        <v:rect id="_x0000_i1082" style="width:480.95pt;height:1pt" o:hralign="center" o:hrstd="t" o:hrnoshade="t" o:hr="t" fillcolor="black [3213]" stroked="f"/>
      </w:pict>
    </w:r>
  </w:p>
  <w:p w:rsidR="00370584" w:rsidRDefault="00370584" w:rsidP="00EB2B90">
    <w:pPr>
      <w:tabs>
        <w:tab w:val="center" w:pos="4680"/>
      </w:tabs>
    </w:pPr>
    <w:r>
      <w:tab/>
      <w:t xml:space="preserve">- </w:t>
    </w:r>
    <w:fldSimple w:instr=" PAGE   \* MERGEFORMAT ">
      <w:r>
        <w:rPr>
          <w:noProof/>
        </w:rPr>
        <w:t>963</w:t>
      </w:r>
    </w:fldSimple>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84" w:rsidRDefault="00B35B95">
    <w:pPr>
      <w:pStyle w:val="Footer"/>
      <w:rPr>
        <w:lang w:val="fr-CA"/>
      </w:rPr>
    </w:pPr>
    <w:r w:rsidRPr="00B35B95">
      <w:rPr>
        <w:lang w:val="fr-CA"/>
      </w:rPr>
      <w:pict>
        <v:rect id="_x0000_i1083" style="width:480.95pt;height:1pt" o:hralign="center" o:hrstd="t" o:hrnoshade="t" o:hr="t" fillcolor="black [3213]" stroked="f"/>
      </w:pict>
    </w:r>
  </w:p>
  <w:p w:rsidR="00370584" w:rsidRDefault="00370584" w:rsidP="00EB2B90">
    <w:pPr>
      <w:tabs>
        <w:tab w:val="center" w:pos="4680"/>
      </w:tabs>
    </w:pPr>
    <w:r>
      <w:tab/>
      <w:t xml:space="preserve">- </w:t>
    </w:r>
    <w:fldSimple w:instr=" PAGE   \* MERGEFORMAT ">
      <w:r w:rsidR="00695043">
        <w:rPr>
          <w:noProof/>
        </w:rPr>
        <w:t>960</w:t>
      </w:r>
    </w:fldSimple>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84" w:rsidRDefault="00370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70584" w:rsidRDefault="00370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70584" w:rsidRDefault="00370584">
    <w:pPr>
      <w:tabs>
        <w:tab w:val="center" w:pos="4740"/>
      </w:tabs>
    </w:pPr>
    <w:r>
      <w:tab/>
      <w:t xml:space="preserve">- </w:t>
    </w:r>
    <w:r>
      <w:pgNum/>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84" w:rsidRDefault="00370584">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84" w:rsidRDefault="00B35B95" w:rsidP="00732DB7">
    <w:r>
      <w:pict>
        <v:rect id="_x0000_i1088" style="width:480.95pt;height:1pt" o:hralign="center" o:hrstd="t" o:hrnoshade="t" o:hr="t" fillcolor="black" stroked="f"/>
      </w:pict>
    </w:r>
  </w:p>
  <w:p w:rsidR="00370584" w:rsidRDefault="00370584">
    <w:pPr>
      <w:tabs>
        <w:tab w:val="center" w:pos="4740"/>
      </w:tabs>
      <w:spacing w:line="0" w:lineRule="atLeast"/>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84" w:rsidRDefault="00B35B95">
    <w:pPr>
      <w:pStyle w:val="Footer"/>
    </w:pPr>
    <w:r>
      <w:pict>
        <v:rect id="_x0000_i1089" style="width:480.95pt;height:1pt" o:hralign="center" o:hrstd="t" o:hrnoshade="t" o:hr="t" fillcolor="black" stroked="f"/>
      </w:pict>
    </w:r>
  </w:p>
  <w:p w:rsidR="00370584" w:rsidRPr="00283C52" w:rsidRDefault="00370584">
    <w:pPr>
      <w:pStyle w:val="Footer"/>
    </w:pPr>
    <w:r>
      <w:tab/>
    </w:r>
    <w:r w:rsidRPr="00283C52">
      <w:t xml:space="preserve">- </w:t>
    </w:r>
    <w:r w:rsidRPr="00283C52">
      <w:pgNum/>
    </w:r>
    <w:r w:rsidRPr="00283C52">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84" w:rsidRDefault="00370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70584" w:rsidRDefault="00370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70584" w:rsidRDefault="00370584">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84" w:rsidRDefault="00B35B95" w:rsidP="00732DB7">
    <w:r>
      <w:pict>
        <v:rect id="_x0000_i1092" style="width:480.95pt;height:1pt" o:hralign="center" o:hrstd="t" o:hrnoshade="t" o:hr="t" fillcolor="black" stroked="f"/>
      </w:pict>
    </w:r>
  </w:p>
  <w:p w:rsidR="00370584" w:rsidRDefault="00370584">
    <w:pPr>
      <w:tabs>
        <w:tab w:val="center" w:pos="4740"/>
      </w:tabs>
      <w:spacing w:line="0" w:lineRule="atLeast"/>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84" w:rsidRDefault="00B35B95">
    <w:pPr>
      <w:pStyle w:val="Footer"/>
    </w:pPr>
    <w:r>
      <w:pict>
        <v:rect id="_x0000_i1093" style="width:480.95pt;height:1pt" o:hralign="center" o:hrstd="t" o:hrnoshade="t" o:hr="t" fillcolor="black [3213]" stroked="f"/>
      </w:pict>
    </w:r>
  </w:p>
  <w:p w:rsidR="00370584" w:rsidRPr="003C2C0F" w:rsidRDefault="00370584" w:rsidP="00697C62">
    <w:pPr>
      <w:tabs>
        <w:tab w:val="center" w:pos="4680"/>
      </w:tabs>
    </w:pPr>
    <w:r>
      <w:tab/>
      <w:t xml:space="preserve">- </w:t>
    </w:r>
    <w:fldSimple w:instr=" PAGE   \* MERGEFORMAT ">
      <w:r w:rsidR="00695043">
        <w:rPr>
          <w:noProof/>
        </w:rPr>
        <w:t>964</w:t>
      </w:r>
    </w:fldSimple>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84" w:rsidRDefault="00370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70584" w:rsidRDefault="00370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70584" w:rsidRDefault="00370584">
    <w:pPr>
      <w:tabs>
        <w:tab w:val="center" w:pos="4740"/>
      </w:tabs>
    </w:pPr>
    <w:r>
      <w:tab/>
      <w:t xml:space="preserve">- </w:t>
    </w:r>
    <w:r>
      <w:pgNum/>
    </w:r>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84" w:rsidRDefault="00370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70584" w:rsidRDefault="00B35B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8" style="width:480.95pt;height:1pt" o:hralign="center" o:hrstd="t" o:hrnoshade="t" o:hr="t" fillcolor="black [3213]" stroked="f"/>
      </w:pict>
    </w:r>
  </w:p>
  <w:p w:rsidR="00370584" w:rsidRDefault="00370584" w:rsidP="00782AE4">
    <w:pPr>
      <w:tabs>
        <w:tab w:val="center" w:pos="4680"/>
      </w:tabs>
    </w:pPr>
    <w:r>
      <w:tab/>
      <w:t xml:space="preserve">- </w:t>
    </w:r>
    <w:r w:rsidR="00B35B95" w:rsidRPr="001775C1">
      <w:rPr>
        <w:szCs w:val="24"/>
      </w:rPr>
      <w:fldChar w:fldCharType="begin"/>
    </w:r>
    <w:r w:rsidRPr="001775C1">
      <w:rPr>
        <w:szCs w:val="24"/>
      </w:rPr>
      <w:instrText xml:space="preserve"> PAGE   \* MERGEFORMAT </w:instrText>
    </w:r>
    <w:r w:rsidR="00B35B95" w:rsidRPr="001775C1">
      <w:rPr>
        <w:szCs w:val="24"/>
      </w:rPr>
      <w:fldChar w:fldCharType="separate"/>
    </w:r>
    <w:r w:rsidR="00695043">
      <w:rPr>
        <w:noProof/>
        <w:szCs w:val="24"/>
      </w:rPr>
      <w:t>975</w:t>
    </w:r>
    <w:r w:rsidR="00B35B95" w:rsidRPr="001775C1">
      <w:rPr>
        <w:szCs w:val="24"/>
      </w:rPr>
      <w:fldChar w:fldCharType="end"/>
    </w:r>
    <w: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84" w:rsidRDefault="00B35B95" w:rsidP="00782AE4">
    <w:pPr>
      <w:tabs>
        <w:tab w:val="center" w:pos="4680"/>
      </w:tabs>
    </w:pPr>
    <w:r>
      <w:pict>
        <v:rect id="_x0000_i1099" style="width:480.95pt;height:1pt" o:hralign="center" o:hrstd="t" o:hrnoshade="t" o:hr="t" fillcolor="black [3213]" stroked="f"/>
      </w:pict>
    </w:r>
  </w:p>
  <w:p w:rsidR="00370584" w:rsidRDefault="00370584" w:rsidP="00782AE4">
    <w:pPr>
      <w:tabs>
        <w:tab w:val="center" w:pos="4680"/>
      </w:tabs>
    </w:pPr>
    <w:r>
      <w:tab/>
      <w:t xml:space="preserve">- </w:t>
    </w:r>
    <w:r w:rsidR="00B35B95" w:rsidRPr="001775C1">
      <w:rPr>
        <w:szCs w:val="24"/>
      </w:rPr>
      <w:fldChar w:fldCharType="begin"/>
    </w:r>
    <w:r w:rsidRPr="001775C1">
      <w:rPr>
        <w:szCs w:val="24"/>
      </w:rPr>
      <w:instrText xml:space="preserve"> PAGE   \* MERGEFORMAT </w:instrText>
    </w:r>
    <w:r w:rsidR="00B35B95" w:rsidRPr="001775C1">
      <w:rPr>
        <w:szCs w:val="24"/>
      </w:rPr>
      <w:fldChar w:fldCharType="separate"/>
    </w:r>
    <w:r w:rsidR="00695043">
      <w:rPr>
        <w:noProof/>
        <w:szCs w:val="24"/>
      </w:rPr>
      <w:t>966</w:t>
    </w:r>
    <w:r w:rsidR="00B35B95" w:rsidRPr="001775C1">
      <w:rPr>
        <w:szCs w:val="24"/>
      </w:rPr>
      <w:fldChar w:fldCharType="end"/>
    </w:r>
    <w:r>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84" w:rsidRPr="00924065" w:rsidRDefault="00370584"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84" w:rsidRDefault="0037058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84" w:rsidRDefault="00B35B95" w:rsidP="00A87207">
    <w:pPr>
      <w:pStyle w:val="Footer"/>
    </w:pPr>
    <w:r>
      <w:pict>
        <v:rect id="_x0000_i1041" style="width:480.95pt;height:1pt" o:hralign="center" o:hrstd="t" o:hrnoshade="t" o:hr="t" fillcolor="black [3213]" stroked="f"/>
      </w:pict>
    </w:r>
  </w:p>
  <w:p w:rsidR="00370584" w:rsidRPr="00B7374B" w:rsidRDefault="00370584" w:rsidP="00B7374B">
    <w:pPr>
      <w:tabs>
        <w:tab w:val="center" w:pos="4680"/>
      </w:tabs>
      <w:rPr>
        <w:szCs w:val="24"/>
      </w:rPr>
    </w:pPr>
    <w:r w:rsidRPr="00954D22">
      <w:rPr>
        <w:szCs w:val="24"/>
      </w:rPr>
      <w:tab/>
      <w:t xml:space="preserve">- </w:t>
    </w:r>
    <w:r w:rsidR="00B35B95" w:rsidRPr="00954D22">
      <w:rPr>
        <w:szCs w:val="24"/>
      </w:rPr>
      <w:fldChar w:fldCharType="begin"/>
    </w:r>
    <w:r w:rsidRPr="00954D22">
      <w:rPr>
        <w:szCs w:val="24"/>
      </w:rPr>
      <w:instrText xml:space="preserve"> PAGE   \* MERGEFORMAT </w:instrText>
    </w:r>
    <w:r w:rsidR="00B35B95" w:rsidRPr="00954D22">
      <w:rPr>
        <w:szCs w:val="24"/>
      </w:rPr>
      <w:fldChar w:fldCharType="separate"/>
    </w:r>
    <w:r w:rsidR="00695043">
      <w:rPr>
        <w:noProof/>
        <w:szCs w:val="24"/>
      </w:rPr>
      <w:t>930</w:t>
    </w:r>
    <w:r w:rsidR="00B35B95"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84" w:rsidRDefault="00B35B95" w:rsidP="00755F22">
    <w:pPr>
      <w:tabs>
        <w:tab w:val="left" w:pos="-1440"/>
        <w:tab w:val="left" w:pos="-720"/>
      </w:tabs>
    </w:pPr>
    <w:r>
      <w:pict>
        <v:rect id="_x0000_i1042" style="width:480.95pt;height:1pt" o:hralign="center" o:hrstd="t" o:hrnoshade="t" o:hr="t" fillcolor="black [3213]" stroked="f"/>
      </w:pict>
    </w:r>
  </w:p>
  <w:p w:rsidR="00370584" w:rsidRPr="00954D22" w:rsidRDefault="00370584" w:rsidP="00B7374B">
    <w:pPr>
      <w:tabs>
        <w:tab w:val="center" w:pos="4680"/>
      </w:tabs>
      <w:rPr>
        <w:szCs w:val="24"/>
      </w:rPr>
    </w:pPr>
    <w:r w:rsidRPr="00954D22">
      <w:rPr>
        <w:szCs w:val="24"/>
      </w:rPr>
      <w:tab/>
      <w:t xml:space="preserve">- </w:t>
    </w:r>
    <w:r w:rsidR="00B35B95">
      <w:rPr>
        <w:szCs w:val="24"/>
      </w:rPr>
      <w:fldChar w:fldCharType="begin"/>
    </w:r>
    <w:r>
      <w:rPr>
        <w:szCs w:val="24"/>
      </w:rPr>
      <w:instrText xml:space="preserve"> PAGE   \* MERGEFORMAT </w:instrText>
    </w:r>
    <w:r w:rsidR="00B35B95">
      <w:rPr>
        <w:szCs w:val="24"/>
      </w:rPr>
      <w:fldChar w:fldCharType="separate"/>
    </w:r>
    <w:r w:rsidR="00695043">
      <w:rPr>
        <w:noProof/>
        <w:szCs w:val="24"/>
      </w:rPr>
      <w:t>928</w:t>
    </w:r>
    <w:r w:rsidR="00B35B95">
      <w:rPr>
        <w:szCs w:val="24"/>
      </w:rPr>
      <w:fldChar w:fldCharType="end"/>
    </w:r>
    <w:r w:rsidRPr="00954D22">
      <w:rPr>
        <w:szCs w:val="24"/>
      </w:rPr>
      <w:t xml:space="preserve"> -</w:t>
    </w:r>
  </w:p>
  <w:p w:rsidR="00370584" w:rsidRDefault="0037058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84" w:rsidRDefault="00B35B95" w:rsidP="00A87207">
    <w:pPr>
      <w:pStyle w:val="Footer"/>
    </w:pPr>
    <w:r>
      <w:pict>
        <v:rect id="_x0000_i1044" style="width:480.95pt;height:1pt" o:hralign="center" o:hrstd="t" o:hrnoshade="t" o:hr="t" fillcolor="black [3213]" stroked="f"/>
      </w:pict>
    </w:r>
  </w:p>
  <w:p w:rsidR="00370584" w:rsidRPr="00B7374B" w:rsidRDefault="00370584" w:rsidP="00B7374B">
    <w:pPr>
      <w:tabs>
        <w:tab w:val="center" w:pos="4680"/>
      </w:tabs>
      <w:rPr>
        <w:szCs w:val="24"/>
      </w:rPr>
    </w:pPr>
    <w:r w:rsidRPr="00954D22">
      <w:rPr>
        <w:szCs w:val="24"/>
      </w:rPr>
      <w:tab/>
      <w:t xml:space="preserve">- </w:t>
    </w:r>
    <w:r w:rsidR="00B35B95" w:rsidRPr="00954D22">
      <w:rPr>
        <w:szCs w:val="24"/>
      </w:rPr>
      <w:fldChar w:fldCharType="begin"/>
    </w:r>
    <w:r w:rsidRPr="00954D22">
      <w:rPr>
        <w:szCs w:val="24"/>
      </w:rPr>
      <w:instrText xml:space="preserve"> PAGE   \* MERGEFORMAT </w:instrText>
    </w:r>
    <w:r w:rsidR="00B35B95" w:rsidRPr="00954D22">
      <w:rPr>
        <w:szCs w:val="24"/>
      </w:rPr>
      <w:fldChar w:fldCharType="separate"/>
    </w:r>
    <w:r>
      <w:rPr>
        <w:noProof/>
        <w:szCs w:val="24"/>
      </w:rPr>
      <w:t>932</w:t>
    </w:r>
    <w:r w:rsidR="00B35B95"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84" w:rsidRDefault="00B35B95"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5" style="width:480.95pt;height:1pt" o:hralign="center" o:hrstd="t" o:hrnoshade="t" o:hr="t" fillcolor="black [3213]" stroked="f"/>
      </w:pict>
    </w:r>
  </w:p>
  <w:p w:rsidR="00370584" w:rsidRPr="00954D22" w:rsidRDefault="00370584" w:rsidP="00B7374B">
    <w:pPr>
      <w:tabs>
        <w:tab w:val="center" w:pos="4680"/>
      </w:tabs>
      <w:rPr>
        <w:szCs w:val="24"/>
      </w:rPr>
    </w:pPr>
    <w:r w:rsidRPr="00954D22">
      <w:rPr>
        <w:szCs w:val="24"/>
      </w:rPr>
      <w:tab/>
      <w:t xml:space="preserve">- </w:t>
    </w:r>
    <w:r w:rsidR="00B35B95" w:rsidRPr="00954D22">
      <w:rPr>
        <w:szCs w:val="24"/>
      </w:rPr>
      <w:fldChar w:fldCharType="begin"/>
    </w:r>
    <w:r w:rsidRPr="00954D22">
      <w:rPr>
        <w:szCs w:val="24"/>
      </w:rPr>
      <w:instrText xml:space="preserve"> PAGE   \* MERGEFORMAT </w:instrText>
    </w:r>
    <w:r w:rsidR="00B35B95" w:rsidRPr="00954D22">
      <w:rPr>
        <w:szCs w:val="24"/>
      </w:rPr>
      <w:fldChar w:fldCharType="separate"/>
    </w:r>
    <w:r w:rsidR="00695043">
      <w:rPr>
        <w:noProof/>
        <w:szCs w:val="24"/>
      </w:rPr>
      <w:t>931</w:t>
    </w:r>
    <w:r w:rsidR="00B35B95"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84" w:rsidRDefault="00B35B95" w:rsidP="00A87207">
    <w:pPr>
      <w:pStyle w:val="Footer"/>
    </w:pPr>
    <w:r>
      <w:pict>
        <v:rect id="_x0000_i1048" style="width:480.95pt;height:1pt" o:hralign="center" o:hrstd="t" o:hrnoshade="t" o:hr="t" fillcolor="black [3213]" stroked="f"/>
      </w:pict>
    </w:r>
  </w:p>
  <w:p w:rsidR="00370584" w:rsidRPr="00B7374B" w:rsidRDefault="00370584" w:rsidP="00B7374B">
    <w:pPr>
      <w:tabs>
        <w:tab w:val="center" w:pos="4680"/>
      </w:tabs>
      <w:rPr>
        <w:szCs w:val="24"/>
      </w:rPr>
    </w:pPr>
    <w:r w:rsidRPr="00954D22">
      <w:rPr>
        <w:szCs w:val="24"/>
      </w:rPr>
      <w:tab/>
      <w:t xml:space="preserve">- </w:t>
    </w:r>
    <w:r w:rsidR="00B35B95" w:rsidRPr="00954D22">
      <w:rPr>
        <w:szCs w:val="24"/>
      </w:rPr>
      <w:fldChar w:fldCharType="begin"/>
    </w:r>
    <w:r w:rsidRPr="00954D22">
      <w:rPr>
        <w:szCs w:val="24"/>
      </w:rPr>
      <w:instrText xml:space="preserve"> PAGE   \* MERGEFORMAT </w:instrText>
    </w:r>
    <w:r w:rsidR="00B35B95" w:rsidRPr="00954D22">
      <w:rPr>
        <w:szCs w:val="24"/>
      </w:rPr>
      <w:fldChar w:fldCharType="separate"/>
    </w:r>
    <w:r w:rsidR="00695043">
      <w:rPr>
        <w:noProof/>
        <w:szCs w:val="24"/>
      </w:rPr>
      <w:t>933</w:t>
    </w:r>
    <w:r w:rsidR="00B35B95" w:rsidRPr="00954D22">
      <w:rPr>
        <w:szCs w:val="24"/>
      </w:rPr>
      <w:fldChar w:fldCharType="end"/>
    </w:r>
    <w:r>
      <w:rPr>
        <w:szCs w:val="24"/>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84" w:rsidRDefault="00B35B95" w:rsidP="0044776A">
    <w:pPr>
      <w:tabs>
        <w:tab w:val="left" w:pos="-1440"/>
        <w:tab w:val="left" w:pos="-720"/>
      </w:tabs>
    </w:pPr>
    <w:r>
      <w:pict>
        <v:rect id="_x0000_i1049" style="width:480.95pt;height:1pt" o:hralign="center" o:hrstd="t" o:hrnoshade="t" o:hr="t" fillcolor="black [3213]" stroked="f"/>
      </w:pict>
    </w:r>
  </w:p>
  <w:p w:rsidR="00370584" w:rsidRPr="00954D22" w:rsidRDefault="00370584" w:rsidP="00B7374B">
    <w:pPr>
      <w:tabs>
        <w:tab w:val="center" w:pos="4680"/>
      </w:tabs>
      <w:rPr>
        <w:szCs w:val="24"/>
      </w:rPr>
    </w:pPr>
    <w:r w:rsidRPr="00954D22">
      <w:rPr>
        <w:szCs w:val="24"/>
      </w:rPr>
      <w:tab/>
      <w:t xml:space="preserve">- </w:t>
    </w:r>
    <w:r w:rsidR="00B35B95" w:rsidRPr="00954D22">
      <w:rPr>
        <w:szCs w:val="24"/>
      </w:rPr>
      <w:fldChar w:fldCharType="begin"/>
    </w:r>
    <w:r w:rsidRPr="00954D22">
      <w:rPr>
        <w:szCs w:val="24"/>
      </w:rPr>
      <w:instrText xml:space="preserve"> PAGE   \* MERGEFORMAT </w:instrText>
    </w:r>
    <w:r w:rsidR="00B35B95" w:rsidRPr="00954D22">
      <w:rPr>
        <w:szCs w:val="24"/>
      </w:rPr>
      <w:fldChar w:fldCharType="separate"/>
    </w:r>
    <w:r w:rsidR="00695043">
      <w:rPr>
        <w:noProof/>
        <w:szCs w:val="24"/>
      </w:rPr>
      <w:t>932</w:t>
    </w:r>
    <w:r w:rsidR="00B35B95" w:rsidRPr="00954D22">
      <w:rPr>
        <w:szCs w:val="24"/>
      </w:rPr>
      <w:fldChar w:fldCharType="end"/>
    </w:r>
    <w:r w:rsidRPr="00954D22">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584" w:rsidRDefault="00370584" w:rsidP="00A87207">
      <w:r>
        <w:separator/>
      </w:r>
    </w:p>
  </w:footnote>
  <w:footnote w:type="continuationSeparator" w:id="0">
    <w:p w:rsidR="00370584" w:rsidRDefault="00370584"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84" w:rsidRDefault="00370584">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70584" w:rsidRPr="00695043">
      <w:tc>
        <w:tcPr>
          <w:tcW w:w="4200" w:type="dxa"/>
          <w:tcMar>
            <w:left w:w="0" w:type="dxa"/>
            <w:right w:w="0" w:type="dxa"/>
          </w:tcMar>
        </w:tcPr>
        <w:p w:rsidR="00370584" w:rsidRDefault="0037058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70584" w:rsidRDefault="0037058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70584" w:rsidRDefault="0037058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70584" w:rsidRPr="00FF6BA5" w:rsidRDefault="0037058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70584" w:rsidRPr="00FF6BA5" w:rsidRDefault="00370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70584" w:rsidRPr="00FF6BA5" w:rsidRDefault="00370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70584" w:rsidRPr="00FF6BA5" w:rsidRDefault="00370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70584" w:rsidRPr="00695043" w:rsidTr="00245129">
      <w:tc>
        <w:tcPr>
          <w:tcW w:w="4200" w:type="dxa"/>
          <w:tcMar>
            <w:left w:w="0" w:type="dxa"/>
            <w:right w:w="0" w:type="dxa"/>
          </w:tcMar>
        </w:tcPr>
        <w:p w:rsidR="00370584" w:rsidRPr="00755F22" w:rsidRDefault="0037058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370584" w:rsidRPr="00755F22" w:rsidRDefault="0037058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370584" w:rsidRPr="00755F22" w:rsidRDefault="0037058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70584" w:rsidRPr="00755F22" w:rsidRDefault="0037058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70584" w:rsidRPr="00755F22" w:rsidRDefault="0037058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70584" w:rsidRPr="00755F22" w:rsidRDefault="0037058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370584" w:rsidRPr="00FF6BA5" w:rsidRDefault="00370584" w:rsidP="00755F22">
    <w:pPr>
      <w:tabs>
        <w:tab w:val="left" w:pos="-1440"/>
        <w:tab w:val="left" w:pos="-720"/>
      </w:tabs>
      <w:rPr>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84" w:rsidRDefault="00370584">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370584">
      <w:tc>
        <w:tcPr>
          <w:tcW w:w="4230" w:type="dxa"/>
          <w:tcMar>
            <w:left w:w="0" w:type="dxa"/>
            <w:right w:w="0" w:type="dxa"/>
          </w:tcMar>
        </w:tcPr>
        <w:p w:rsidR="00370584" w:rsidRDefault="0037058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370584" w:rsidRDefault="0037058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70584" w:rsidRDefault="0037058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370584">
      <w:trPr>
        <w:gridAfter w:val="2"/>
        <w:wAfter w:w="5250" w:type="dxa"/>
      </w:trPr>
      <w:tc>
        <w:tcPr>
          <w:tcW w:w="4230" w:type="dxa"/>
          <w:tcMar>
            <w:left w:w="0" w:type="dxa"/>
            <w:right w:w="0" w:type="dxa"/>
          </w:tcMar>
        </w:tcPr>
        <w:p w:rsidR="00370584" w:rsidRDefault="00370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70584" w:rsidRDefault="00370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370584" w:rsidRPr="00755F22" w:rsidTr="00245129">
      <w:tc>
        <w:tcPr>
          <w:tcW w:w="4230" w:type="dxa"/>
          <w:tcMar>
            <w:left w:w="0" w:type="dxa"/>
            <w:right w:w="0" w:type="dxa"/>
          </w:tcMar>
        </w:tcPr>
        <w:p w:rsidR="00370584" w:rsidRPr="00755F22" w:rsidRDefault="00370584" w:rsidP="00831CA9">
          <w:pPr>
            <w:keepNext/>
            <w:keepLines/>
            <w:rPr>
              <w:sz w:val="20"/>
              <w:szCs w:val="20"/>
            </w:rPr>
          </w:pPr>
          <w:r w:rsidRPr="00755F22">
            <w:rPr>
              <w:sz w:val="20"/>
              <w:szCs w:val="20"/>
            </w:rPr>
            <w:t>MOTIONS</w:t>
          </w:r>
        </w:p>
      </w:tc>
      <w:tc>
        <w:tcPr>
          <w:tcW w:w="1170" w:type="dxa"/>
          <w:tcMar>
            <w:left w:w="0" w:type="dxa"/>
            <w:right w:w="0" w:type="dxa"/>
          </w:tcMar>
        </w:tcPr>
        <w:p w:rsidR="00370584" w:rsidRPr="00755F22" w:rsidRDefault="00370584" w:rsidP="00831CA9">
          <w:pPr>
            <w:keepLines/>
            <w:jc w:val="center"/>
            <w:rPr>
              <w:sz w:val="20"/>
              <w:szCs w:val="20"/>
            </w:rPr>
          </w:pPr>
        </w:p>
        <w:p w:rsidR="00370584" w:rsidRPr="00755F22" w:rsidRDefault="00370584" w:rsidP="00831CA9">
          <w:pPr>
            <w:keepLines/>
            <w:tabs>
              <w:tab w:val="left" w:pos="-1440"/>
              <w:tab w:val="left" w:pos="-720"/>
            </w:tabs>
            <w:jc w:val="center"/>
            <w:rPr>
              <w:sz w:val="20"/>
              <w:szCs w:val="20"/>
            </w:rPr>
          </w:pPr>
        </w:p>
      </w:tc>
      <w:tc>
        <w:tcPr>
          <w:tcW w:w="4080" w:type="dxa"/>
          <w:tcMar>
            <w:left w:w="0" w:type="dxa"/>
            <w:right w:w="0" w:type="dxa"/>
          </w:tcMar>
        </w:tcPr>
        <w:p w:rsidR="00370584" w:rsidRPr="00BA6468" w:rsidRDefault="00370584" w:rsidP="00BA6468">
          <w:pPr>
            <w:keepLines/>
            <w:rPr>
              <w:sz w:val="20"/>
              <w:szCs w:val="20"/>
              <w:lang w:val="fr-CA"/>
            </w:rPr>
          </w:pPr>
          <w:r w:rsidRPr="00BA6468">
            <w:rPr>
              <w:sz w:val="20"/>
              <w:szCs w:val="20"/>
              <w:lang w:val="fr-CA"/>
            </w:rPr>
            <w:t>REQUÊTES</w:t>
          </w:r>
        </w:p>
      </w:tc>
    </w:tr>
  </w:tbl>
  <w:p w:rsidR="00370584" w:rsidRDefault="00370584" w:rsidP="00831CA9">
    <w:pPr>
      <w:jc w:val="both"/>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84" w:rsidRDefault="00370584">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70584" w:rsidRPr="00695043">
      <w:tc>
        <w:tcPr>
          <w:tcW w:w="4200" w:type="dxa"/>
          <w:tcMar>
            <w:left w:w="0" w:type="dxa"/>
            <w:right w:w="0" w:type="dxa"/>
          </w:tcMar>
        </w:tcPr>
        <w:p w:rsidR="00370584" w:rsidRDefault="0037058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370584" w:rsidRDefault="0037058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70584" w:rsidRPr="00B01A03" w:rsidRDefault="0037058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370584" w:rsidRPr="00B01A03" w:rsidRDefault="00370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70584" w:rsidRPr="00B01A03" w:rsidRDefault="00370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370584" w:rsidRPr="00695043" w:rsidTr="00245129">
      <w:tc>
        <w:tcPr>
          <w:tcW w:w="4200" w:type="dxa"/>
          <w:tcMar>
            <w:left w:w="0" w:type="dxa"/>
            <w:right w:w="0" w:type="dxa"/>
          </w:tcMar>
        </w:tcPr>
        <w:p w:rsidR="00370584" w:rsidRPr="00F40249" w:rsidRDefault="00370584"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370584" w:rsidRDefault="00370584" w:rsidP="00102926">
          <w:pPr>
            <w:keepNext/>
            <w:keepLines/>
            <w:tabs>
              <w:tab w:val="left" w:pos="-1440"/>
              <w:tab w:val="left" w:pos="-720"/>
            </w:tabs>
            <w:jc w:val="center"/>
            <w:rPr>
              <w:sz w:val="20"/>
              <w:szCs w:val="20"/>
            </w:rPr>
          </w:pPr>
        </w:p>
        <w:p w:rsidR="00370584" w:rsidRDefault="00370584" w:rsidP="00102926">
          <w:pPr>
            <w:keepNext/>
            <w:keepLines/>
            <w:tabs>
              <w:tab w:val="left" w:pos="-1440"/>
              <w:tab w:val="left" w:pos="-720"/>
            </w:tabs>
            <w:jc w:val="center"/>
            <w:rPr>
              <w:sz w:val="20"/>
              <w:szCs w:val="20"/>
            </w:rPr>
          </w:pPr>
        </w:p>
        <w:p w:rsidR="00370584" w:rsidRPr="00F40249" w:rsidRDefault="00370584" w:rsidP="00102926">
          <w:pPr>
            <w:keepNext/>
            <w:keepLines/>
            <w:tabs>
              <w:tab w:val="left" w:pos="-1440"/>
              <w:tab w:val="left" w:pos="-720"/>
            </w:tabs>
            <w:jc w:val="center"/>
            <w:rPr>
              <w:sz w:val="20"/>
              <w:szCs w:val="20"/>
            </w:rPr>
          </w:pPr>
        </w:p>
      </w:tc>
      <w:tc>
        <w:tcPr>
          <w:tcW w:w="4230" w:type="dxa"/>
          <w:tcMar>
            <w:left w:w="0" w:type="dxa"/>
            <w:right w:w="0" w:type="dxa"/>
          </w:tcMar>
        </w:tcPr>
        <w:p w:rsidR="00370584" w:rsidRPr="00F40249" w:rsidRDefault="00370584"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370584" w:rsidRPr="00B01A03" w:rsidRDefault="00370584"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84" w:rsidRDefault="00370584">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70584" w:rsidRPr="00695043">
      <w:tc>
        <w:tcPr>
          <w:tcW w:w="4200" w:type="dxa"/>
          <w:tcMar>
            <w:left w:w="0" w:type="dxa"/>
            <w:right w:w="0" w:type="dxa"/>
          </w:tcMar>
        </w:tcPr>
        <w:p w:rsidR="00370584" w:rsidRDefault="0037058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370584" w:rsidRDefault="0037058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70584" w:rsidRPr="00283C52" w:rsidRDefault="0037058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370584" w:rsidRPr="00283C52" w:rsidRDefault="00370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70584" w:rsidRPr="00283C52" w:rsidRDefault="00370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84" w:rsidRDefault="00370584">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70584" w:rsidRPr="00695043" w:rsidTr="00245129">
      <w:tc>
        <w:tcPr>
          <w:tcW w:w="4200" w:type="dxa"/>
          <w:tcMar>
            <w:left w:w="0" w:type="dxa"/>
            <w:right w:w="0" w:type="dxa"/>
          </w:tcMar>
        </w:tcPr>
        <w:p w:rsidR="00370584" w:rsidRPr="00732DB7" w:rsidRDefault="00370584"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370584" w:rsidRPr="00732DB7" w:rsidRDefault="00370584" w:rsidP="00732DB7">
          <w:pPr>
            <w:keepNext/>
            <w:keepLines/>
            <w:tabs>
              <w:tab w:val="left" w:pos="-1440"/>
              <w:tab w:val="left" w:pos="-720"/>
            </w:tabs>
            <w:jc w:val="center"/>
            <w:rPr>
              <w:sz w:val="20"/>
              <w:szCs w:val="20"/>
            </w:rPr>
          </w:pPr>
        </w:p>
        <w:p w:rsidR="00370584" w:rsidRPr="00732DB7" w:rsidRDefault="00370584" w:rsidP="00732DB7">
          <w:pPr>
            <w:keepNext/>
            <w:keepLines/>
            <w:tabs>
              <w:tab w:val="left" w:pos="-1440"/>
              <w:tab w:val="left" w:pos="-720"/>
            </w:tabs>
            <w:jc w:val="center"/>
            <w:rPr>
              <w:sz w:val="20"/>
              <w:szCs w:val="20"/>
            </w:rPr>
          </w:pPr>
        </w:p>
        <w:p w:rsidR="00370584" w:rsidRPr="00732DB7" w:rsidRDefault="00370584" w:rsidP="00732DB7">
          <w:pPr>
            <w:keepNext/>
            <w:keepLines/>
            <w:tabs>
              <w:tab w:val="left" w:pos="-1440"/>
              <w:tab w:val="left" w:pos="-720"/>
            </w:tabs>
            <w:jc w:val="center"/>
            <w:rPr>
              <w:sz w:val="20"/>
              <w:szCs w:val="20"/>
            </w:rPr>
          </w:pPr>
        </w:p>
      </w:tc>
      <w:tc>
        <w:tcPr>
          <w:tcW w:w="4080" w:type="dxa"/>
          <w:tcMar>
            <w:left w:w="0" w:type="dxa"/>
            <w:right w:w="0" w:type="dxa"/>
          </w:tcMar>
        </w:tcPr>
        <w:p w:rsidR="00370584" w:rsidRPr="00732DB7" w:rsidRDefault="00370584"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370584" w:rsidRPr="00283C52" w:rsidRDefault="00370584"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84" w:rsidRDefault="00370584">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70584" w:rsidRPr="00695043">
      <w:tc>
        <w:tcPr>
          <w:tcW w:w="4200" w:type="dxa"/>
          <w:tcMar>
            <w:left w:w="0" w:type="dxa"/>
            <w:right w:w="0" w:type="dxa"/>
          </w:tcMar>
        </w:tcPr>
        <w:p w:rsidR="00370584" w:rsidRDefault="0037058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370584" w:rsidRDefault="0037058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370584" w:rsidRDefault="0037058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370584" w:rsidRPr="003C2C0F" w:rsidRDefault="0037058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370584" w:rsidRPr="003C2C0F" w:rsidRDefault="00370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370584" w:rsidRPr="003C2C0F" w:rsidRDefault="00370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70584" w:rsidRPr="00695043" w:rsidTr="00245129">
      <w:tc>
        <w:tcPr>
          <w:tcW w:w="4200" w:type="dxa"/>
          <w:tcMar>
            <w:left w:w="0" w:type="dxa"/>
            <w:right w:w="0" w:type="dxa"/>
          </w:tcMar>
        </w:tcPr>
        <w:p w:rsidR="00370584" w:rsidRPr="00FF6EEC" w:rsidRDefault="00370584" w:rsidP="00FF6EEC">
          <w:pPr>
            <w:rPr>
              <w:sz w:val="20"/>
              <w:szCs w:val="20"/>
            </w:rPr>
          </w:pPr>
          <w:r w:rsidRPr="00FF6EEC">
            <w:rPr>
              <w:sz w:val="20"/>
              <w:szCs w:val="20"/>
            </w:rPr>
            <w:t>PRONOUNCEMENTS OF APPEALS RESERVED</w:t>
          </w:r>
        </w:p>
      </w:tc>
      <w:tc>
        <w:tcPr>
          <w:tcW w:w="1200" w:type="dxa"/>
          <w:tcMar>
            <w:left w:w="0" w:type="dxa"/>
            <w:right w:w="0" w:type="dxa"/>
          </w:tcMar>
        </w:tcPr>
        <w:p w:rsidR="00370584" w:rsidRPr="00FF6EEC" w:rsidRDefault="00370584" w:rsidP="00FF6EEC">
          <w:pPr>
            <w:jc w:val="center"/>
            <w:rPr>
              <w:sz w:val="20"/>
              <w:szCs w:val="20"/>
            </w:rPr>
          </w:pPr>
        </w:p>
        <w:p w:rsidR="00370584" w:rsidRPr="00FF6EEC" w:rsidRDefault="00370584" w:rsidP="00FF6EEC">
          <w:pPr>
            <w:jc w:val="center"/>
            <w:rPr>
              <w:sz w:val="20"/>
              <w:szCs w:val="20"/>
            </w:rPr>
          </w:pPr>
        </w:p>
        <w:p w:rsidR="00370584" w:rsidRPr="00FF6EEC" w:rsidRDefault="00370584" w:rsidP="00FF6EEC">
          <w:pPr>
            <w:jc w:val="center"/>
            <w:rPr>
              <w:sz w:val="20"/>
              <w:szCs w:val="20"/>
            </w:rPr>
          </w:pPr>
        </w:p>
      </w:tc>
      <w:tc>
        <w:tcPr>
          <w:tcW w:w="4080" w:type="dxa"/>
          <w:tcMar>
            <w:left w:w="0" w:type="dxa"/>
            <w:right w:w="0" w:type="dxa"/>
          </w:tcMar>
        </w:tcPr>
        <w:p w:rsidR="00370584" w:rsidRPr="00FF6EEC" w:rsidRDefault="00370584" w:rsidP="00FF6EEC">
          <w:pPr>
            <w:rPr>
              <w:sz w:val="20"/>
              <w:szCs w:val="20"/>
              <w:lang w:val="fr-CA"/>
            </w:rPr>
          </w:pPr>
          <w:r w:rsidRPr="00FF6EEC">
            <w:rPr>
              <w:sz w:val="20"/>
              <w:szCs w:val="20"/>
              <w:lang w:val="fr-CA"/>
            </w:rPr>
            <w:t>JUGEMENTS RENDUS SUR LES APPELS EN DÉLIBÉRÉ</w:t>
          </w:r>
        </w:p>
      </w:tc>
    </w:tr>
  </w:tbl>
  <w:p w:rsidR="00370584" w:rsidRPr="003C2C0F" w:rsidRDefault="00370584"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84" w:rsidRDefault="00370584">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370584">
      <w:tc>
        <w:tcPr>
          <w:tcW w:w="4230" w:type="dxa"/>
          <w:tcMar>
            <w:left w:w="0" w:type="dxa"/>
            <w:right w:w="0" w:type="dxa"/>
          </w:tcMar>
        </w:tcPr>
        <w:p w:rsidR="00370584" w:rsidRDefault="0037058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370584" w:rsidRDefault="0037058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370584" w:rsidRDefault="0037058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370584" w:rsidRDefault="0037058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70584" w:rsidRDefault="0037058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370584" w:rsidRDefault="0037058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370584" w:rsidRDefault="00370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70584" w:rsidRDefault="00370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370584" w:rsidRPr="00782AE4" w:rsidTr="00245129">
      <w:tc>
        <w:tcPr>
          <w:tcW w:w="4230" w:type="dxa"/>
          <w:tcMar>
            <w:left w:w="0" w:type="dxa"/>
            <w:right w:w="0" w:type="dxa"/>
          </w:tcMar>
        </w:tcPr>
        <w:p w:rsidR="00370584" w:rsidRPr="00782AE4" w:rsidRDefault="00370584" w:rsidP="00102926">
          <w:pPr>
            <w:keepNext/>
            <w:keepLines/>
            <w:tabs>
              <w:tab w:val="left" w:pos="-1440"/>
              <w:tab w:val="left" w:pos="-720"/>
            </w:tabs>
            <w:rPr>
              <w:sz w:val="20"/>
              <w:szCs w:val="20"/>
            </w:rPr>
          </w:pPr>
          <w:r w:rsidRPr="00782AE4">
            <w:rPr>
              <w:sz w:val="20"/>
              <w:szCs w:val="20"/>
            </w:rPr>
            <w:t xml:space="preserve">HEADNOTES OF RECENT </w:t>
          </w:r>
        </w:p>
        <w:p w:rsidR="00370584" w:rsidRPr="00782AE4" w:rsidRDefault="0037058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370584" w:rsidRDefault="00370584" w:rsidP="00102926">
          <w:pPr>
            <w:keepNext/>
            <w:keepLines/>
            <w:tabs>
              <w:tab w:val="left" w:pos="-1440"/>
              <w:tab w:val="left" w:pos="-720"/>
            </w:tabs>
            <w:jc w:val="center"/>
            <w:rPr>
              <w:sz w:val="20"/>
              <w:szCs w:val="20"/>
            </w:rPr>
          </w:pPr>
        </w:p>
        <w:p w:rsidR="00370584" w:rsidRDefault="00370584" w:rsidP="00102926">
          <w:pPr>
            <w:keepNext/>
            <w:keepLines/>
            <w:tabs>
              <w:tab w:val="left" w:pos="-1440"/>
              <w:tab w:val="left" w:pos="-720"/>
            </w:tabs>
            <w:jc w:val="center"/>
            <w:rPr>
              <w:sz w:val="20"/>
              <w:szCs w:val="20"/>
            </w:rPr>
          </w:pPr>
        </w:p>
        <w:p w:rsidR="00370584" w:rsidRPr="00782AE4" w:rsidRDefault="00370584" w:rsidP="00102926">
          <w:pPr>
            <w:keepNext/>
            <w:keepLines/>
            <w:tabs>
              <w:tab w:val="left" w:pos="-1440"/>
              <w:tab w:val="left" w:pos="-720"/>
            </w:tabs>
            <w:jc w:val="center"/>
            <w:rPr>
              <w:sz w:val="20"/>
              <w:szCs w:val="20"/>
            </w:rPr>
          </w:pPr>
        </w:p>
      </w:tc>
      <w:tc>
        <w:tcPr>
          <w:tcW w:w="4080" w:type="dxa"/>
          <w:tcMar>
            <w:left w:w="0" w:type="dxa"/>
            <w:right w:w="0" w:type="dxa"/>
          </w:tcMar>
        </w:tcPr>
        <w:p w:rsidR="00370584" w:rsidRPr="00102926" w:rsidRDefault="0037058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370584" w:rsidRPr="00782AE4" w:rsidRDefault="00370584" w:rsidP="00102926">
          <w:pPr>
            <w:keepLines/>
            <w:tabs>
              <w:tab w:val="left" w:pos="-1440"/>
              <w:tab w:val="left" w:pos="-720"/>
            </w:tabs>
            <w:rPr>
              <w:sz w:val="20"/>
              <w:szCs w:val="20"/>
            </w:rPr>
          </w:pPr>
          <w:r w:rsidRPr="00102926">
            <w:rPr>
              <w:sz w:val="20"/>
              <w:szCs w:val="20"/>
              <w:lang w:val="fr-CA"/>
            </w:rPr>
            <w:t>RÉCENTS</w:t>
          </w:r>
        </w:p>
      </w:tc>
    </w:tr>
  </w:tbl>
  <w:p w:rsidR="00370584" w:rsidRDefault="00370584"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84" w:rsidRDefault="00370584">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84" w:rsidRDefault="003705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84" w:rsidRDefault="0037058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370584" w:rsidRPr="0044776A" w:rsidTr="00245129">
      <w:tc>
        <w:tcPr>
          <w:tcW w:w="4290" w:type="dxa"/>
          <w:tcMar>
            <w:left w:w="0" w:type="dxa"/>
            <w:right w:w="0" w:type="dxa"/>
          </w:tcMar>
        </w:tcPr>
        <w:p w:rsidR="00370584" w:rsidRPr="0044776A" w:rsidRDefault="00370584"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370584" w:rsidRPr="0044776A" w:rsidRDefault="00370584" w:rsidP="002E2327">
          <w:pPr>
            <w:keepNext/>
            <w:keepLines/>
            <w:tabs>
              <w:tab w:val="left" w:pos="-1440"/>
              <w:tab w:val="left" w:pos="-720"/>
            </w:tabs>
            <w:jc w:val="center"/>
            <w:rPr>
              <w:sz w:val="20"/>
              <w:szCs w:val="20"/>
            </w:rPr>
          </w:pPr>
        </w:p>
        <w:p w:rsidR="00370584" w:rsidRPr="0044776A" w:rsidRDefault="00370584" w:rsidP="002E2327">
          <w:pPr>
            <w:keepNext/>
            <w:keepLines/>
            <w:tabs>
              <w:tab w:val="left" w:pos="-1440"/>
              <w:tab w:val="left" w:pos="-720"/>
            </w:tabs>
            <w:jc w:val="center"/>
            <w:rPr>
              <w:sz w:val="20"/>
              <w:szCs w:val="20"/>
            </w:rPr>
          </w:pPr>
        </w:p>
        <w:p w:rsidR="00370584" w:rsidRPr="0044776A" w:rsidRDefault="00370584" w:rsidP="002E2327">
          <w:pPr>
            <w:keepNext/>
            <w:keepLines/>
            <w:tabs>
              <w:tab w:val="left" w:pos="-1440"/>
              <w:tab w:val="left" w:pos="-720"/>
            </w:tabs>
            <w:jc w:val="center"/>
            <w:rPr>
              <w:sz w:val="20"/>
              <w:szCs w:val="20"/>
            </w:rPr>
          </w:pPr>
        </w:p>
      </w:tc>
      <w:tc>
        <w:tcPr>
          <w:tcW w:w="4320" w:type="dxa"/>
          <w:tcMar>
            <w:left w:w="0" w:type="dxa"/>
            <w:right w:w="0" w:type="dxa"/>
          </w:tcMar>
        </w:tcPr>
        <w:p w:rsidR="00370584" w:rsidRPr="0044776A" w:rsidRDefault="00370584" w:rsidP="002E2327">
          <w:pPr>
            <w:keepLines/>
            <w:rPr>
              <w:sz w:val="20"/>
              <w:szCs w:val="20"/>
              <w:lang w:val="fr-CA"/>
            </w:rPr>
          </w:pPr>
          <w:r w:rsidRPr="0044776A">
            <w:rPr>
              <w:sz w:val="20"/>
              <w:szCs w:val="20"/>
              <w:lang w:val="fr-CA"/>
            </w:rPr>
            <w:t>DEMANDES D'AUTORISATION D'APPEL DÉPOSÉES</w:t>
          </w:r>
        </w:p>
      </w:tc>
    </w:tr>
  </w:tbl>
  <w:p w:rsidR="00370584" w:rsidRDefault="0037058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84" w:rsidRDefault="0037058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70584" w:rsidRPr="00695043" w:rsidTr="00245129">
      <w:tc>
        <w:tcPr>
          <w:tcW w:w="4200" w:type="dxa"/>
          <w:tcMar>
            <w:left w:w="0" w:type="dxa"/>
            <w:right w:w="0" w:type="dxa"/>
          </w:tcMar>
        </w:tcPr>
        <w:p w:rsidR="00370584" w:rsidRPr="0044776A" w:rsidRDefault="00370584" w:rsidP="0044776A">
          <w:pPr>
            <w:keepNext/>
            <w:keepLines/>
            <w:widowControl w:val="0"/>
            <w:rPr>
              <w:sz w:val="20"/>
              <w:szCs w:val="20"/>
            </w:rPr>
          </w:pPr>
          <w:r>
            <w:rPr>
              <w:sz w:val="20"/>
              <w:szCs w:val="20"/>
            </w:rPr>
            <w:t>APPLICATIONS FOR LEAVE</w:t>
          </w:r>
        </w:p>
        <w:p w:rsidR="00370584" w:rsidRPr="0044776A" w:rsidRDefault="00370584"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370584" w:rsidRPr="0044776A" w:rsidRDefault="00370584" w:rsidP="0044776A">
          <w:pPr>
            <w:keepNext/>
            <w:keepLines/>
            <w:widowControl w:val="0"/>
            <w:jc w:val="center"/>
            <w:rPr>
              <w:sz w:val="20"/>
              <w:szCs w:val="20"/>
            </w:rPr>
          </w:pPr>
        </w:p>
        <w:p w:rsidR="00370584" w:rsidRPr="0044776A" w:rsidRDefault="00370584" w:rsidP="0044776A">
          <w:pPr>
            <w:keepNext/>
            <w:keepLines/>
            <w:widowControl w:val="0"/>
            <w:jc w:val="center"/>
            <w:rPr>
              <w:sz w:val="20"/>
              <w:szCs w:val="20"/>
            </w:rPr>
          </w:pPr>
        </w:p>
        <w:p w:rsidR="00370584" w:rsidRPr="0044776A" w:rsidRDefault="00370584" w:rsidP="0044776A">
          <w:pPr>
            <w:keepNext/>
            <w:keepLines/>
            <w:widowControl w:val="0"/>
            <w:jc w:val="center"/>
            <w:rPr>
              <w:sz w:val="20"/>
              <w:szCs w:val="20"/>
            </w:rPr>
          </w:pPr>
        </w:p>
      </w:tc>
      <w:tc>
        <w:tcPr>
          <w:tcW w:w="4080" w:type="dxa"/>
          <w:tcMar>
            <w:left w:w="0" w:type="dxa"/>
            <w:right w:w="0" w:type="dxa"/>
          </w:tcMar>
        </w:tcPr>
        <w:p w:rsidR="00370584" w:rsidRPr="0044776A" w:rsidRDefault="00370584" w:rsidP="0044776A">
          <w:pPr>
            <w:keepLines/>
            <w:widowControl w:val="0"/>
            <w:rPr>
              <w:sz w:val="20"/>
              <w:szCs w:val="20"/>
              <w:lang w:val="fr-CA"/>
            </w:rPr>
          </w:pPr>
          <w:r w:rsidRPr="0044776A">
            <w:rPr>
              <w:sz w:val="20"/>
              <w:szCs w:val="20"/>
              <w:lang w:val="fr-CA"/>
            </w:rPr>
            <w:t>DEMANDES SOUMISES À LA COUR DEPUIS LA DERNIÈRE PARUTION</w:t>
          </w:r>
        </w:p>
        <w:p w:rsidR="00370584" w:rsidRPr="0044776A" w:rsidRDefault="00370584" w:rsidP="0044776A">
          <w:pPr>
            <w:widowControl w:val="0"/>
            <w:rPr>
              <w:sz w:val="20"/>
              <w:szCs w:val="20"/>
              <w:lang w:val="fr-CA"/>
            </w:rPr>
          </w:pPr>
        </w:p>
      </w:tc>
    </w:tr>
  </w:tbl>
  <w:p w:rsidR="00370584" w:rsidRPr="002E2327" w:rsidRDefault="00370584">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84" w:rsidRDefault="00370584">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370584" w:rsidRPr="0044776A" w:rsidTr="00245129">
      <w:tc>
        <w:tcPr>
          <w:tcW w:w="4200" w:type="dxa"/>
          <w:tcMar>
            <w:left w:w="0" w:type="dxa"/>
            <w:right w:w="0" w:type="dxa"/>
          </w:tcMar>
        </w:tcPr>
        <w:p w:rsidR="00370584" w:rsidRPr="0044776A" w:rsidRDefault="00370584" w:rsidP="0044776A">
          <w:pPr>
            <w:rPr>
              <w:sz w:val="20"/>
              <w:szCs w:val="20"/>
            </w:rPr>
          </w:pPr>
          <w:r w:rsidRPr="0044776A">
            <w:rPr>
              <w:sz w:val="20"/>
              <w:szCs w:val="20"/>
            </w:rPr>
            <w:t>ORAL HEARING ORDERED</w:t>
          </w:r>
        </w:p>
      </w:tc>
      <w:tc>
        <w:tcPr>
          <w:tcW w:w="1200" w:type="dxa"/>
          <w:tcMar>
            <w:left w:w="0" w:type="dxa"/>
            <w:right w:w="0" w:type="dxa"/>
          </w:tcMar>
        </w:tcPr>
        <w:p w:rsidR="00370584" w:rsidRPr="0044776A" w:rsidRDefault="00370584" w:rsidP="0044776A">
          <w:pPr>
            <w:keepLines/>
            <w:jc w:val="center"/>
            <w:rPr>
              <w:rFonts w:ascii="Times New" w:hAnsi="Times New"/>
              <w:sz w:val="20"/>
              <w:szCs w:val="20"/>
            </w:rPr>
          </w:pPr>
        </w:p>
        <w:p w:rsidR="00370584" w:rsidRPr="0044776A" w:rsidRDefault="00370584" w:rsidP="0044776A">
          <w:pPr>
            <w:keepLines/>
            <w:jc w:val="center"/>
            <w:rPr>
              <w:rFonts w:ascii="Times New" w:hAnsi="Times New"/>
              <w:sz w:val="20"/>
              <w:szCs w:val="20"/>
            </w:rPr>
          </w:pPr>
        </w:p>
      </w:tc>
      <w:tc>
        <w:tcPr>
          <w:tcW w:w="4230" w:type="dxa"/>
          <w:tcMar>
            <w:left w:w="0" w:type="dxa"/>
            <w:right w:w="0" w:type="dxa"/>
          </w:tcMar>
        </w:tcPr>
        <w:p w:rsidR="00370584" w:rsidRPr="0044776A" w:rsidRDefault="00370584" w:rsidP="0044776A">
          <w:pPr>
            <w:rPr>
              <w:sz w:val="20"/>
              <w:szCs w:val="20"/>
              <w:lang w:val="fr-CA"/>
            </w:rPr>
          </w:pPr>
          <w:r w:rsidRPr="0044776A">
            <w:rPr>
              <w:sz w:val="20"/>
              <w:szCs w:val="20"/>
              <w:lang w:val="fr-CA"/>
            </w:rPr>
            <w:t>AUDIENCE ORDONNÉE</w:t>
          </w:r>
        </w:p>
      </w:tc>
    </w:tr>
  </w:tbl>
  <w:p w:rsidR="00370584" w:rsidRPr="002E2327" w:rsidRDefault="00370584">
    <w:pPr>
      <w:pStyle w:val="Header"/>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84" w:rsidRDefault="003705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2003"/>
  </w:hdrShapeDefaults>
  <w:footnotePr>
    <w:footnote w:id="-1"/>
    <w:footnote w:id="0"/>
  </w:footnotePr>
  <w:endnotePr>
    <w:endnote w:id="-1"/>
    <w:endnote w:id="0"/>
  </w:endnotePr>
  <w:compat/>
  <w:rsids>
    <w:rsidRoot w:val="00C821D0"/>
    <w:rsid w:val="0003223B"/>
    <w:rsid w:val="000327B2"/>
    <w:rsid w:val="00070488"/>
    <w:rsid w:val="00091FA6"/>
    <w:rsid w:val="00096BD9"/>
    <w:rsid w:val="000B3C9A"/>
    <w:rsid w:val="000B40A2"/>
    <w:rsid w:val="000B4624"/>
    <w:rsid w:val="000C0ACD"/>
    <w:rsid w:val="00102926"/>
    <w:rsid w:val="0010587F"/>
    <w:rsid w:val="00111C6B"/>
    <w:rsid w:val="0012102B"/>
    <w:rsid w:val="0013369E"/>
    <w:rsid w:val="00140C06"/>
    <w:rsid w:val="00164E6D"/>
    <w:rsid w:val="001B157C"/>
    <w:rsid w:val="001B5C23"/>
    <w:rsid w:val="001D0D5F"/>
    <w:rsid w:val="001D6B8C"/>
    <w:rsid w:val="001F1F83"/>
    <w:rsid w:val="002021A9"/>
    <w:rsid w:val="002139A7"/>
    <w:rsid w:val="00215F7C"/>
    <w:rsid w:val="0022323B"/>
    <w:rsid w:val="002410B8"/>
    <w:rsid w:val="00242AEE"/>
    <w:rsid w:val="00245129"/>
    <w:rsid w:val="00245879"/>
    <w:rsid w:val="00267FD5"/>
    <w:rsid w:val="00274D34"/>
    <w:rsid w:val="002868D0"/>
    <w:rsid w:val="002A27D1"/>
    <w:rsid w:val="002A4AFA"/>
    <w:rsid w:val="002B516C"/>
    <w:rsid w:val="002D72EB"/>
    <w:rsid w:val="002E2327"/>
    <w:rsid w:val="002E3583"/>
    <w:rsid w:val="002E5576"/>
    <w:rsid w:val="00331B52"/>
    <w:rsid w:val="003359D3"/>
    <w:rsid w:val="00355967"/>
    <w:rsid w:val="00370584"/>
    <w:rsid w:val="00382C47"/>
    <w:rsid w:val="00384384"/>
    <w:rsid w:val="003866AE"/>
    <w:rsid w:val="003900D5"/>
    <w:rsid w:val="003B3977"/>
    <w:rsid w:val="00432989"/>
    <w:rsid w:val="00440E24"/>
    <w:rsid w:val="0044776A"/>
    <w:rsid w:val="00460AFC"/>
    <w:rsid w:val="0047471F"/>
    <w:rsid w:val="004B195E"/>
    <w:rsid w:val="004B66B4"/>
    <w:rsid w:val="004B7F60"/>
    <w:rsid w:val="004C1AAC"/>
    <w:rsid w:val="004E1E0A"/>
    <w:rsid w:val="004F090E"/>
    <w:rsid w:val="00527CC7"/>
    <w:rsid w:val="0056519D"/>
    <w:rsid w:val="00571CA4"/>
    <w:rsid w:val="00582136"/>
    <w:rsid w:val="005C234E"/>
    <w:rsid w:val="005C6840"/>
    <w:rsid w:val="005F263E"/>
    <w:rsid w:val="00600252"/>
    <w:rsid w:val="00612A40"/>
    <w:rsid w:val="0062714A"/>
    <w:rsid w:val="00675479"/>
    <w:rsid w:val="00680709"/>
    <w:rsid w:val="00695043"/>
    <w:rsid w:val="00696BF9"/>
    <w:rsid w:val="00697C62"/>
    <w:rsid w:val="006A329B"/>
    <w:rsid w:val="006A7EB8"/>
    <w:rsid w:val="006B6926"/>
    <w:rsid w:val="006C3F47"/>
    <w:rsid w:val="006C5F7A"/>
    <w:rsid w:val="006E06AF"/>
    <w:rsid w:val="006F350F"/>
    <w:rsid w:val="00732DB7"/>
    <w:rsid w:val="0074238B"/>
    <w:rsid w:val="00745EF7"/>
    <w:rsid w:val="00755F22"/>
    <w:rsid w:val="00766E4A"/>
    <w:rsid w:val="007820CE"/>
    <w:rsid w:val="00782AE4"/>
    <w:rsid w:val="0079724F"/>
    <w:rsid w:val="007A3EAE"/>
    <w:rsid w:val="007C04FC"/>
    <w:rsid w:val="007C38F2"/>
    <w:rsid w:val="007D3E0F"/>
    <w:rsid w:val="007E4282"/>
    <w:rsid w:val="007F387B"/>
    <w:rsid w:val="00802863"/>
    <w:rsid w:val="00815B3C"/>
    <w:rsid w:val="0082783A"/>
    <w:rsid w:val="00831CA9"/>
    <w:rsid w:val="00850E1F"/>
    <w:rsid w:val="0085476B"/>
    <w:rsid w:val="00890FEB"/>
    <w:rsid w:val="008D292F"/>
    <w:rsid w:val="008E03DC"/>
    <w:rsid w:val="00924065"/>
    <w:rsid w:val="009275E5"/>
    <w:rsid w:val="00930D68"/>
    <w:rsid w:val="00932DB4"/>
    <w:rsid w:val="00941A4B"/>
    <w:rsid w:val="00946242"/>
    <w:rsid w:val="0095096B"/>
    <w:rsid w:val="00970CD3"/>
    <w:rsid w:val="009723FA"/>
    <w:rsid w:val="00984546"/>
    <w:rsid w:val="00996510"/>
    <w:rsid w:val="009B57A5"/>
    <w:rsid w:val="009D1F15"/>
    <w:rsid w:val="009D555E"/>
    <w:rsid w:val="009F3024"/>
    <w:rsid w:val="00A0355E"/>
    <w:rsid w:val="00A3429F"/>
    <w:rsid w:val="00A375D1"/>
    <w:rsid w:val="00A51D10"/>
    <w:rsid w:val="00A52A83"/>
    <w:rsid w:val="00A6552C"/>
    <w:rsid w:val="00A87207"/>
    <w:rsid w:val="00A935AA"/>
    <w:rsid w:val="00AB2201"/>
    <w:rsid w:val="00AD3259"/>
    <w:rsid w:val="00AF1715"/>
    <w:rsid w:val="00AF3904"/>
    <w:rsid w:val="00B010C0"/>
    <w:rsid w:val="00B35B95"/>
    <w:rsid w:val="00B4740D"/>
    <w:rsid w:val="00B61629"/>
    <w:rsid w:val="00B7374B"/>
    <w:rsid w:val="00B74445"/>
    <w:rsid w:val="00B86ADC"/>
    <w:rsid w:val="00B90DC0"/>
    <w:rsid w:val="00BA116A"/>
    <w:rsid w:val="00BA5582"/>
    <w:rsid w:val="00BA6468"/>
    <w:rsid w:val="00BA75E9"/>
    <w:rsid w:val="00BB046C"/>
    <w:rsid w:val="00BB1D44"/>
    <w:rsid w:val="00BD06DA"/>
    <w:rsid w:val="00BD334C"/>
    <w:rsid w:val="00BD4217"/>
    <w:rsid w:val="00BF25F3"/>
    <w:rsid w:val="00C0388E"/>
    <w:rsid w:val="00C1697B"/>
    <w:rsid w:val="00C21CB5"/>
    <w:rsid w:val="00C50A5C"/>
    <w:rsid w:val="00C50FDF"/>
    <w:rsid w:val="00C63381"/>
    <w:rsid w:val="00C73D06"/>
    <w:rsid w:val="00C73E1B"/>
    <w:rsid w:val="00C759B4"/>
    <w:rsid w:val="00C77713"/>
    <w:rsid w:val="00C821D0"/>
    <w:rsid w:val="00C85BB7"/>
    <w:rsid w:val="00CB43D5"/>
    <w:rsid w:val="00CC4D84"/>
    <w:rsid w:val="00CE198A"/>
    <w:rsid w:val="00D429ED"/>
    <w:rsid w:val="00D64901"/>
    <w:rsid w:val="00D76BDF"/>
    <w:rsid w:val="00D862C1"/>
    <w:rsid w:val="00D93B50"/>
    <w:rsid w:val="00D94670"/>
    <w:rsid w:val="00DA46F6"/>
    <w:rsid w:val="00DD0B49"/>
    <w:rsid w:val="00DE0502"/>
    <w:rsid w:val="00E06DFA"/>
    <w:rsid w:val="00E20A0A"/>
    <w:rsid w:val="00E356C7"/>
    <w:rsid w:val="00E36358"/>
    <w:rsid w:val="00E45FE4"/>
    <w:rsid w:val="00E64FA7"/>
    <w:rsid w:val="00E73486"/>
    <w:rsid w:val="00E770CB"/>
    <w:rsid w:val="00E903A1"/>
    <w:rsid w:val="00E940EB"/>
    <w:rsid w:val="00E953CC"/>
    <w:rsid w:val="00E9703F"/>
    <w:rsid w:val="00EB2B90"/>
    <w:rsid w:val="00ED7E83"/>
    <w:rsid w:val="00EE091F"/>
    <w:rsid w:val="00EE440E"/>
    <w:rsid w:val="00EF4B63"/>
    <w:rsid w:val="00F0068D"/>
    <w:rsid w:val="00F0144C"/>
    <w:rsid w:val="00F0576D"/>
    <w:rsid w:val="00F14E6D"/>
    <w:rsid w:val="00F15EA8"/>
    <w:rsid w:val="00F16C8D"/>
    <w:rsid w:val="00F26C61"/>
    <w:rsid w:val="00F2756C"/>
    <w:rsid w:val="00F33CCE"/>
    <w:rsid w:val="00F40249"/>
    <w:rsid w:val="00F515F8"/>
    <w:rsid w:val="00F526C8"/>
    <w:rsid w:val="00F761A3"/>
    <w:rsid w:val="00F9272D"/>
    <w:rsid w:val="00F9518C"/>
    <w:rsid w:val="00FA316E"/>
    <w:rsid w:val="00FA59EF"/>
    <w:rsid w:val="00FB19A2"/>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20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table" w:customStyle="1" w:styleId="TableGrid1">
    <w:name w:val="Table Grid1"/>
    <w:basedOn w:val="TableNormal"/>
    <w:next w:val="TableGrid"/>
    <w:uiPriority w:val="59"/>
    <w:rsid w:val="00BA75E9"/>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talic1">
    <w:name w:val="italic1"/>
    <w:basedOn w:val="DefaultParagraphFont"/>
    <w:rsid w:val="00BA75E9"/>
    <w:rPr>
      <w:i/>
      <w:iCs/>
    </w:rPr>
  </w:style>
  <w:style w:type="paragraph" w:customStyle="1" w:styleId="SCCLowerCourtNameLowercase">
    <w:name w:val="SCC.LowerCourtNameLowercase"/>
    <w:basedOn w:val="SCCNormalDoubleSpacing"/>
    <w:next w:val="SCCNormalDoubleSpacing"/>
    <w:rsid w:val="00BA75E9"/>
    <w:pPr>
      <w:tabs>
        <w:tab w:val="left" w:pos="1168"/>
      </w:tabs>
    </w:pPr>
    <w:rPr>
      <w:small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footer" Target="footer23.xml"/><Relationship Id="rId63" Type="http://schemas.openxmlformats.org/officeDocument/2006/relationships/footer" Target="footer27.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header" Target="header23.xml"/><Relationship Id="rId58" Type="http://schemas.openxmlformats.org/officeDocument/2006/relationships/header" Target="header25.xm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footer" Target="footer24.xml"/><Relationship Id="rId61" Type="http://schemas.openxmlformats.org/officeDocument/2006/relationships/footer" Target="footer2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5.xml"/><Relationship Id="rId65" Type="http://schemas.openxmlformats.org/officeDocument/2006/relationships/footer" Target="footer28.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header" Target="header28.xml"/><Relationship Id="rId8" Type="http://schemas.openxmlformats.org/officeDocument/2006/relationships/hyperlink" Target="http://www.scc-csc.gc.ca" TargetMode="External"/><Relationship Id="rId51" Type="http://schemas.openxmlformats.org/officeDocument/2006/relationships/footer" Target="footer21.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19268</Words>
  <Characters>109828</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2013-05-27T12:22:00Z</dcterms:created>
  <dcterms:modified xsi:type="dcterms:W3CDTF">2013-05-27T12:28:00Z</dcterms:modified>
</cp:coreProperties>
</file>