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C5A5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C5A5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C5A5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C5A5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C5A5B" w:rsidTr="002E5576">
        <w:tc>
          <w:tcPr>
            <w:tcW w:w="4518" w:type="dxa"/>
          </w:tcPr>
          <w:p w:rsidR="00BF25F3" w:rsidRPr="002E2327" w:rsidRDefault="005F2BA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F2BA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C5A5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C5A5B"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56EDC" w:rsidP="00F0068D">
      <w:pPr>
        <w:pBdr>
          <w:bottom w:val="single" w:sz="6" w:space="1" w:color="auto"/>
        </w:pBdr>
        <w:tabs>
          <w:tab w:val="center" w:pos="4680"/>
          <w:tab w:val="right" w:pos="9360"/>
        </w:tabs>
        <w:rPr>
          <w:lang w:val="fr-CA"/>
        </w:rPr>
      </w:pPr>
      <w:r>
        <w:rPr>
          <w:lang w:val="fr-CA"/>
        </w:rPr>
        <w:t>A</w:t>
      </w:r>
      <w:r w:rsidR="00C73D06">
        <w:rPr>
          <w:lang w:val="fr-CA"/>
        </w:rPr>
        <w:t>u</w:t>
      </w:r>
      <w:r>
        <w:rPr>
          <w:lang w:val="fr-CA"/>
        </w:rPr>
        <w:t>gust</w:t>
      </w:r>
      <w:r w:rsidR="00440E24" w:rsidRPr="00675479">
        <w:rPr>
          <w:lang w:val="fr-CA"/>
        </w:rPr>
        <w:t xml:space="preserve"> </w:t>
      </w:r>
      <w:r>
        <w:rPr>
          <w:lang w:val="fr-CA"/>
        </w:rPr>
        <w:t>30</w:t>
      </w:r>
      <w:r w:rsidR="00440E24" w:rsidRPr="00675479">
        <w:rPr>
          <w:lang w:val="fr-CA"/>
        </w:rPr>
        <w:t>, 201</w:t>
      </w:r>
      <w:r w:rsidR="00F761A3">
        <w:rPr>
          <w:lang w:val="fr-CA"/>
        </w:rPr>
        <w:t>3</w:t>
      </w:r>
      <w:r w:rsidR="00F0068D" w:rsidRPr="00675479">
        <w:rPr>
          <w:lang w:val="fr-CA"/>
        </w:rPr>
        <w:tab/>
        <w:t>1</w:t>
      </w:r>
      <w:r>
        <w:rPr>
          <w:lang w:val="fr-CA"/>
        </w:rPr>
        <w:t>314</w:t>
      </w:r>
      <w:r w:rsidR="00F0068D" w:rsidRPr="00675479">
        <w:rPr>
          <w:lang w:val="fr-CA"/>
        </w:rPr>
        <w:t xml:space="preserve"> - </w:t>
      </w:r>
      <w:r w:rsidR="00FB7665">
        <w:rPr>
          <w:lang w:val="fr-CA"/>
        </w:rPr>
        <w:t>1408</w:t>
      </w:r>
      <w:r w:rsidR="00440E24" w:rsidRPr="00675479">
        <w:rPr>
          <w:lang w:val="fr-CA"/>
        </w:rPr>
        <w:tab/>
      </w:r>
      <w:r w:rsidR="00440E24" w:rsidRPr="002E2327">
        <w:rPr>
          <w:lang w:val="fr-CA"/>
        </w:rPr>
        <w:t>Le</w:t>
      </w:r>
      <w:r w:rsidR="00C73D06">
        <w:rPr>
          <w:lang w:val="fr-CA"/>
        </w:rPr>
        <w:t xml:space="preserve"> </w:t>
      </w:r>
      <w:r>
        <w:rPr>
          <w:lang w:val="fr-CA"/>
        </w:rPr>
        <w:t xml:space="preserve">30 </w:t>
      </w:r>
      <w:r w:rsidR="00440E24" w:rsidRPr="002E2327">
        <w:rPr>
          <w:lang w:val="fr-CA"/>
        </w:rPr>
        <w:t>a</w:t>
      </w:r>
      <w:r>
        <w:rPr>
          <w:lang w:val="fr-CA"/>
        </w:rPr>
        <w:t>oût</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064713" w:rsidRDefault="00440E24" w:rsidP="00440E24">
      <w:pPr>
        <w:pBdr>
          <w:bottom w:val="single" w:sz="6" w:space="1" w:color="auto"/>
        </w:pBdr>
        <w:tabs>
          <w:tab w:val="right" w:pos="9360"/>
        </w:tabs>
        <w:rPr>
          <w:sz w:val="18"/>
          <w:szCs w:val="18"/>
        </w:rPr>
      </w:pPr>
      <w:r w:rsidRPr="00064713">
        <w:rPr>
          <w:sz w:val="18"/>
          <w:szCs w:val="18"/>
        </w:rPr>
        <w:t>© Supreme Court of Canada (201</w:t>
      </w:r>
      <w:r w:rsidR="00F761A3" w:rsidRPr="00064713">
        <w:rPr>
          <w:sz w:val="18"/>
          <w:szCs w:val="18"/>
        </w:rPr>
        <w:t>3</w:t>
      </w:r>
      <w:r w:rsidRPr="00064713">
        <w:rPr>
          <w:sz w:val="18"/>
          <w:szCs w:val="18"/>
        </w:rPr>
        <w:t>)</w:t>
      </w:r>
      <w:r w:rsidRPr="00064713">
        <w:rPr>
          <w:sz w:val="18"/>
          <w:szCs w:val="18"/>
        </w:rPr>
        <w:tab/>
        <w:t>© Cour suprême du Canada (201</w:t>
      </w:r>
      <w:r w:rsidR="00F761A3" w:rsidRPr="00064713">
        <w:rPr>
          <w:sz w:val="18"/>
          <w:szCs w:val="18"/>
        </w:rPr>
        <w:t>3</w:t>
      </w:r>
      <w:r w:rsidRPr="0006471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Taxation of costs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0C7F74">
            <w:pPr>
              <w:tabs>
                <w:tab w:val="right" w:pos="9360"/>
              </w:tabs>
              <w:rPr>
                <w:rFonts w:cs="Times New Roman"/>
                <w:sz w:val="20"/>
                <w:szCs w:val="20"/>
              </w:rPr>
            </w:pPr>
          </w:p>
        </w:tc>
        <w:tc>
          <w:tcPr>
            <w:tcW w:w="1980" w:type="dxa"/>
          </w:tcPr>
          <w:p w:rsidR="0095096B" w:rsidRPr="002E2327" w:rsidRDefault="00C524AA" w:rsidP="0095096B">
            <w:pPr>
              <w:jc w:val="center"/>
              <w:rPr>
                <w:rFonts w:cs="Times New Roman"/>
                <w:sz w:val="20"/>
                <w:szCs w:val="20"/>
              </w:rPr>
            </w:pPr>
            <w:r>
              <w:rPr>
                <w:rFonts w:cs="Times New Roman"/>
                <w:sz w:val="20"/>
                <w:szCs w:val="20"/>
              </w:rPr>
              <w:t xml:space="preserve">1314 </w:t>
            </w:r>
            <w:r w:rsidR="005F2BA7" w:rsidRPr="002E2327">
              <w:rPr>
                <w:rFonts w:cs="Times New Roman"/>
                <w:sz w:val="20"/>
                <w:szCs w:val="20"/>
              </w:rPr>
              <w:fldChar w:fldCharType="begin"/>
            </w:r>
            <w:r w:rsidR="0095096B" w:rsidRPr="002E2327">
              <w:rPr>
                <w:rFonts w:cs="Times New Roman"/>
                <w:sz w:val="20"/>
                <w:szCs w:val="20"/>
              </w:rPr>
              <w:instrText xml:space="preserve"> SEQ CHAPTER \h \r 1</w:instrText>
            </w:r>
            <w:r w:rsidR="005F2BA7" w:rsidRPr="002E2327">
              <w:rPr>
                <w:rFonts w:cs="Times New Roman"/>
                <w:sz w:val="20"/>
                <w:szCs w:val="20"/>
              </w:rPr>
              <w:fldChar w:fldCharType="end"/>
            </w:r>
            <w:r w:rsidR="0095096B" w:rsidRPr="002E2327">
              <w:rPr>
                <w:rFonts w:cs="Times New Roman"/>
                <w:sz w:val="20"/>
                <w:szCs w:val="20"/>
              </w:rPr>
              <w:t>-</w:t>
            </w:r>
            <w:r w:rsidR="00A87F19">
              <w:rPr>
                <w:rFonts w:cs="Times New Roman"/>
                <w:sz w:val="20"/>
                <w:szCs w:val="20"/>
              </w:rPr>
              <w:t xml:space="preserve"> 1317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87F19" w:rsidP="0095096B">
            <w:pPr>
              <w:jc w:val="center"/>
              <w:rPr>
                <w:rFonts w:cs="Times New Roman"/>
                <w:sz w:val="20"/>
                <w:szCs w:val="20"/>
              </w:rPr>
            </w:pPr>
            <w:r>
              <w:rPr>
                <w:rFonts w:cs="Times New Roman"/>
                <w:sz w:val="20"/>
                <w:szCs w:val="20"/>
              </w:rPr>
              <w:t xml:space="preserve">1318 </w:t>
            </w:r>
            <w:r w:rsidR="0095096B" w:rsidRPr="002E2327">
              <w:rPr>
                <w:rFonts w:cs="Times New Roman"/>
                <w:sz w:val="20"/>
                <w:szCs w:val="20"/>
              </w:rPr>
              <w:t>-</w:t>
            </w:r>
            <w:r>
              <w:rPr>
                <w:rFonts w:cs="Times New Roman"/>
                <w:sz w:val="20"/>
                <w:szCs w:val="20"/>
              </w:rPr>
              <w:t xml:space="preserve"> 1320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C7F74" w:rsidP="0095096B">
            <w:pPr>
              <w:jc w:val="center"/>
              <w:rPr>
                <w:rFonts w:cs="Times New Roman"/>
                <w:sz w:val="20"/>
                <w:szCs w:val="20"/>
              </w:rPr>
            </w:pPr>
            <w:r>
              <w:rPr>
                <w:rFonts w:cs="Times New Roman"/>
                <w:sz w:val="20"/>
                <w:szCs w:val="20"/>
              </w:rPr>
              <w:t xml:space="preserve">1321 </w:t>
            </w:r>
            <w:r w:rsidR="0095096B" w:rsidRPr="002E2327">
              <w:rPr>
                <w:rFonts w:cs="Times New Roman"/>
                <w:sz w:val="20"/>
                <w:szCs w:val="20"/>
              </w:rPr>
              <w:t>-</w:t>
            </w:r>
            <w:r>
              <w:rPr>
                <w:rFonts w:cs="Times New Roman"/>
                <w:sz w:val="20"/>
                <w:szCs w:val="20"/>
              </w:rPr>
              <w:t xml:space="preserve"> 1368</w:t>
            </w:r>
          </w:p>
          <w:p w:rsidR="0095096B" w:rsidRPr="002E2327" w:rsidRDefault="0095096B" w:rsidP="0095096B">
            <w:pPr>
              <w:jc w:val="center"/>
              <w:rPr>
                <w:rFonts w:cs="Times New Roman"/>
                <w:sz w:val="20"/>
                <w:szCs w:val="20"/>
              </w:rPr>
            </w:pPr>
          </w:p>
          <w:p w:rsidR="000C7F74" w:rsidRDefault="000C7F74" w:rsidP="0095096B">
            <w:pPr>
              <w:jc w:val="center"/>
              <w:rPr>
                <w:rFonts w:cs="Times New Roman"/>
                <w:sz w:val="20"/>
                <w:szCs w:val="20"/>
              </w:rPr>
            </w:pPr>
          </w:p>
          <w:p w:rsidR="0095096B" w:rsidRPr="002E2327" w:rsidRDefault="000C7F74" w:rsidP="0095096B">
            <w:pPr>
              <w:jc w:val="center"/>
              <w:rPr>
                <w:rFonts w:cs="Times New Roman"/>
                <w:sz w:val="20"/>
                <w:szCs w:val="20"/>
              </w:rPr>
            </w:pPr>
            <w:r>
              <w:rPr>
                <w:rFonts w:cs="Times New Roman"/>
                <w:sz w:val="20"/>
                <w:szCs w:val="20"/>
              </w:rPr>
              <w:t xml:space="preserve">1369 </w:t>
            </w:r>
            <w:r w:rsidR="0095096B" w:rsidRPr="002E2327">
              <w:rPr>
                <w:rFonts w:cs="Times New Roman"/>
                <w:sz w:val="20"/>
                <w:szCs w:val="20"/>
              </w:rPr>
              <w:t>-</w:t>
            </w:r>
            <w:r>
              <w:rPr>
                <w:rFonts w:cs="Times New Roman"/>
                <w:sz w:val="20"/>
                <w:szCs w:val="20"/>
              </w:rPr>
              <w:t xml:space="preserve"> </w:t>
            </w:r>
            <w:r w:rsidR="002F4AA9">
              <w:rPr>
                <w:rFonts w:cs="Times New Roman"/>
                <w:sz w:val="20"/>
                <w:szCs w:val="20"/>
              </w:rPr>
              <w:t>1389</w:t>
            </w:r>
          </w:p>
          <w:p w:rsidR="0095096B" w:rsidRPr="002E2327" w:rsidRDefault="0095096B" w:rsidP="0095096B">
            <w:pPr>
              <w:jc w:val="center"/>
              <w:rPr>
                <w:rFonts w:cs="Times New Roman"/>
                <w:sz w:val="20"/>
                <w:szCs w:val="20"/>
              </w:rPr>
            </w:pPr>
          </w:p>
          <w:p w:rsidR="0095096B" w:rsidRPr="002E2327" w:rsidRDefault="002F4AA9" w:rsidP="0095096B">
            <w:pPr>
              <w:jc w:val="center"/>
              <w:rPr>
                <w:rFonts w:cs="Times New Roman"/>
                <w:sz w:val="20"/>
                <w:szCs w:val="20"/>
              </w:rPr>
            </w:pPr>
            <w:r>
              <w:rPr>
                <w:rFonts w:cs="Times New Roman"/>
                <w:sz w:val="20"/>
                <w:szCs w:val="20"/>
              </w:rPr>
              <w:t xml:space="preserve">1390 </w:t>
            </w:r>
            <w:r w:rsidR="0095096B" w:rsidRPr="002E2327">
              <w:rPr>
                <w:rFonts w:cs="Times New Roman"/>
                <w:sz w:val="20"/>
                <w:szCs w:val="20"/>
              </w:rPr>
              <w:t>-</w:t>
            </w:r>
            <w:r w:rsidR="00FB7665">
              <w:rPr>
                <w:rFonts w:cs="Times New Roman"/>
                <w:sz w:val="20"/>
                <w:szCs w:val="20"/>
              </w:rPr>
              <w:t xml:space="preserve"> 1392</w:t>
            </w:r>
          </w:p>
          <w:p w:rsidR="0095096B" w:rsidRPr="002E2327" w:rsidRDefault="0095096B" w:rsidP="0095096B">
            <w:pPr>
              <w:jc w:val="center"/>
              <w:rPr>
                <w:rFonts w:cs="Times New Roman"/>
                <w:sz w:val="20"/>
                <w:szCs w:val="20"/>
              </w:rPr>
            </w:pPr>
          </w:p>
          <w:p w:rsidR="0095096B" w:rsidRDefault="00FB7665" w:rsidP="0095096B">
            <w:pPr>
              <w:jc w:val="center"/>
              <w:rPr>
                <w:rFonts w:cs="Times New Roman"/>
                <w:sz w:val="20"/>
                <w:szCs w:val="20"/>
              </w:rPr>
            </w:pPr>
            <w:r>
              <w:rPr>
                <w:rFonts w:cs="Times New Roman"/>
                <w:sz w:val="20"/>
                <w:szCs w:val="20"/>
              </w:rPr>
              <w:t>1393</w:t>
            </w:r>
          </w:p>
          <w:p w:rsidR="000C7F74" w:rsidRDefault="000C7F74" w:rsidP="0095096B">
            <w:pPr>
              <w:jc w:val="center"/>
              <w:rPr>
                <w:rFonts w:cs="Times New Roman"/>
                <w:sz w:val="20"/>
                <w:szCs w:val="20"/>
              </w:rPr>
            </w:pPr>
          </w:p>
          <w:p w:rsidR="000C7F74" w:rsidRDefault="000C7F74" w:rsidP="0095096B">
            <w:pPr>
              <w:jc w:val="center"/>
              <w:rPr>
                <w:rFonts w:cs="Times New Roman"/>
                <w:sz w:val="20"/>
                <w:szCs w:val="20"/>
              </w:rPr>
            </w:pPr>
          </w:p>
          <w:p w:rsidR="000C7F74" w:rsidRDefault="00FB7665" w:rsidP="0095096B">
            <w:pPr>
              <w:jc w:val="center"/>
              <w:rPr>
                <w:rFonts w:cs="Times New Roman"/>
                <w:sz w:val="20"/>
                <w:szCs w:val="20"/>
              </w:rPr>
            </w:pPr>
            <w:r>
              <w:rPr>
                <w:rFonts w:cs="Times New Roman"/>
                <w:sz w:val="20"/>
                <w:szCs w:val="20"/>
              </w:rPr>
              <w:t xml:space="preserve">1394 </w:t>
            </w:r>
            <w:r w:rsidR="004C70A1">
              <w:rPr>
                <w:rFonts w:cs="Times New Roman"/>
                <w:sz w:val="20"/>
                <w:szCs w:val="20"/>
              </w:rPr>
              <w:t>-</w:t>
            </w:r>
            <w:r>
              <w:rPr>
                <w:rFonts w:cs="Times New Roman"/>
                <w:sz w:val="20"/>
                <w:szCs w:val="20"/>
              </w:rPr>
              <w:t xml:space="preserve"> 1395</w:t>
            </w:r>
          </w:p>
          <w:p w:rsidR="000C7F74" w:rsidRDefault="000C7F74" w:rsidP="0095096B">
            <w:pPr>
              <w:jc w:val="center"/>
              <w:rPr>
                <w:rFonts w:cs="Times New Roman"/>
                <w:sz w:val="20"/>
                <w:szCs w:val="20"/>
              </w:rPr>
            </w:pPr>
          </w:p>
          <w:p w:rsidR="000C7F74" w:rsidRPr="002E2327" w:rsidRDefault="000C7F74" w:rsidP="0095096B">
            <w:pPr>
              <w:jc w:val="center"/>
              <w:rPr>
                <w:rFonts w:cs="Times New Roman"/>
                <w:sz w:val="20"/>
                <w:szCs w:val="20"/>
              </w:rPr>
            </w:pPr>
          </w:p>
          <w:p w:rsidR="0095096B" w:rsidRPr="002E2327" w:rsidRDefault="00FB7665" w:rsidP="0095096B">
            <w:pPr>
              <w:jc w:val="center"/>
              <w:rPr>
                <w:rFonts w:cs="Times New Roman"/>
                <w:sz w:val="20"/>
                <w:szCs w:val="20"/>
              </w:rPr>
            </w:pPr>
            <w:r>
              <w:rPr>
                <w:rFonts w:cs="Times New Roman"/>
                <w:sz w:val="20"/>
                <w:szCs w:val="20"/>
              </w:rPr>
              <w:t xml:space="preserve">1396 </w:t>
            </w:r>
            <w:r w:rsidR="0095096B" w:rsidRPr="002E2327">
              <w:rPr>
                <w:rFonts w:cs="Times New Roman"/>
                <w:sz w:val="20"/>
                <w:szCs w:val="20"/>
              </w:rPr>
              <w:t>-</w:t>
            </w:r>
            <w:r>
              <w:rPr>
                <w:rFonts w:cs="Times New Roman"/>
                <w:sz w:val="20"/>
                <w:szCs w:val="20"/>
              </w:rPr>
              <w:t xml:space="preserve"> 1408</w:t>
            </w:r>
          </w:p>
          <w:p w:rsidR="00A87207" w:rsidRPr="002E2327" w:rsidRDefault="00A87207" w:rsidP="000C7F74">
            <w:pPr>
              <w:jc w:val="center"/>
              <w:rPr>
                <w:rFonts w:cs="Times New Roman"/>
                <w:sz w:val="20"/>
                <w:szCs w:val="20"/>
              </w:rPr>
            </w:pPr>
          </w:p>
        </w:tc>
        <w:tc>
          <w:tcPr>
            <w:tcW w:w="3888" w:type="dxa"/>
          </w:tcPr>
          <w:p w:rsidR="0095096B" w:rsidRPr="002E2327" w:rsidRDefault="005F2BA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Taxation des dépens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0C7F74">
            <w:pPr>
              <w:tabs>
                <w:tab w:val="right" w:pos="9360"/>
              </w:tabs>
              <w:rPr>
                <w:rFonts w:cs="Times New Roman"/>
                <w:sz w:val="20"/>
                <w:szCs w:val="20"/>
                <w:lang w:val="fr-CA"/>
              </w:rPr>
            </w:pPr>
          </w:p>
        </w:tc>
      </w:tr>
    </w:tbl>
    <w:p w:rsidR="0095096B" w:rsidRDefault="0095096B" w:rsidP="0095096B">
      <w:pPr>
        <w:tabs>
          <w:tab w:val="right" w:pos="9360"/>
        </w:tabs>
      </w:pPr>
    </w:p>
    <w:p w:rsidR="000C7F74" w:rsidRDefault="000C7F74" w:rsidP="0095096B">
      <w:pPr>
        <w:tabs>
          <w:tab w:val="right" w:pos="9360"/>
        </w:tabs>
      </w:pPr>
    </w:p>
    <w:p w:rsidR="000C7F74" w:rsidRDefault="000C7F74" w:rsidP="0095096B">
      <w:pPr>
        <w:tabs>
          <w:tab w:val="right" w:pos="9360"/>
        </w:tabs>
      </w:pPr>
    </w:p>
    <w:p w:rsidR="000C7F74" w:rsidRDefault="000C7F74" w:rsidP="0095096B">
      <w:pPr>
        <w:tabs>
          <w:tab w:val="right" w:pos="9360"/>
        </w:tabs>
      </w:pPr>
    </w:p>
    <w:p w:rsidR="000C7F74" w:rsidRPr="002E2327" w:rsidRDefault="000C7F74" w:rsidP="0095096B">
      <w:pPr>
        <w:tabs>
          <w:tab w:val="right" w:pos="9360"/>
        </w:tabs>
      </w:pPr>
    </w:p>
    <w:tbl>
      <w:tblPr>
        <w:tblStyle w:val="TableGrid"/>
        <w:tblW w:w="0" w:type="auto"/>
        <w:tblLook w:val="04A0"/>
      </w:tblPr>
      <w:tblGrid>
        <w:gridCol w:w="9576"/>
      </w:tblGrid>
      <w:tr w:rsidR="0079724F" w:rsidRPr="007C5A5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5275D6" w:rsidRDefault="005275D6" w:rsidP="003B3977">
            <w:pPr>
              <w:rPr>
                <w:b/>
                <w:sz w:val="20"/>
                <w:szCs w:val="20"/>
                <w:lang w:val="fr-CA"/>
              </w:rPr>
            </w:pPr>
            <w:r w:rsidRPr="005275D6">
              <w:rPr>
                <w:b/>
                <w:sz w:val="20"/>
                <w:szCs w:val="20"/>
                <w:lang w:val="fr-CA"/>
              </w:rPr>
              <w:t>Édith St-Pierre</w:t>
            </w:r>
          </w:p>
          <w:p w:rsidR="00242AEE" w:rsidRPr="005275D6" w:rsidRDefault="00242AEE" w:rsidP="003B3977">
            <w:pPr>
              <w:tabs>
                <w:tab w:val="left" w:pos="-1440"/>
                <w:tab w:val="left" w:pos="-720"/>
              </w:tabs>
              <w:rPr>
                <w:sz w:val="20"/>
                <w:szCs w:val="20"/>
                <w:lang w:val="fr-CA"/>
              </w:rPr>
            </w:pPr>
            <w:r w:rsidRPr="005275D6">
              <w:rPr>
                <w:sz w:val="20"/>
                <w:szCs w:val="20"/>
                <w:lang w:val="fr-CA"/>
              </w:rPr>
              <w:tab/>
            </w:r>
            <w:r w:rsidR="005275D6" w:rsidRPr="005275D6">
              <w:rPr>
                <w:sz w:val="20"/>
                <w:szCs w:val="20"/>
                <w:lang w:val="fr-CA"/>
              </w:rPr>
              <w:t>Édith St-Pierre</w:t>
            </w:r>
          </w:p>
          <w:p w:rsidR="00242AEE" w:rsidRPr="005275D6" w:rsidRDefault="00242AEE" w:rsidP="003B3977">
            <w:pPr>
              <w:tabs>
                <w:tab w:val="left" w:pos="-1440"/>
                <w:tab w:val="left" w:pos="-720"/>
              </w:tabs>
              <w:rPr>
                <w:sz w:val="20"/>
                <w:szCs w:val="20"/>
                <w:lang w:val="fr-CA"/>
              </w:rPr>
            </w:pPr>
          </w:p>
          <w:p w:rsidR="00242AEE" w:rsidRPr="005275D6" w:rsidRDefault="00242AEE" w:rsidP="003B3977">
            <w:pPr>
              <w:tabs>
                <w:tab w:val="left" w:pos="-1440"/>
                <w:tab w:val="left" w:pos="-720"/>
              </w:tabs>
              <w:rPr>
                <w:sz w:val="20"/>
                <w:szCs w:val="20"/>
                <w:lang w:val="fr-CA"/>
              </w:rPr>
            </w:pPr>
            <w:r w:rsidRPr="005275D6">
              <w:rPr>
                <w:sz w:val="20"/>
                <w:szCs w:val="20"/>
                <w:lang w:val="fr-CA"/>
              </w:rPr>
              <w:tab/>
            </w:r>
            <w:r w:rsidR="005275D6" w:rsidRPr="005275D6">
              <w:rPr>
                <w:sz w:val="20"/>
                <w:szCs w:val="20"/>
                <w:lang w:val="fr-CA"/>
              </w:rPr>
              <w:t>c</w:t>
            </w:r>
            <w:r w:rsidRPr="005275D6">
              <w:rPr>
                <w:sz w:val="20"/>
                <w:szCs w:val="20"/>
                <w:lang w:val="fr-CA"/>
              </w:rPr>
              <w:t>. (3</w:t>
            </w:r>
            <w:r w:rsidR="00C524AA" w:rsidRPr="005275D6">
              <w:rPr>
                <w:sz w:val="20"/>
                <w:szCs w:val="20"/>
                <w:lang w:val="fr-CA"/>
              </w:rPr>
              <w:t>5</w:t>
            </w:r>
            <w:r w:rsidR="005275D6" w:rsidRPr="005275D6">
              <w:rPr>
                <w:sz w:val="20"/>
                <w:szCs w:val="20"/>
                <w:lang w:val="fr-CA"/>
              </w:rPr>
              <w:t>441</w:t>
            </w:r>
            <w:r w:rsidRPr="005275D6">
              <w:rPr>
                <w:sz w:val="20"/>
                <w:szCs w:val="20"/>
                <w:lang w:val="fr-CA"/>
              </w:rPr>
              <w:t>)</w:t>
            </w:r>
          </w:p>
          <w:p w:rsidR="00242AEE" w:rsidRPr="005275D6" w:rsidRDefault="00242AEE" w:rsidP="003B3977">
            <w:pPr>
              <w:tabs>
                <w:tab w:val="left" w:pos="-1440"/>
                <w:tab w:val="left" w:pos="-720"/>
              </w:tabs>
              <w:rPr>
                <w:sz w:val="20"/>
                <w:szCs w:val="20"/>
                <w:lang w:val="fr-CA"/>
              </w:rPr>
            </w:pPr>
          </w:p>
          <w:p w:rsidR="00242AEE" w:rsidRPr="005275D6" w:rsidRDefault="005275D6" w:rsidP="003B3977">
            <w:pPr>
              <w:tabs>
                <w:tab w:val="left" w:pos="-1440"/>
                <w:tab w:val="left" w:pos="-720"/>
              </w:tabs>
              <w:rPr>
                <w:b/>
                <w:sz w:val="20"/>
                <w:szCs w:val="20"/>
                <w:lang w:val="fr-CA"/>
              </w:rPr>
            </w:pPr>
            <w:r w:rsidRPr="005275D6">
              <w:rPr>
                <w:b/>
                <w:sz w:val="20"/>
                <w:szCs w:val="20"/>
                <w:lang w:val="fr-CA"/>
              </w:rPr>
              <w:t xml:space="preserve">Carlos Roberto Gonzalez Cruz </w:t>
            </w:r>
            <w:r w:rsidR="00242AEE" w:rsidRPr="005275D6">
              <w:rPr>
                <w:b/>
                <w:sz w:val="20"/>
                <w:szCs w:val="20"/>
                <w:lang w:val="fr-CA"/>
              </w:rPr>
              <w:t>(</w:t>
            </w:r>
            <w:r w:rsidRPr="005275D6">
              <w:rPr>
                <w:b/>
                <w:sz w:val="20"/>
                <w:szCs w:val="20"/>
                <w:lang w:val="fr-CA"/>
              </w:rPr>
              <w:t>Qc</w:t>
            </w:r>
            <w:r w:rsidR="00242AEE" w:rsidRPr="005275D6">
              <w:rPr>
                <w:b/>
                <w:sz w:val="20"/>
                <w:szCs w:val="20"/>
                <w:lang w:val="fr-CA"/>
              </w:rPr>
              <w:t>)</w:t>
            </w:r>
          </w:p>
          <w:p w:rsidR="00242AEE" w:rsidRPr="005275D6" w:rsidRDefault="00242AEE" w:rsidP="003B3977">
            <w:pPr>
              <w:tabs>
                <w:tab w:val="left" w:pos="-1440"/>
                <w:tab w:val="left" w:pos="-720"/>
              </w:tabs>
              <w:rPr>
                <w:sz w:val="20"/>
                <w:szCs w:val="20"/>
                <w:lang w:val="fr-CA"/>
              </w:rPr>
            </w:pPr>
            <w:r w:rsidRPr="005275D6">
              <w:rPr>
                <w:sz w:val="20"/>
                <w:szCs w:val="20"/>
                <w:lang w:val="fr-CA"/>
              </w:rPr>
              <w:tab/>
            </w:r>
            <w:r w:rsidR="005275D6" w:rsidRPr="005275D6">
              <w:rPr>
                <w:sz w:val="20"/>
                <w:szCs w:val="20"/>
                <w:lang w:val="fr-CA"/>
              </w:rPr>
              <w:t>Léonce Roy</w:t>
            </w:r>
          </w:p>
          <w:p w:rsidR="00242AEE" w:rsidRPr="005275D6" w:rsidRDefault="00242AEE" w:rsidP="003B3977">
            <w:pPr>
              <w:tabs>
                <w:tab w:val="left" w:pos="-1440"/>
                <w:tab w:val="left" w:pos="-720"/>
              </w:tabs>
              <w:rPr>
                <w:sz w:val="20"/>
                <w:szCs w:val="20"/>
                <w:lang w:val="fr-CA"/>
              </w:rPr>
            </w:pPr>
            <w:r w:rsidRPr="005275D6">
              <w:rPr>
                <w:sz w:val="20"/>
                <w:szCs w:val="20"/>
                <w:lang w:val="fr-CA"/>
              </w:rPr>
              <w:tab/>
            </w:r>
            <w:r w:rsidR="005275D6" w:rsidRPr="005275D6">
              <w:rPr>
                <w:sz w:val="20"/>
                <w:szCs w:val="20"/>
                <w:lang w:val="fr-CA"/>
              </w:rPr>
              <w:t>Consilex inc.</w:t>
            </w:r>
          </w:p>
          <w:p w:rsidR="00242AEE" w:rsidRPr="005275D6" w:rsidRDefault="00242AEE" w:rsidP="003B3977">
            <w:pPr>
              <w:tabs>
                <w:tab w:val="left" w:pos="-1440"/>
                <w:tab w:val="left" w:pos="-720"/>
              </w:tabs>
              <w:rPr>
                <w:sz w:val="20"/>
                <w:szCs w:val="20"/>
                <w:lang w:val="fr-CA"/>
              </w:rPr>
            </w:pPr>
          </w:p>
          <w:p w:rsidR="00242AEE" w:rsidRPr="005275D6" w:rsidRDefault="00242AEE" w:rsidP="003B3977">
            <w:pPr>
              <w:rPr>
                <w:sz w:val="20"/>
                <w:szCs w:val="20"/>
                <w:lang w:val="fr-CA"/>
              </w:rPr>
            </w:pPr>
            <w:r w:rsidRPr="005275D6">
              <w:rPr>
                <w:sz w:val="20"/>
                <w:szCs w:val="20"/>
                <w:lang w:val="fr-CA"/>
              </w:rPr>
              <w:t>DATE</w:t>
            </w:r>
            <w:r w:rsidR="005275D6" w:rsidRPr="005275D6">
              <w:rPr>
                <w:sz w:val="20"/>
                <w:szCs w:val="20"/>
                <w:lang w:val="fr-CA"/>
              </w:rPr>
              <w:t xml:space="preserve"> DE PRODUCTION </w:t>
            </w:r>
            <w:r w:rsidRPr="005275D6">
              <w:rPr>
                <w:sz w:val="20"/>
                <w:szCs w:val="20"/>
                <w:lang w:val="fr-CA"/>
              </w:rPr>
              <w:t xml:space="preserve">: </w:t>
            </w:r>
            <w:r w:rsidR="005275D6" w:rsidRPr="005275D6">
              <w:rPr>
                <w:sz w:val="20"/>
                <w:szCs w:val="20"/>
                <w:lang w:val="fr-CA"/>
              </w:rPr>
              <w:t>1</w:t>
            </w:r>
            <w:r w:rsidRPr="005275D6">
              <w:rPr>
                <w:sz w:val="20"/>
                <w:szCs w:val="20"/>
                <w:lang w:val="fr-CA"/>
              </w:rPr>
              <w:t>2.0</w:t>
            </w:r>
            <w:r w:rsidR="005275D6" w:rsidRPr="005275D6">
              <w:rPr>
                <w:sz w:val="20"/>
                <w:szCs w:val="20"/>
                <w:lang w:val="fr-CA"/>
              </w:rPr>
              <w:t>6</w:t>
            </w:r>
            <w:r w:rsidRPr="005275D6">
              <w:rPr>
                <w:sz w:val="20"/>
                <w:szCs w:val="20"/>
                <w:lang w:val="fr-CA"/>
              </w:rPr>
              <w:t>.201</w:t>
            </w:r>
            <w:r w:rsidR="00C524AA" w:rsidRPr="005275D6">
              <w:rPr>
                <w:sz w:val="20"/>
                <w:szCs w:val="20"/>
                <w:lang w:val="fr-CA"/>
              </w:rPr>
              <w:t>3</w:t>
            </w:r>
          </w:p>
          <w:p w:rsidR="00242AEE" w:rsidRPr="00A935AA" w:rsidRDefault="005F2BA7" w:rsidP="003B3977">
            <w:pPr>
              <w:rPr>
                <w:sz w:val="20"/>
                <w:szCs w:val="20"/>
              </w:rPr>
            </w:pPr>
            <w:r w:rsidRPr="005F2BA7">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5275D6" w:rsidRDefault="005275D6" w:rsidP="003B3977">
            <w:pPr>
              <w:keepNext/>
              <w:keepLines/>
              <w:tabs>
                <w:tab w:val="left" w:pos="-1440"/>
                <w:tab w:val="left" w:pos="-720"/>
              </w:tabs>
              <w:rPr>
                <w:b/>
                <w:sz w:val="20"/>
                <w:szCs w:val="20"/>
                <w:lang w:val="fr-CA"/>
              </w:rPr>
            </w:pPr>
            <w:r w:rsidRPr="005275D6">
              <w:rPr>
                <w:b/>
                <w:sz w:val="20"/>
                <w:szCs w:val="20"/>
                <w:lang w:val="fr-CA"/>
              </w:rPr>
              <w:t>Victor Leonard Lavallée</w:t>
            </w:r>
          </w:p>
          <w:p w:rsidR="00242AEE" w:rsidRPr="005275D6" w:rsidRDefault="00242AEE" w:rsidP="003B3977">
            <w:pPr>
              <w:keepNext/>
              <w:keepLines/>
              <w:tabs>
                <w:tab w:val="left" w:pos="-1440"/>
                <w:tab w:val="left" w:pos="-720"/>
              </w:tabs>
              <w:rPr>
                <w:sz w:val="20"/>
                <w:szCs w:val="20"/>
                <w:lang w:val="fr-CA"/>
              </w:rPr>
            </w:pPr>
            <w:r w:rsidRPr="005275D6">
              <w:rPr>
                <w:sz w:val="20"/>
                <w:szCs w:val="20"/>
                <w:lang w:val="fr-CA"/>
              </w:rPr>
              <w:tab/>
            </w:r>
            <w:r w:rsidR="005275D6" w:rsidRPr="005275D6">
              <w:rPr>
                <w:sz w:val="20"/>
                <w:szCs w:val="20"/>
                <w:lang w:val="fr-CA"/>
              </w:rPr>
              <w:t>Victor Leonard Lavallée</w:t>
            </w:r>
          </w:p>
          <w:p w:rsidR="00242AEE" w:rsidRPr="005275D6" w:rsidRDefault="00242AEE" w:rsidP="003B3977">
            <w:pPr>
              <w:keepNext/>
              <w:keepLines/>
              <w:tabs>
                <w:tab w:val="left" w:pos="-1440"/>
                <w:tab w:val="left" w:pos="-720"/>
              </w:tabs>
              <w:rPr>
                <w:sz w:val="20"/>
                <w:szCs w:val="20"/>
                <w:lang w:val="fr-CA"/>
              </w:rPr>
            </w:pPr>
          </w:p>
          <w:p w:rsidR="00242AEE" w:rsidRPr="005275D6" w:rsidRDefault="00242AEE" w:rsidP="003B3977">
            <w:pPr>
              <w:keepNext/>
              <w:keepLines/>
              <w:tabs>
                <w:tab w:val="left" w:pos="-1440"/>
                <w:tab w:val="left" w:pos="-720"/>
              </w:tabs>
              <w:rPr>
                <w:sz w:val="20"/>
                <w:szCs w:val="20"/>
              </w:rPr>
            </w:pPr>
            <w:r w:rsidRPr="005275D6">
              <w:rPr>
                <w:sz w:val="20"/>
                <w:szCs w:val="20"/>
                <w:lang w:val="fr-CA"/>
              </w:rPr>
              <w:tab/>
            </w:r>
            <w:r w:rsidRPr="005275D6">
              <w:rPr>
                <w:sz w:val="20"/>
                <w:szCs w:val="20"/>
              </w:rPr>
              <w:t>v. (3</w:t>
            </w:r>
            <w:r w:rsidR="00C524AA" w:rsidRPr="005275D6">
              <w:rPr>
                <w:sz w:val="20"/>
                <w:szCs w:val="20"/>
              </w:rPr>
              <w:t>5</w:t>
            </w:r>
            <w:r w:rsidR="005275D6" w:rsidRPr="005275D6">
              <w:rPr>
                <w:sz w:val="20"/>
                <w:szCs w:val="20"/>
              </w:rPr>
              <w:t>476</w:t>
            </w:r>
            <w:r w:rsidRPr="005275D6">
              <w:rPr>
                <w:sz w:val="20"/>
                <w:szCs w:val="20"/>
              </w:rPr>
              <w:t>)</w:t>
            </w:r>
          </w:p>
          <w:p w:rsidR="00242AEE" w:rsidRPr="005275D6" w:rsidRDefault="00242AEE" w:rsidP="003B3977">
            <w:pPr>
              <w:keepNext/>
              <w:keepLines/>
              <w:tabs>
                <w:tab w:val="left" w:pos="-1440"/>
                <w:tab w:val="left" w:pos="-720"/>
              </w:tabs>
              <w:rPr>
                <w:sz w:val="20"/>
                <w:szCs w:val="20"/>
              </w:rPr>
            </w:pPr>
          </w:p>
          <w:p w:rsidR="00242AEE" w:rsidRPr="005275D6" w:rsidRDefault="005275D6" w:rsidP="003B3977">
            <w:pPr>
              <w:keepNext/>
              <w:keepLines/>
              <w:tabs>
                <w:tab w:val="left" w:pos="-1440"/>
                <w:tab w:val="left" w:pos="-720"/>
              </w:tabs>
              <w:rPr>
                <w:b/>
                <w:sz w:val="20"/>
                <w:szCs w:val="20"/>
              </w:rPr>
            </w:pPr>
            <w:r w:rsidRPr="005275D6">
              <w:rPr>
                <w:b/>
                <w:sz w:val="20"/>
                <w:szCs w:val="20"/>
              </w:rPr>
              <w:t xml:space="preserve">Her Majesty the Queen </w:t>
            </w:r>
            <w:r w:rsidR="00242AEE" w:rsidRPr="005275D6">
              <w:rPr>
                <w:b/>
                <w:sz w:val="20"/>
                <w:szCs w:val="20"/>
              </w:rPr>
              <w:t>(</w:t>
            </w:r>
            <w:r w:rsidRPr="005275D6">
              <w:rPr>
                <w:b/>
                <w:sz w:val="20"/>
                <w:szCs w:val="20"/>
              </w:rPr>
              <w:t>Sask</w:t>
            </w:r>
            <w:r w:rsidR="00242AEE" w:rsidRPr="005275D6">
              <w:rPr>
                <w:b/>
                <w:sz w:val="20"/>
                <w:szCs w:val="20"/>
              </w:rPr>
              <w:t>.)</w:t>
            </w:r>
          </w:p>
          <w:p w:rsidR="00242AEE" w:rsidRPr="005275D6" w:rsidRDefault="00242AEE" w:rsidP="003B3977">
            <w:pPr>
              <w:keepNext/>
              <w:keepLines/>
              <w:tabs>
                <w:tab w:val="left" w:pos="-1440"/>
                <w:tab w:val="left" w:pos="-720"/>
              </w:tabs>
              <w:rPr>
                <w:sz w:val="20"/>
                <w:szCs w:val="20"/>
              </w:rPr>
            </w:pPr>
            <w:r w:rsidRPr="005275D6">
              <w:rPr>
                <w:sz w:val="20"/>
                <w:szCs w:val="20"/>
              </w:rPr>
              <w:tab/>
            </w:r>
            <w:r w:rsidR="005275D6">
              <w:rPr>
                <w:sz w:val="20"/>
                <w:szCs w:val="20"/>
              </w:rPr>
              <w:t>Anthony B. Gerein</w:t>
            </w:r>
          </w:p>
          <w:p w:rsidR="00242AEE" w:rsidRPr="005275D6" w:rsidRDefault="00242AEE" w:rsidP="003B3977">
            <w:pPr>
              <w:keepNext/>
              <w:keepLines/>
              <w:tabs>
                <w:tab w:val="left" w:pos="-1440"/>
                <w:tab w:val="left" w:pos="-720"/>
              </w:tabs>
              <w:rPr>
                <w:sz w:val="20"/>
                <w:szCs w:val="20"/>
              </w:rPr>
            </w:pPr>
            <w:r w:rsidRPr="005275D6">
              <w:rPr>
                <w:sz w:val="20"/>
                <w:szCs w:val="20"/>
              </w:rPr>
              <w:tab/>
            </w:r>
            <w:r w:rsidR="005275D6">
              <w:rPr>
                <w:sz w:val="20"/>
                <w:szCs w:val="20"/>
              </w:rPr>
              <w:t>A.G. of Saskatchewan</w:t>
            </w:r>
          </w:p>
          <w:p w:rsidR="00242AEE" w:rsidRPr="005275D6" w:rsidRDefault="00242AEE" w:rsidP="003B3977">
            <w:pPr>
              <w:keepNext/>
              <w:keepLines/>
              <w:tabs>
                <w:tab w:val="left" w:pos="-1440"/>
                <w:tab w:val="left" w:pos="-720"/>
              </w:tabs>
              <w:rPr>
                <w:sz w:val="20"/>
                <w:szCs w:val="20"/>
              </w:rPr>
            </w:pPr>
          </w:p>
          <w:p w:rsidR="00242AEE" w:rsidRPr="00A935AA" w:rsidRDefault="00242AEE" w:rsidP="005275D6">
            <w:pPr>
              <w:rPr>
                <w:sz w:val="20"/>
                <w:szCs w:val="20"/>
              </w:rPr>
            </w:pPr>
            <w:r w:rsidRPr="00A935AA">
              <w:rPr>
                <w:sz w:val="20"/>
                <w:szCs w:val="20"/>
              </w:rPr>
              <w:t xml:space="preserve">FILING DATE: </w:t>
            </w:r>
            <w:r w:rsidR="005275D6">
              <w:rPr>
                <w:sz w:val="20"/>
                <w:szCs w:val="20"/>
              </w:rPr>
              <w:t>17</w:t>
            </w:r>
            <w:r w:rsidRPr="00A935AA">
              <w:rPr>
                <w:sz w:val="20"/>
                <w:szCs w:val="20"/>
              </w:rPr>
              <w:t>.0</w:t>
            </w:r>
            <w:r w:rsidR="005275D6">
              <w:rPr>
                <w:sz w:val="20"/>
                <w:szCs w:val="20"/>
              </w:rPr>
              <w:t>6</w:t>
            </w:r>
            <w:r w:rsidRPr="00A935AA">
              <w:rPr>
                <w:sz w:val="20"/>
                <w:szCs w:val="20"/>
              </w:rPr>
              <w:t>.201</w:t>
            </w:r>
            <w:r w:rsidR="00C524AA">
              <w:rPr>
                <w:sz w:val="20"/>
                <w:szCs w:val="20"/>
              </w:rPr>
              <w:t>3</w:t>
            </w:r>
            <w:r w:rsidR="005F2BA7" w:rsidRPr="005F2BA7">
              <w:rPr>
                <w:sz w:val="20"/>
                <w:szCs w:val="20"/>
                <w:lang w:val="fr-CA"/>
              </w:rPr>
              <w:pict>
                <v:rect id="_x0000_i1026" style="width:108pt;height:1pt" o:hrpct="0" o:hralign="center" o:hrstd="t" o:hrnoshade="t" o:hr="t" fillcolor="black [3213]" stroked="f"/>
              </w:pict>
            </w:r>
          </w:p>
        </w:tc>
      </w:tr>
      <w:tr w:rsidR="00C524AA" w:rsidRPr="00A935AA" w:rsidTr="003B3977">
        <w:tc>
          <w:tcPr>
            <w:tcW w:w="4320" w:type="dxa"/>
            <w:shd w:val="clear" w:color="auto" w:fill="auto"/>
          </w:tcPr>
          <w:p w:rsidR="00C524AA" w:rsidRPr="00A935AA" w:rsidRDefault="005275D6" w:rsidP="005A3B96">
            <w:pPr>
              <w:rPr>
                <w:b/>
                <w:sz w:val="20"/>
                <w:szCs w:val="20"/>
              </w:rPr>
            </w:pPr>
            <w:r>
              <w:rPr>
                <w:b/>
                <w:sz w:val="20"/>
                <w:szCs w:val="20"/>
              </w:rPr>
              <w:t>T.L.L.L.</w:t>
            </w:r>
          </w:p>
          <w:p w:rsidR="00C524AA" w:rsidRPr="00A935AA" w:rsidRDefault="00C524AA" w:rsidP="005A3B96">
            <w:pPr>
              <w:tabs>
                <w:tab w:val="left" w:pos="-1440"/>
                <w:tab w:val="left" w:pos="-720"/>
              </w:tabs>
              <w:rPr>
                <w:sz w:val="20"/>
                <w:szCs w:val="20"/>
              </w:rPr>
            </w:pPr>
            <w:r w:rsidRPr="00A935AA">
              <w:rPr>
                <w:sz w:val="20"/>
                <w:szCs w:val="20"/>
              </w:rPr>
              <w:tab/>
            </w:r>
            <w:r w:rsidR="005275D6">
              <w:rPr>
                <w:sz w:val="20"/>
                <w:szCs w:val="20"/>
              </w:rPr>
              <w:t>T.L.L.L.</w:t>
            </w:r>
          </w:p>
          <w:p w:rsidR="00C524AA" w:rsidRPr="00A935AA" w:rsidRDefault="00C524AA" w:rsidP="005A3B96">
            <w:pPr>
              <w:tabs>
                <w:tab w:val="left" w:pos="-1440"/>
                <w:tab w:val="left" w:pos="-720"/>
              </w:tabs>
              <w:rPr>
                <w:sz w:val="20"/>
                <w:szCs w:val="20"/>
              </w:rPr>
            </w:pPr>
          </w:p>
          <w:p w:rsidR="00C524AA" w:rsidRPr="00A935AA" w:rsidRDefault="00C524AA" w:rsidP="005A3B96">
            <w:pPr>
              <w:tabs>
                <w:tab w:val="left" w:pos="-1440"/>
                <w:tab w:val="left" w:pos="-720"/>
              </w:tabs>
              <w:rPr>
                <w:sz w:val="20"/>
                <w:szCs w:val="20"/>
              </w:rPr>
            </w:pPr>
            <w:r w:rsidRPr="00A935AA">
              <w:rPr>
                <w:sz w:val="20"/>
                <w:szCs w:val="20"/>
              </w:rPr>
              <w:tab/>
              <w:t>v. (3</w:t>
            </w:r>
            <w:r>
              <w:rPr>
                <w:sz w:val="20"/>
                <w:szCs w:val="20"/>
              </w:rPr>
              <w:t>5</w:t>
            </w:r>
            <w:r w:rsidR="005275D6">
              <w:rPr>
                <w:sz w:val="20"/>
                <w:szCs w:val="20"/>
              </w:rPr>
              <w:t>452</w:t>
            </w:r>
            <w:r w:rsidRPr="00A935AA">
              <w:rPr>
                <w:sz w:val="20"/>
                <w:szCs w:val="20"/>
              </w:rPr>
              <w:t>)</w:t>
            </w:r>
          </w:p>
          <w:p w:rsidR="00C524AA" w:rsidRPr="00A935AA" w:rsidRDefault="00C524AA" w:rsidP="005A3B96">
            <w:pPr>
              <w:tabs>
                <w:tab w:val="left" w:pos="-1440"/>
                <w:tab w:val="left" w:pos="-720"/>
              </w:tabs>
              <w:rPr>
                <w:sz w:val="20"/>
                <w:szCs w:val="20"/>
              </w:rPr>
            </w:pPr>
          </w:p>
          <w:p w:rsidR="00C524AA" w:rsidRPr="00A935AA" w:rsidRDefault="005275D6" w:rsidP="005A3B96">
            <w:pPr>
              <w:tabs>
                <w:tab w:val="left" w:pos="-1440"/>
                <w:tab w:val="left" w:pos="-720"/>
              </w:tabs>
              <w:rPr>
                <w:b/>
                <w:sz w:val="20"/>
                <w:szCs w:val="20"/>
              </w:rPr>
            </w:pPr>
            <w:r>
              <w:rPr>
                <w:b/>
                <w:sz w:val="20"/>
                <w:szCs w:val="20"/>
              </w:rPr>
              <w:t xml:space="preserve">J.L.L. </w:t>
            </w:r>
            <w:r w:rsidR="00C524AA" w:rsidRPr="00A935AA">
              <w:rPr>
                <w:b/>
                <w:sz w:val="20"/>
                <w:szCs w:val="20"/>
              </w:rPr>
              <w:t>(</w:t>
            </w:r>
            <w:r>
              <w:rPr>
                <w:b/>
                <w:sz w:val="20"/>
                <w:szCs w:val="20"/>
              </w:rPr>
              <w:t>Man</w:t>
            </w:r>
            <w:r w:rsidR="00C524AA" w:rsidRPr="00A935AA">
              <w:rPr>
                <w:b/>
                <w:sz w:val="20"/>
                <w:szCs w:val="20"/>
              </w:rPr>
              <w:t>.)</w:t>
            </w:r>
          </w:p>
          <w:p w:rsidR="00C524AA" w:rsidRPr="00A935AA" w:rsidRDefault="00C524AA" w:rsidP="005A3B96">
            <w:pPr>
              <w:tabs>
                <w:tab w:val="left" w:pos="-1440"/>
                <w:tab w:val="left" w:pos="-720"/>
              </w:tabs>
              <w:rPr>
                <w:sz w:val="20"/>
                <w:szCs w:val="20"/>
              </w:rPr>
            </w:pPr>
            <w:r w:rsidRPr="00A935AA">
              <w:rPr>
                <w:sz w:val="20"/>
                <w:szCs w:val="20"/>
              </w:rPr>
              <w:tab/>
            </w:r>
            <w:r w:rsidR="005275D6">
              <w:rPr>
                <w:sz w:val="20"/>
                <w:szCs w:val="20"/>
              </w:rPr>
              <w:t>J.L.L.</w:t>
            </w:r>
          </w:p>
          <w:p w:rsidR="00C524AA" w:rsidRPr="00A935AA" w:rsidRDefault="00C524AA" w:rsidP="005A3B96">
            <w:pPr>
              <w:tabs>
                <w:tab w:val="left" w:pos="-1440"/>
                <w:tab w:val="left" w:pos="-720"/>
              </w:tabs>
              <w:rPr>
                <w:sz w:val="20"/>
                <w:szCs w:val="20"/>
              </w:rPr>
            </w:pPr>
          </w:p>
          <w:p w:rsidR="00C524AA" w:rsidRPr="00A935AA" w:rsidRDefault="00C524AA" w:rsidP="005A3B96">
            <w:pPr>
              <w:rPr>
                <w:sz w:val="20"/>
                <w:szCs w:val="20"/>
              </w:rPr>
            </w:pPr>
            <w:r w:rsidRPr="00A935AA">
              <w:rPr>
                <w:sz w:val="20"/>
                <w:szCs w:val="20"/>
              </w:rPr>
              <w:t>FILING DATE: 2</w:t>
            </w:r>
            <w:r w:rsidR="005275D6">
              <w:rPr>
                <w:sz w:val="20"/>
                <w:szCs w:val="20"/>
              </w:rPr>
              <w:t>0</w:t>
            </w:r>
            <w:r w:rsidRPr="00A935AA">
              <w:rPr>
                <w:sz w:val="20"/>
                <w:szCs w:val="20"/>
              </w:rPr>
              <w:t>.0</w:t>
            </w:r>
            <w:r w:rsidR="005275D6">
              <w:rPr>
                <w:sz w:val="20"/>
                <w:szCs w:val="20"/>
              </w:rPr>
              <w:t>6</w:t>
            </w:r>
            <w:r w:rsidRPr="00A935AA">
              <w:rPr>
                <w:sz w:val="20"/>
                <w:szCs w:val="20"/>
              </w:rPr>
              <w:t>.201</w:t>
            </w:r>
            <w:r>
              <w:rPr>
                <w:sz w:val="20"/>
                <w:szCs w:val="20"/>
              </w:rPr>
              <w:t>3</w:t>
            </w:r>
          </w:p>
          <w:p w:rsidR="00C524AA" w:rsidRPr="00A935AA" w:rsidRDefault="005F2BA7" w:rsidP="005A3B96">
            <w:pPr>
              <w:rPr>
                <w:sz w:val="20"/>
                <w:szCs w:val="20"/>
              </w:rPr>
            </w:pPr>
            <w:r w:rsidRPr="005F2BA7">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524AA" w:rsidRPr="00A935AA" w:rsidRDefault="00C524AA" w:rsidP="00242AEE">
            <w:pPr>
              <w:jc w:val="center"/>
              <w:rPr>
                <w:sz w:val="20"/>
                <w:szCs w:val="20"/>
              </w:rPr>
            </w:pPr>
          </w:p>
          <w:p w:rsidR="00C524AA" w:rsidRPr="00A935AA" w:rsidRDefault="00C524AA" w:rsidP="00242AEE">
            <w:pPr>
              <w:jc w:val="center"/>
              <w:rPr>
                <w:sz w:val="20"/>
                <w:szCs w:val="20"/>
              </w:rPr>
            </w:pPr>
          </w:p>
          <w:p w:rsidR="00C524AA" w:rsidRPr="00A935AA" w:rsidRDefault="00C524AA" w:rsidP="00242AEE">
            <w:pPr>
              <w:jc w:val="center"/>
              <w:rPr>
                <w:sz w:val="20"/>
                <w:szCs w:val="20"/>
              </w:rPr>
            </w:pPr>
          </w:p>
          <w:p w:rsidR="00C524AA" w:rsidRPr="00A935AA" w:rsidRDefault="00C524AA" w:rsidP="00242AEE">
            <w:pPr>
              <w:jc w:val="center"/>
              <w:rPr>
                <w:sz w:val="20"/>
                <w:szCs w:val="20"/>
              </w:rPr>
            </w:pPr>
          </w:p>
          <w:p w:rsidR="00C524AA" w:rsidRPr="00A935AA" w:rsidRDefault="00C524AA" w:rsidP="00242AEE">
            <w:pPr>
              <w:jc w:val="center"/>
              <w:rPr>
                <w:sz w:val="20"/>
                <w:szCs w:val="20"/>
              </w:rPr>
            </w:pPr>
          </w:p>
          <w:p w:rsidR="00C524AA" w:rsidRPr="00A935AA" w:rsidRDefault="00C524AA" w:rsidP="00242AEE">
            <w:pPr>
              <w:jc w:val="center"/>
              <w:rPr>
                <w:sz w:val="20"/>
                <w:szCs w:val="20"/>
              </w:rPr>
            </w:pPr>
          </w:p>
          <w:p w:rsidR="00C524AA" w:rsidRPr="00A935AA" w:rsidRDefault="00C524AA" w:rsidP="00242AEE">
            <w:pPr>
              <w:jc w:val="center"/>
              <w:rPr>
                <w:sz w:val="20"/>
                <w:szCs w:val="20"/>
              </w:rPr>
            </w:pPr>
          </w:p>
          <w:p w:rsidR="00C524AA" w:rsidRPr="00A935AA" w:rsidRDefault="00C524AA" w:rsidP="00242AEE">
            <w:pPr>
              <w:jc w:val="center"/>
              <w:rPr>
                <w:sz w:val="20"/>
                <w:szCs w:val="20"/>
              </w:rPr>
            </w:pPr>
          </w:p>
          <w:p w:rsidR="00C524AA" w:rsidRPr="00A935AA" w:rsidRDefault="00C524AA" w:rsidP="00242AEE">
            <w:pPr>
              <w:jc w:val="center"/>
              <w:rPr>
                <w:sz w:val="20"/>
                <w:szCs w:val="20"/>
              </w:rPr>
            </w:pPr>
          </w:p>
          <w:p w:rsidR="00C524AA" w:rsidRPr="00A935AA" w:rsidRDefault="00C524AA" w:rsidP="00242AEE">
            <w:pPr>
              <w:jc w:val="center"/>
              <w:rPr>
                <w:sz w:val="20"/>
                <w:szCs w:val="20"/>
              </w:rPr>
            </w:pPr>
          </w:p>
          <w:p w:rsidR="00C524AA" w:rsidRPr="00A935AA" w:rsidRDefault="00C524AA" w:rsidP="00242AEE">
            <w:pPr>
              <w:jc w:val="center"/>
              <w:rPr>
                <w:sz w:val="20"/>
                <w:szCs w:val="20"/>
              </w:rPr>
            </w:pPr>
          </w:p>
        </w:tc>
        <w:tc>
          <w:tcPr>
            <w:tcW w:w="4320" w:type="dxa"/>
            <w:shd w:val="clear" w:color="auto" w:fill="auto"/>
          </w:tcPr>
          <w:p w:rsidR="00C524AA" w:rsidRPr="00A935AA" w:rsidRDefault="005275D6" w:rsidP="005A3B96">
            <w:pPr>
              <w:keepNext/>
              <w:keepLines/>
              <w:tabs>
                <w:tab w:val="left" w:pos="-1440"/>
                <w:tab w:val="left" w:pos="-720"/>
              </w:tabs>
              <w:rPr>
                <w:b/>
                <w:sz w:val="20"/>
                <w:szCs w:val="20"/>
              </w:rPr>
            </w:pPr>
            <w:r>
              <w:rPr>
                <w:b/>
                <w:sz w:val="20"/>
                <w:szCs w:val="20"/>
              </w:rPr>
              <w:t>Daniel W. Onischuk</w:t>
            </w:r>
          </w:p>
          <w:p w:rsidR="00C524AA" w:rsidRPr="00A935AA" w:rsidRDefault="00C524AA" w:rsidP="005A3B96">
            <w:pPr>
              <w:keepNext/>
              <w:keepLines/>
              <w:tabs>
                <w:tab w:val="left" w:pos="-1440"/>
                <w:tab w:val="left" w:pos="-720"/>
              </w:tabs>
              <w:rPr>
                <w:sz w:val="20"/>
                <w:szCs w:val="20"/>
              </w:rPr>
            </w:pPr>
            <w:r w:rsidRPr="00A935AA">
              <w:rPr>
                <w:sz w:val="20"/>
                <w:szCs w:val="20"/>
              </w:rPr>
              <w:tab/>
            </w:r>
            <w:r w:rsidR="005275D6">
              <w:rPr>
                <w:sz w:val="20"/>
                <w:szCs w:val="20"/>
              </w:rPr>
              <w:t>Daniel W. Onischuk</w:t>
            </w:r>
          </w:p>
          <w:p w:rsidR="00C524AA" w:rsidRPr="00A935AA" w:rsidRDefault="00C524AA" w:rsidP="005A3B96">
            <w:pPr>
              <w:keepNext/>
              <w:keepLines/>
              <w:tabs>
                <w:tab w:val="left" w:pos="-1440"/>
                <w:tab w:val="left" w:pos="-720"/>
              </w:tabs>
              <w:rPr>
                <w:sz w:val="20"/>
                <w:szCs w:val="20"/>
              </w:rPr>
            </w:pPr>
          </w:p>
          <w:p w:rsidR="00C524AA" w:rsidRPr="005275D6" w:rsidRDefault="00C524AA" w:rsidP="005A3B96">
            <w:pPr>
              <w:keepNext/>
              <w:keepLines/>
              <w:tabs>
                <w:tab w:val="left" w:pos="-1440"/>
                <w:tab w:val="left" w:pos="-720"/>
              </w:tabs>
              <w:rPr>
                <w:sz w:val="20"/>
                <w:szCs w:val="20"/>
              </w:rPr>
            </w:pPr>
            <w:r w:rsidRPr="00A935AA">
              <w:rPr>
                <w:sz w:val="20"/>
                <w:szCs w:val="20"/>
              </w:rPr>
              <w:tab/>
            </w:r>
            <w:r w:rsidRPr="005275D6">
              <w:rPr>
                <w:sz w:val="20"/>
                <w:szCs w:val="20"/>
              </w:rPr>
              <w:t>v. (35</w:t>
            </w:r>
            <w:r w:rsidR="005275D6">
              <w:rPr>
                <w:sz w:val="20"/>
                <w:szCs w:val="20"/>
              </w:rPr>
              <w:t>472</w:t>
            </w:r>
            <w:r w:rsidRPr="005275D6">
              <w:rPr>
                <w:sz w:val="20"/>
                <w:szCs w:val="20"/>
              </w:rPr>
              <w:t>)</w:t>
            </w:r>
          </w:p>
          <w:p w:rsidR="00C524AA" w:rsidRPr="005275D6" w:rsidRDefault="00C524AA" w:rsidP="005A3B96">
            <w:pPr>
              <w:keepNext/>
              <w:keepLines/>
              <w:tabs>
                <w:tab w:val="left" w:pos="-1440"/>
                <w:tab w:val="left" w:pos="-720"/>
              </w:tabs>
              <w:rPr>
                <w:sz w:val="20"/>
                <w:szCs w:val="20"/>
              </w:rPr>
            </w:pPr>
          </w:p>
          <w:p w:rsidR="00C524AA" w:rsidRPr="005275D6" w:rsidRDefault="005275D6" w:rsidP="005A3B96">
            <w:pPr>
              <w:keepNext/>
              <w:keepLines/>
              <w:tabs>
                <w:tab w:val="left" w:pos="-1440"/>
                <w:tab w:val="left" w:pos="-720"/>
              </w:tabs>
              <w:rPr>
                <w:b/>
                <w:sz w:val="20"/>
                <w:szCs w:val="20"/>
              </w:rPr>
            </w:pPr>
            <w:r>
              <w:rPr>
                <w:b/>
                <w:sz w:val="20"/>
                <w:szCs w:val="20"/>
              </w:rPr>
              <w:t xml:space="preserve">Town of Canmore et al. </w:t>
            </w:r>
            <w:r w:rsidR="00C524AA" w:rsidRPr="005275D6">
              <w:rPr>
                <w:b/>
                <w:sz w:val="20"/>
                <w:szCs w:val="20"/>
              </w:rPr>
              <w:t>(</w:t>
            </w:r>
            <w:r w:rsidR="00244C4F">
              <w:rPr>
                <w:b/>
                <w:sz w:val="20"/>
                <w:szCs w:val="20"/>
              </w:rPr>
              <w:t>Al</w:t>
            </w:r>
            <w:r w:rsidR="00C524AA" w:rsidRPr="005275D6">
              <w:rPr>
                <w:b/>
                <w:sz w:val="20"/>
                <w:szCs w:val="20"/>
              </w:rPr>
              <w:t>t</w:t>
            </w:r>
            <w:r w:rsidR="00244C4F">
              <w:rPr>
                <w:b/>
                <w:sz w:val="20"/>
                <w:szCs w:val="20"/>
              </w:rPr>
              <w:t>a</w:t>
            </w:r>
            <w:r w:rsidR="00C524AA" w:rsidRPr="005275D6">
              <w:rPr>
                <w:b/>
                <w:sz w:val="20"/>
                <w:szCs w:val="20"/>
              </w:rPr>
              <w:t>.)</w:t>
            </w:r>
          </w:p>
          <w:p w:rsidR="00C524AA" w:rsidRPr="005275D6" w:rsidRDefault="00C524AA" w:rsidP="005A3B96">
            <w:pPr>
              <w:keepNext/>
              <w:keepLines/>
              <w:tabs>
                <w:tab w:val="left" w:pos="-1440"/>
                <w:tab w:val="left" w:pos="-720"/>
              </w:tabs>
              <w:rPr>
                <w:sz w:val="20"/>
                <w:szCs w:val="20"/>
              </w:rPr>
            </w:pPr>
            <w:r w:rsidRPr="005275D6">
              <w:rPr>
                <w:sz w:val="20"/>
                <w:szCs w:val="20"/>
              </w:rPr>
              <w:tab/>
            </w:r>
            <w:r w:rsidR="005275D6">
              <w:rPr>
                <w:sz w:val="20"/>
                <w:szCs w:val="20"/>
              </w:rPr>
              <w:t>Michael Aasen</w:t>
            </w:r>
          </w:p>
          <w:p w:rsidR="00C524AA" w:rsidRPr="005275D6" w:rsidRDefault="00C524AA" w:rsidP="005A3B96">
            <w:pPr>
              <w:keepNext/>
              <w:keepLines/>
              <w:tabs>
                <w:tab w:val="left" w:pos="-1440"/>
                <w:tab w:val="left" w:pos="-720"/>
              </w:tabs>
              <w:rPr>
                <w:sz w:val="20"/>
                <w:szCs w:val="20"/>
              </w:rPr>
            </w:pPr>
            <w:r w:rsidRPr="005275D6">
              <w:rPr>
                <w:sz w:val="20"/>
                <w:szCs w:val="20"/>
              </w:rPr>
              <w:tab/>
            </w:r>
            <w:r w:rsidR="005275D6">
              <w:rPr>
                <w:sz w:val="20"/>
                <w:szCs w:val="20"/>
              </w:rPr>
              <w:t>Bryan &amp; Company LLP</w:t>
            </w:r>
          </w:p>
          <w:p w:rsidR="00C524AA" w:rsidRPr="005275D6" w:rsidRDefault="00C524AA" w:rsidP="005A3B96">
            <w:pPr>
              <w:keepNext/>
              <w:keepLines/>
              <w:tabs>
                <w:tab w:val="left" w:pos="-1440"/>
                <w:tab w:val="left" w:pos="-720"/>
              </w:tabs>
              <w:rPr>
                <w:sz w:val="20"/>
                <w:szCs w:val="20"/>
              </w:rPr>
            </w:pPr>
          </w:p>
          <w:p w:rsidR="00C524AA" w:rsidRPr="00A935AA" w:rsidRDefault="00C524AA" w:rsidP="005275D6">
            <w:pPr>
              <w:rPr>
                <w:sz w:val="20"/>
                <w:szCs w:val="20"/>
              </w:rPr>
            </w:pPr>
            <w:r w:rsidRPr="00A935AA">
              <w:rPr>
                <w:sz w:val="20"/>
                <w:szCs w:val="20"/>
              </w:rPr>
              <w:t>FILING DATE: 2</w:t>
            </w:r>
            <w:r w:rsidR="005275D6">
              <w:rPr>
                <w:sz w:val="20"/>
                <w:szCs w:val="20"/>
              </w:rPr>
              <w:t>1</w:t>
            </w:r>
            <w:r w:rsidRPr="00A935AA">
              <w:rPr>
                <w:sz w:val="20"/>
                <w:szCs w:val="20"/>
              </w:rPr>
              <w:t>.0</w:t>
            </w:r>
            <w:r w:rsidR="005275D6">
              <w:rPr>
                <w:sz w:val="20"/>
                <w:szCs w:val="20"/>
              </w:rPr>
              <w:t>6</w:t>
            </w:r>
            <w:r w:rsidRPr="00A935AA">
              <w:rPr>
                <w:sz w:val="20"/>
                <w:szCs w:val="20"/>
              </w:rPr>
              <w:t>.201</w:t>
            </w:r>
            <w:r>
              <w:rPr>
                <w:sz w:val="20"/>
                <w:szCs w:val="20"/>
              </w:rPr>
              <w:t>3</w:t>
            </w:r>
            <w:r w:rsidR="005F2BA7" w:rsidRPr="005F2BA7">
              <w:rPr>
                <w:sz w:val="20"/>
                <w:szCs w:val="20"/>
                <w:lang w:val="fr-CA"/>
              </w:rPr>
              <w:pict>
                <v:rect id="_x0000_i1028" style="width:108pt;height:1pt" o:hrpct="0" o:hralign="center" o:hrstd="t" o:hrnoshade="t" o:hr="t" fillcolor="black [3213]" stroked="f"/>
              </w:pict>
            </w:r>
          </w:p>
        </w:tc>
      </w:tr>
      <w:tr w:rsidR="00A66B65" w:rsidRPr="00A935AA" w:rsidTr="003B3977">
        <w:tc>
          <w:tcPr>
            <w:tcW w:w="4320" w:type="dxa"/>
            <w:shd w:val="clear" w:color="auto" w:fill="auto"/>
          </w:tcPr>
          <w:p w:rsidR="00A66B65" w:rsidRPr="00196D53" w:rsidRDefault="00A66B65" w:rsidP="005A3B96">
            <w:pPr>
              <w:rPr>
                <w:sz w:val="20"/>
                <w:szCs w:val="20"/>
                <w:lang w:val="fr-CA"/>
              </w:rPr>
            </w:pPr>
            <w:r w:rsidRPr="00196D53">
              <w:rPr>
                <w:b/>
                <w:sz w:val="20"/>
                <w:szCs w:val="20"/>
                <w:lang w:val="fr-CA"/>
              </w:rPr>
              <w:t>Régent Millette</w:t>
            </w:r>
          </w:p>
          <w:p w:rsidR="00A66B65" w:rsidRPr="005275D6" w:rsidRDefault="00A66B65" w:rsidP="00A66B65">
            <w:pPr>
              <w:keepNext/>
              <w:keepLines/>
              <w:tabs>
                <w:tab w:val="left" w:pos="-1440"/>
                <w:tab w:val="left" w:pos="-720"/>
              </w:tabs>
              <w:rPr>
                <w:sz w:val="20"/>
                <w:szCs w:val="20"/>
                <w:lang w:val="fr-CA"/>
              </w:rPr>
            </w:pPr>
            <w:r w:rsidRPr="00196D53">
              <w:rPr>
                <w:sz w:val="20"/>
                <w:szCs w:val="20"/>
                <w:lang w:val="fr-CA"/>
              </w:rPr>
              <w:tab/>
            </w:r>
            <w:r w:rsidRPr="005275D6">
              <w:rPr>
                <w:sz w:val="20"/>
                <w:szCs w:val="20"/>
                <w:lang w:val="fr-CA"/>
              </w:rPr>
              <w:t>Régent Millette</w:t>
            </w:r>
          </w:p>
          <w:p w:rsidR="00A66B65" w:rsidRPr="005275D6" w:rsidRDefault="00A66B65" w:rsidP="00A66B65">
            <w:pPr>
              <w:keepNext/>
              <w:keepLines/>
              <w:tabs>
                <w:tab w:val="left" w:pos="-1440"/>
                <w:tab w:val="left" w:pos="-720"/>
              </w:tabs>
              <w:rPr>
                <w:sz w:val="20"/>
                <w:szCs w:val="20"/>
                <w:lang w:val="fr-CA"/>
              </w:rPr>
            </w:pPr>
          </w:p>
          <w:p w:rsidR="00A66B65" w:rsidRPr="005275D6" w:rsidRDefault="00A66B65" w:rsidP="00A66B65">
            <w:pPr>
              <w:keepNext/>
              <w:keepLines/>
              <w:tabs>
                <w:tab w:val="left" w:pos="-1440"/>
                <w:tab w:val="left" w:pos="-720"/>
              </w:tabs>
              <w:rPr>
                <w:sz w:val="20"/>
                <w:szCs w:val="20"/>
                <w:lang w:val="fr-CA"/>
              </w:rPr>
            </w:pPr>
            <w:r w:rsidRPr="005275D6">
              <w:rPr>
                <w:sz w:val="20"/>
                <w:szCs w:val="20"/>
                <w:lang w:val="fr-CA"/>
              </w:rPr>
              <w:tab/>
            </w:r>
            <w:r>
              <w:rPr>
                <w:sz w:val="20"/>
                <w:szCs w:val="20"/>
                <w:lang w:val="fr-CA"/>
              </w:rPr>
              <w:t>c</w:t>
            </w:r>
            <w:r w:rsidRPr="005275D6">
              <w:rPr>
                <w:sz w:val="20"/>
                <w:szCs w:val="20"/>
                <w:lang w:val="fr-CA"/>
              </w:rPr>
              <w:t>. (35449)</w:t>
            </w:r>
          </w:p>
          <w:p w:rsidR="00A66B65" w:rsidRPr="005275D6" w:rsidRDefault="00A66B65" w:rsidP="00A66B65">
            <w:pPr>
              <w:keepNext/>
              <w:keepLines/>
              <w:tabs>
                <w:tab w:val="left" w:pos="-1440"/>
                <w:tab w:val="left" w:pos="-720"/>
              </w:tabs>
              <w:rPr>
                <w:sz w:val="20"/>
                <w:szCs w:val="20"/>
                <w:lang w:val="fr-CA"/>
              </w:rPr>
            </w:pPr>
          </w:p>
          <w:p w:rsidR="00A66B65" w:rsidRPr="005275D6" w:rsidRDefault="00A66B65" w:rsidP="00A66B65">
            <w:pPr>
              <w:keepNext/>
              <w:keepLines/>
              <w:tabs>
                <w:tab w:val="left" w:pos="-1440"/>
                <w:tab w:val="left" w:pos="-720"/>
              </w:tabs>
              <w:rPr>
                <w:b/>
                <w:sz w:val="20"/>
                <w:szCs w:val="20"/>
                <w:lang w:val="fr-CA"/>
              </w:rPr>
            </w:pPr>
            <w:r w:rsidRPr="005275D6">
              <w:rPr>
                <w:b/>
                <w:sz w:val="20"/>
                <w:szCs w:val="20"/>
                <w:lang w:val="fr-CA"/>
              </w:rPr>
              <w:t>Ville de Laval et autres (Qc)</w:t>
            </w:r>
          </w:p>
          <w:p w:rsidR="00A66B65" w:rsidRPr="005275D6" w:rsidRDefault="00A66B65" w:rsidP="00A66B65">
            <w:pPr>
              <w:keepNext/>
              <w:keepLines/>
              <w:tabs>
                <w:tab w:val="left" w:pos="-1440"/>
                <w:tab w:val="left" w:pos="-720"/>
              </w:tabs>
              <w:rPr>
                <w:sz w:val="20"/>
                <w:szCs w:val="20"/>
                <w:lang w:val="fr-CA"/>
              </w:rPr>
            </w:pPr>
            <w:r w:rsidRPr="005275D6">
              <w:rPr>
                <w:sz w:val="20"/>
                <w:szCs w:val="20"/>
                <w:lang w:val="fr-CA"/>
              </w:rPr>
              <w:tab/>
            </w:r>
            <w:r>
              <w:rPr>
                <w:sz w:val="20"/>
                <w:szCs w:val="20"/>
                <w:lang w:val="fr-CA"/>
              </w:rPr>
              <w:t>Steve Cadrin</w:t>
            </w:r>
          </w:p>
          <w:p w:rsidR="00A66B65" w:rsidRPr="005275D6" w:rsidRDefault="00A66B65" w:rsidP="00A66B65">
            <w:pPr>
              <w:keepNext/>
              <w:keepLines/>
              <w:tabs>
                <w:tab w:val="left" w:pos="-1440"/>
                <w:tab w:val="left" w:pos="-720"/>
              </w:tabs>
              <w:rPr>
                <w:sz w:val="20"/>
                <w:szCs w:val="20"/>
                <w:lang w:val="fr-CA"/>
              </w:rPr>
            </w:pPr>
            <w:r w:rsidRPr="005275D6">
              <w:rPr>
                <w:sz w:val="20"/>
                <w:szCs w:val="20"/>
                <w:lang w:val="fr-CA"/>
              </w:rPr>
              <w:tab/>
            </w:r>
            <w:r>
              <w:rPr>
                <w:sz w:val="20"/>
                <w:szCs w:val="20"/>
                <w:lang w:val="fr-CA"/>
              </w:rPr>
              <w:t>Dufresne Hébert Comeau</w:t>
            </w:r>
          </w:p>
          <w:p w:rsidR="00A66B65" w:rsidRPr="005275D6" w:rsidRDefault="00A66B65" w:rsidP="00A66B65">
            <w:pPr>
              <w:keepNext/>
              <w:keepLines/>
              <w:tabs>
                <w:tab w:val="left" w:pos="-1440"/>
                <w:tab w:val="left" w:pos="-720"/>
              </w:tabs>
              <w:rPr>
                <w:sz w:val="20"/>
                <w:szCs w:val="20"/>
                <w:lang w:val="fr-CA"/>
              </w:rPr>
            </w:pPr>
          </w:p>
          <w:p w:rsidR="00A66B65" w:rsidRPr="00196D53" w:rsidRDefault="00A66B65" w:rsidP="00A66B65">
            <w:pPr>
              <w:rPr>
                <w:sz w:val="20"/>
                <w:szCs w:val="20"/>
                <w:lang w:val="fr-CA"/>
              </w:rPr>
            </w:pPr>
            <w:r w:rsidRPr="005275D6">
              <w:rPr>
                <w:sz w:val="20"/>
                <w:szCs w:val="20"/>
                <w:lang w:val="fr-CA"/>
              </w:rPr>
              <w:t>DATE DE PRODUCTION</w:t>
            </w:r>
            <w:r>
              <w:rPr>
                <w:sz w:val="20"/>
                <w:szCs w:val="20"/>
                <w:lang w:val="fr-CA"/>
              </w:rPr>
              <w:t xml:space="preserve"> </w:t>
            </w:r>
            <w:r w:rsidRPr="00C95B0C">
              <w:rPr>
                <w:sz w:val="20"/>
                <w:szCs w:val="20"/>
                <w:lang w:val="fr-CA"/>
              </w:rPr>
              <w:t>: 26.06.2013</w:t>
            </w:r>
          </w:p>
          <w:p w:rsidR="00A66B65" w:rsidRPr="00A66B65" w:rsidRDefault="005F2BA7" w:rsidP="00344637">
            <w:pPr>
              <w:rPr>
                <w:sz w:val="20"/>
                <w:szCs w:val="20"/>
              </w:rPr>
            </w:pPr>
            <w:r w:rsidRPr="005F2BA7">
              <w:rPr>
                <w:sz w:val="20"/>
                <w:szCs w:val="20"/>
                <w:lang w:val="fr-CA"/>
              </w:rPr>
              <w:pict>
                <v:rect id="_x0000_i1029" style="width:108pt;height:1pt" o:hrpct="0" o:hralign="center" o:hrstd="t" o:hrnoshade="t" o:hr="t" fillcolor="black [3213]" stroked="f"/>
              </w:pict>
            </w:r>
          </w:p>
        </w:tc>
        <w:tc>
          <w:tcPr>
            <w:tcW w:w="1181" w:type="dxa"/>
            <w:shd w:val="clear" w:color="auto" w:fill="auto"/>
          </w:tcPr>
          <w:p w:rsidR="00A66B65" w:rsidRDefault="00A66B65"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Pr="00A935AA" w:rsidRDefault="00344637" w:rsidP="00242AEE">
            <w:pPr>
              <w:jc w:val="center"/>
              <w:rPr>
                <w:sz w:val="20"/>
                <w:szCs w:val="20"/>
              </w:rPr>
            </w:pPr>
          </w:p>
        </w:tc>
        <w:tc>
          <w:tcPr>
            <w:tcW w:w="4320" w:type="dxa"/>
            <w:shd w:val="clear" w:color="auto" w:fill="auto"/>
          </w:tcPr>
          <w:p w:rsidR="00344637" w:rsidRDefault="00344637" w:rsidP="005A3B96">
            <w:pPr>
              <w:keepNext/>
              <w:keepLines/>
              <w:tabs>
                <w:tab w:val="left" w:pos="-1440"/>
                <w:tab w:val="left" w:pos="-720"/>
              </w:tabs>
              <w:rPr>
                <w:b/>
                <w:sz w:val="20"/>
                <w:szCs w:val="20"/>
              </w:rPr>
            </w:pPr>
          </w:p>
          <w:p w:rsidR="00A66B65" w:rsidRDefault="00A66B65" w:rsidP="005A3B96">
            <w:pPr>
              <w:keepNext/>
              <w:keepLines/>
              <w:tabs>
                <w:tab w:val="left" w:pos="-1440"/>
                <w:tab w:val="left" w:pos="-720"/>
              </w:tabs>
              <w:rPr>
                <w:sz w:val="20"/>
                <w:szCs w:val="20"/>
              </w:rPr>
            </w:pPr>
            <w:r>
              <w:rPr>
                <w:b/>
                <w:sz w:val="20"/>
                <w:szCs w:val="20"/>
              </w:rPr>
              <w:t>Deborah J. Kelly Hawkes</w:t>
            </w:r>
          </w:p>
          <w:p w:rsidR="00A66B65" w:rsidRPr="00A935AA" w:rsidRDefault="00A66B65" w:rsidP="00A66B65">
            <w:pPr>
              <w:tabs>
                <w:tab w:val="left" w:pos="-1440"/>
                <w:tab w:val="left" w:pos="-720"/>
              </w:tabs>
              <w:rPr>
                <w:sz w:val="20"/>
                <w:szCs w:val="20"/>
              </w:rPr>
            </w:pPr>
            <w:r>
              <w:rPr>
                <w:sz w:val="20"/>
                <w:szCs w:val="20"/>
              </w:rPr>
              <w:tab/>
              <w:t>Deborah J. Kelly Hawkes</w:t>
            </w:r>
          </w:p>
          <w:p w:rsidR="00A66B65" w:rsidRPr="00A935AA" w:rsidRDefault="00A66B65" w:rsidP="00A66B65">
            <w:pPr>
              <w:tabs>
                <w:tab w:val="left" w:pos="-1440"/>
                <w:tab w:val="left" w:pos="-720"/>
              </w:tabs>
              <w:rPr>
                <w:sz w:val="20"/>
                <w:szCs w:val="20"/>
              </w:rPr>
            </w:pPr>
          </w:p>
          <w:p w:rsidR="00A66B65" w:rsidRPr="00A935AA" w:rsidRDefault="00A66B65" w:rsidP="00A66B65">
            <w:pPr>
              <w:tabs>
                <w:tab w:val="left" w:pos="-1440"/>
                <w:tab w:val="left" w:pos="-720"/>
              </w:tabs>
              <w:rPr>
                <w:sz w:val="20"/>
                <w:szCs w:val="20"/>
              </w:rPr>
            </w:pPr>
            <w:r w:rsidRPr="00A935AA">
              <w:rPr>
                <w:sz w:val="20"/>
                <w:szCs w:val="20"/>
              </w:rPr>
              <w:tab/>
              <w:t>v. (3</w:t>
            </w:r>
            <w:r>
              <w:rPr>
                <w:sz w:val="20"/>
                <w:szCs w:val="20"/>
              </w:rPr>
              <w:t>5457</w:t>
            </w:r>
            <w:r w:rsidRPr="00A935AA">
              <w:rPr>
                <w:sz w:val="20"/>
                <w:szCs w:val="20"/>
              </w:rPr>
              <w:t>)</w:t>
            </w:r>
          </w:p>
          <w:p w:rsidR="00A66B65" w:rsidRPr="00A935AA" w:rsidRDefault="00A66B65" w:rsidP="00A66B65">
            <w:pPr>
              <w:tabs>
                <w:tab w:val="left" w:pos="-1440"/>
                <w:tab w:val="left" w:pos="-720"/>
              </w:tabs>
              <w:rPr>
                <w:sz w:val="20"/>
                <w:szCs w:val="20"/>
              </w:rPr>
            </w:pPr>
          </w:p>
          <w:p w:rsidR="00A66B65" w:rsidRPr="00A935AA" w:rsidRDefault="00A66B65" w:rsidP="00A66B65">
            <w:pPr>
              <w:tabs>
                <w:tab w:val="left" w:pos="-1440"/>
                <w:tab w:val="left" w:pos="-720"/>
              </w:tabs>
              <w:rPr>
                <w:b/>
                <w:sz w:val="20"/>
                <w:szCs w:val="20"/>
              </w:rPr>
            </w:pPr>
            <w:r>
              <w:rPr>
                <w:b/>
                <w:sz w:val="20"/>
                <w:szCs w:val="20"/>
              </w:rPr>
              <w:t xml:space="preserve">Attorney General of Canada on behalf of Her Majesty the Queen in Right of Canada et al. </w:t>
            </w:r>
            <w:r w:rsidRPr="00A935AA">
              <w:rPr>
                <w:b/>
                <w:sz w:val="20"/>
                <w:szCs w:val="20"/>
              </w:rPr>
              <w:t>(</w:t>
            </w:r>
            <w:r>
              <w:rPr>
                <w:b/>
                <w:sz w:val="20"/>
                <w:szCs w:val="20"/>
              </w:rPr>
              <w:t>P.E</w:t>
            </w:r>
            <w:r w:rsidRPr="00A935AA">
              <w:rPr>
                <w:b/>
                <w:sz w:val="20"/>
                <w:szCs w:val="20"/>
              </w:rPr>
              <w:t>.</w:t>
            </w:r>
            <w:r>
              <w:rPr>
                <w:b/>
                <w:sz w:val="20"/>
                <w:szCs w:val="20"/>
              </w:rPr>
              <w:t>I</w:t>
            </w:r>
            <w:r w:rsidRPr="00A935AA">
              <w:rPr>
                <w:b/>
                <w:sz w:val="20"/>
                <w:szCs w:val="20"/>
              </w:rPr>
              <w:t>.)</w:t>
            </w:r>
          </w:p>
          <w:p w:rsidR="00A66B65" w:rsidRPr="00A935AA" w:rsidRDefault="00A66B65" w:rsidP="00A66B65">
            <w:pPr>
              <w:tabs>
                <w:tab w:val="left" w:pos="-1440"/>
                <w:tab w:val="left" w:pos="-720"/>
              </w:tabs>
              <w:rPr>
                <w:sz w:val="20"/>
                <w:szCs w:val="20"/>
              </w:rPr>
            </w:pPr>
            <w:r w:rsidRPr="00A935AA">
              <w:rPr>
                <w:sz w:val="20"/>
                <w:szCs w:val="20"/>
              </w:rPr>
              <w:tab/>
            </w:r>
            <w:r>
              <w:rPr>
                <w:sz w:val="20"/>
                <w:szCs w:val="20"/>
              </w:rPr>
              <w:t>Sarah E. Drodge</w:t>
            </w:r>
          </w:p>
          <w:p w:rsidR="00A66B65" w:rsidRPr="00A935AA" w:rsidRDefault="00A66B65" w:rsidP="00A66B65">
            <w:pPr>
              <w:tabs>
                <w:tab w:val="left" w:pos="-1440"/>
                <w:tab w:val="left" w:pos="-720"/>
              </w:tabs>
              <w:rPr>
                <w:sz w:val="20"/>
                <w:szCs w:val="20"/>
              </w:rPr>
            </w:pPr>
            <w:r w:rsidRPr="00A935AA">
              <w:rPr>
                <w:sz w:val="20"/>
                <w:szCs w:val="20"/>
              </w:rPr>
              <w:tab/>
            </w:r>
            <w:r>
              <w:rPr>
                <w:sz w:val="20"/>
                <w:szCs w:val="20"/>
              </w:rPr>
              <w:t>A.G. of Canada</w:t>
            </w:r>
          </w:p>
          <w:p w:rsidR="00A66B65" w:rsidRPr="00A66B65" w:rsidRDefault="00A66B65" w:rsidP="005A3B96">
            <w:pPr>
              <w:keepNext/>
              <w:keepLines/>
              <w:tabs>
                <w:tab w:val="left" w:pos="-1440"/>
                <w:tab w:val="left" w:pos="-720"/>
              </w:tabs>
              <w:rPr>
                <w:sz w:val="20"/>
                <w:szCs w:val="20"/>
              </w:rPr>
            </w:pPr>
          </w:p>
        </w:tc>
      </w:tr>
      <w:tr w:rsidR="00344637" w:rsidRPr="00E15AE0" w:rsidTr="003B3977">
        <w:tc>
          <w:tcPr>
            <w:tcW w:w="4320" w:type="dxa"/>
            <w:shd w:val="clear" w:color="auto" w:fill="auto"/>
          </w:tcPr>
          <w:p w:rsidR="00344637" w:rsidRDefault="00344637" w:rsidP="005A3B96">
            <w:pPr>
              <w:rPr>
                <w:sz w:val="20"/>
                <w:szCs w:val="20"/>
                <w:lang w:val="fr-CA"/>
              </w:rPr>
            </w:pPr>
            <w:r w:rsidRPr="00344637">
              <w:rPr>
                <w:b/>
                <w:sz w:val="20"/>
                <w:szCs w:val="20"/>
                <w:lang w:val="fr-CA"/>
              </w:rPr>
              <w:t>Tous les usagers de la société de transport</w:t>
            </w:r>
            <w:r>
              <w:rPr>
                <w:b/>
                <w:sz w:val="20"/>
                <w:szCs w:val="20"/>
                <w:lang w:val="fr-CA"/>
              </w:rPr>
              <w:t xml:space="preserve"> de Montréal (STM) et autres</w:t>
            </w:r>
          </w:p>
          <w:p w:rsidR="00344637" w:rsidRPr="00CC2796" w:rsidRDefault="00344637" w:rsidP="00344637">
            <w:pPr>
              <w:keepNext/>
              <w:keepLines/>
              <w:tabs>
                <w:tab w:val="left" w:pos="-1440"/>
                <w:tab w:val="left" w:pos="-720"/>
              </w:tabs>
              <w:rPr>
                <w:sz w:val="20"/>
                <w:szCs w:val="20"/>
              </w:rPr>
            </w:pPr>
            <w:r>
              <w:rPr>
                <w:sz w:val="20"/>
                <w:szCs w:val="20"/>
                <w:lang w:val="fr-CA"/>
              </w:rPr>
              <w:tab/>
            </w:r>
            <w:r w:rsidRPr="00CC2796">
              <w:rPr>
                <w:sz w:val="20"/>
                <w:szCs w:val="20"/>
              </w:rPr>
              <w:t>David Bourgoin</w:t>
            </w:r>
          </w:p>
          <w:p w:rsidR="00344637" w:rsidRPr="00CC2796" w:rsidRDefault="00344637" w:rsidP="00344637">
            <w:pPr>
              <w:keepNext/>
              <w:keepLines/>
              <w:tabs>
                <w:tab w:val="left" w:pos="-1440"/>
                <w:tab w:val="left" w:pos="-720"/>
              </w:tabs>
              <w:rPr>
                <w:sz w:val="20"/>
                <w:szCs w:val="20"/>
              </w:rPr>
            </w:pPr>
            <w:r w:rsidRPr="00CC2796">
              <w:rPr>
                <w:sz w:val="20"/>
                <w:szCs w:val="20"/>
              </w:rPr>
              <w:tab/>
              <w:t>BGA Avocats s.e.n.c.r.l.</w:t>
            </w:r>
          </w:p>
          <w:p w:rsidR="00344637" w:rsidRPr="00CC2796" w:rsidRDefault="00344637" w:rsidP="00344637">
            <w:pPr>
              <w:keepNext/>
              <w:keepLines/>
              <w:tabs>
                <w:tab w:val="left" w:pos="-1440"/>
                <w:tab w:val="left" w:pos="-720"/>
              </w:tabs>
              <w:rPr>
                <w:sz w:val="20"/>
                <w:szCs w:val="20"/>
              </w:rPr>
            </w:pPr>
          </w:p>
          <w:p w:rsidR="00344637" w:rsidRPr="00A935AA" w:rsidRDefault="00344637" w:rsidP="00344637">
            <w:pPr>
              <w:keepNext/>
              <w:keepLines/>
              <w:tabs>
                <w:tab w:val="left" w:pos="-1440"/>
                <w:tab w:val="left" w:pos="-720"/>
              </w:tabs>
              <w:rPr>
                <w:sz w:val="20"/>
                <w:szCs w:val="20"/>
                <w:lang w:val="fr-CA"/>
              </w:rPr>
            </w:pPr>
            <w:r w:rsidRPr="00CC2796">
              <w:rPr>
                <w:sz w:val="20"/>
                <w:szCs w:val="20"/>
              </w:rPr>
              <w:tab/>
            </w:r>
            <w:r w:rsidRPr="00CC2796">
              <w:rPr>
                <w:sz w:val="20"/>
                <w:szCs w:val="20"/>
                <w:lang w:val="fr-CA"/>
              </w:rPr>
              <w:t>c</w:t>
            </w:r>
            <w:r w:rsidRPr="00A935AA">
              <w:rPr>
                <w:sz w:val="20"/>
                <w:szCs w:val="20"/>
                <w:lang w:val="fr-CA"/>
              </w:rPr>
              <w:t>. (3</w:t>
            </w:r>
            <w:r>
              <w:rPr>
                <w:sz w:val="20"/>
                <w:szCs w:val="20"/>
                <w:lang w:val="fr-CA"/>
              </w:rPr>
              <w:t>5443</w:t>
            </w:r>
            <w:r w:rsidRPr="00A935AA">
              <w:rPr>
                <w:sz w:val="20"/>
                <w:szCs w:val="20"/>
                <w:lang w:val="fr-CA"/>
              </w:rPr>
              <w:t>)</w:t>
            </w:r>
          </w:p>
          <w:p w:rsidR="00344637" w:rsidRPr="00A935AA" w:rsidRDefault="00344637" w:rsidP="00344637">
            <w:pPr>
              <w:keepNext/>
              <w:keepLines/>
              <w:tabs>
                <w:tab w:val="left" w:pos="-1440"/>
                <w:tab w:val="left" w:pos="-720"/>
              </w:tabs>
              <w:rPr>
                <w:sz w:val="20"/>
                <w:szCs w:val="20"/>
                <w:lang w:val="fr-CA"/>
              </w:rPr>
            </w:pPr>
          </w:p>
          <w:p w:rsidR="00344637" w:rsidRPr="00A935AA" w:rsidRDefault="00344637" w:rsidP="00344637">
            <w:pPr>
              <w:keepNext/>
              <w:keepLines/>
              <w:tabs>
                <w:tab w:val="left" w:pos="-1440"/>
                <w:tab w:val="left" w:pos="-720"/>
              </w:tabs>
              <w:rPr>
                <w:b/>
                <w:sz w:val="20"/>
                <w:szCs w:val="20"/>
                <w:lang w:val="fr-CA"/>
              </w:rPr>
            </w:pPr>
            <w:r>
              <w:rPr>
                <w:b/>
                <w:sz w:val="20"/>
                <w:szCs w:val="20"/>
                <w:lang w:val="fr-CA"/>
              </w:rPr>
              <w:t xml:space="preserve">Syndicat du transport de Montréal (employés des services d’entretien) CSN </w:t>
            </w:r>
            <w:r w:rsidRPr="00A935AA">
              <w:rPr>
                <w:b/>
                <w:sz w:val="20"/>
                <w:szCs w:val="20"/>
                <w:lang w:val="fr-CA"/>
              </w:rPr>
              <w:t>(</w:t>
            </w:r>
            <w:r>
              <w:rPr>
                <w:b/>
                <w:sz w:val="20"/>
                <w:szCs w:val="20"/>
                <w:lang w:val="fr-CA"/>
              </w:rPr>
              <w:t>Qc</w:t>
            </w:r>
            <w:r w:rsidRPr="00A935AA">
              <w:rPr>
                <w:b/>
                <w:sz w:val="20"/>
                <w:szCs w:val="20"/>
                <w:lang w:val="fr-CA"/>
              </w:rPr>
              <w:t>)</w:t>
            </w:r>
          </w:p>
          <w:p w:rsidR="00344637" w:rsidRPr="00A935AA" w:rsidRDefault="00344637" w:rsidP="00344637">
            <w:pPr>
              <w:keepNext/>
              <w:keepLines/>
              <w:tabs>
                <w:tab w:val="left" w:pos="-1440"/>
                <w:tab w:val="left" w:pos="-720"/>
              </w:tabs>
              <w:rPr>
                <w:sz w:val="20"/>
                <w:szCs w:val="20"/>
                <w:lang w:val="fr-CA"/>
              </w:rPr>
            </w:pPr>
            <w:r w:rsidRPr="00A935AA">
              <w:rPr>
                <w:sz w:val="20"/>
                <w:szCs w:val="20"/>
                <w:lang w:val="fr-CA"/>
              </w:rPr>
              <w:tab/>
            </w:r>
            <w:r>
              <w:rPr>
                <w:sz w:val="20"/>
                <w:szCs w:val="20"/>
                <w:lang w:val="fr-CA"/>
              </w:rPr>
              <w:t>Marilyne Duquette</w:t>
            </w:r>
          </w:p>
          <w:p w:rsidR="00344637" w:rsidRPr="00A935AA" w:rsidRDefault="00344637" w:rsidP="00344637">
            <w:pPr>
              <w:keepNext/>
              <w:keepLines/>
              <w:tabs>
                <w:tab w:val="left" w:pos="-1440"/>
                <w:tab w:val="left" w:pos="-720"/>
              </w:tabs>
              <w:rPr>
                <w:sz w:val="20"/>
                <w:szCs w:val="20"/>
                <w:lang w:val="fr-CA"/>
              </w:rPr>
            </w:pPr>
            <w:r w:rsidRPr="00A935AA">
              <w:rPr>
                <w:sz w:val="20"/>
                <w:szCs w:val="20"/>
                <w:lang w:val="fr-CA"/>
              </w:rPr>
              <w:tab/>
            </w:r>
            <w:r>
              <w:rPr>
                <w:sz w:val="20"/>
                <w:szCs w:val="20"/>
                <w:lang w:val="fr-CA"/>
              </w:rPr>
              <w:t>Laroche Martin</w:t>
            </w:r>
          </w:p>
          <w:p w:rsidR="00344637" w:rsidRPr="00A935AA" w:rsidRDefault="00344637" w:rsidP="00344637">
            <w:pPr>
              <w:keepNext/>
              <w:keepLines/>
              <w:tabs>
                <w:tab w:val="left" w:pos="-1440"/>
                <w:tab w:val="left" w:pos="-720"/>
              </w:tabs>
              <w:rPr>
                <w:sz w:val="20"/>
                <w:szCs w:val="20"/>
                <w:lang w:val="fr-CA"/>
              </w:rPr>
            </w:pPr>
          </w:p>
          <w:p w:rsidR="00344637" w:rsidRDefault="00344637" w:rsidP="00344637">
            <w:pPr>
              <w:rPr>
                <w:sz w:val="20"/>
                <w:szCs w:val="20"/>
                <w:lang w:val="fr-CA"/>
              </w:rPr>
            </w:pPr>
            <w:r w:rsidRPr="00CC2796">
              <w:rPr>
                <w:sz w:val="20"/>
                <w:szCs w:val="20"/>
                <w:lang w:val="fr-CA"/>
              </w:rPr>
              <w:t>DATE</w:t>
            </w:r>
            <w:r>
              <w:rPr>
                <w:sz w:val="20"/>
                <w:szCs w:val="20"/>
                <w:lang w:val="fr-CA"/>
              </w:rPr>
              <w:t xml:space="preserve"> DE PRODUCTION </w:t>
            </w:r>
            <w:r w:rsidRPr="00CC2796">
              <w:rPr>
                <w:sz w:val="20"/>
                <w:szCs w:val="20"/>
                <w:lang w:val="fr-CA"/>
              </w:rPr>
              <w:t xml:space="preserve">: </w:t>
            </w:r>
            <w:r>
              <w:rPr>
                <w:sz w:val="20"/>
                <w:szCs w:val="20"/>
                <w:lang w:val="fr-CA"/>
              </w:rPr>
              <w:t>1</w:t>
            </w:r>
            <w:r w:rsidRPr="00CC2796">
              <w:rPr>
                <w:sz w:val="20"/>
                <w:szCs w:val="20"/>
                <w:lang w:val="fr-CA"/>
              </w:rPr>
              <w:t>2.07.2013</w:t>
            </w:r>
          </w:p>
          <w:p w:rsidR="00344637" w:rsidRPr="00344637" w:rsidRDefault="005F2BA7" w:rsidP="00344637">
            <w:pPr>
              <w:rPr>
                <w:sz w:val="20"/>
                <w:szCs w:val="20"/>
                <w:lang w:val="fr-CA"/>
              </w:rPr>
            </w:pPr>
            <w:r w:rsidRPr="005F2BA7">
              <w:rPr>
                <w:sz w:val="20"/>
                <w:szCs w:val="20"/>
                <w:lang w:val="fr-CA"/>
              </w:rPr>
              <w:pict>
                <v:rect id="_x0000_i1030" style="width:108pt;height:1pt" o:hrpct="0" o:hralign="center" o:hrstd="t" o:hrnoshade="t" o:hr="t" fillcolor="black [3213]" stroked="f"/>
              </w:pict>
            </w:r>
          </w:p>
        </w:tc>
        <w:tc>
          <w:tcPr>
            <w:tcW w:w="1181" w:type="dxa"/>
            <w:shd w:val="clear" w:color="auto" w:fill="auto"/>
          </w:tcPr>
          <w:p w:rsidR="00344637" w:rsidRPr="00344637" w:rsidRDefault="00344637" w:rsidP="00242AEE">
            <w:pPr>
              <w:jc w:val="center"/>
              <w:rPr>
                <w:sz w:val="20"/>
                <w:szCs w:val="20"/>
                <w:lang w:val="fr-CA"/>
              </w:rPr>
            </w:pPr>
          </w:p>
          <w:p w:rsidR="00344637" w:rsidRPr="00344637" w:rsidRDefault="00344637" w:rsidP="00242AEE">
            <w:pPr>
              <w:jc w:val="center"/>
              <w:rPr>
                <w:sz w:val="20"/>
                <w:szCs w:val="20"/>
                <w:lang w:val="fr-CA"/>
              </w:rPr>
            </w:pPr>
          </w:p>
          <w:p w:rsidR="00344637" w:rsidRPr="00344637" w:rsidRDefault="00344637" w:rsidP="00242AEE">
            <w:pPr>
              <w:jc w:val="center"/>
              <w:rPr>
                <w:sz w:val="20"/>
                <w:szCs w:val="20"/>
                <w:lang w:val="fr-CA"/>
              </w:rPr>
            </w:pPr>
          </w:p>
          <w:p w:rsidR="00344637" w:rsidRPr="00344637" w:rsidRDefault="00344637" w:rsidP="00242AEE">
            <w:pPr>
              <w:jc w:val="center"/>
              <w:rPr>
                <w:sz w:val="20"/>
                <w:szCs w:val="20"/>
                <w:lang w:val="fr-CA"/>
              </w:rPr>
            </w:pPr>
          </w:p>
          <w:p w:rsidR="00344637" w:rsidRPr="00344637" w:rsidRDefault="00344637" w:rsidP="00242AEE">
            <w:pPr>
              <w:jc w:val="center"/>
              <w:rPr>
                <w:sz w:val="20"/>
                <w:szCs w:val="20"/>
                <w:lang w:val="fr-CA"/>
              </w:rPr>
            </w:pPr>
          </w:p>
          <w:p w:rsidR="00344637" w:rsidRPr="00344637" w:rsidRDefault="00344637" w:rsidP="00242AEE">
            <w:pPr>
              <w:jc w:val="center"/>
              <w:rPr>
                <w:sz w:val="20"/>
                <w:szCs w:val="20"/>
                <w:lang w:val="fr-CA"/>
              </w:rPr>
            </w:pPr>
          </w:p>
          <w:p w:rsidR="00344637" w:rsidRPr="00344637" w:rsidRDefault="00344637" w:rsidP="00242AEE">
            <w:pPr>
              <w:jc w:val="center"/>
              <w:rPr>
                <w:sz w:val="20"/>
                <w:szCs w:val="20"/>
                <w:lang w:val="fr-CA"/>
              </w:rPr>
            </w:pPr>
          </w:p>
          <w:p w:rsidR="00344637" w:rsidRPr="00344637" w:rsidRDefault="00344637" w:rsidP="00242AEE">
            <w:pPr>
              <w:jc w:val="center"/>
              <w:rPr>
                <w:sz w:val="20"/>
                <w:szCs w:val="20"/>
                <w:lang w:val="fr-CA"/>
              </w:rPr>
            </w:pPr>
          </w:p>
          <w:p w:rsidR="00344637" w:rsidRPr="00344637" w:rsidRDefault="00344637" w:rsidP="00242AEE">
            <w:pPr>
              <w:jc w:val="center"/>
              <w:rPr>
                <w:sz w:val="20"/>
                <w:szCs w:val="20"/>
                <w:lang w:val="fr-CA"/>
              </w:rPr>
            </w:pPr>
          </w:p>
          <w:p w:rsidR="00344637" w:rsidRPr="00344637" w:rsidRDefault="00344637" w:rsidP="00242AEE">
            <w:pPr>
              <w:jc w:val="center"/>
              <w:rPr>
                <w:sz w:val="20"/>
                <w:szCs w:val="20"/>
                <w:lang w:val="fr-CA"/>
              </w:rPr>
            </w:pPr>
          </w:p>
          <w:p w:rsidR="00344637" w:rsidRPr="00344637" w:rsidRDefault="00344637" w:rsidP="00242AEE">
            <w:pPr>
              <w:jc w:val="center"/>
              <w:rPr>
                <w:sz w:val="20"/>
                <w:szCs w:val="20"/>
                <w:lang w:val="fr-CA"/>
              </w:rPr>
            </w:pPr>
          </w:p>
          <w:p w:rsidR="00344637" w:rsidRDefault="00344637" w:rsidP="00242AEE">
            <w:pPr>
              <w:jc w:val="center"/>
              <w:rPr>
                <w:sz w:val="20"/>
                <w:szCs w:val="20"/>
                <w:lang w:val="fr-CA"/>
              </w:rPr>
            </w:pPr>
          </w:p>
          <w:p w:rsidR="00344637" w:rsidRPr="00344637" w:rsidRDefault="00344637" w:rsidP="00242AEE">
            <w:pPr>
              <w:jc w:val="center"/>
              <w:rPr>
                <w:sz w:val="20"/>
                <w:szCs w:val="20"/>
                <w:lang w:val="fr-CA"/>
              </w:rPr>
            </w:pPr>
          </w:p>
          <w:p w:rsidR="00344637" w:rsidRPr="00344637" w:rsidRDefault="00344637" w:rsidP="00242AEE">
            <w:pPr>
              <w:jc w:val="center"/>
              <w:rPr>
                <w:sz w:val="20"/>
                <w:szCs w:val="20"/>
                <w:lang w:val="fr-CA"/>
              </w:rPr>
            </w:pPr>
          </w:p>
        </w:tc>
        <w:tc>
          <w:tcPr>
            <w:tcW w:w="4320" w:type="dxa"/>
            <w:shd w:val="clear" w:color="auto" w:fill="auto"/>
          </w:tcPr>
          <w:p w:rsidR="00344637" w:rsidRPr="00A935AA" w:rsidRDefault="00344637" w:rsidP="00344637">
            <w:pPr>
              <w:rPr>
                <w:sz w:val="20"/>
                <w:szCs w:val="20"/>
              </w:rPr>
            </w:pPr>
            <w:r w:rsidRPr="00A935AA">
              <w:rPr>
                <w:sz w:val="20"/>
                <w:szCs w:val="20"/>
              </w:rPr>
              <w:t xml:space="preserve">FILING DATE: </w:t>
            </w:r>
            <w:r>
              <w:rPr>
                <w:sz w:val="20"/>
                <w:szCs w:val="20"/>
              </w:rPr>
              <w:t>0</w:t>
            </w:r>
            <w:r w:rsidRPr="00A935AA">
              <w:rPr>
                <w:sz w:val="20"/>
                <w:szCs w:val="20"/>
              </w:rPr>
              <w:t>2.0</w:t>
            </w:r>
            <w:r>
              <w:rPr>
                <w:sz w:val="20"/>
                <w:szCs w:val="20"/>
              </w:rPr>
              <w:t>7</w:t>
            </w:r>
            <w:r w:rsidRPr="00A935AA">
              <w:rPr>
                <w:sz w:val="20"/>
                <w:szCs w:val="20"/>
              </w:rPr>
              <w:t>.201</w:t>
            </w:r>
            <w:r>
              <w:rPr>
                <w:sz w:val="20"/>
                <w:szCs w:val="20"/>
              </w:rPr>
              <w:t>3</w:t>
            </w:r>
          </w:p>
          <w:p w:rsidR="00344637" w:rsidRDefault="005F2BA7" w:rsidP="00344637">
            <w:pPr>
              <w:keepNext/>
              <w:keepLines/>
              <w:tabs>
                <w:tab w:val="left" w:pos="-1440"/>
                <w:tab w:val="left" w:pos="-720"/>
              </w:tabs>
              <w:rPr>
                <w:sz w:val="20"/>
                <w:szCs w:val="20"/>
              </w:rPr>
            </w:pPr>
            <w:r w:rsidRPr="005F2BA7">
              <w:rPr>
                <w:sz w:val="20"/>
                <w:szCs w:val="20"/>
                <w:lang w:val="fr-CA"/>
              </w:rPr>
              <w:pict>
                <v:rect id="_x0000_i1031" style="width:108pt;height:1pt" o:hrpct="0" o:hralign="center" o:hrstd="t" o:hrnoshade="t" o:hr="t" fillcolor="black [3213]" stroked="f"/>
              </w:pict>
            </w:r>
          </w:p>
          <w:p w:rsidR="00344637" w:rsidRDefault="00344637" w:rsidP="00344637">
            <w:pPr>
              <w:keepNext/>
              <w:keepLines/>
              <w:tabs>
                <w:tab w:val="left" w:pos="-1440"/>
                <w:tab w:val="left" w:pos="-720"/>
              </w:tabs>
              <w:rPr>
                <w:sz w:val="20"/>
                <w:szCs w:val="20"/>
              </w:rPr>
            </w:pPr>
          </w:p>
          <w:p w:rsidR="00344637" w:rsidRPr="00A935AA" w:rsidRDefault="00344637" w:rsidP="00344637">
            <w:pPr>
              <w:keepNext/>
              <w:keepLines/>
              <w:tabs>
                <w:tab w:val="left" w:pos="-1440"/>
                <w:tab w:val="left" w:pos="-720"/>
              </w:tabs>
              <w:rPr>
                <w:b/>
                <w:sz w:val="20"/>
                <w:szCs w:val="20"/>
              </w:rPr>
            </w:pPr>
            <w:r>
              <w:rPr>
                <w:b/>
                <w:sz w:val="20"/>
                <w:szCs w:val="20"/>
              </w:rPr>
              <w:t>Hailemikael Fedade Kassa</w:t>
            </w:r>
          </w:p>
          <w:p w:rsidR="00344637" w:rsidRPr="00A935AA" w:rsidRDefault="00344637" w:rsidP="00344637">
            <w:pPr>
              <w:keepNext/>
              <w:keepLines/>
              <w:tabs>
                <w:tab w:val="left" w:pos="-1440"/>
                <w:tab w:val="left" w:pos="-720"/>
              </w:tabs>
              <w:rPr>
                <w:sz w:val="20"/>
                <w:szCs w:val="20"/>
              </w:rPr>
            </w:pPr>
            <w:r w:rsidRPr="00A935AA">
              <w:rPr>
                <w:sz w:val="20"/>
                <w:szCs w:val="20"/>
              </w:rPr>
              <w:tab/>
            </w:r>
            <w:r>
              <w:rPr>
                <w:sz w:val="20"/>
                <w:szCs w:val="20"/>
              </w:rPr>
              <w:t>Catriona Verner</w:t>
            </w:r>
          </w:p>
          <w:p w:rsidR="00344637" w:rsidRPr="00A935AA" w:rsidRDefault="00344637" w:rsidP="00344637">
            <w:pPr>
              <w:keepNext/>
              <w:keepLines/>
              <w:tabs>
                <w:tab w:val="left" w:pos="-1440"/>
                <w:tab w:val="left" w:pos="-720"/>
              </w:tabs>
              <w:rPr>
                <w:sz w:val="20"/>
                <w:szCs w:val="20"/>
              </w:rPr>
            </w:pPr>
            <w:r w:rsidRPr="00A935AA">
              <w:rPr>
                <w:sz w:val="20"/>
                <w:szCs w:val="20"/>
              </w:rPr>
              <w:tab/>
            </w:r>
            <w:r>
              <w:rPr>
                <w:sz w:val="20"/>
                <w:szCs w:val="20"/>
              </w:rPr>
              <w:t>Hicks Adams LLP</w:t>
            </w:r>
          </w:p>
          <w:p w:rsidR="00344637" w:rsidRPr="00A935AA" w:rsidRDefault="00344637" w:rsidP="00344637">
            <w:pPr>
              <w:keepNext/>
              <w:keepLines/>
              <w:tabs>
                <w:tab w:val="left" w:pos="-1440"/>
                <w:tab w:val="left" w:pos="-720"/>
              </w:tabs>
              <w:rPr>
                <w:sz w:val="20"/>
                <w:szCs w:val="20"/>
              </w:rPr>
            </w:pPr>
          </w:p>
          <w:p w:rsidR="00344637" w:rsidRPr="006558BF" w:rsidRDefault="00344637" w:rsidP="00344637">
            <w:pPr>
              <w:keepNext/>
              <w:keepLines/>
              <w:tabs>
                <w:tab w:val="left" w:pos="-1440"/>
                <w:tab w:val="left" w:pos="-720"/>
              </w:tabs>
              <w:rPr>
                <w:sz w:val="20"/>
                <w:szCs w:val="20"/>
              </w:rPr>
            </w:pPr>
            <w:r w:rsidRPr="00A935AA">
              <w:rPr>
                <w:sz w:val="20"/>
                <w:szCs w:val="20"/>
              </w:rPr>
              <w:tab/>
            </w:r>
            <w:r w:rsidRPr="006558BF">
              <w:rPr>
                <w:sz w:val="20"/>
                <w:szCs w:val="20"/>
              </w:rPr>
              <w:t>v. (35439)</w:t>
            </w:r>
          </w:p>
          <w:p w:rsidR="00344637" w:rsidRPr="006558BF" w:rsidRDefault="00344637" w:rsidP="00344637">
            <w:pPr>
              <w:keepNext/>
              <w:keepLines/>
              <w:tabs>
                <w:tab w:val="left" w:pos="-1440"/>
                <w:tab w:val="left" w:pos="-720"/>
              </w:tabs>
              <w:rPr>
                <w:sz w:val="20"/>
                <w:szCs w:val="20"/>
              </w:rPr>
            </w:pPr>
          </w:p>
          <w:p w:rsidR="00344637" w:rsidRPr="006558BF" w:rsidRDefault="00344637" w:rsidP="00344637">
            <w:pPr>
              <w:keepNext/>
              <w:keepLines/>
              <w:tabs>
                <w:tab w:val="left" w:pos="-1440"/>
                <w:tab w:val="left" w:pos="-720"/>
              </w:tabs>
              <w:rPr>
                <w:b/>
                <w:sz w:val="20"/>
                <w:szCs w:val="20"/>
              </w:rPr>
            </w:pPr>
            <w:r w:rsidRPr="006558BF">
              <w:rPr>
                <w:b/>
                <w:sz w:val="20"/>
                <w:szCs w:val="20"/>
              </w:rPr>
              <w:t>Her Majesty the Queen (Ont.)</w:t>
            </w:r>
          </w:p>
          <w:p w:rsidR="00344637" w:rsidRPr="006558BF" w:rsidRDefault="00344637" w:rsidP="00344637">
            <w:pPr>
              <w:keepNext/>
              <w:keepLines/>
              <w:tabs>
                <w:tab w:val="left" w:pos="-1440"/>
                <w:tab w:val="left" w:pos="-720"/>
              </w:tabs>
              <w:rPr>
                <w:sz w:val="20"/>
                <w:szCs w:val="20"/>
              </w:rPr>
            </w:pPr>
            <w:r w:rsidRPr="006558BF">
              <w:rPr>
                <w:sz w:val="20"/>
                <w:szCs w:val="20"/>
              </w:rPr>
              <w:tab/>
            </w:r>
            <w:r>
              <w:rPr>
                <w:sz w:val="20"/>
                <w:szCs w:val="20"/>
              </w:rPr>
              <w:t>Alexander Alvaro</w:t>
            </w:r>
          </w:p>
          <w:p w:rsidR="00344637" w:rsidRPr="006558BF" w:rsidRDefault="00344637" w:rsidP="00344637">
            <w:pPr>
              <w:keepNext/>
              <w:keepLines/>
              <w:tabs>
                <w:tab w:val="left" w:pos="-1440"/>
                <w:tab w:val="left" w:pos="-720"/>
              </w:tabs>
              <w:rPr>
                <w:sz w:val="20"/>
                <w:szCs w:val="20"/>
              </w:rPr>
            </w:pPr>
            <w:r w:rsidRPr="006558BF">
              <w:rPr>
                <w:sz w:val="20"/>
                <w:szCs w:val="20"/>
              </w:rPr>
              <w:tab/>
            </w:r>
            <w:r>
              <w:rPr>
                <w:sz w:val="20"/>
                <w:szCs w:val="20"/>
              </w:rPr>
              <w:t>A.G. of Ontario</w:t>
            </w:r>
          </w:p>
          <w:p w:rsidR="00344637" w:rsidRPr="006558BF" w:rsidRDefault="00344637" w:rsidP="00344637">
            <w:pPr>
              <w:keepNext/>
              <w:keepLines/>
              <w:tabs>
                <w:tab w:val="left" w:pos="-1440"/>
                <w:tab w:val="left" w:pos="-720"/>
              </w:tabs>
              <w:rPr>
                <w:sz w:val="20"/>
                <w:szCs w:val="20"/>
              </w:rPr>
            </w:pPr>
          </w:p>
          <w:p w:rsidR="00344637" w:rsidRPr="00A935AA" w:rsidRDefault="00344637" w:rsidP="00344637">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7</w:t>
            </w:r>
            <w:r w:rsidRPr="00A935AA">
              <w:rPr>
                <w:sz w:val="20"/>
                <w:szCs w:val="20"/>
              </w:rPr>
              <w:t>.201</w:t>
            </w:r>
            <w:r>
              <w:rPr>
                <w:sz w:val="20"/>
                <w:szCs w:val="20"/>
              </w:rPr>
              <w:t>3</w:t>
            </w:r>
            <w:r w:rsidR="005F2BA7" w:rsidRPr="005F2BA7">
              <w:rPr>
                <w:sz w:val="20"/>
                <w:szCs w:val="20"/>
                <w:lang w:val="fr-CA"/>
              </w:rPr>
              <w:pict>
                <v:rect id="_x0000_i1032" style="width:108pt;height:1pt" o:hrpct="0" o:hralign="center" o:hrstd="t" o:hrnoshade="t" o:hr="t" fillcolor="black [3213]" stroked="f"/>
              </w:pict>
            </w:r>
          </w:p>
        </w:tc>
      </w:tr>
      <w:tr w:rsidR="00344637" w:rsidRPr="00A935AA" w:rsidTr="003B3977">
        <w:trPr>
          <w:cantSplit/>
        </w:trPr>
        <w:tc>
          <w:tcPr>
            <w:tcW w:w="4320" w:type="dxa"/>
            <w:shd w:val="clear" w:color="auto" w:fill="auto"/>
          </w:tcPr>
          <w:p w:rsidR="00344637" w:rsidRPr="00A935AA" w:rsidRDefault="00344637" w:rsidP="005A3B96">
            <w:pPr>
              <w:rPr>
                <w:b/>
                <w:sz w:val="20"/>
                <w:szCs w:val="20"/>
              </w:rPr>
            </w:pPr>
            <w:r>
              <w:rPr>
                <w:b/>
                <w:sz w:val="20"/>
                <w:szCs w:val="20"/>
              </w:rPr>
              <w:lastRenderedPageBreak/>
              <w:t>J.C.K.</w:t>
            </w:r>
          </w:p>
          <w:p w:rsidR="00344637" w:rsidRPr="00A935AA" w:rsidRDefault="00344637" w:rsidP="005A3B96">
            <w:pPr>
              <w:tabs>
                <w:tab w:val="left" w:pos="-1440"/>
                <w:tab w:val="left" w:pos="-720"/>
              </w:tabs>
              <w:rPr>
                <w:sz w:val="20"/>
                <w:szCs w:val="20"/>
              </w:rPr>
            </w:pPr>
            <w:r w:rsidRPr="00A935AA">
              <w:rPr>
                <w:sz w:val="20"/>
                <w:szCs w:val="20"/>
              </w:rPr>
              <w:tab/>
            </w:r>
            <w:r>
              <w:rPr>
                <w:sz w:val="20"/>
                <w:szCs w:val="20"/>
              </w:rPr>
              <w:t>Laura K. Stevens</w:t>
            </w:r>
          </w:p>
          <w:p w:rsidR="00344637" w:rsidRPr="00A935AA" w:rsidRDefault="00344637" w:rsidP="005A3B96">
            <w:pPr>
              <w:tabs>
                <w:tab w:val="left" w:pos="-1440"/>
                <w:tab w:val="left" w:pos="-720"/>
              </w:tabs>
              <w:rPr>
                <w:sz w:val="20"/>
                <w:szCs w:val="20"/>
              </w:rPr>
            </w:pPr>
            <w:r w:rsidRPr="00A935AA">
              <w:rPr>
                <w:sz w:val="20"/>
                <w:szCs w:val="20"/>
              </w:rPr>
              <w:tab/>
            </w:r>
            <w:r>
              <w:rPr>
                <w:sz w:val="20"/>
                <w:szCs w:val="20"/>
              </w:rPr>
              <w:t>Dawson Stevens Duckett &amp; Shaigec</w:t>
            </w:r>
          </w:p>
          <w:p w:rsidR="00344637" w:rsidRPr="00A935AA" w:rsidRDefault="00344637" w:rsidP="005A3B96">
            <w:pPr>
              <w:tabs>
                <w:tab w:val="left" w:pos="-1440"/>
                <w:tab w:val="left" w:pos="-720"/>
              </w:tabs>
              <w:rPr>
                <w:sz w:val="20"/>
                <w:szCs w:val="20"/>
              </w:rPr>
            </w:pPr>
          </w:p>
          <w:p w:rsidR="00344637" w:rsidRPr="00A935AA" w:rsidRDefault="00344637" w:rsidP="005A3B96">
            <w:pPr>
              <w:tabs>
                <w:tab w:val="left" w:pos="-1440"/>
                <w:tab w:val="left" w:pos="-720"/>
              </w:tabs>
              <w:rPr>
                <w:sz w:val="20"/>
                <w:szCs w:val="20"/>
              </w:rPr>
            </w:pPr>
            <w:r w:rsidRPr="00A935AA">
              <w:rPr>
                <w:sz w:val="20"/>
                <w:szCs w:val="20"/>
              </w:rPr>
              <w:tab/>
              <w:t>v. (3</w:t>
            </w:r>
            <w:r>
              <w:rPr>
                <w:sz w:val="20"/>
                <w:szCs w:val="20"/>
              </w:rPr>
              <w:t>5440</w:t>
            </w:r>
            <w:r w:rsidRPr="00A935AA">
              <w:rPr>
                <w:sz w:val="20"/>
                <w:szCs w:val="20"/>
              </w:rPr>
              <w:t>)</w:t>
            </w:r>
          </w:p>
          <w:p w:rsidR="00344637" w:rsidRPr="00A935AA" w:rsidRDefault="00344637" w:rsidP="005A3B96">
            <w:pPr>
              <w:tabs>
                <w:tab w:val="left" w:pos="-1440"/>
                <w:tab w:val="left" w:pos="-720"/>
              </w:tabs>
              <w:rPr>
                <w:sz w:val="20"/>
                <w:szCs w:val="20"/>
              </w:rPr>
            </w:pPr>
          </w:p>
          <w:p w:rsidR="00344637" w:rsidRPr="00A935AA" w:rsidRDefault="00344637" w:rsidP="005A3B96">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344637" w:rsidRPr="00A935AA" w:rsidRDefault="00344637" w:rsidP="005A3B96">
            <w:pPr>
              <w:tabs>
                <w:tab w:val="left" w:pos="-1440"/>
                <w:tab w:val="left" w:pos="-720"/>
              </w:tabs>
              <w:rPr>
                <w:sz w:val="20"/>
                <w:szCs w:val="20"/>
              </w:rPr>
            </w:pPr>
            <w:r w:rsidRPr="00A935AA">
              <w:rPr>
                <w:sz w:val="20"/>
                <w:szCs w:val="20"/>
              </w:rPr>
              <w:tab/>
            </w:r>
            <w:r>
              <w:rPr>
                <w:sz w:val="20"/>
                <w:szCs w:val="20"/>
              </w:rPr>
              <w:t>Troy Couillard</w:t>
            </w:r>
          </w:p>
          <w:p w:rsidR="00344637" w:rsidRPr="00A935AA" w:rsidRDefault="00344637" w:rsidP="005A3B96">
            <w:pPr>
              <w:tabs>
                <w:tab w:val="left" w:pos="-1440"/>
                <w:tab w:val="left" w:pos="-720"/>
              </w:tabs>
              <w:rPr>
                <w:sz w:val="20"/>
                <w:szCs w:val="20"/>
              </w:rPr>
            </w:pPr>
            <w:r w:rsidRPr="00A935AA">
              <w:rPr>
                <w:sz w:val="20"/>
                <w:szCs w:val="20"/>
              </w:rPr>
              <w:tab/>
            </w:r>
            <w:r>
              <w:rPr>
                <w:sz w:val="20"/>
                <w:szCs w:val="20"/>
              </w:rPr>
              <w:t>A.G. of Alberta</w:t>
            </w:r>
          </w:p>
          <w:p w:rsidR="00344637" w:rsidRPr="00A935AA" w:rsidRDefault="00344637" w:rsidP="005A3B96">
            <w:pPr>
              <w:tabs>
                <w:tab w:val="left" w:pos="-1440"/>
                <w:tab w:val="left" w:pos="-720"/>
              </w:tabs>
              <w:rPr>
                <w:sz w:val="20"/>
                <w:szCs w:val="20"/>
              </w:rPr>
            </w:pPr>
          </w:p>
          <w:p w:rsidR="00344637" w:rsidRPr="00A935AA" w:rsidRDefault="00344637" w:rsidP="005A3B96">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7</w:t>
            </w:r>
            <w:r w:rsidRPr="00A935AA">
              <w:rPr>
                <w:sz w:val="20"/>
                <w:szCs w:val="20"/>
              </w:rPr>
              <w:t>.201</w:t>
            </w:r>
            <w:r>
              <w:rPr>
                <w:sz w:val="20"/>
                <w:szCs w:val="20"/>
              </w:rPr>
              <w:t>3</w:t>
            </w:r>
          </w:p>
          <w:p w:rsidR="00344637" w:rsidRPr="00A935AA" w:rsidRDefault="005F2BA7" w:rsidP="005A3B96">
            <w:pPr>
              <w:rPr>
                <w:sz w:val="20"/>
                <w:szCs w:val="20"/>
              </w:rPr>
            </w:pPr>
            <w:r w:rsidRPr="005F2BA7">
              <w:rPr>
                <w:sz w:val="20"/>
                <w:szCs w:val="20"/>
                <w:lang w:val="fr-CA"/>
              </w:rPr>
              <w:pict>
                <v:rect id="_x0000_i1033" style="width:108pt;height:1pt" o:hrpct="0" o:hralign="center" o:hrstd="t" o:hrnoshade="t" o:hr="t" fillcolor="black [3213]" stroked="f"/>
              </w:pict>
            </w:r>
          </w:p>
        </w:tc>
        <w:tc>
          <w:tcPr>
            <w:tcW w:w="1181" w:type="dxa"/>
            <w:shd w:val="clear" w:color="auto" w:fill="auto"/>
          </w:tcPr>
          <w:p w:rsidR="00344637" w:rsidRPr="00A935AA" w:rsidRDefault="00344637" w:rsidP="00242AEE">
            <w:pPr>
              <w:jc w:val="center"/>
              <w:rPr>
                <w:sz w:val="20"/>
                <w:szCs w:val="20"/>
              </w:rPr>
            </w:pPr>
          </w:p>
          <w:p w:rsidR="00344637" w:rsidRPr="00A935AA" w:rsidRDefault="00344637" w:rsidP="00242AEE">
            <w:pPr>
              <w:jc w:val="center"/>
              <w:rPr>
                <w:sz w:val="20"/>
                <w:szCs w:val="20"/>
              </w:rPr>
            </w:pPr>
          </w:p>
          <w:p w:rsidR="00344637" w:rsidRPr="00A935AA" w:rsidRDefault="00344637" w:rsidP="00242AEE">
            <w:pPr>
              <w:jc w:val="center"/>
              <w:rPr>
                <w:sz w:val="20"/>
                <w:szCs w:val="20"/>
              </w:rPr>
            </w:pPr>
          </w:p>
          <w:p w:rsidR="00344637" w:rsidRPr="00A935AA" w:rsidRDefault="00344637" w:rsidP="00242AEE">
            <w:pPr>
              <w:jc w:val="center"/>
              <w:rPr>
                <w:sz w:val="20"/>
                <w:szCs w:val="20"/>
              </w:rPr>
            </w:pPr>
          </w:p>
          <w:p w:rsidR="00344637" w:rsidRPr="00A935AA" w:rsidRDefault="00344637" w:rsidP="00242AEE">
            <w:pPr>
              <w:jc w:val="center"/>
              <w:rPr>
                <w:sz w:val="20"/>
                <w:szCs w:val="20"/>
              </w:rPr>
            </w:pPr>
          </w:p>
          <w:p w:rsidR="00344637" w:rsidRPr="00A935AA" w:rsidRDefault="00344637" w:rsidP="00242AEE">
            <w:pPr>
              <w:jc w:val="center"/>
              <w:rPr>
                <w:sz w:val="20"/>
                <w:szCs w:val="20"/>
              </w:rPr>
            </w:pPr>
          </w:p>
          <w:p w:rsidR="00344637" w:rsidRPr="00A935AA" w:rsidRDefault="00344637" w:rsidP="00242AEE">
            <w:pPr>
              <w:jc w:val="center"/>
              <w:rPr>
                <w:sz w:val="20"/>
                <w:szCs w:val="20"/>
              </w:rPr>
            </w:pPr>
          </w:p>
          <w:p w:rsidR="00344637" w:rsidRPr="00A935AA" w:rsidRDefault="00344637" w:rsidP="00242AEE">
            <w:pPr>
              <w:jc w:val="center"/>
              <w:rPr>
                <w:sz w:val="20"/>
                <w:szCs w:val="20"/>
              </w:rPr>
            </w:pPr>
          </w:p>
          <w:p w:rsidR="00344637" w:rsidRPr="00A935AA" w:rsidRDefault="00344637" w:rsidP="00242AEE">
            <w:pPr>
              <w:jc w:val="center"/>
              <w:rPr>
                <w:sz w:val="20"/>
                <w:szCs w:val="20"/>
              </w:rPr>
            </w:pPr>
          </w:p>
          <w:p w:rsidR="00344637" w:rsidRPr="00A935AA" w:rsidRDefault="00344637" w:rsidP="00242AEE">
            <w:pPr>
              <w:jc w:val="center"/>
              <w:rPr>
                <w:sz w:val="20"/>
                <w:szCs w:val="20"/>
              </w:rPr>
            </w:pPr>
          </w:p>
          <w:p w:rsidR="00344637" w:rsidRPr="00A935AA" w:rsidRDefault="00344637" w:rsidP="00242AEE">
            <w:pPr>
              <w:jc w:val="center"/>
              <w:rPr>
                <w:sz w:val="20"/>
                <w:szCs w:val="20"/>
              </w:rPr>
            </w:pPr>
          </w:p>
          <w:p w:rsidR="00344637" w:rsidRDefault="00344637" w:rsidP="00242AEE">
            <w:pPr>
              <w:jc w:val="center"/>
              <w:rPr>
                <w:sz w:val="20"/>
                <w:szCs w:val="20"/>
              </w:rPr>
            </w:pPr>
          </w:p>
          <w:p w:rsidR="00344637" w:rsidRPr="00A935AA" w:rsidRDefault="00344637" w:rsidP="00242AEE">
            <w:pPr>
              <w:jc w:val="center"/>
              <w:rPr>
                <w:sz w:val="20"/>
                <w:szCs w:val="20"/>
              </w:rPr>
            </w:pPr>
          </w:p>
        </w:tc>
        <w:tc>
          <w:tcPr>
            <w:tcW w:w="4320" w:type="dxa"/>
            <w:shd w:val="clear" w:color="auto" w:fill="auto"/>
          </w:tcPr>
          <w:p w:rsidR="00344637" w:rsidRPr="00CC2796" w:rsidRDefault="00344637" w:rsidP="00344637">
            <w:pPr>
              <w:keepNext/>
              <w:keepLines/>
              <w:tabs>
                <w:tab w:val="left" w:pos="-1440"/>
                <w:tab w:val="left" w:pos="-720"/>
              </w:tabs>
              <w:rPr>
                <w:b/>
                <w:sz w:val="20"/>
                <w:szCs w:val="20"/>
              </w:rPr>
            </w:pPr>
            <w:r>
              <w:rPr>
                <w:b/>
                <w:sz w:val="20"/>
                <w:szCs w:val="20"/>
              </w:rPr>
              <w:t>Whoody Aristilde</w:t>
            </w:r>
          </w:p>
          <w:p w:rsidR="00344637" w:rsidRPr="00A935AA" w:rsidRDefault="00344637" w:rsidP="00344637">
            <w:pPr>
              <w:tabs>
                <w:tab w:val="left" w:pos="-1440"/>
                <w:tab w:val="left" w:pos="-720"/>
              </w:tabs>
              <w:rPr>
                <w:sz w:val="20"/>
                <w:szCs w:val="20"/>
              </w:rPr>
            </w:pPr>
            <w:r w:rsidRPr="00CC2796">
              <w:rPr>
                <w:sz w:val="20"/>
                <w:szCs w:val="20"/>
              </w:rPr>
              <w:tab/>
            </w:r>
            <w:r>
              <w:rPr>
                <w:sz w:val="20"/>
                <w:szCs w:val="20"/>
              </w:rPr>
              <w:t>Katia Léontieff</w:t>
            </w:r>
          </w:p>
          <w:p w:rsidR="00344637" w:rsidRPr="00A935AA" w:rsidRDefault="00344637" w:rsidP="00344637">
            <w:pPr>
              <w:tabs>
                <w:tab w:val="left" w:pos="-1440"/>
                <w:tab w:val="left" w:pos="-720"/>
              </w:tabs>
              <w:rPr>
                <w:sz w:val="20"/>
                <w:szCs w:val="20"/>
              </w:rPr>
            </w:pPr>
            <w:r w:rsidRPr="00A935AA">
              <w:rPr>
                <w:sz w:val="20"/>
                <w:szCs w:val="20"/>
              </w:rPr>
              <w:tab/>
            </w:r>
            <w:r>
              <w:rPr>
                <w:sz w:val="20"/>
                <w:szCs w:val="20"/>
              </w:rPr>
              <w:t>Desrosiers, Joncas, Massicotte</w:t>
            </w:r>
          </w:p>
          <w:p w:rsidR="00344637" w:rsidRPr="00A935AA" w:rsidRDefault="00344637" w:rsidP="00344637">
            <w:pPr>
              <w:tabs>
                <w:tab w:val="left" w:pos="-1440"/>
                <w:tab w:val="left" w:pos="-720"/>
              </w:tabs>
              <w:rPr>
                <w:sz w:val="20"/>
                <w:szCs w:val="20"/>
              </w:rPr>
            </w:pPr>
          </w:p>
          <w:p w:rsidR="00344637" w:rsidRPr="006558BF" w:rsidRDefault="00344637" w:rsidP="00344637">
            <w:pPr>
              <w:tabs>
                <w:tab w:val="left" w:pos="-1440"/>
                <w:tab w:val="left" w:pos="-720"/>
              </w:tabs>
              <w:rPr>
                <w:sz w:val="20"/>
                <w:szCs w:val="20"/>
                <w:lang w:val="fr-CA"/>
              </w:rPr>
            </w:pPr>
            <w:r w:rsidRPr="00A935AA">
              <w:rPr>
                <w:sz w:val="20"/>
                <w:szCs w:val="20"/>
              </w:rPr>
              <w:tab/>
            </w:r>
            <w:r w:rsidRPr="00244C4F">
              <w:rPr>
                <w:sz w:val="20"/>
                <w:szCs w:val="20"/>
                <w:lang w:val="fr-CA"/>
              </w:rPr>
              <w:t>c</w:t>
            </w:r>
            <w:r w:rsidRPr="006558BF">
              <w:rPr>
                <w:sz w:val="20"/>
                <w:szCs w:val="20"/>
                <w:lang w:val="fr-CA"/>
              </w:rPr>
              <w:t>. (35442)</w:t>
            </w:r>
          </w:p>
          <w:p w:rsidR="00344637" w:rsidRPr="006558BF" w:rsidRDefault="00344637" w:rsidP="00344637">
            <w:pPr>
              <w:tabs>
                <w:tab w:val="left" w:pos="-1440"/>
                <w:tab w:val="left" w:pos="-720"/>
              </w:tabs>
              <w:rPr>
                <w:sz w:val="20"/>
                <w:szCs w:val="20"/>
                <w:lang w:val="fr-CA"/>
              </w:rPr>
            </w:pPr>
          </w:p>
          <w:p w:rsidR="00344637" w:rsidRPr="006558BF" w:rsidRDefault="00344637" w:rsidP="00344637">
            <w:pPr>
              <w:tabs>
                <w:tab w:val="left" w:pos="-1440"/>
                <w:tab w:val="left" w:pos="-720"/>
              </w:tabs>
              <w:rPr>
                <w:b/>
                <w:sz w:val="20"/>
                <w:szCs w:val="20"/>
                <w:lang w:val="fr-CA"/>
              </w:rPr>
            </w:pPr>
            <w:r w:rsidRPr="006558BF">
              <w:rPr>
                <w:b/>
                <w:sz w:val="20"/>
                <w:szCs w:val="20"/>
                <w:lang w:val="fr-CA"/>
              </w:rPr>
              <w:t>Sa Majesté la Reine (Qc)</w:t>
            </w:r>
          </w:p>
          <w:p w:rsidR="00344637" w:rsidRPr="006558BF" w:rsidRDefault="00344637" w:rsidP="00344637">
            <w:pPr>
              <w:tabs>
                <w:tab w:val="left" w:pos="-1440"/>
                <w:tab w:val="left" w:pos="-720"/>
              </w:tabs>
              <w:rPr>
                <w:sz w:val="20"/>
                <w:szCs w:val="20"/>
                <w:lang w:val="fr-CA"/>
              </w:rPr>
            </w:pPr>
            <w:r w:rsidRPr="006558BF">
              <w:rPr>
                <w:sz w:val="20"/>
                <w:szCs w:val="20"/>
                <w:lang w:val="fr-CA"/>
              </w:rPr>
              <w:tab/>
            </w:r>
            <w:r>
              <w:rPr>
                <w:sz w:val="20"/>
                <w:szCs w:val="20"/>
                <w:lang w:val="fr-CA"/>
              </w:rPr>
              <w:t>Jacques Dagenais</w:t>
            </w:r>
          </w:p>
          <w:p w:rsidR="00344637" w:rsidRPr="006558BF" w:rsidRDefault="00344637" w:rsidP="00344637">
            <w:pPr>
              <w:tabs>
                <w:tab w:val="left" w:pos="-1440"/>
                <w:tab w:val="left" w:pos="-720"/>
              </w:tabs>
              <w:rPr>
                <w:sz w:val="20"/>
                <w:szCs w:val="20"/>
                <w:lang w:val="fr-CA"/>
              </w:rPr>
            </w:pPr>
            <w:r w:rsidRPr="006558BF">
              <w:rPr>
                <w:sz w:val="20"/>
                <w:szCs w:val="20"/>
                <w:lang w:val="fr-CA"/>
              </w:rPr>
              <w:tab/>
            </w:r>
            <w:r>
              <w:rPr>
                <w:sz w:val="20"/>
                <w:szCs w:val="20"/>
                <w:lang w:val="fr-CA"/>
              </w:rPr>
              <w:t xml:space="preserve">Poursuites criminelles et pénales du </w:t>
            </w:r>
            <w:r>
              <w:rPr>
                <w:sz w:val="20"/>
                <w:szCs w:val="20"/>
                <w:lang w:val="fr-CA"/>
              </w:rPr>
              <w:tab/>
              <w:t>Québec</w:t>
            </w:r>
          </w:p>
          <w:p w:rsidR="00344637" w:rsidRPr="006558BF" w:rsidRDefault="00344637" w:rsidP="00344637">
            <w:pPr>
              <w:tabs>
                <w:tab w:val="left" w:pos="-1440"/>
                <w:tab w:val="left" w:pos="-720"/>
              </w:tabs>
              <w:rPr>
                <w:sz w:val="20"/>
                <w:szCs w:val="20"/>
                <w:lang w:val="fr-CA"/>
              </w:rPr>
            </w:pPr>
          </w:p>
          <w:p w:rsidR="00344637" w:rsidRPr="00CC2796" w:rsidRDefault="00344637" w:rsidP="00344637">
            <w:pPr>
              <w:rPr>
                <w:sz w:val="20"/>
                <w:szCs w:val="20"/>
                <w:lang w:val="fr-CA"/>
              </w:rPr>
            </w:pPr>
            <w:r w:rsidRPr="00CC2796">
              <w:rPr>
                <w:sz w:val="20"/>
                <w:szCs w:val="20"/>
                <w:lang w:val="fr-CA"/>
              </w:rPr>
              <w:t>DATE</w:t>
            </w:r>
            <w:r>
              <w:rPr>
                <w:sz w:val="20"/>
                <w:szCs w:val="20"/>
                <w:lang w:val="fr-CA"/>
              </w:rPr>
              <w:t xml:space="preserve"> DE PRODUCTION </w:t>
            </w:r>
            <w:r w:rsidRPr="00CC2796">
              <w:rPr>
                <w:sz w:val="20"/>
                <w:szCs w:val="20"/>
                <w:lang w:val="fr-CA"/>
              </w:rPr>
              <w:t xml:space="preserve">: </w:t>
            </w:r>
            <w:r>
              <w:rPr>
                <w:sz w:val="20"/>
                <w:szCs w:val="20"/>
                <w:lang w:val="fr-CA"/>
              </w:rPr>
              <w:t>15</w:t>
            </w:r>
            <w:r w:rsidRPr="00CC2796">
              <w:rPr>
                <w:sz w:val="20"/>
                <w:szCs w:val="20"/>
                <w:lang w:val="fr-CA"/>
              </w:rPr>
              <w:t>.07.2013</w:t>
            </w:r>
          </w:p>
          <w:p w:rsidR="00344637" w:rsidRPr="00A935AA" w:rsidRDefault="005F2BA7" w:rsidP="00344637">
            <w:pPr>
              <w:rPr>
                <w:sz w:val="20"/>
                <w:szCs w:val="20"/>
              </w:rPr>
            </w:pPr>
            <w:r w:rsidRPr="005F2BA7">
              <w:rPr>
                <w:sz w:val="20"/>
                <w:szCs w:val="20"/>
                <w:lang w:val="fr-CA"/>
              </w:rPr>
              <w:pict>
                <v:rect id="_x0000_i1034" style="width:108pt;height:1pt" o:hrpct="0" o:hralign="center" o:hrstd="t" o:hrnoshade="t" o:hr="t" fillcolor="black [3213]" stroked="f"/>
              </w:pict>
            </w:r>
          </w:p>
        </w:tc>
      </w:tr>
      <w:tr w:rsidR="00344637" w:rsidRPr="008843DC" w:rsidTr="003B3977">
        <w:trPr>
          <w:cantSplit/>
        </w:trPr>
        <w:tc>
          <w:tcPr>
            <w:tcW w:w="4320" w:type="dxa"/>
            <w:shd w:val="clear" w:color="auto" w:fill="auto"/>
          </w:tcPr>
          <w:p w:rsidR="00344637" w:rsidRPr="00244C4F" w:rsidRDefault="00344637" w:rsidP="005A3B96">
            <w:pPr>
              <w:rPr>
                <w:b/>
                <w:sz w:val="20"/>
                <w:szCs w:val="20"/>
                <w:lang w:val="fr-CA"/>
              </w:rPr>
            </w:pPr>
            <w:r w:rsidRPr="00244C4F">
              <w:rPr>
                <w:b/>
                <w:sz w:val="20"/>
                <w:szCs w:val="20"/>
                <w:lang w:val="fr-CA"/>
              </w:rPr>
              <w:t>Jocelyn Lortie</w:t>
            </w:r>
          </w:p>
          <w:p w:rsidR="00344637" w:rsidRPr="00244C4F" w:rsidRDefault="00344637" w:rsidP="005A3B96">
            <w:pPr>
              <w:tabs>
                <w:tab w:val="left" w:pos="-1440"/>
                <w:tab w:val="left" w:pos="-720"/>
              </w:tabs>
              <w:rPr>
                <w:sz w:val="20"/>
                <w:szCs w:val="20"/>
                <w:lang w:val="fr-CA"/>
              </w:rPr>
            </w:pPr>
            <w:r w:rsidRPr="00244C4F">
              <w:rPr>
                <w:sz w:val="20"/>
                <w:szCs w:val="20"/>
                <w:lang w:val="fr-CA"/>
              </w:rPr>
              <w:tab/>
              <w:t>Réginal Victorin</w:t>
            </w:r>
          </w:p>
          <w:p w:rsidR="00344637" w:rsidRPr="00244C4F" w:rsidRDefault="00344637" w:rsidP="005A3B96">
            <w:pPr>
              <w:tabs>
                <w:tab w:val="left" w:pos="-1440"/>
                <w:tab w:val="left" w:pos="-720"/>
              </w:tabs>
              <w:rPr>
                <w:sz w:val="20"/>
                <w:szCs w:val="20"/>
                <w:lang w:val="fr-CA"/>
              </w:rPr>
            </w:pPr>
            <w:r w:rsidRPr="00244C4F">
              <w:rPr>
                <w:sz w:val="20"/>
                <w:szCs w:val="20"/>
                <w:lang w:val="fr-CA"/>
              </w:rPr>
              <w:tab/>
              <w:t xml:space="preserve">Rock, Vlemincks, Dury, Lanctôt &amp; </w:t>
            </w:r>
            <w:r w:rsidRPr="00244C4F">
              <w:rPr>
                <w:sz w:val="20"/>
                <w:szCs w:val="20"/>
                <w:lang w:val="fr-CA"/>
              </w:rPr>
              <w:tab/>
              <w:t>Associés</w:t>
            </w:r>
          </w:p>
          <w:p w:rsidR="00344637" w:rsidRPr="00244C4F" w:rsidRDefault="00344637" w:rsidP="005A3B96">
            <w:pPr>
              <w:tabs>
                <w:tab w:val="left" w:pos="-1440"/>
                <w:tab w:val="left" w:pos="-720"/>
              </w:tabs>
              <w:rPr>
                <w:sz w:val="20"/>
                <w:szCs w:val="20"/>
                <w:lang w:val="fr-CA"/>
              </w:rPr>
            </w:pPr>
          </w:p>
          <w:p w:rsidR="00344637" w:rsidRPr="00C95B0C" w:rsidRDefault="00344637" w:rsidP="005A3B96">
            <w:pPr>
              <w:tabs>
                <w:tab w:val="left" w:pos="-1440"/>
                <w:tab w:val="left" w:pos="-720"/>
              </w:tabs>
              <w:rPr>
                <w:sz w:val="20"/>
                <w:szCs w:val="20"/>
                <w:lang w:val="fr-CA"/>
              </w:rPr>
            </w:pPr>
            <w:r w:rsidRPr="00244C4F">
              <w:rPr>
                <w:sz w:val="20"/>
                <w:szCs w:val="20"/>
                <w:lang w:val="fr-CA"/>
              </w:rPr>
              <w:tab/>
            </w:r>
            <w:r>
              <w:rPr>
                <w:sz w:val="20"/>
                <w:szCs w:val="20"/>
                <w:lang w:val="fr-CA"/>
              </w:rPr>
              <w:t>c</w:t>
            </w:r>
            <w:r w:rsidRPr="00C95B0C">
              <w:rPr>
                <w:sz w:val="20"/>
                <w:szCs w:val="20"/>
                <w:lang w:val="fr-CA"/>
              </w:rPr>
              <w:t>. (35445)</w:t>
            </w:r>
          </w:p>
          <w:p w:rsidR="00344637" w:rsidRPr="00C95B0C" w:rsidRDefault="00344637" w:rsidP="005A3B96">
            <w:pPr>
              <w:tabs>
                <w:tab w:val="left" w:pos="-1440"/>
                <w:tab w:val="left" w:pos="-720"/>
              </w:tabs>
              <w:rPr>
                <w:sz w:val="20"/>
                <w:szCs w:val="20"/>
                <w:lang w:val="fr-CA"/>
              </w:rPr>
            </w:pPr>
          </w:p>
          <w:p w:rsidR="00344637" w:rsidRPr="00C95B0C" w:rsidRDefault="00344637" w:rsidP="005A3B96">
            <w:pPr>
              <w:tabs>
                <w:tab w:val="left" w:pos="-1440"/>
                <w:tab w:val="left" w:pos="-720"/>
              </w:tabs>
              <w:rPr>
                <w:b/>
                <w:sz w:val="20"/>
                <w:szCs w:val="20"/>
                <w:lang w:val="fr-CA"/>
              </w:rPr>
            </w:pPr>
            <w:r w:rsidRPr="00C95B0C">
              <w:rPr>
                <w:b/>
                <w:sz w:val="20"/>
                <w:szCs w:val="20"/>
                <w:lang w:val="fr-CA"/>
              </w:rPr>
              <w:t>Sa Majesté la Reine (Qc)</w:t>
            </w:r>
          </w:p>
          <w:p w:rsidR="00344637" w:rsidRPr="00C95B0C" w:rsidRDefault="00344637" w:rsidP="005A3B96">
            <w:pPr>
              <w:tabs>
                <w:tab w:val="left" w:pos="-1440"/>
                <w:tab w:val="left" w:pos="-720"/>
              </w:tabs>
              <w:rPr>
                <w:sz w:val="20"/>
                <w:szCs w:val="20"/>
                <w:lang w:val="fr-CA"/>
              </w:rPr>
            </w:pPr>
            <w:r w:rsidRPr="00C95B0C">
              <w:rPr>
                <w:sz w:val="20"/>
                <w:szCs w:val="20"/>
                <w:lang w:val="fr-CA"/>
              </w:rPr>
              <w:tab/>
            </w:r>
            <w:r>
              <w:rPr>
                <w:sz w:val="20"/>
                <w:szCs w:val="20"/>
                <w:lang w:val="fr-CA"/>
              </w:rPr>
              <w:t>Mario Longpré</w:t>
            </w:r>
          </w:p>
          <w:p w:rsidR="00344637" w:rsidRDefault="00344637" w:rsidP="005A3B96">
            <w:pPr>
              <w:tabs>
                <w:tab w:val="left" w:pos="-1440"/>
                <w:tab w:val="left" w:pos="-720"/>
              </w:tabs>
              <w:rPr>
                <w:sz w:val="20"/>
                <w:szCs w:val="20"/>
                <w:lang w:val="fr-CA"/>
              </w:rPr>
            </w:pPr>
            <w:r w:rsidRPr="00C95B0C">
              <w:rPr>
                <w:sz w:val="20"/>
                <w:szCs w:val="20"/>
                <w:lang w:val="fr-CA"/>
              </w:rPr>
              <w:tab/>
            </w:r>
            <w:r>
              <w:rPr>
                <w:sz w:val="20"/>
                <w:szCs w:val="20"/>
                <w:lang w:val="fr-CA"/>
              </w:rPr>
              <w:t xml:space="preserve">Directeur des poursuites criminelles et </w:t>
            </w:r>
            <w:r>
              <w:rPr>
                <w:sz w:val="20"/>
                <w:szCs w:val="20"/>
                <w:lang w:val="fr-CA"/>
              </w:rPr>
              <w:tab/>
              <w:t>pénales du Québec</w:t>
            </w:r>
          </w:p>
          <w:p w:rsidR="00344637" w:rsidRPr="00C95B0C" w:rsidRDefault="00344637" w:rsidP="005A3B96">
            <w:pPr>
              <w:tabs>
                <w:tab w:val="left" w:pos="-1440"/>
                <w:tab w:val="left" w:pos="-720"/>
              </w:tabs>
              <w:rPr>
                <w:sz w:val="20"/>
                <w:szCs w:val="20"/>
                <w:lang w:val="fr-CA"/>
              </w:rPr>
            </w:pPr>
          </w:p>
          <w:p w:rsidR="00344637" w:rsidRPr="00CC2796" w:rsidRDefault="00344637" w:rsidP="00344637">
            <w:pPr>
              <w:rPr>
                <w:sz w:val="20"/>
                <w:szCs w:val="20"/>
              </w:rPr>
            </w:pPr>
            <w:r w:rsidRPr="005275D6">
              <w:rPr>
                <w:sz w:val="20"/>
                <w:szCs w:val="20"/>
                <w:lang w:val="fr-CA"/>
              </w:rPr>
              <w:t>DATE DE PRODUCTION</w:t>
            </w:r>
            <w:r>
              <w:rPr>
                <w:sz w:val="20"/>
                <w:szCs w:val="20"/>
                <w:lang w:val="fr-CA"/>
              </w:rPr>
              <w:t xml:space="preserve"> </w:t>
            </w:r>
            <w:r w:rsidRPr="00CC2796">
              <w:rPr>
                <w:sz w:val="20"/>
                <w:szCs w:val="20"/>
              </w:rPr>
              <w:t xml:space="preserve">: </w:t>
            </w:r>
            <w:r>
              <w:rPr>
                <w:sz w:val="20"/>
                <w:szCs w:val="20"/>
              </w:rPr>
              <w:t>18</w:t>
            </w:r>
            <w:r w:rsidRPr="00CC2796">
              <w:rPr>
                <w:sz w:val="20"/>
                <w:szCs w:val="20"/>
              </w:rPr>
              <w:t>.07.2013</w:t>
            </w:r>
          </w:p>
          <w:p w:rsidR="00344637" w:rsidRPr="00E15AE0" w:rsidRDefault="005F2BA7" w:rsidP="00344637">
            <w:pPr>
              <w:rPr>
                <w:sz w:val="20"/>
                <w:szCs w:val="20"/>
                <w:lang w:val="fr-CA"/>
              </w:rPr>
            </w:pPr>
            <w:r w:rsidRPr="005F2BA7">
              <w:rPr>
                <w:sz w:val="20"/>
                <w:szCs w:val="20"/>
                <w:lang w:val="fr-CA"/>
              </w:rPr>
              <w:pict>
                <v:rect id="_x0000_i1035" style="width:108pt;height:1pt" o:hrpct="0" o:hralign="center" o:hrstd="t" o:hrnoshade="t" o:hr="t" fillcolor="black [3213]" stroked="f"/>
              </w:pict>
            </w:r>
          </w:p>
        </w:tc>
        <w:tc>
          <w:tcPr>
            <w:tcW w:w="1181" w:type="dxa"/>
            <w:shd w:val="clear" w:color="auto" w:fill="auto"/>
          </w:tcPr>
          <w:p w:rsidR="00344637" w:rsidRPr="00E15AE0" w:rsidRDefault="00344637" w:rsidP="00242AEE">
            <w:pPr>
              <w:jc w:val="center"/>
              <w:rPr>
                <w:sz w:val="20"/>
                <w:szCs w:val="20"/>
                <w:lang w:val="fr-CA"/>
              </w:rPr>
            </w:pPr>
          </w:p>
          <w:p w:rsidR="00344637" w:rsidRPr="00E15AE0" w:rsidRDefault="00344637" w:rsidP="00242AEE">
            <w:pPr>
              <w:jc w:val="center"/>
              <w:rPr>
                <w:sz w:val="20"/>
                <w:szCs w:val="20"/>
                <w:lang w:val="fr-CA"/>
              </w:rPr>
            </w:pPr>
          </w:p>
          <w:p w:rsidR="00344637" w:rsidRPr="00E15AE0" w:rsidRDefault="00344637" w:rsidP="00242AEE">
            <w:pPr>
              <w:jc w:val="center"/>
              <w:rPr>
                <w:sz w:val="20"/>
                <w:szCs w:val="20"/>
                <w:lang w:val="fr-CA"/>
              </w:rPr>
            </w:pPr>
          </w:p>
          <w:p w:rsidR="00344637" w:rsidRPr="00E15AE0" w:rsidRDefault="00344637" w:rsidP="00242AEE">
            <w:pPr>
              <w:jc w:val="center"/>
              <w:rPr>
                <w:sz w:val="20"/>
                <w:szCs w:val="20"/>
                <w:lang w:val="fr-CA"/>
              </w:rPr>
            </w:pPr>
          </w:p>
          <w:p w:rsidR="00344637" w:rsidRPr="00E15AE0" w:rsidRDefault="00344637" w:rsidP="00242AEE">
            <w:pPr>
              <w:jc w:val="center"/>
              <w:rPr>
                <w:sz w:val="20"/>
                <w:szCs w:val="20"/>
                <w:lang w:val="fr-CA"/>
              </w:rPr>
            </w:pPr>
          </w:p>
          <w:p w:rsidR="00344637" w:rsidRPr="00E15AE0" w:rsidRDefault="00344637" w:rsidP="00242AEE">
            <w:pPr>
              <w:jc w:val="center"/>
              <w:rPr>
                <w:sz w:val="20"/>
                <w:szCs w:val="20"/>
                <w:lang w:val="fr-CA"/>
              </w:rPr>
            </w:pPr>
          </w:p>
          <w:p w:rsidR="00344637" w:rsidRPr="00E15AE0" w:rsidRDefault="00344637" w:rsidP="00242AEE">
            <w:pPr>
              <w:jc w:val="center"/>
              <w:rPr>
                <w:sz w:val="20"/>
                <w:szCs w:val="20"/>
                <w:lang w:val="fr-CA"/>
              </w:rPr>
            </w:pPr>
          </w:p>
          <w:p w:rsidR="00344637" w:rsidRPr="00E15AE0" w:rsidRDefault="00344637" w:rsidP="00242AEE">
            <w:pPr>
              <w:jc w:val="center"/>
              <w:rPr>
                <w:sz w:val="20"/>
                <w:szCs w:val="20"/>
                <w:lang w:val="fr-CA"/>
              </w:rPr>
            </w:pPr>
          </w:p>
          <w:p w:rsidR="00344637" w:rsidRPr="00E15AE0" w:rsidRDefault="00344637" w:rsidP="00242AEE">
            <w:pPr>
              <w:jc w:val="center"/>
              <w:rPr>
                <w:sz w:val="20"/>
                <w:szCs w:val="20"/>
                <w:lang w:val="fr-CA"/>
              </w:rPr>
            </w:pPr>
          </w:p>
          <w:p w:rsidR="00344637" w:rsidRPr="00E15AE0" w:rsidRDefault="00344637" w:rsidP="00242AEE">
            <w:pPr>
              <w:jc w:val="center"/>
              <w:rPr>
                <w:sz w:val="20"/>
                <w:szCs w:val="20"/>
                <w:lang w:val="fr-CA"/>
              </w:rPr>
            </w:pPr>
          </w:p>
          <w:p w:rsidR="00344637" w:rsidRDefault="00344637" w:rsidP="00242AEE">
            <w:pPr>
              <w:jc w:val="center"/>
              <w:rPr>
                <w:sz w:val="20"/>
                <w:szCs w:val="20"/>
                <w:lang w:val="fr-CA"/>
              </w:rPr>
            </w:pPr>
          </w:p>
          <w:p w:rsidR="00344637" w:rsidRDefault="00344637" w:rsidP="00242AEE">
            <w:pPr>
              <w:jc w:val="center"/>
              <w:rPr>
                <w:sz w:val="20"/>
                <w:szCs w:val="20"/>
                <w:lang w:val="fr-CA"/>
              </w:rPr>
            </w:pPr>
          </w:p>
          <w:p w:rsidR="00344637" w:rsidRPr="00E15AE0" w:rsidRDefault="00344637" w:rsidP="00242AEE">
            <w:pPr>
              <w:jc w:val="center"/>
              <w:rPr>
                <w:sz w:val="20"/>
                <w:szCs w:val="20"/>
                <w:lang w:val="fr-CA"/>
              </w:rPr>
            </w:pPr>
          </w:p>
          <w:p w:rsidR="00344637" w:rsidRPr="00E15AE0" w:rsidRDefault="00344637" w:rsidP="00242AEE">
            <w:pPr>
              <w:jc w:val="center"/>
              <w:rPr>
                <w:sz w:val="20"/>
                <w:szCs w:val="20"/>
                <w:lang w:val="fr-CA"/>
              </w:rPr>
            </w:pPr>
          </w:p>
        </w:tc>
        <w:tc>
          <w:tcPr>
            <w:tcW w:w="4320" w:type="dxa"/>
            <w:shd w:val="clear" w:color="auto" w:fill="auto"/>
          </w:tcPr>
          <w:p w:rsidR="00344637" w:rsidRDefault="00344637" w:rsidP="005A3B96">
            <w:pPr>
              <w:keepNext/>
              <w:keepLines/>
              <w:tabs>
                <w:tab w:val="left" w:pos="-1440"/>
                <w:tab w:val="left" w:pos="-720"/>
              </w:tabs>
              <w:rPr>
                <w:b/>
                <w:sz w:val="20"/>
                <w:szCs w:val="20"/>
                <w:lang w:val="fr-CA"/>
              </w:rPr>
            </w:pPr>
          </w:p>
          <w:p w:rsidR="00344637" w:rsidRPr="00E15AE0" w:rsidRDefault="00344637" w:rsidP="005A3B96">
            <w:pPr>
              <w:keepNext/>
              <w:keepLines/>
              <w:tabs>
                <w:tab w:val="left" w:pos="-1440"/>
                <w:tab w:val="left" w:pos="-720"/>
              </w:tabs>
              <w:rPr>
                <w:b/>
                <w:sz w:val="20"/>
                <w:szCs w:val="20"/>
                <w:lang w:val="fr-CA"/>
              </w:rPr>
            </w:pPr>
            <w:r w:rsidRPr="00E15AE0">
              <w:rPr>
                <w:b/>
                <w:sz w:val="20"/>
                <w:szCs w:val="20"/>
                <w:lang w:val="fr-CA"/>
              </w:rPr>
              <w:t>Alain Laferrière</w:t>
            </w:r>
          </w:p>
          <w:p w:rsidR="00344637" w:rsidRPr="00E15AE0" w:rsidRDefault="00344637" w:rsidP="005A3B96">
            <w:pPr>
              <w:keepNext/>
              <w:keepLines/>
              <w:tabs>
                <w:tab w:val="left" w:pos="-1440"/>
                <w:tab w:val="left" w:pos="-720"/>
              </w:tabs>
              <w:rPr>
                <w:sz w:val="20"/>
                <w:szCs w:val="20"/>
                <w:lang w:val="fr-CA"/>
              </w:rPr>
            </w:pPr>
            <w:r w:rsidRPr="00E15AE0">
              <w:rPr>
                <w:sz w:val="20"/>
                <w:szCs w:val="20"/>
                <w:lang w:val="fr-CA"/>
              </w:rPr>
              <w:tab/>
              <w:t>Rita Magloé</w:t>
            </w:r>
          </w:p>
          <w:p w:rsidR="00344637" w:rsidRPr="00E15AE0" w:rsidRDefault="00344637" w:rsidP="005A3B96">
            <w:pPr>
              <w:keepNext/>
              <w:keepLines/>
              <w:tabs>
                <w:tab w:val="left" w:pos="-1440"/>
                <w:tab w:val="left" w:pos="-720"/>
              </w:tabs>
              <w:rPr>
                <w:sz w:val="20"/>
                <w:szCs w:val="20"/>
                <w:lang w:val="fr-CA"/>
              </w:rPr>
            </w:pPr>
          </w:p>
          <w:p w:rsidR="00344637" w:rsidRPr="008843DC" w:rsidRDefault="00344637" w:rsidP="005A3B96">
            <w:pPr>
              <w:keepNext/>
              <w:keepLines/>
              <w:tabs>
                <w:tab w:val="left" w:pos="-1440"/>
                <w:tab w:val="left" w:pos="-720"/>
              </w:tabs>
              <w:rPr>
                <w:sz w:val="20"/>
                <w:szCs w:val="20"/>
                <w:lang w:val="fr-CA"/>
              </w:rPr>
            </w:pPr>
            <w:r w:rsidRPr="00E15AE0">
              <w:rPr>
                <w:sz w:val="20"/>
                <w:szCs w:val="20"/>
                <w:lang w:val="fr-CA"/>
              </w:rPr>
              <w:tab/>
            </w:r>
            <w:r w:rsidRPr="008843DC">
              <w:rPr>
                <w:sz w:val="20"/>
                <w:szCs w:val="20"/>
                <w:lang w:val="fr-CA"/>
              </w:rPr>
              <w:t>c. (35446)</w:t>
            </w:r>
          </w:p>
          <w:p w:rsidR="00344637" w:rsidRPr="008843DC" w:rsidRDefault="00344637" w:rsidP="005A3B96">
            <w:pPr>
              <w:keepNext/>
              <w:keepLines/>
              <w:tabs>
                <w:tab w:val="left" w:pos="-1440"/>
                <w:tab w:val="left" w:pos="-720"/>
              </w:tabs>
              <w:rPr>
                <w:sz w:val="20"/>
                <w:szCs w:val="20"/>
                <w:lang w:val="fr-CA"/>
              </w:rPr>
            </w:pPr>
          </w:p>
          <w:p w:rsidR="00344637" w:rsidRPr="008843DC" w:rsidRDefault="00344637" w:rsidP="005A3B96">
            <w:pPr>
              <w:keepNext/>
              <w:keepLines/>
              <w:tabs>
                <w:tab w:val="left" w:pos="-1440"/>
                <w:tab w:val="left" w:pos="-720"/>
              </w:tabs>
              <w:rPr>
                <w:b/>
                <w:sz w:val="20"/>
                <w:szCs w:val="20"/>
                <w:lang w:val="fr-CA"/>
              </w:rPr>
            </w:pPr>
            <w:r w:rsidRPr="008843DC">
              <w:rPr>
                <w:b/>
                <w:sz w:val="20"/>
                <w:szCs w:val="20"/>
                <w:lang w:val="fr-CA"/>
              </w:rPr>
              <w:t>Sa Majesté la Reine (Qc)</w:t>
            </w:r>
          </w:p>
          <w:p w:rsidR="00344637" w:rsidRPr="008843DC" w:rsidRDefault="00344637" w:rsidP="005A3B96">
            <w:pPr>
              <w:keepNext/>
              <w:keepLines/>
              <w:tabs>
                <w:tab w:val="left" w:pos="-1440"/>
                <w:tab w:val="left" w:pos="-720"/>
              </w:tabs>
              <w:rPr>
                <w:sz w:val="20"/>
                <w:szCs w:val="20"/>
                <w:lang w:val="fr-CA"/>
              </w:rPr>
            </w:pPr>
            <w:r w:rsidRPr="008843DC">
              <w:rPr>
                <w:sz w:val="20"/>
                <w:szCs w:val="20"/>
                <w:lang w:val="fr-CA"/>
              </w:rPr>
              <w:tab/>
            </w:r>
            <w:r>
              <w:rPr>
                <w:sz w:val="20"/>
                <w:szCs w:val="20"/>
                <w:lang w:val="fr-CA"/>
              </w:rPr>
              <w:t>Nathalie Leroux</w:t>
            </w:r>
          </w:p>
          <w:p w:rsidR="00344637" w:rsidRPr="008843DC" w:rsidRDefault="00344637" w:rsidP="005A3B96">
            <w:pPr>
              <w:keepNext/>
              <w:keepLines/>
              <w:tabs>
                <w:tab w:val="left" w:pos="-1440"/>
                <w:tab w:val="left" w:pos="-720"/>
              </w:tabs>
              <w:rPr>
                <w:sz w:val="20"/>
                <w:szCs w:val="20"/>
                <w:lang w:val="fr-CA"/>
              </w:rPr>
            </w:pPr>
            <w:r w:rsidRPr="008843DC">
              <w:rPr>
                <w:sz w:val="20"/>
                <w:szCs w:val="20"/>
                <w:lang w:val="fr-CA"/>
              </w:rPr>
              <w:tab/>
            </w:r>
            <w:r>
              <w:rPr>
                <w:sz w:val="20"/>
                <w:szCs w:val="20"/>
                <w:lang w:val="fr-CA"/>
              </w:rPr>
              <w:t xml:space="preserve">Directeur des poursuites criminelles et </w:t>
            </w:r>
            <w:r>
              <w:rPr>
                <w:sz w:val="20"/>
                <w:szCs w:val="20"/>
                <w:lang w:val="fr-CA"/>
              </w:rPr>
              <w:tab/>
              <w:t>pénales du Québec</w:t>
            </w:r>
          </w:p>
          <w:p w:rsidR="00344637" w:rsidRPr="008843DC" w:rsidRDefault="00344637" w:rsidP="005A3B96">
            <w:pPr>
              <w:keepNext/>
              <w:keepLines/>
              <w:tabs>
                <w:tab w:val="left" w:pos="-1440"/>
                <w:tab w:val="left" w:pos="-720"/>
              </w:tabs>
              <w:rPr>
                <w:sz w:val="20"/>
                <w:szCs w:val="20"/>
                <w:lang w:val="fr-CA"/>
              </w:rPr>
            </w:pPr>
          </w:p>
          <w:p w:rsidR="00344637" w:rsidRPr="008843DC" w:rsidRDefault="00344637" w:rsidP="008843DC">
            <w:pPr>
              <w:rPr>
                <w:sz w:val="20"/>
                <w:szCs w:val="20"/>
                <w:lang w:val="fr-CA"/>
              </w:rPr>
            </w:pPr>
            <w:r w:rsidRPr="00CC2796">
              <w:rPr>
                <w:sz w:val="20"/>
                <w:szCs w:val="20"/>
                <w:lang w:val="fr-CA"/>
              </w:rPr>
              <w:t>DATE</w:t>
            </w:r>
            <w:r>
              <w:rPr>
                <w:sz w:val="20"/>
                <w:szCs w:val="20"/>
                <w:lang w:val="fr-CA"/>
              </w:rPr>
              <w:t xml:space="preserve"> DE PRODUCTION </w:t>
            </w:r>
            <w:r w:rsidRPr="008843DC">
              <w:rPr>
                <w:sz w:val="20"/>
                <w:szCs w:val="20"/>
                <w:lang w:val="fr-CA"/>
              </w:rPr>
              <w:t xml:space="preserve">: </w:t>
            </w:r>
            <w:r>
              <w:rPr>
                <w:sz w:val="20"/>
                <w:szCs w:val="20"/>
                <w:lang w:val="fr-CA"/>
              </w:rPr>
              <w:t>19</w:t>
            </w:r>
            <w:r w:rsidRPr="008843DC">
              <w:rPr>
                <w:sz w:val="20"/>
                <w:szCs w:val="20"/>
                <w:lang w:val="fr-CA"/>
              </w:rPr>
              <w:t>.07.2013</w:t>
            </w:r>
            <w:r w:rsidR="005F2BA7" w:rsidRPr="005F2BA7">
              <w:rPr>
                <w:sz w:val="20"/>
                <w:szCs w:val="20"/>
                <w:lang w:val="fr-CA"/>
              </w:rPr>
              <w:pict>
                <v:rect id="_x0000_i1036" style="width:108pt;height:1pt" o:hrpct="0" o:hralign="center" o:hrstd="t" o:hrnoshade="t" o:hr="t" fillcolor="black [3213]" stroked="f"/>
              </w:pict>
            </w:r>
          </w:p>
        </w:tc>
      </w:tr>
      <w:tr w:rsidR="00344637" w:rsidRPr="00A935AA" w:rsidTr="003B3977">
        <w:trPr>
          <w:cantSplit/>
        </w:trPr>
        <w:tc>
          <w:tcPr>
            <w:tcW w:w="4320" w:type="dxa"/>
            <w:shd w:val="clear" w:color="auto" w:fill="auto"/>
          </w:tcPr>
          <w:p w:rsidR="00344637" w:rsidRPr="00196D53" w:rsidRDefault="00344637" w:rsidP="00C95B0C">
            <w:pPr>
              <w:rPr>
                <w:b/>
                <w:sz w:val="20"/>
                <w:szCs w:val="20"/>
              </w:rPr>
            </w:pPr>
          </w:p>
          <w:p w:rsidR="00344637" w:rsidRPr="008843DC" w:rsidRDefault="00344637" w:rsidP="00C95B0C">
            <w:pPr>
              <w:rPr>
                <w:b/>
                <w:sz w:val="20"/>
                <w:szCs w:val="20"/>
              </w:rPr>
            </w:pPr>
            <w:r w:rsidRPr="008843DC">
              <w:rPr>
                <w:b/>
                <w:sz w:val="20"/>
                <w:szCs w:val="20"/>
              </w:rPr>
              <w:t>J.W.</w:t>
            </w:r>
          </w:p>
          <w:p w:rsidR="00344637" w:rsidRPr="008843DC" w:rsidRDefault="00344637" w:rsidP="00C95B0C">
            <w:pPr>
              <w:tabs>
                <w:tab w:val="left" w:pos="-1440"/>
                <w:tab w:val="left" w:pos="-720"/>
              </w:tabs>
              <w:rPr>
                <w:sz w:val="20"/>
                <w:szCs w:val="20"/>
              </w:rPr>
            </w:pPr>
            <w:r w:rsidRPr="008843DC">
              <w:rPr>
                <w:sz w:val="20"/>
                <w:szCs w:val="20"/>
              </w:rPr>
              <w:tab/>
              <w:t>Alan B. Richter</w:t>
            </w:r>
          </w:p>
          <w:p w:rsidR="00344637" w:rsidRPr="008843DC" w:rsidRDefault="00344637" w:rsidP="00C95B0C">
            <w:pPr>
              <w:tabs>
                <w:tab w:val="left" w:pos="-1440"/>
                <w:tab w:val="left" w:pos="-720"/>
              </w:tabs>
              <w:rPr>
                <w:sz w:val="20"/>
                <w:szCs w:val="20"/>
              </w:rPr>
            </w:pPr>
            <w:r w:rsidRPr="008843DC">
              <w:rPr>
                <w:sz w:val="20"/>
                <w:szCs w:val="20"/>
              </w:rPr>
              <w:tab/>
            </w:r>
            <w:r>
              <w:rPr>
                <w:sz w:val="20"/>
                <w:szCs w:val="20"/>
              </w:rPr>
              <w:t>Richter Abraham</w:t>
            </w:r>
          </w:p>
          <w:p w:rsidR="00344637" w:rsidRPr="008843DC" w:rsidRDefault="00344637" w:rsidP="00C95B0C">
            <w:pPr>
              <w:tabs>
                <w:tab w:val="left" w:pos="-1440"/>
                <w:tab w:val="left" w:pos="-720"/>
              </w:tabs>
              <w:rPr>
                <w:sz w:val="20"/>
                <w:szCs w:val="20"/>
              </w:rPr>
            </w:pPr>
          </w:p>
          <w:p w:rsidR="00344637" w:rsidRPr="00CC2796" w:rsidRDefault="00344637" w:rsidP="00C95B0C">
            <w:pPr>
              <w:tabs>
                <w:tab w:val="left" w:pos="-1440"/>
                <w:tab w:val="left" w:pos="-720"/>
              </w:tabs>
              <w:rPr>
                <w:sz w:val="20"/>
                <w:szCs w:val="20"/>
              </w:rPr>
            </w:pPr>
            <w:r w:rsidRPr="008843DC">
              <w:rPr>
                <w:sz w:val="20"/>
                <w:szCs w:val="20"/>
              </w:rPr>
              <w:tab/>
            </w:r>
            <w:r w:rsidRPr="00CC2796">
              <w:rPr>
                <w:sz w:val="20"/>
                <w:szCs w:val="20"/>
              </w:rPr>
              <w:t>v. (35</w:t>
            </w:r>
            <w:r>
              <w:rPr>
                <w:sz w:val="20"/>
                <w:szCs w:val="20"/>
              </w:rPr>
              <w:t>447</w:t>
            </w:r>
            <w:r w:rsidRPr="00CC2796">
              <w:rPr>
                <w:sz w:val="20"/>
                <w:szCs w:val="20"/>
              </w:rPr>
              <w:t>)</w:t>
            </w:r>
          </w:p>
          <w:p w:rsidR="00344637" w:rsidRPr="00CC2796" w:rsidRDefault="00344637" w:rsidP="00C95B0C">
            <w:pPr>
              <w:tabs>
                <w:tab w:val="left" w:pos="-1440"/>
                <w:tab w:val="left" w:pos="-720"/>
              </w:tabs>
              <w:rPr>
                <w:sz w:val="20"/>
                <w:szCs w:val="20"/>
              </w:rPr>
            </w:pPr>
          </w:p>
          <w:p w:rsidR="00344637" w:rsidRPr="00CC2796" w:rsidRDefault="00344637" w:rsidP="00C95B0C">
            <w:pPr>
              <w:tabs>
                <w:tab w:val="left" w:pos="-1440"/>
                <w:tab w:val="left" w:pos="-720"/>
              </w:tabs>
              <w:rPr>
                <w:b/>
                <w:sz w:val="20"/>
                <w:szCs w:val="20"/>
              </w:rPr>
            </w:pPr>
            <w:r>
              <w:rPr>
                <w:b/>
                <w:sz w:val="20"/>
                <w:szCs w:val="20"/>
              </w:rPr>
              <w:t xml:space="preserve">Her Majesty the Queen </w:t>
            </w:r>
            <w:r w:rsidRPr="00CC2796">
              <w:rPr>
                <w:b/>
                <w:sz w:val="20"/>
                <w:szCs w:val="20"/>
              </w:rPr>
              <w:t>(</w:t>
            </w:r>
            <w:r>
              <w:rPr>
                <w:b/>
                <w:sz w:val="20"/>
                <w:szCs w:val="20"/>
              </w:rPr>
              <w:t>Ont</w:t>
            </w:r>
            <w:r w:rsidRPr="00CC2796">
              <w:rPr>
                <w:b/>
                <w:sz w:val="20"/>
                <w:szCs w:val="20"/>
              </w:rPr>
              <w:t>.)</w:t>
            </w:r>
          </w:p>
          <w:p w:rsidR="00344637" w:rsidRPr="00CC2796" w:rsidRDefault="00344637" w:rsidP="00C95B0C">
            <w:pPr>
              <w:tabs>
                <w:tab w:val="left" w:pos="-1440"/>
                <w:tab w:val="left" w:pos="-720"/>
              </w:tabs>
              <w:rPr>
                <w:sz w:val="20"/>
                <w:szCs w:val="20"/>
              </w:rPr>
            </w:pPr>
            <w:r w:rsidRPr="00CC2796">
              <w:rPr>
                <w:sz w:val="20"/>
                <w:szCs w:val="20"/>
              </w:rPr>
              <w:tab/>
            </w:r>
            <w:r>
              <w:rPr>
                <w:sz w:val="20"/>
                <w:szCs w:val="20"/>
              </w:rPr>
              <w:t>Jamie C. Klukach</w:t>
            </w:r>
          </w:p>
          <w:p w:rsidR="00344637" w:rsidRPr="00CC2796" w:rsidRDefault="00344637" w:rsidP="00C95B0C">
            <w:pPr>
              <w:tabs>
                <w:tab w:val="left" w:pos="-1440"/>
                <w:tab w:val="left" w:pos="-720"/>
              </w:tabs>
              <w:rPr>
                <w:sz w:val="20"/>
                <w:szCs w:val="20"/>
              </w:rPr>
            </w:pPr>
            <w:r w:rsidRPr="00CC2796">
              <w:rPr>
                <w:sz w:val="20"/>
                <w:szCs w:val="20"/>
              </w:rPr>
              <w:tab/>
            </w:r>
            <w:r>
              <w:rPr>
                <w:sz w:val="20"/>
                <w:szCs w:val="20"/>
              </w:rPr>
              <w:t>A.G. of Ontario</w:t>
            </w:r>
          </w:p>
          <w:p w:rsidR="00344637" w:rsidRDefault="00344637" w:rsidP="00C95B0C">
            <w:pPr>
              <w:rPr>
                <w:sz w:val="20"/>
                <w:szCs w:val="20"/>
              </w:rPr>
            </w:pPr>
          </w:p>
          <w:p w:rsidR="00344637" w:rsidRPr="00CC2796" w:rsidRDefault="00344637" w:rsidP="00344637">
            <w:pPr>
              <w:rPr>
                <w:sz w:val="20"/>
                <w:szCs w:val="20"/>
              </w:rPr>
            </w:pPr>
            <w:r w:rsidRPr="00CC2796">
              <w:rPr>
                <w:sz w:val="20"/>
                <w:szCs w:val="20"/>
              </w:rPr>
              <w:t xml:space="preserve">FILING DATE: </w:t>
            </w:r>
            <w:r>
              <w:rPr>
                <w:sz w:val="20"/>
                <w:szCs w:val="20"/>
              </w:rPr>
              <w:t>19</w:t>
            </w:r>
            <w:r w:rsidRPr="00CC2796">
              <w:rPr>
                <w:sz w:val="20"/>
                <w:szCs w:val="20"/>
              </w:rPr>
              <w:t>.07.2013</w:t>
            </w:r>
          </w:p>
          <w:p w:rsidR="00344637" w:rsidRPr="00CC2796" w:rsidRDefault="005F2BA7" w:rsidP="00344637">
            <w:pPr>
              <w:rPr>
                <w:sz w:val="20"/>
                <w:szCs w:val="20"/>
              </w:rPr>
            </w:pPr>
            <w:r w:rsidRPr="005F2BA7">
              <w:rPr>
                <w:sz w:val="20"/>
                <w:szCs w:val="20"/>
                <w:lang w:val="fr-CA"/>
              </w:rPr>
              <w:pict>
                <v:rect id="_x0000_i1037" style="width:108pt;height:1pt" o:hrpct="0" o:hralign="center" o:hrstd="t" o:hrnoshade="t" o:hr="t" fillcolor="black [3213]" stroked="f"/>
              </w:pict>
            </w:r>
          </w:p>
        </w:tc>
        <w:tc>
          <w:tcPr>
            <w:tcW w:w="1181" w:type="dxa"/>
            <w:shd w:val="clear" w:color="auto" w:fill="auto"/>
          </w:tcPr>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Pr="00CC2796" w:rsidRDefault="00344637" w:rsidP="00242AEE">
            <w:pPr>
              <w:jc w:val="center"/>
              <w:rPr>
                <w:sz w:val="20"/>
                <w:szCs w:val="20"/>
              </w:rPr>
            </w:pPr>
          </w:p>
        </w:tc>
        <w:tc>
          <w:tcPr>
            <w:tcW w:w="4320" w:type="dxa"/>
            <w:shd w:val="clear" w:color="auto" w:fill="auto"/>
          </w:tcPr>
          <w:p w:rsidR="00344637" w:rsidRPr="00CC2796" w:rsidRDefault="00344637" w:rsidP="00C95B0C">
            <w:pPr>
              <w:keepNext/>
              <w:keepLines/>
              <w:tabs>
                <w:tab w:val="left" w:pos="-1440"/>
                <w:tab w:val="left" w:pos="-720"/>
              </w:tabs>
              <w:rPr>
                <w:b/>
                <w:sz w:val="20"/>
                <w:szCs w:val="20"/>
              </w:rPr>
            </w:pPr>
            <w:r>
              <w:rPr>
                <w:b/>
                <w:sz w:val="20"/>
                <w:szCs w:val="20"/>
              </w:rPr>
              <w:t>Gurdev Singh Dhillon</w:t>
            </w:r>
          </w:p>
          <w:p w:rsidR="00344637" w:rsidRPr="00CC2796" w:rsidRDefault="00344637" w:rsidP="00C95B0C">
            <w:pPr>
              <w:keepNext/>
              <w:keepLines/>
              <w:tabs>
                <w:tab w:val="left" w:pos="-1440"/>
                <w:tab w:val="left" w:pos="-720"/>
              </w:tabs>
              <w:rPr>
                <w:sz w:val="20"/>
                <w:szCs w:val="20"/>
              </w:rPr>
            </w:pPr>
            <w:r w:rsidRPr="00CC2796">
              <w:rPr>
                <w:sz w:val="20"/>
                <w:szCs w:val="20"/>
              </w:rPr>
              <w:tab/>
            </w:r>
            <w:r>
              <w:rPr>
                <w:sz w:val="20"/>
                <w:szCs w:val="20"/>
              </w:rPr>
              <w:t>Paul E. Briggs</w:t>
            </w:r>
          </w:p>
          <w:p w:rsidR="00344637" w:rsidRPr="00CC2796" w:rsidRDefault="00344637" w:rsidP="00C95B0C">
            <w:pPr>
              <w:keepNext/>
              <w:keepLines/>
              <w:tabs>
                <w:tab w:val="left" w:pos="-1440"/>
                <w:tab w:val="left" w:pos="-720"/>
              </w:tabs>
              <w:rPr>
                <w:sz w:val="20"/>
                <w:szCs w:val="20"/>
              </w:rPr>
            </w:pPr>
            <w:r w:rsidRPr="00CC2796">
              <w:rPr>
                <w:sz w:val="20"/>
                <w:szCs w:val="20"/>
              </w:rPr>
              <w:tab/>
            </w:r>
            <w:r>
              <w:rPr>
                <w:sz w:val="20"/>
                <w:szCs w:val="20"/>
              </w:rPr>
              <w:t>Briggs Himyar Law Group</w:t>
            </w:r>
          </w:p>
          <w:p w:rsidR="00344637" w:rsidRPr="00CC2796" w:rsidRDefault="00344637" w:rsidP="00C95B0C">
            <w:pPr>
              <w:keepNext/>
              <w:keepLines/>
              <w:tabs>
                <w:tab w:val="left" w:pos="-1440"/>
                <w:tab w:val="left" w:pos="-720"/>
              </w:tabs>
              <w:rPr>
                <w:sz w:val="20"/>
                <w:szCs w:val="20"/>
              </w:rPr>
            </w:pPr>
          </w:p>
          <w:p w:rsidR="00344637" w:rsidRPr="00CC2796" w:rsidRDefault="00344637" w:rsidP="00C95B0C">
            <w:pPr>
              <w:keepNext/>
              <w:keepLines/>
              <w:tabs>
                <w:tab w:val="left" w:pos="-1440"/>
                <w:tab w:val="left" w:pos="-720"/>
              </w:tabs>
              <w:rPr>
                <w:sz w:val="20"/>
                <w:szCs w:val="20"/>
              </w:rPr>
            </w:pPr>
            <w:r w:rsidRPr="00CC2796">
              <w:rPr>
                <w:sz w:val="20"/>
                <w:szCs w:val="20"/>
              </w:rPr>
              <w:tab/>
              <w:t>v. (35</w:t>
            </w:r>
            <w:r>
              <w:rPr>
                <w:sz w:val="20"/>
                <w:szCs w:val="20"/>
              </w:rPr>
              <w:t>451</w:t>
            </w:r>
            <w:r w:rsidRPr="00CC2796">
              <w:rPr>
                <w:sz w:val="20"/>
                <w:szCs w:val="20"/>
              </w:rPr>
              <w:t>)</w:t>
            </w:r>
          </w:p>
          <w:p w:rsidR="00344637" w:rsidRPr="00CC2796" w:rsidRDefault="00344637" w:rsidP="00C95B0C">
            <w:pPr>
              <w:keepNext/>
              <w:keepLines/>
              <w:tabs>
                <w:tab w:val="left" w:pos="-1440"/>
                <w:tab w:val="left" w:pos="-720"/>
              </w:tabs>
              <w:rPr>
                <w:sz w:val="20"/>
                <w:szCs w:val="20"/>
              </w:rPr>
            </w:pPr>
          </w:p>
          <w:p w:rsidR="00344637" w:rsidRPr="00CC2796" w:rsidRDefault="00344637" w:rsidP="00C95B0C">
            <w:pPr>
              <w:keepNext/>
              <w:keepLines/>
              <w:tabs>
                <w:tab w:val="left" w:pos="-1440"/>
                <w:tab w:val="left" w:pos="-720"/>
              </w:tabs>
              <w:rPr>
                <w:b/>
                <w:sz w:val="20"/>
                <w:szCs w:val="20"/>
              </w:rPr>
            </w:pPr>
            <w:r>
              <w:rPr>
                <w:b/>
                <w:sz w:val="20"/>
                <w:szCs w:val="20"/>
              </w:rPr>
              <w:t xml:space="preserve">Her Majesty the Queen </w:t>
            </w:r>
            <w:r w:rsidRPr="00CC2796">
              <w:rPr>
                <w:b/>
                <w:sz w:val="20"/>
                <w:szCs w:val="20"/>
              </w:rPr>
              <w:t>(</w:t>
            </w:r>
            <w:r>
              <w:rPr>
                <w:b/>
                <w:sz w:val="20"/>
                <w:szCs w:val="20"/>
              </w:rPr>
              <w:t>B.C</w:t>
            </w:r>
            <w:r w:rsidRPr="00CC2796">
              <w:rPr>
                <w:b/>
                <w:sz w:val="20"/>
                <w:szCs w:val="20"/>
              </w:rPr>
              <w:t>.)</w:t>
            </w:r>
          </w:p>
          <w:p w:rsidR="00344637" w:rsidRPr="00CC2796" w:rsidRDefault="00344637" w:rsidP="00C95B0C">
            <w:pPr>
              <w:keepNext/>
              <w:keepLines/>
              <w:tabs>
                <w:tab w:val="left" w:pos="-1440"/>
                <w:tab w:val="left" w:pos="-720"/>
              </w:tabs>
              <w:rPr>
                <w:sz w:val="20"/>
                <w:szCs w:val="20"/>
              </w:rPr>
            </w:pPr>
            <w:r w:rsidRPr="00CC2796">
              <w:rPr>
                <w:sz w:val="20"/>
                <w:szCs w:val="20"/>
              </w:rPr>
              <w:tab/>
            </w:r>
            <w:r>
              <w:rPr>
                <w:sz w:val="20"/>
                <w:szCs w:val="20"/>
              </w:rPr>
              <w:t>Peter Wilson, Q.C.</w:t>
            </w:r>
          </w:p>
          <w:p w:rsidR="00344637" w:rsidRPr="00CC2796" w:rsidRDefault="00344637" w:rsidP="00C95B0C">
            <w:pPr>
              <w:keepNext/>
              <w:keepLines/>
              <w:tabs>
                <w:tab w:val="left" w:pos="-1440"/>
                <w:tab w:val="left" w:pos="-720"/>
              </w:tabs>
              <w:rPr>
                <w:sz w:val="20"/>
                <w:szCs w:val="20"/>
              </w:rPr>
            </w:pPr>
            <w:r w:rsidRPr="00CC2796">
              <w:rPr>
                <w:sz w:val="20"/>
                <w:szCs w:val="20"/>
              </w:rPr>
              <w:tab/>
            </w:r>
            <w:r>
              <w:rPr>
                <w:sz w:val="20"/>
                <w:szCs w:val="20"/>
              </w:rPr>
              <w:t>Wilson Butcher</w:t>
            </w:r>
          </w:p>
          <w:p w:rsidR="00344637" w:rsidRPr="00CC2796" w:rsidRDefault="00344637" w:rsidP="00C95B0C">
            <w:pPr>
              <w:keepNext/>
              <w:keepLines/>
              <w:tabs>
                <w:tab w:val="left" w:pos="-1440"/>
                <w:tab w:val="left" w:pos="-720"/>
              </w:tabs>
              <w:rPr>
                <w:sz w:val="20"/>
                <w:szCs w:val="20"/>
              </w:rPr>
            </w:pPr>
          </w:p>
          <w:p w:rsidR="00344637" w:rsidRPr="00A935AA" w:rsidRDefault="00344637" w:rsidP="008843DC">
            <w:pPr>
              <w:rPr>
                <w:sz w:val="20"/>
                <w:szCs w:val="20"/>
              </w:rPr>
            </w:pPr>
            <w:r w:rsidRPr="00A935AA">
              <w:rPr>
                <w:sz w:val="20"/>
                <w:szCs w:val="20"/>
              </w:rPr>
              <w:t>FILING DATE: 2</w:t>
            </w:r>
            <w:r>
              <w:rPr>
                <w:sz w:val="20"/>
                <w:szCs w:val="20"/>
              </w:rPr>
              <w:t>5</w:t>
            </w:r>
            <w:r w:rsidRPr="00A935AA">
              <w:rPr>
                <w:sz w:val="20"/>
                <w:szCs w:val="20"/>
              </w:rPr>
              <w:t>.0</w:t>
            </w:r>
            <w:r>
              <w:rPr>
                <w:sz w:val="20"/>
                <w:szCs w:val="20"/>
              </w:rPr>
              <w:t>7</w:t>
            </w:r>
            <w:r w:rsidRPr="00A935AA">
              <w:rPr>
                <w:sz w:val="20"/>
                <w:szCs w:val="20"/>
              </w:rPr>
              <w:t>.201</w:t>
            </w:r>
            <w:r>
              <w:rPr>
                <w:sz w:val="20"/>
                <w:szCs w:val="20"/>
              </w:rPr>
              <w:t>3</w:t>
            </w:r>
            <w:r w:rsidR="005F2BA7" w:rsidRPr="005F2BA7">
              <w:rPr>
                <w:sz w:val="20"/>
                <w:szCs w:val="20"/>
                <w:lang w:val="fr-CA"/>
              </w:rPr>
              <w:pict>
                <v:rect id="_x0000_i1038" style="width:108pt;height:1pt" o:hrpct="0" o:hralign="center" o:hrstd="t" o:hrnoshade="t" o:hr="t" fillcolor="black [3213]" stroked="f"/>
              </w:pict>
            </w:r>
          </w:p>
        </w:tc>
      </w:tr>
      <w:tr w:rsidR="00344637" w:rsidRPr="00A935AA" w:rsidTr="003B3977">
        <w:trPr>
          <w:cantSplit/>
        </w:trPr>
        <w:tc>
          <w:tcPr>
            <w:tcW w:w="4320" w:type="dxa"/>
            <w:shd w:val="clear" w:color="auto" w:fill="auto"/>
          </w:tcPr>
          <w:p w:rsidR="00344637" w:rsidRDefault="00344637" w:rsidP="00C95B0C">
            <w:pPr>
              <w:rPr>
                <w:b/>
                <w:sz w:val="20"/>
                <w:szCs w:val="20"/>
              </w:rPr>
            </w:pPr>
          </w:p>
          <w:p w:rsidR="00344637" w:rsidRPr="00244C4F" w:rsidRDefault="00344637" w:rsidP="00C95B0C">
            <w:pPr>
              <w:rPr>
                <w:b/>
                <w:sz w:val="20"/>
                <w:szCs w:val="20"/>
              </w:rPr>
            </w:pPr>
            <w:r>
              <w:rPr>
                <w:b/>
                <w:sz w:val="20"/>
                <w:szCs w:val="20"/>
              </w:rPr>
              <w:t>Jisheng Liu</w:t>
            </w:r>
          </w:p>
          <w:p w:rsidR="00344637" w:rsidRPr="00244C4F" w:rsidRDefault="00344637" w:rsidP="00C95B0C">
            <w:pPr>
              <w:tabs>
                <w:tab w:val="left" w:pos="-1440"/>
                <w:tab w:val="left" w:pos="-720"/>
              </w:tabs>
              <w:rPr>
                <w:sz w:val="20"/>
                <w:szCs w:val="20"/>
              </w:rPr>
            </w:pPr>
            <w:r w:rsidRPr="00244C4F">
              <w:rPr>
                <w:sz w:val="20"/>
                <w:szCs w:val="20"/>
              </w:rPr>
              <w:tab/>
            </w:r>
            <w:r>
              <w:rPr>
                <w:sz w:val="20"/>
                <w:szCs w:val="20"/>
              </w:rPr>
              <w:t>Jisheng Liu</w:t>
            </w:r>
          </w:p>
          <w:p w:rsidR="00344637" w:rsidRPr="00244C4F" w:rsidRDefault="00344637" w:rsidP="00C95B0C">
            <w:pPr>
              <w:tabs>
                <w:tab w:val="left" w:pos="-1440"/>
                <w:tab w:val="left" w:pos="-720"/>
              </w:tabs>
              <w:rPr>
                <w:sz w:val="20"/>
                <w:szCs w:val="20"/>
              </w:rPr>
            </w:pPr>
          </w:p>
          <w:p w:rsidR="00344637" w:rsidRPr="00CC2796" w:rsidRDefault="00344637" w:rsidP="00C95B0C">
            <w:pPr>
              <w:tabs>
                <w:tab w:val="left" w:pos="-1440"/>
                <w:tab w:val="left" w:pos="-720"/>
              </w:tabs>
              <w:rPr>
                <w:sz w:val="20"/>
                <w:szCs w:val="20"/>
              </w:rPr>
            </w:pPr>
            <w:r w:rsidRPr="00244C4F">
              <w:rPr>
                <w:sz w:val="20"/>
                <w:szCs w:val="20"/>
              </w:rPr>
              <w:tab/>
            </w:r>
            <w:r w:rsidRPr="00CC2796">
              <w:rPr>
                <w:sz w:val="20"/>
                <w:szCs w:val="20"/>
              </w:rPr>
              <w:t>v. (35</w:t>
            </w:r>
            <w:r>
              <w:rPr>
                <w:sz w:val="20"/>
                <w:szCs w:val="20"/>
              </w:rPr>
              <w:t>453</w:t>
            </w:r>
            <w:r w:rsidRPr="00CC2796">
              <w:rPr>
                <w:sz w:val="20"/>
                <w:szCs w:val="20"/>
              </w:rPr>
              <w:t>)</w:t>
            </w:r>
          </w:p>
          <w:p w:rsidR="00344637" w:rsidRPr="00CC2796" w:rsidRDefault="00344637" w:rsidP="00C95B0C">
            <w:pPr>
              <w:tabs>
                <w:tab w:val="left" w:pos="-1440"/>
                <w:tab w:val="left" w:pos="-720"/>
              </w:tabs>
              <w:rPr>
                <w:sz w:val="20"/>
                <w:szCs w:val="20"/>
              </w:rPr>
            </w:pPr>
          </w:p>
          <w:p w:rsidR="00344637" w:rsidRPr="00CC2796" w:rsidRDefault="00344637" w:rsidP="00C95B0C">
            <w:pPr>
              <w:tabs>
                <w:tab w:val="left" w:pos="-1440"/>
                <w:tab w:val="left" w:pos="-720"/>
              </w:tabs>
              <w:rPr>
                <w:b/>
                <w:sz w:val="20"/>
                <w:szCs w:val="20"/>
              </w:rPr>
            </w:pPr>
            <w:r>
              <w:rPr>
                <w:b/>
                <w:sz w:val="20"/>
                <w:szCs w:val="20"/>
              </w:rPr>
              <w:t xml:space="preserve">McGill University Non-Academic Certified Association </w:t>
            </w:r>
            <w:r w:rsidRPr="00CC2796">
              <w:rPr>
                <w:b/>
                <w:sz w:val="20"/>
                <w:szCs w:val="20"/>
              </w:rPr>
              <w:t>(</w:t>
            </w:r>
            <w:r>
              <w:rPr>
                <w:b/>
                <w:sz w:val="20"/>
                <w:szCs w:val="20"/>
              </w:rPr>
              <w:t>Que</w:t>
            </w:r>
            <w:r w:rsidRPr="00CC2796">
              <w:rPr>
                <w:b/>
                <w:sz w:val="20"/>
                <w:szCs w:val="20"/>
              </w:rPr>
              <w:t>.)</w:t>
            </w:r>
          </w:p>
          <w:p w:rsidR="00344637" w:rsidRPr="00CC2796" w:rsidRDefault="00344637" w:rsidP="00C95B0C">
            <w:pPr>
              <w:tabs>
                <w:tab w:val="left" w:pos="-1440"/>
                <w:tab w:val="left" w:pos="-720"/>
              </w:tabs>
              <w:rPr>
                <w:sz w:val="20"/>
                <w:szCs w:val="20"/>
              </w:rPr>
            </w:pPr>
            <w:r w:rsidRPr="00CC2796">
              <w:rPr>
                <w:sz w:val="20"/>
                <w:szCs w:val="20"/>
              </w:rPr>
              <w:tab/>
            </w:r>
            <w:r>
              <w:rPr>
                <w:sz w:val="20"/>
                <w:szCs w:val="20"/>
              </w:rPr>
              <w:t>Sibel Ataogul</w:t>
            </w:r>
          </w:p>
          <w:p w:rsidR="00344637" w:rsidRPr="00CC2796" w:rsidRDefault="00344637" w:rsidP="00C95B0C">
            <w:pPr>
              <w:tabs>
                <w:tab w:val="left" w:pos="-1440"/>
                <w:tab w:val="left" w:pos="-720"/>
              </w:tabs>
              <w:rPr>
                <w:sz w:val="20"/>
                <w:szCs w:val="20"/>
              </w:rPr>
            </w:pPr>
            <w:r w:rsidRPr="00CC2796">
              <w:rPr>
                <w:sz w:val="20"/>
                <w:szCs w:val="20"/>
              </w:rPr>
              <w:tab/>
            </w:r>
            <w:r>
              <w:rPr>
                <w:sz w:val="20"/>
                <w:szCs w:val="20"/>
              </w:rPr>
              <w:t>Melançon, Marceau, Grenier &amp; Sciortino</w:t>
            </w:r>
          </w:p>
          <w:p w:rsidR="00344637" w:rsidRPr="00CC2796" w:rsidRDefault="00344637" w:rsidP="00C95B0C">
            <w:pPr>
              <w:tabs>
                <w:tab w:val="left" w:pos="-1440"/>
                <w:tab w:val="left" w:pos="-720"/>
              </w:tabs>
              <w:rPr>
                <w:sz w:val="20"/>
                <w:szCs w:val="20"/>
              </w:rPr>
            </w:pPr>
          </w:p>
          <w:p w:rsidR="00344637" w:rsidRPr="00CC2796" w:rsidRDefault="00344637" w:rsidP="00C95B0C">
            <w:pPr>
              <w:rPr>
                <w:sz w:val="20"/>
                <w:szCs w:val="20"/>
              </w:rPr>
            </w:pPr>
            <w:r w:rsidRPr="00CC2796">
              <w:rPr>
                <w:sz w:val="20"/>
                <w:szCs w:val="20"/>
              </w:rPr>
              <w:t>FILING DATE: 2</w:t>
            </w:r>
            <w:r>
              <w:rPr>
                <w:sz w:val="20"/>
                <w:szCs w:val="20"/>
              </w:rPr>
              <w:t>6</w:t>
            </w:r>
            <w:r w:rsidRPr="00CC2796">
              <w:rPr>
                <w:sz w:val="20"/>
                <w:szCs w:val="20"/>
              </w:rPr>
              <w:t>.07.2013</w:t>
            </w:r>
          </w:p>
          <w:p w:rsidR="00344637" w:rsidRPr="00CC2796" w:rsidRDefault="005F2BA7" w:rsidP="00C95B0C">
            <w:pPr>
              <w:rPr>
                <w:sz w:val="20"/>
                <w:szCs w:val="20"/>
              </w:rPr>
            </w:pPr>
            <w:r w:rsidRPr="005F2BA7">
              <w:rPr>
                <w:sz w:val="20"/>
                <w:szCs w:val="20"/>
                <w:lang w:val="fr-CA"/>
              </w:rPr>
              <w:pict>
                <v:rect id="_x0000_i1039" style="width:108pt;height:1pt" o:hrpct="0" o:hralign="center" o:hrstd="t" o:hrnoshade="t" o:hr="t" fillcolor="black [3213]" stroked="f"/>
              </w:pict>
            </w:r>
          </w:p>
        </w:tc>
        <w:tc>
          <w:tcPr>
            <w:tcW w:w="1181" w:type="dxa"/>
            <w:shd w:val="clear" w:color="auto" w:fill="auto"/>
          </w:tcPr>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Default="00344637" w:rsidP="00242AEE">
            <w:pPr>
              <w:jc w:val="center"/>
              <w:rPr>
                <w:sz w:val="20"/>
                <w:szCs w:val="20"/>
              </w:rPr>
            </w:pPr>
          </w:p>
          <w:p w:rsidR="00344637" w:rsidRPr="00CC2796" w:rsidRDefault="00344637" w:rsidP="00242AEE">
            <w:pPr>
              <w:jc w:val="center"/>
              <w:rPr>
                <w:sz w:val="20"/>
                <w:szCs w:val="20"/>
              </w:rPr>
            </w:pPr>
          </w:p>
        </w:tc>
        <w:tc>
          <w:tcPr>
            <w:tcW w:w="4320" w:type="dxa"/>
            <w:shd w:val="clear" w:color="auto" w:fill="auto"/>
          </w:tcPr>
          <w:p w:rsidR="00344637" w:rsidRDefault="00344637" w:rsidP="00C95B0C">
            <w:pPr>
              <w:keepNext/>
              <w:keepLines/>
              <w:tabs>
                <w:tab w:val="left" w:pos="-1440"/>
                <w:tab w:val="left" w:pos="-720"/>
              </w:tabs>
              <w:rPr>
                <w:b/>
                <w:sz w:val="20"/>
                <w:szCs w:val="20"/>
              </w:rPr>
            </w:pPr>
          </w:p>
          <w:p w:rsidR="00344637" w:rsidRPr="00CC2796" w:rsidRDefault="00344637" w:rsidP="00C95B0C">
            <w:pPr>
              <w:keepNext/>
              <w:keepLines/>
              <w:tabs>
                <w:tab w:val="left" w:pos="-1440"/>
                <w:tab w:val="left" w:pos="-720"/>
              </w:tabs>
              <w:rPr>
                <w:b/>
                <w:sz w:val="20"/>
                <w:szCs w:val="20"/>
              </w:rPr>
            </w:pPr>
            <w:r>
              <w:rPr>
                <w:b/>
                <w:sz w:val="20"/>
                <w:szCs w:val="20"/>
              </w:rPr>
              <w:t>William Wade Skiffington</w:t>
            </w:r>
          </w:p>
          <w:p w:rsidR="00344637" w:rsidRPr="00CC2796" w:rsidRDefault="00344637" w:rsidP="00C95B0C">
            <w:pPr>
              <w:keepNext/>
              <w:keepLines/>
              <w:tabs>
                <w:tab w:val="left" w:pos="-1440"/>
                <w:tab w:val="left" w:pos="-720"/>
              </w:tabs>
              <w:rPr>
                <w:sz w:val="20"/>
                <w:szCs w:val="20"/>
              </w:rPr>
            </w:pPr>
            <w:r w:rsidRPr="00CC2796">
              <w:rPr>
                <w:sz w:val="20"/>
                <w:szCs w:val="20"/>
              </w:rPr>
              <w:tab/>
            </w:r>
            <w:r>
              <w:rPr>
                <w:sz w:val="20"/>
                <w:szCs w:val="20"/>
              </w:rPr>
              <w:t>Gerald Chan</w:t>
            </w:r>
          </w:p>
          <w:p w:rsidR="00344637" w:rsidRPr="00CC2796" w:rsidRDefault="00344637" w:rsidP="00C95B0C">
            <w:pPr>
              <w:keepNext/>
              <w:keepLines/>
              <w:tabs>
                <w:tab w:val="left" w:pos="-1440"/>
                <w:tab w:val="left" w:pos="-720"/>
              </w:tabs>
              <w:rPr>
                <w:sz w:val="20"/>
                <w:szCs w:val="20"/>
              </w:rPr>
            </w:pPr>
            <w:r w:rsidRPr="00CC2796">
              <w:rPr>
                <w:sz w:val="20"/>
                <w:szCs w:val="20"/>
              </w:rPr>
              <w:tab/>
            </w:r>
            <w:r>
              <w:rPr>
                <w:sz w:val="20"/>
                <w:szCs w:val="20"/>
              </w:rPr>
              <w:t>Ruby Shiller Chan Hasan</w:t>
            </w:r>
          </w:p>
          <w:p w:rsidR="00344637" w:rsidRPr="00CC2796" w:rsidRDefault="00344637" w:rsidP="00C95B0C">
            <w:pPr>
              <w:keepNext/>
              <w:keepLines/>
              <w:tabs>
                <w:tab w:val="left" w:pos="-1440"/>
                <w:tab w:val="left" w:pos="-720"/>
              </w:tabs>
              <w:rPr>
                <w:sz w:val="20"/>
                <w:szCs w:val="20"/>
              </w:rPr>
            </w:pPr>
          </w:p>
          <w:p w:rsidR="00344637" w:rsidRPr="00CC2796" w:rsidRDefault="00344637" w:rsidP="00C95B0C">
            <w:pPr>
              <w:keepNext/>
              <w:keepLines/>
              <w:tabs>
                <w:tab w:val="left" w:pos="-1440"/>
                <w:tab w:val="left" w:pos="-720"/>
              </w:tabs>
              <w:rPr>
                <w:sz w:val="20"/>
                <w:szCs w:val="20"/>
              </w:rPr>
            </w:pPr>
            <w:r w:rsidRPr="00CC2796">
              <w:rPr>
                <w:sz w:val="20"/>
                <w:szCs w:val="20"/>
              </w:rPr>
              <w:tab/>
              <w:t>v. (35</w:t>
            </w:r>
            <w:r>
              <w:rPr>
                <w:sz w:val="20"/>
                <w:szCs w:val="20"/>
              </w:rPr>
              <w:t>455</w:t>
            </w:r>
            <w:r w:rsidRPr="00CC2796">
              <w:rPr>
                <w:sz w:val="20"/>
                <w:szCs w:val="20"/>
              </w:rPr>
              <w:t>)</w:t>
            </w:r>
          </w:p>
          <w:p w:rsidR="00344637" w:rsidRPr="00CC2796" w:rsidRDefault="00344637" w:rsidP="00C95B0C">
            <w:pPr>
              <w:keepNext/>
              <w:keepLines/>
              <w:tabs>
                <w:tab w:val="left" w:pos="-1440"/>
                <w:tab w:val="left" w:pos="-720"/>
              </w:tabs>
              <w:rPr>
                <w:sz w:val="20"/>
                <w:szCs w:val="20"/>
              </w:rPr>
            </w:pPr>
          </w:p>
          <w:p w:rsidR="00344637" w:rsidRPr="00CC2796" w:rsidRDefault="00344637" w:rsidP="00C95B0C">
            <w:pPr>
              <w:keepNext/>
              <w:keepLines/>
              <w:tabs>
                <w:tab w:val="left" w:pos="-1440"/>
                <w:tab w:val="left" w:pos="-720"/>
              </w:tabs>
              <w:rPr>
                <w:b/>
                <w:sz w:val="20"/>
                <w:szCs w:val="20"/>
              </w:rPr>
            </w:pPr>
            <w:r>
              <w:rPr>
                <w:b/>
                <w:sz w:val="20"/>
                <w:szCs w:val="20"/>
              </w:rPr>
              <w:t xml:space="preserve">Her Majesty the Queen </w:t>
            </w:r>
            <w:r w:rsidRPr="00CC2796">
              <w:rPr>
                <w:b/>
                <w:sz w:val="20"/>
                <w:szCs w:val="20"/>
              </w:rPr>
              <w:t>(</w:t>
            </w:r>
            <w:r>
              <w:rPr>
                <w:b/>
                <w:sz w:val="20"/>
                <w:szCs w:val="20"/>
              </w:rPr>
              <w:t>B.C</w:t>
            </w:r>
            <w:r w:rsidRPr="00CC2796">
              <w:rPr>
                <w:b/>
                <w:sz w:val="20"/>
                <w:szCs w:val="20"/>
              </w:rPr>
              <w:t>.)</w:t>
            </w:r>
          </w:p>
          <w:p w:rsidR="00344637" w:rsidRPr="00CC2796" w:rsidRDefault="00344637" w:rsidP="00C95B0C">
            <w:pPr>
              <w:keepNext/>
              <w:keepLines/>
              <w:tabs>
                <w:tab w:val="left" w:pos="-1440"/>
                <w:tab w:val="left" w:pos="-720"/>
              </w:tabs>
              <w:rPr>
                <w:sz w:val="20"/>
                <w:szCs w:val="20"/>
              </w:rPr>
            </w:pPr>
            <w:r w:rsidRPr="00CC2796">
              <w:rPr>
                <w:sz w:val="20"/>
                <w:szCs w:val="20"/>
              </w:rPr>
              <w:tab/>
            </w:r>
            <w:r>
              <w:rPr>
                <w:sz w:val="20"/>
                <w:szCs w:val="20"/>
              </w:rPr>
              <w:t>John M. Gordon</w:t>
            </w:r>
          </w:p>
          <w:p w:rsidR="00344637" w:rsidRPr="00CC2796" w:rsidRDefault="00344637" w:rsidP="00C95B0C">
            <w:pPr>
              <w:keepNext/>
              <w:keepLines/>
              <w:tabs>
                <w:tab w:val="left" w:pos="-1440"/>
                <w:tab w:val="left" w:pos="-720"/>
              </w:tabs>
              <w:rPr>
                <w:sz w:val="20"/>
                <w:szCs w:val="20"/>
              </w:rPr>
            </w:pPr>
            <w:r w:rsidRPr="00CC2796">
              <w:rPr>
                <w:sz w:val="20"/>
                <w:szCs w:val="20"/>
              </w:rPr>
              <w:tab/>
            </w:r>
            <w:r>
              <w:rPr>
                <w:sz w:val="20"/>
                <w:szCs w:val="20"/>
              </w:rPr>
              <w:t>A.G. of British Columbia</w:t>
            </w:r>
          </w:p>
          <w:p w:rsidR="00344637" w:rsidRPr="00CC2796" w:rsidRDefault="00344637" w:rsidP="00C95B0C">
            <w:pPr>
              <w:keepNext/>
              <w:keepLines/>
              <w:tabs>
                <w:tab w:val="left" w:pos="-1440"/>
                <w:tab w:val="left" w:pos="-720"/>
              </w:tabs>
              <w:rPr>
                <w:sz w:val="20"/>
                <w:szCs w:val="20"/>
              </w:rPr>
            </w:pPr>
          </w:p>
          <w:p w:rsidR="00344637" w:rsidRPr="00A935AA" w:rsidRDefault="00344637" w:rsidP="00A66B65">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7</w:t>
            </w:r>
            <w:r w:rsidRPr="00A935AA">
              <w:rPr>
                <w:sz w:val="20"/>
                <w:szCs w:val="20"/>
              </w:rPr>
              <w:t>.201</w:t>
            </w:r>
            <w:r>
              <w:rPr>
                <w:sz w:val="20"/>
                <w:szCs w:val="20"/>
              </w:rPr>
              <w:t>3</w:t>
            </w:r>
            <w:r w:rsidR="005F2BA7" w:rsidRPr="005F2BA7">
              <w:rPr>
                <w:sz w:val="20"/>
                <w:szCs w:val="20"/>
                <w:lang w:val="fr-CA"/>
              </w:rPr>
              <w:pict>
                <v:rect id="_x0000_i1040" style="width:108pt;height:1pt" o:hrpct="0" o:hralign="center" o:hrstd="t" o:hrnoshade="t" o:hr="t" fillcolor="black [3213]" stroked="f"/>
              </w:pict>
            </w:r>
          </w:p>
        </w:tc>
      </w:tr>
      <w:tr w:rsidR="00344637" w:rsidRPr="00A935AA" w:rsidTr="003B3977">
        <w:trPr>
          <w:cantSplit/>
        </w:trPr>
        <w:tc>
          <w:tcPr>
            <w:tcW w:w="4320" w:type="dxa"/>
            <w:shd w:val="clear" w:color="auto" w:fill="auto"/>
          </w:tcPr>
          <w:p w:rsidR="00344637" w:rsidRPr="00244C4F" w:rsidRDefault="00344637" w:rsidP="00C95B0C">
            <w:pPr>
              <w:rPr>
                <w:b/>
                <w:sz w:val="20"/>
                <w:szCs w:val="20"/>
              </w:rPr>
            </w:pPr>
            <w:r>
              <w:rPr>
                <w:b/>
                <w:sz w:val="20"/>
                <w:szCs w:val="20"/>
              </w:rPr>
              <w:lastRenderedPageBreak/>
              <w:t>Richard Norman Ryan</w:t>
            </w:r>
          </w:p>
          <w:p w:rsidR="00344637" w:rsidRPr="00244C4F" w:rsidRDefault="00344637" w:rsidP="00C95B0C">
            <w:pPr>
              <w:tabs>
                <w:tab w:val="left" w:pos="-1440"/>
                <w:tab w:val="left" w:pos="-720"/>
              </w:tabs>
              <w:rPr>
                <w:sz w:val="20"/>
                <w:szCs w:val="20"/>
              </w:rPr>
            </w:pPr>
            <w:r w:rsidRPr="00244C4F">
              <w:rPr>
                <w:sz w:val="20"/>
                <w:szCs w:val="20"/>
              </w:rPr>
              <w:tab/>
            </w:r>
            <w:r>
              <w:rPr>
                <w:sz w:val="20"/>
                <w:szCs w:val="20"/>
              </w:rPr>
              <w:t>Robert Israel</w:t>
            </w:r>
          </w:p>
          <w:p w:rsidR="00344637" w:rsidRPr="00244C4F" w:rsidRDefault="00344637" w:rsidP="00C95B0C">
            <w:pPr>
              <w:tabs>
                <w:tab w:val="left" w:pos="-1440"/>
                <w:tab w:val="left" w:pos="-720"/>
              </w:tabs>
              <w:rPr>
                <w:sz w:val="20"/>
                <w:szCs w:val="20"/>
              </w:rPr>
            </w:pPr>
            <w:r w:rsidRPr="00244C4F">
              <w:rPr>
                <w:sz w:val="20"/>
                <w:szCs w:val="20"/>
              </w:rPr>
              <w:tab/>
            </w:r>
            <w:r>
              <w:rPr>
                <w:sz w:val="20"/>
                <w:szCs w:val="20"/>
              </w:rPr>
              <w:t>Shadley Battista</w:t>
            </w:r>
          </w:p>
          <w:p w:rsidR="00344637" w:rsidRPr="00244C4F" w:rsidRDefault="00344637" w:rsidP="00C95B0C">
            <w:pPr>
              <w:tabs>
                <w:tab w:val="left" w:pos="-1440"/>
                <w:tab w:val="left" w:pos="-720"/>
              </w:tabs>
              <w:rPr>
                <w:sz w:val="20"/>
                <w:szCs w:val="20"/>
              </w:rPr>
            </w:pPr>
          </w:p>
          <w:p w:rsidR="00344637" w:rsidRPr="00CC2796" w:rsidRDefault="00344637" w:rsidP="00C95B0C">
            <w:pPr>
              <w:tabs>
                <w:tab w:val="left" w:pos="-1440"/>
                <w:tab w:val="left" w:pos="-720"/>
              </w:tabs>
              <w:rPr>
                <w:sz w:val="20"/>
                <w:szCs w:val="20"/>
              </w:rPr>
            </w:pPr>
            <w:r w:rsidRPr="00244C4F">
              <w:rPr>
                <w:sz w:val="20"/>
                <w:szCs w:val="20"/>
              </w:rPr>
              <w:tab/>
            </w:r>
            <w:r w:rsidRPr="00CC2796">
              <w:rPr>
                <w:sz w:val="20"/>
                <w:szCs w:val="20"/>
              </w:rPr>
              <w:t>v. (35</w:t>
            </w:r>
            <w:r>
              <w:rPr>
                <w:sz w:val="20"/>
                <w:szCs w:val="20"/>
              </w:rPr>
              <w:t>454</w:t>
            </w:r>
            <w:r w:rsidRPr="00CC2796">
              <w:rPr>
                <w:sz w:val="20"/>
                <w:szCs w:val="20"/>
              </w:rPr>
              <w:t>)</w:t>
            </w:r>
          </w:p>
          <w:p w:rsidR="00344637" w:rsidRPr="00CC2796" w:rsidRDefault="00344637" w:rsidP="00C95B0C">
            <w:pPr>
              <w:tabs>
                <w:tab w:val="left" w:pos="-1440"/>
                <w:tab w:val="left" w:pos="-720"/>
              </w:tabs>
              <w:rPr>
                <w:sz w:val="20"/>
                <w:szCs w:val="20"/>
              </w:rPr>
            </w:pPr>
          </w:p>
          <w:p w:rsidR="00344637" w:rsidRPr="00CC2796" w:rsidRDefault="00344637" w:rsidP="00C95B0C">
            <w:pPr>
              <w:tabs>
                <w:tab w:val="left" w:pos="-1440"/>
                <w:tab w:val="left" w:pos="-720"/>
              </w:tabs>
              <w:rPr>
                <w:b/>
                <w:sz w:val="20"/>
                <w:szCs w:val="20"/>
              </w:rPr>
            </w:pPr>
            <w:r>
              <w:rPr>
                <w:b/>
                <w:sz w:val="20"/>
                <w:szCs w:val="20"/>
              </w:rPr>
              <w:t xml:space="preserve">Her Majesty the Queen </w:t>
            </w:r>
            <w:r w:rsidRPr="00CC2796">
              <w:rPr>
                <w:b/>
                <w:sz w:val="20"/>
                <w:szCs w:val="20"/>
              </w:rPr>
              <w:t>(</w:t>
            </w:r>
            <w:r>
              <w:rPr>
                <w:b/>
                <w:sz w:val="20"/>
                <w:szCs w:val="20"/>
              </w:rPr>
              <w:t>N.L</w:t>
            </w:r>
            <w:r w:rsidRPr="00CC2796">
              <w:rPr>
                <w:b/>
                <w:sz w:val="20"/>
                <w:szCs w:val="20"/>
              </w:rPr>
              <w:t>.)</w:t>
            </w:r>
          </w:p>
          <w:p w:rsidR="00344637" w:rsidRPr="00CC2796" w:rsidRDefault="00344637" w:rsidP="00C95B0C">
            <w:pPr>
              <w:tabs>
                <w:tab w:val="left" w:pos="-1440"/>
                <w:tab w:val="left" w:pos="-720"/>
              </w:tabs>
              <w:rPr>
                <w:sz w:val="20"/>
                <w:szCs w:val="20"/>
              </w:rPr>
            </w:pPr>
            <w:r w:rsidRPr="00CC2796">
              <w:rPr>
                <w:sz w:val="20"/>
                <w:szCs w:val="20"/>
              </w:rPr>
              <w:tab/>
            </w:r>
            <w:r>
              <w:rPr>
                <w:sz w:val="20"/>
                <w:szCs w:val="20"/>
              </w:rPr>
              <w:t>Frances Knickle</w:t>
            </w:r>
          </w:p>
          <w:p w:rsidR="00344637" w:rsidRPr="00CC2796" w:rsidRDefault="00344637" w:rsidP="00C95B0C">
            <w:pPr>
              <w:tabs>
                <w:tab w:val="left" w:pos="-1440"/>
                <w:tab w:val="left" w:pos="-720"/>
              </w:tabs>
              <w:rPr>
                <w:sz w:val="20"/>
                <w:szCs w:val="20"/>
              </w:rPr>
            </w:pPr>
            <w:r w:rsidRPr="00CC2796">
              <w:rPr>
                <w:sz w:val="20"/>
                <w:szCs w:val="20"/>
              </w:rPr>
              <w:tab/>
            </w:r>
            <w:r>
              <w:rPr>
                <w:sz w:val="20"/>
                <w:szCs w:val="20"/>
              </w:rPr>
              <w:t>A.G. of Newfoundland and Labrador</w:t>
            </w:r>
          </w:p>
          <w:p w:rsidR="00344637" w:rsidRPr="00CC2796" w:rsidRDefault="00344637" w:rsidP="00C95B0C">
            <w:pPr>
              <w:tabs>
                <w:tab w:val="left" w:pos="-1440"/>
                <w:tab w:val="left" w:pos="-720"/>
              </w:tabs>
              <w:rPr>
                <w:sz w:val="20"/>
                <w:szCs w:val="20"/>
              </w:rPr>
            </w:pPr>
          </w:p>
          <w:p w:rsidR="00344637" w:rsidRPr="00CC2796" w:rsidRDefault="00344637" w:rsidP="00C95B0C">
            <w:pPr>
              <w:rPr>
                <w:sz w:val="20"/>
                <w:szCs w:val="20"/>
              </w:rPr>
            </w:pPr>
            <w:r w:rsidRPr="00CC2796">
              <w:rPr>
                <w:sz w:val="20"/>
                <w:szCs w:val="20"/>
              </w:rPr>
              <w:t xml:space="preserve">FILING DATE: </w:t>
            </w:r>
            <w:r>
              <w:rPr>
                <w:sz w:val="20"/>
                <w:szCs w:val="20"/>
              </w:rPr>
              <w:t>31</w:t>
            </w:r>
            <w:r w:rsidRPr="00CC2796">
              <w:rPr>
                <w:sz w:val="20"/>
                <w:szCs w:val="20"/>
              </w:rPr>
              <w:t>.07.2013</w:t>
            </w:r>
          </w:p>
          <w:p w:rsidR="00344637" w:rsidRPr="00CC2796" w:rsidRDefault="005F2BA7" w:rsidP="00C95B0C">
            <w:pPr>
              <w:rPr>
                <w:sz w:val="20"/>
                <w:szCs w:val="20"/>
              </w:rPr>
            </w:pPr>
            <w:r w:rsidRPr="005F2BA7">
              <w:rPr>
                <w:sz w:val="20"/>
                <w:szCs w:val="20"/>
                <w:lang w:val="fr-CA"/>
              </w:rPr>
              <w:pict>
                <v:rect id="_x0000_i1041" style="width:108pt;height:1pt" o:hrpct="0" o:hralign="center" o:hrstd="t" o:hrnoshade="t" o:hr="t" fillcolor="black [3213]" stroked="f"/>
              </w:pict>
            </w:r>
          </w:p>
        </w:tc>
        <w:tc>
          <w:tcPr>
            <w:tcW w:w="1181" w:type="dxa"/>
            <w:shd w:val="clear" w:color="auto" w:fill="auto"/>
          </w:tcPr>
          <w:p w:rsidR="00344637" w:rsidRDefault="00344637"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Pr="00CC2796" w:rsidRDefault="00670CA8" w:rsidP="00242AEE">
            <w:pPr>
              <w:jc w:val="center"/>
              <w:rPr>
                <w:sz w:val="20"/>
                <w:szCs w:val="20"/>
              </w:rPr>
            </w:pPr>
          </w:p>
        </w:tc>
        <w:tc>
          <w:tcPr>
            <w:tcW w:w="4320" w:type="dxa"/>
            <w:shd w:val="clear" w:color="auto" w:fill="auto"/>
          </w:tcPr>
          <w:p w:rsidR="00344637" w:rsidRPr="00CC2796" w:rsidRDefault="00670CA8" w:rsidP="00C95B0C">
            <w:pPr>
              <w:keepNext/>
              <w:keepLines/>
              <w:tabs>
                <w:tab w:val="left" w:pos="-1440"/>
                <w:tab w:val="left" w:pos="-720"/>
              </w:tabs>
              <w:rPr>
                <w:b/>
                <w:sz w:val="20"/>
                <w:szCs w:val="20"/>
              </w:rPr>
            </w:pPr>
            <w:r>
              <w:rPr>
                <w:b/>
                <w:sz w:val="20"/>
                <w:szCs w:val="20"/>
              </w:rPr>
              <w:t>Prescient Foundation</w:t>
            </w:r>
          </w:p>
          <w:p w:rsidR="00344637" w:rsidRPr="00CC2796" w:rsidRDefault="00344637" w:rsidP="00C95B0C">
            <w:pPr>
              <w:keepNext/>
              <w:keepLines/>
              <w:tabs>
                <w:tab w:val="left" w:pos="-1440"/>
                <w:tab w:val="left" w:pos="-720"/>
              </w:tabs>
              <w:rPr>
                <w:sz w:val="20"/>
                <w:szCs w:val="20"/>
              </w:rPr>
            </w:pPr>
            <w:r w:rsidRPr="00CC2796">
              <w:rPr>
                <w:sz w:val="20"/>
                <w:szCs w:val="20"/>
              </w:rPr>
              <w:tab/>
            </w:r>
            <w:r w:rsidR="00670CA8">
              <w:rPr>
                <w:sz w:val="20"/>
                <w:szCs w:val="20"/>
              </w:rPr>
              <w:t>Gib van Ert</w:t>
            </w:r>
          </w:p>
          <w:p w:rsidR="00344637" w:rsidRPr="00CC2796" w:rsidRDefault="00344637" w:rsidP="00C95B0C">
            <w:pPr>
              <w:keepNext/>
              <w:keepLines/>
              <w:tabs>
                <w:tab w:val="left" w:pos="-1440"/>
                <w:tab w:val="left" w:pos="-720"/>
              </w:tabs>
              <w:rPr>
                <w:sz w:val="20"/>
                <w:szCs w:val="20"/>
              </w:rPr>
            </w:pPr>
            <w:r w:rsidRPr="00CC2796">
              <w:rPr>
                <w:sz w:val="20"/>
                <w:szCs w:val="20"/>
              </w:rPr>
              <w:tab/>
            </w:r>
            <w:r w:rsidR="00670CA8">
              <w:rPr>
                <w:sz w:val="20"/>
                <w:szCs w:val="20"/>
              </w:rPr>
              <w:t xml:space="preserve">Hunter Litigation Chambers Law </w:t>
            </w:r>
            <w:r w:rsidR="00670CA8">
              <w:rPr>
                <w:sz w:val="20"/>
                <w:szCs w:val="20"/>
              </w:rPr>
              <w:tab/>
              <w:t>Corporation</w:t>
            </w:r>
          </w:p>
          <w:p w:rsidR="00344637" w:rsidRPr="00CC2796" w:rsidRDefault="00344637" w:rsidP="00C95B0C">
            <w:pPr>
              <w:keepNext/>
              <w:keepLines/>
              <w:tabs>
                <w:tab w:val="left" w:pos="-1440"/>
                <w:tab w:val="left" w:pos="-720"/>
              </w:tabs>
              <w:rPr>
                <w:sz w:val="20"/>
                <w:szCs w:val="20"/>
              </w:rPr>
            </w:pPr>
          </w:p>
          <w:p w:rsidR="00344637" w:rsidRPr="00CC2796" w:rsidRDefault="00344637" w:rsidP="00C95B0C">
            <w:pPr>
              <w:keepNext/>
              <w:keepLines/>
              <w:tabs>
                <w:tab w:val="left" w:pos="-1440"/>
                <w:tab w:val="left" w:pos="-720"/>
              </w:tabs>
              <w:rPr>
                <w:sz w:val="20"/>
                <w:szCs w:val="20"/>
              </w:rPr>
            </w:pPr>
            <w:r w:rsidRPr="00CC2796">
              <w:rPr>
                <w:sz w:val="20"/>
                <w:szCs w:val="20"/>
              </w:rPr>
              <w:tab/>
              <w:t>v. (35</w:t>
            </w:r>
            <w:r w:rsidR="00670CA8">
              <w:rPr>
                <w:sz w:val="20"/>
                <w:szCs w:val="20"/>
              </w:rPr>
              <w:t>456</w:t>
            </w:r>
            <w:r w:rsidRPr="00CC2796">
              <w:rPr>
                <w:sz w:val="20"/>
                <w:szCs w:val="20"/>
              </w:rPr>
              <w:t>)</w:t>
            </w:r>
          </w:p>
          <w:p w:rsidR="00344637" w:rsidRPr="00CC2796" w:rsidRDefault="00344637" w:rsidP="00C95B0C">
            <w:pPr>
              <w:keepNext/>
              <w:keepLines/>
              <w:tabs>
                <w:tab w:val="left" w:pos="-1440"/>
                <w:tab w:val="left" w:pos="-720"/>
              </w:tabs>
              <w:rPr>
                <w:sz w:val="20"/>
                <w:szCs w:val="20"/>
              </w:rPr>
            </w:pPr>
          </w:p>
          <w:p w:rsidR="00344637" w:rsidRPr="00CC2796" w:rsidRDefault="00670CA8" w:rsidP="00C95B0C">
            <w:pPr>
              <w:keepNext/>
              <w:keepLines/>
              <w:tabs>
                <w:tab w:val="left" w:pos="-1440"/>
                <w:tab w:val="left" w:pos="-720"/>
              </w:tabs>
              <w:rPr>
                <w:b/>
                <w:sz w:val="20"/>
                <w:szCs w:val="20"/>
              </w:rPr>
            </w:pPr>
            <w:r>
              <w:rPr>
                <w:b/>
                <w:sz w:val="20"/>
                <w:szCs w:val="20"/>
              </w:rPr>
              <w:t xml:space="preserve">Minister of National Revenue </w:t>
            </w:r>
            <w:r w:rsidR="00344637" w:rsidRPr="00CC2796">
              <w:rPr>
                <w:b/>
                <w:sz w:val="20"/>
                <w:szCs w:val="20"/>
              </w:rPr>
              <w:t>(</w:t>
            </w:r>
            <w:r>
              <w:rPr>
                <w:b/>
                <w:sz w:val="20"/>
                <w:szCs w:val="20"/>
              </w:rPr>
              <w:t>F.C</w:t>
            </w:r>
            <w:r w:rsidR="00344637" w:rsidRPr="00CC2796">
              <w:rPr>
                <w:b/>
                <w:sz w:val="20"/>
                <w:szCs w:val="20"/>
              </w:rPr>
              <w:t>.)</w:t>
            </w:r>
          </w:p>
          <w:p w:rsidR="00344637" w:rsidRPr="00CC2796" w:rsidRDefault="00344637" w:rsidP="00C95B0C">
            <w:pPr>
              <w:keepNext/>
              <w:keepLines/>
              <w:tabs>
                <w:tab w:val="left" w:pos="-1440"/>
                <w:tab w:val="left" w:pos="-720"/>
              </w:tabs>
              <w:rPr>
                <w:sz w:val="20"/>
                <w:szCs w:val="20"/>
              </w:rPr>
            </w:pPr>
            <w:r w:rsidRPr="00CC2796">
              <w:rPr>
                <w:sz w:val="20"/>
                <w:szCs w:val="20"/>
              </w:rPr>
              <w:tab/>
            </w:r>
            <w:r w:rsidR="00670CA8">
              <w:rPr>
                <w:sz w:val="20"/>
                <w:szCs w:val="20"/>
              </w:rPr>
              <w:t>Lynn M. Burch</w:t>
            </w:r>
          </w:p>
          <w:p w:rsidR="00344637" w:rsidRPr="00CC2796" w:rsidRDefault="00344637" w:rsidP="00C95B0C">
            <w:pPr>
              <w:keepNext/>
              <w:keepLines/>
              <w:tabs>
                <w:tab w:val="left" w:pos="-1440"/>
                <w:tab w:val="left" w:pos="-720"/>
              </w:tabs>
              <w:rPr>
                <w:sz w:val="20"/>
                <w:szCs w:val="20"/>
              </w:rPr>
            </w:pPr>
            <w:r w:rsidRPr="00CC2796">
              <w:rPr>
                <w:sz w:val="20"/>
                <w:szCs w:val="20"/>
              </w:rPr>
              <w:tab/>
            </w:r>
            <w:r w:rsidR="00670CA8">
              <w:rPr>
                <w:sz w:val="20"/>
                <w:szCs w:val="20"/>
              </w:rPr>
              <w:t>A.G. of Canada</w:t>
            </w:r>
          </w:p>
          <w:p w:rsidR="00344637" w:rsidRPr="00CC2796" w:rsidRDefault="00344637" w:rsidP="00C95B0C">
            <w:pPr>
              <w:keepNext/>
              <w:keepLines/>
              <w:tabs>
                <w:tab w:val="left" w:pos="-1440"/>
                <w:tab w:val="left" w:pos="-720"/>
              </w:tabs>
              <w:rPr>
                <w:sz w:val="20"/>
                <w:szCs w:val="20"/>
              </w:rPr>
            </w:pPr>
          </w:p>
          <w:p w:rsidR="00344637" w:rsidRPr="00A935AA" w:rsidRDefault="00344637" w:rsidP="00670CA8">
            <w:pPr>
              <w:rPr>
                <w:sz w:val="20"/>
                <w:szCs w:val="20"/>
              </w:rPr>
            </w:pPr>
            <w:r w:rsidRPr="00A935AA">
              <w:rPr>
                <w:sz w:val="20"/>
                <w:szCs w:val="20"/>
              </w:rPr>
              <w:t xml:space="preserve">FILING DATE: </w:t>
            </w:r>
            <w:r w:rsidR="00670CA8">
              <w:rPr>
                <w:sz w:val="20"/>
                <w:szCs w:val="20"/>
              </w:rPr>
              <w:t>31</w:t>
            </w:r>
            <w:r w:rsidRPr="00A935AA">
              <w:rPr>
                <w:sz w:val="20"/>
                <w:szCs w:val="20"/>
              </w:rPr>
              <w:t>.0</w:t>
            </w:r>
            <w:r>
              <w:rPr>
                <w:sz w:val="20"/>
                <w:szCs w:val="20"/>
              </w:rPr>
              <w:t>7</w:t>
            </w:r>
            <w:r w:rsidRPr="00A935AA">
              <w:rPr>
                <w:sz w:val="20"/>
                <w:szCs w:val="20"/>
              </w:rPr>
              <w:t>.201</w:t>
            </w:r>
            <w:r>
              <w:rPr>
                <w:sz w:val="20"/>
                <w:szCs w:val="20"/>
              </w:rPr>
              <w:t>3</w:t>
            </w:r>
            <w:r w:rsidR="005F2BA7" w:rsidRPr="005F2BA7">
              <w:rPr>
                <w:sz w:val="20"/>
                <w:szCs w:val="20"/>
                <w:lang w:val="fr-CA"/>
              </w:rPr>
              <w:pict>
                <v:rect id="_x0000_i1042" style="width:108pt;height:1pt" o:hrpct="0" o:hralign="center" o:hrstd="t" o:hrnoshade="t" o:hr="t" fillcolor="black [3213]" stroked="f"/>
              </w:pict>
            </w:r>
          </w:p>
        </w:tc>
      </w:tr>
      <w:tr w:rsidR="00344637" w:rsidRPr="00A935AA" w:rsidTr="003B3977">
        <w:trPr>
          <w:cantSplit/>
        </w:trPr>
        <w:tc>
          <w:tcPr>
            <w:tcW w:w="4320" w:type="dxa"/>
            <w:shd w:val="clear" w:color="auto" w:fill="auto"/>
          </w:tcPr>
          <w:p w:rsidR="00344637" w:rsidRPr="00244C4F" w:rsidRDefault="00C63A0F" w:rsidP="00C95B0C">
            <w:pPr>
              <w:rPr>
                <w:b/>
                <w:sz w:val="20"/>
                <w:szCs w:val="20"/>
              </w:rPr>
            </w:pPr>
            <w:r>
              <w:rPr>
                <w:b/>
                <w:sz w:val="20"/>
                <w:szCs w:val="20"/>
              </w:rPr>
              <w:t>Mokua Gichuru</w:t>
            </w:r>
          </w:p>
          <w:p w:rsidR="00344637" w:rsidRPr="00244C4F" w:rsidRDefault="00344637" w:rsidP="00C95B0C">
            <w:pPr>
              <w:tabs>
                <w:tab w:val="left" w:pos="-1440"/>
                <w:tab w:val="left" w:pos="-720"/>
              </w:tabs>
              <w:rPr>
                <w:sz w:val="20"/>
                <w:szCs w:val="20"/>
              </w:rPr>
            </w:pPr>
            <w:r w:rsidRPr="00244C4F">
              <w:rPr>
                <w:sz w:val="20"/>
                <w:szCs w:val="20"/>
              </w:rPr>
              <w:tab/>
            </w:r>
            <w:r w:rsidR="00C63A0F">
              <w:rPr>
                <w:sz w:val="20"/>
                <w:szCs w:val="20"/>
              </w:rPr>
              <w:t>Mokua Gichuru</w:t>
            </w:r>
          </w:p>
          <w:p w:rsidR="00344637" w:rsidRPr="00244C4F" w:rsidRDefault="00344637" w:rsidP="00C95B0C">
            <w:pPr>
              <w:tabs>
                <w:tab w:val="left" w:pos="-1440"/>
                <w:tab w:val="left" w:pos="-720"/>
              </w:tabs>
              <w:rPr>
                <w:sz w:val="20"/>
                <w:szCs w:val="20"/>
              </w:rPr>
            </w:pPr>
          </w:p>
          <w:p w:rsidR="00344637" w:rsidRPr="00CC2796" w:rsidRDefault="00344637" w:rsidP="00C95B0C">
            <w:pPr>
              <w:tabs>
                <w:tab w:val="left" w:pos="-1440"/>
                <w:tab w:val="left" w:pos="-720"/>
              </w:tabs>
              <w:rPr>
                <w:sz w:val="20"/>
                <w:szCs w:val="20"/>
              </w:rPr>
            </w:pPr>
            <w:r w:rsidRPr="00244C4F">
              <w:rPr>
                <w:sz w:val="20"/>
                <w:szCs w:val="20"/>
              </w:rPr>
              <w:tab/>
            </w:r>
            <w:r w:rsidRPr="00CC2796">
              <w:rPr>
                <w:sz w:val="20"/>
                <w:szCs w:val="20"/>
              </w:rPr>
              <w:t>v. (35</w:t>
            </w:r>
            <w:r w:rsidR="00C63A0F">
              <w:rPr>
                <w:sz w:val="20"/>
                <w:szCs w:val="20"/>
              </w:rPr>
              <w:t>462</w:t>
            </w:r>
            <w:r w:rsidRPr="00CC2796">
              <w:rPr>
                <w:sz w:val="20"/>
                <w:szCs w:val="20"/>
              </w:rPr>
              <w:t>)</w:t>
            </w:r>
          </w:p>
          <w:p w:rsidR="00344637" w:rsidRPr="00CC2796" w:rsidRDefault="00344637" w:rsidP="00C95B0C">
            <w:pPr>
              <w:tabs>
                <w:tab w:val="left" w:pos="-1440"/>
                <w:tab w:val="left" w:pos="-720"/>
              </w:tabs>
              <w:rPr>
                <w:sz w:val="20"/>
                <w:szCs w:val="20"/>
              </w:rPr>
            </w:pPr>
          </w:p>
          <w:p w:rsidR="00344637" w:rsidRPr="00CC2796" w:rsidRDefault="00C63A0F" w:rsidP="00C95B0C">
            <w:pPr>
              <w:tabs>
                <w:tab w:val="left" w:pos="-1440"/>
                <w:tab w:val="left" w:pos="-720"/>
              </w:tabs>
              <w:rPr>
                <w:b/>
                <w:sz w:val="20"/>
                <w:szCs w:val="20"/>
              </w:rPr>
            </w:pPr>
            <w:r>
              <w:rPr>
                <w:b/>
                <w:sz w:val="20"/>
                <w:szCs w:val="20"/>
              </w:rPr>
              <w:t xml:space="preserve">Amy Renee York and Prado Cafe Inc., </w:t>
            </w:r>
            <w:r w:rsidR="00196D53">
              <w:rPr>
                <w:b/>
                <w:sz w:val="20"/>
                <w:szCs w:val="20"/>
              </w:rPr>
              <w:t>b</w:t>
            </w:r>
            <w:r>
              <w:rPr>
                <w:b/>
                <w:sz w:val="20"/>
                <w:szCs w:val="20"/>
              </w:rPr>
              <w:t xml:space="preserve">oth </w:t>
            </w:r>
            <w:r w:rsidR="00196D53">
              <w:rPr>
                <w:b/>
                <w:sz w:val="20"/>
                <w:szCs w:val="20"/>
              </w:rPr>
              <w:t>d</w:t>
            </w:r>
            <w:r>
              <w:rPr>
                <w:b/>
                <w:sz w:val="20"/>
                <w:szCs w:val="20"/>
              </w:rPr>
              <w:t xml:space="preserve">oing </w:t>
            </w:r>
            <w:r w:rsidR="00196D53">
              <w:rPr>
                <w:b/>
                <w:sz w:val="20"/>
                <w:szCs w:val="20"/>
              </w:rPr>
              <w:t>b</w:t>
            </w:r>
            <w:r>
              <w:rPr>
                <w:b/>
                <w:sz w:val="20"/>
                <w:szCs w:val="20"/>
              </w:rPr>
              <w:t xml:space="preserve">usiness as “Prado Cafe” </w:t>
            </w:r>
            <w:r w:rsidR="00344637" w:rsidRPr="00CC2796">
              <w:rPr>
                <w:b/>
                <w:sz w:val="20"/>
                <w:szCs w:val="20"/>
              </w:rPr>
              <w:t>(B.C.)</w:t>
            </w:r>
          </w:p>
          <w:p w:rsidR="00344637" w:rsidRPr="00CC2796" w:rsidRDefault="00344637" w:rsidP="00C95B0C">
            <w:pPr>
              <w:tabs>
                <w:tab w:val="left" w:pos="-1440"/>
                <w:tab w:val="left" w:pos="-720"/>
              </w:tabs>
              <w:rPr>
                <w:sz w:val="20"/>
                <w:szCs w:val="20"/>
              </w:rPr>
            </w:pPr>
            <w:r w:rsidRPr="00CC2796">
              <w:rPr>
                <w:sz w:val="20"/>
                <w:szCs w:val="20"/>
              </w:rPr>
              <w:tab/>
            </w:r>
            <w:r w:rsidR="00C63A0F">
              <w:rPr>
                <w:sz w:val="20"/>
                <w:szCs w:val="20"/>
              </w:rPr>
              <w:t>Sanjeev Patro</w:t>
            </w:r>
          </w:p>
          <w:p w:rsidR="00344637" w:rsidRPr="00CC2796" w:rsidRDefault="00344637" w:rsidP="00C95B0C">
            <w:pPr>
              <w:tabs>
                <w:tab w:val="left" w:pos="-1440"/>
                <w:tab w:val="left" w:pos="-720"/>
              </w:tabs>
              <w:rPr>
                <w:sz w:val="20"/>
                <w:szCs w:val="20"/>
              </w:rPr>
            </w:pPr>
            <w:r w:rsidRPr="00CC2796">
              <w:rPr>
                <w:sz w:val="20"/>
                <w:szCs w:val="20"/>
              </w:rPr>
              <w:tab/>
            </w:r>
            <w:r w:rsidR="00C63A0F">
              <w:rPr>
                <w:sz w:val="20"/>
                <w:szCs w:val="20"/>
              </w:rPr>
              <w:t>Buckley Hogan Law Office</w:t>
            </w:r>
          </w:p>
          <w:p w:rsidR="00344637" w:rsidRPr="00CC2796" w:rsidRDefault="00344637" w:rsidP="00C95B0C">
            <w:pPr>
              <w:tabs>
                <w:tab w:val="left" w:pos="-1440"/>
                <w:tab w:val="left" w:pos="-720"/>
              </w:tabs>
              <w:rPr>
                <w:sz w:val="20"/>
                <w:szCs w:val="20"/>
              </w:rPr>
            </w:pPr>
          </w:p>
          <w:p w:rsidR="00344637" w:rsidRPr="00CC2796" w:rsidRDefault="00344637" w:rsidP="00C95B0C">
            <w:pPr>
              <w:rPr>
                <w:sz w:val="20"/>
                <w:szCs w:val="20"/>
              </w:rPr>
            </w:pPr>
            <w:r w:rsidRPr="00CC2796">
              <w:rPr>
                <w:sz w:val="20"/>
                <w:szCs w:val="20"/>
              </w:rPr>
              <w:t xml:space="preserve">FILING DATE: </w:t>
            </w:r>
            <w:r w:rsidR="00C63A0F">
              <w:rPr>
                <w:sz w:val="20"/>
                <w:szCs w:val="20"/>
              </w:rPr>
              <w:t>01</w:t>
            </w:r>
            <w:r w:rsidRPr="00CC2796">
              <w:rPr>
                <w:sz w:val="20"/>
                <w:szCs w:val="20"/>
              </w:rPr>
              <w:t>.0</w:t>
            </w:r>
            <w:r w:rsidR="00C63A0F">
              <w:rPr>
                <w:sz w:val="20"/>
                <w:szCs w:val="20"/>
              </w:rPr>
              <w:t>8</w:t>
            </w:r>
            <w:r w:rsidRPr="00CC2796">
              <w:rPr>
                <w:sz w:val="20"/>
                <w:szCs w:val="20"/>
              </w:rPr>
              <w:t>.2013</w:t>
            </w:r>
          </w:p>
          <w:p w:rsidR="00344637" w:rsidRPr="00CC2796" w:rsidRDefault="005F2BA7" w:rsidP="00C95B0C">
            <w:pPr>
              <w:rPr>
                <w:sz w:val="20"/>
                <w:szCs w:val="20"/>
              </w:rPr>
            </w:pPr>
            <w:r w:rsidRPr="005F2BA7">
              <w:rPr>
                <w:sz w:val="20"/>
                <w:szCs w:val="20"/>
                <w:lang w:val="fr-CA"/>
              </w:rPr>
              <w:pict>
                <v:rect id="_x0000_i1043" style="width:108pt;height:1pt" o:hrpct="0" o:hralign="center" o:hrstd="t" o:hrnoshade="t" o:hr="t" fillcolor="black [3213]" stroked="f"/>
              </w:pict>
            </w:r>
          </w:p>
        </w:tc>
        <w:tc>
          <w:tcPr>
            <w:tcW w:w="1181" w:type="dxa"/>
            <w:shd w:val="clear" w:color="auto" w:fill="auto"/>
          </w:tcPr>
          <w:p w:rsidR="00344637" w:rsidRDefault="00344637"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Pr="00CC2796" w:rsidRDefault="00670CA8" w:rsidP="00242AEE">
            <w:pPr>
              <w:jc w:val="center"/>
              <w:rPr>
                <w:sz w:val="20"/>
                <w:szCs w:val="20"/>
              </w:rPr>
            </w:pPr>
          </w:p>
        </w:tc>
        <w:tc>
          <w:tcPr>
            <w:tcW w:w="4320" w:type="dxa"/>
            <w:shd w:val="clear" w:color="auto" w:fill="auto"/>
          </w:tcPr>
          <w:p w:rsidR="00344637" w:rsidRDefault="00344637" w:rsidP="00C95B0C">
            <w:pPr>
              <w:keepNext/>
              <w:keepLines/>
              <w:tabs>
                <w:tab w:val="left" w:pos="-1440"/>
                <w:tab w:val="left" w:pos="-720"/>
              </w:tabs>
              <w:rPr>
                <w:b/>
                <w:sz w:val="20"/>
                <w:szCs w:val="20"/>
              </w:rPr>
            </w:pPr>
          </w:p>
          <w:p w:rsidR="00C63A0F" w:rsidRPr="00CC2796" w:rsidRDefault="00C63A0F" w:rsidP="00C95B0C">
            <w:pPr>
              <w:keepNext/>
              <w:keepLines/>
              <w:tabs>
                <w:tab w:val="left" w:pos="-1440"/>
                <w:tab w:val="left" w:pos="-720"/>
              </w:tabs>
              <w:rPr>
                <w:b/>
                <w:sz w:val="20"/>
                <w:szCs w:val="20"/>
              </w:rPr>
            </w:pPr>
            <w:r>
              <w:rPr>
                <w:b/>
                <w:sz w:val="20"/>
                <w:szCs w:val="20"/>
              </w:rPr>
              <w:t>City of Whitehorse</w:t>
            </w:r>
          </w:p>
          <w:p w:rsidR="00344637" w:rsidRPr="00CC2796" w:rsidRDefault="00344637" w:rsidP="00C95B0C">
            <w:pPr>
              <w:keepNext/>
              <w:keepLines/>
              <w:tabs>
                <w:tab w:val="left" w:pos="-1440"/>
                <w:tab w:val="left" w:pos="-720"/>
              </w:tabs>
              <w:rPr>
                <w:sz w:val="20"/>
                <w:szCs w:val="20"/>
              </w:rPr>
            </w:pPr>
            <w:r w:rsidRPr="00CC2796">
              <w:rPr>
                <w:sz w:val="20"/>
                <w:szCs w:val="20"/>
              </w:rPr>
              <w:tab/>
            </w:r>
            <w:r w:rsidR="00C63A0F">
              <w:rPr>
                <w:sz w:val="20"/>
                <w:szCs w:val="20"/>
              </w:rPr>
              <w:t>Kimberley L.D. Cook</w:t>
            </w:r>
          </w:p>
          <w:p w:rsidR="00344637" w:rsidRPr="00CC2796" w:rsidRDefault="00344637" w:rsidP="00C95B0C">
            <w:pPr>
              <w:keepNext/>
              <w:keepLines/>
              <w:tabs>
                <w:tab w:val="left" w:pos="-1440"/>
                <w:tab w:val="left" w:pos="-720"/>
              </w:tabs>
              <w:rPr>
                <w:sz w:val="20"/>
                <w:szCs w:val="20"/>
              </w:rPr>
            </w:pPr>
            <w:r w:rsidRPr="00CC2796">
              <w:rPr>
                <w:sz w:val="20"/>
                <w:szCs w:val="20"/>
              </w:rPr>
              <w:tab/>
            </w:r>
            <w:r w:rsidR="00C63A0F">
              <w:rPr>
                <w:sz w:val="20"/>
                <w:szCs w:val="20"/>
              </w:rPr>
              <w:t>Thorsteinssons</w:t>
            </w:r>
          </w:p>
          <w:p w:rsidR="00344637" w:rsidRPr="00CC2796" w:rsidRDefault="00344637" w:rsidP="00C95B0C">
            <w:pPr>
              <w:keepNext/>
              <w:keepLines/>
              <w:tabs>
                <w:tab w:val="left" w:pos="-1440"/>
                <w:tab w:val="left" w:pos="-720"/>
              </w:tabs>
              <w:rPr>
                <w:sz w:val="20"/>
                <w:szCs w:val="20"/>
              </w:rPr>
            </w:pPr>
          </w:p>
          <w:p w:rsidR="00344637" w:rsidRPr="00CC2796" w:rsidRDefault="00344637" w:rsidP="00C95B0C">
            <w:pPr>
              <w:keepNext/>
              <w:keepLines/>
              <w:tabs>
                <w:tab w:val="left" w:pos="-1440"/>
                <w:tab w:val="left" w:pos="-720"/>
              </w:tabs>
              <w:rPr>
                <w:sz w:val="20"/>
                <w:szCs w:val="20"/>
              </w:rPr>
            </w:pPr>
            <w:r w:rsidRPr="00CC2796">
              <w:rPr>
                <w:sz w:val="20"/>
                <w:szCs w:val="20"/>
              </w:rPr>
              <w:tab/>
              <w:t>v. (35</w:t>
            </w:r>
            <w:r w:rsidR="00C63A0F">
              <w:rPr>
                <w:sz w:val="20"/>
                <w:szCs w:val="20"/>
              </w:rPr>
              <w:t>458</w:t>
            </w:r>
            <w:r w:rsidRPr="00CC2796">
              <w:rPr>
                <w:sz w:val="20"/>
                <w:szCs w:val="20"/>
              </w:rPr>
              <w:t>)</w:t>
            </w:r>
          </w:p>
          <w:p w:rsidR="00344637" w:rsidRPr="00CC2796" w:rsidRDefault="00344637" w:rsidP="00C95B0C">
            <w:pPr>
              <w:keepNext/>
              <w:keepLines/>
              <w:tabs>
                <w:tab w:val="left" w:pos="-1440"/>
                <w:tab w:val="left" w:pos="-720"/>
              </w:tabs>
              <w:rPr>
                <w:sz w:val="20"/>
                <w:szCs w:val="20"/>
              </w:rPr>
            </w:pPr>
          </w:p>
          <w:p w:rsidR="00344637" w:rsidRPr="00CC2796" w:rsidRDefault="00C63A0F" w:rsidP="00C95B0C">
            <w:pPr>
              <w:keepNext/>
              <w:keepLines/>
              <w:tabs>
                <w:tab w:val="left" w:pos="-1440"/>
                <w:tab w:val="left" w:pos="-720"/>
              </w:tabs>
              <w:rPr>
                <w:b/>
                <w:sz w:val="20"/>
                <w:szCs w:val="20"/>
              </w:rPr>
            </w:pPr>
            <w:r>
              <w:rPr>
                <w:b/>
                <w:sz w:val="20"/>
                <w:szCs w:val="20"/>
              </w:rPr>
              <w:t xml:space="preserve">Her Majesty the Queen </w:t>
            </w:r>
            <w:r w:rsidR="00344637" w:rsidRPr="00CC2796">
              <w:rPr>
                <w:b/>
                <w:sz w:val="20"/>
                <w:szCs w:val="20"/>
              </w:rPr>
              <w:t>(</w:t>
            </w:r>
            <w:r>
              <w:rPr>
                <w:b/>
                <w:sz w:val="20"/>
                <w:szCs w:val="20"/>
              </w:rPr>
              <w:t>F.C</w:t>
            </w:r>
            <w:r w:rsidR="00344637" w:rsidRPr="00CC2796">
              <w:rPr>
                <w:b/>
                <w:sz w:val="20"/>
                <w:szCs w:val="20"/>
              </w:rPr>
              <w:t>.)</w:t>
            </w:r>
          </w:p>
          <w:p w:rsidR="00C63A0F" w:rsidRDefault="00344637" w:rsidP="00C95B0C">
            <w:pPr>
              <w:keepNext/>
              <w:keepLines/>
              <w:tabs>
                <w:tab w:val="left" w:pos="-1440"/>
                <w:tab w:val="left" w:pos="-720"/>
              </w:tabs>
              <w:rPr>
                <w:sz w:val="20"/>
                <w:szCs w:val="20"/>
              </w:rPr>
            </w:pPr>
            <w:r w:rsidRPr="00CC2796">
              <w:rPr>
                <w:sz w:val="20"/>
                <w:szCs w:val="20"/>
              </w:rPr>
              <w:tab/>
            </w:r>
            <w:r w:rsidR="00C63A0F">
              <w:rPr>
                <w:sz w:val="20"/>
                <w:szCs w:val="20"/>
              </w:rPr>
              <w:t>Victor Caux</w:t>
            </w:r>
          </w:p>
          <w:p w:rsidR="00344637" w:rsidRPr="00CC2796" w:rsidRDefault="00344637" w:rsidP="00C95B0C">
            <w:pPr>
              <w:keepNext/>
              <w:keepLines/>
              <w:tabs>
                <w:tab w:val="left" w:pos="-1440"/>
                <w:tab w:val="left" w:pos="-720"/>
              </w:tabs>
              <w:rPr>
                <w:sz w:val="20"/>
                <w:szCs w:val="20"/>
              </w:rPr>
            </w:pPr>
            <w:r w:rsidRPr="00CC2796">
              <w:rPr>
                <w:sz w:val="20"/>
                <w:szCs w:val="20"/>
              </w:rPr>
              <w:tab/>
            </w:r>
            <w:r w:rsidR="00C63A0F">
              <w:rPr>
                <w:sz w:val="20"/>
                <w:szCs w:val="20"/>
              </w:rPr>
              <w:t>A.G. of Canada</w:t>
            </w:r>
          </w:p>
          <w:p w:rsidR="00344637" w:rsidRPr="00CC2796" w:rsidRDefault="00344637" w:rsidP="00C95B0C">
            <w:pPr>
              <w:keepNext/>
              <w:keepLines/>
              <w:tabs>
                <w:tab w:val="left" w:pos="-1440"/>
                <w:tab w:val="left" w:pos="-720"/>
              </w:tabs>
              <w:rPr>
                <w:sz w:val="20"/>
                <w:szCs w:val="20"/>
              </w:rPr>
            </w:pPr>
          </w:p>
          <w:p w:rsidR="00344637" w:rsidRPr="00A935AA" w:rsidRDefault="00344637" w:rsidP="000B60B2">
            <w:pPr>
              <w:rPr>
                <w:sz w:val="20"/>
                <w:szCs w:val="20"/>
              </w:rPr>
            </w:pPr>
            <w:r w:rsidRPr="00A935AA">
              <w:rPr>
                <w:sz w:val="20"/>
                <w:szCs w:val="20"/>
              </w:rPr>
              <w:t xml:space="preserve">FILING DATE: </w:t>
            </w:r>
            <w:r w:rsidR="00C63A0F">
              <w:rPr>
                <w:sz w:val="20"/>
                <w:szCs w:val="20"/>
              </w:rPr>
              <w:t>0</w:t>
            </w:r>
            <w:r w:rsidR="000B60B2">
              <w:rPr>
                <w:sz w:val="20"/>
                <w:szCs w:val="20"/>
              </w:rPr>
              <w:t>2</w:t>
            </w:r>
            <w:r w:rsidRPr="00A935AA">
              <w:rPr>
                <w:sz w:val="20"/>
                <w:szCs w:val="20"/>
              </w:rPr>
              <w:t>.0</w:t>
            </w:r>
            <w:r w:rsidR="00C63A0F">
              <w:rPr>
                <w:sz w:val="20"/>
                <w:szCs w:val="20"/>
              </w:rPr>
              <w:t>8</w:t>
            </w:r>
            <w:r w:rsidRPr="00A935AA">
              <w:rPr>
                <w:sz w:val="20"/>
                <w:szCs w:val="20"/>
              </w:rPr>
              <w:t>.201</w:t>
            </w:r>
            <w:r>
              <w:rPr>
                <w:sz w:val="20"/>
                <w:szCs w:val="20"/>
              </w:rPr>
              <w:t>3</w:t>
            </w:r>
            <w:r w:rsidR="005F2BA7" w:rsidRPr="005F2BA7">
              <w:rPr>
                <w:sz w:val="20"/>
                <w:szCs w:val="20"/>
                <w:lang w:val="fr-CA"/>
              </w:rPr>
              <w:pict>
                <v:rect id="_x0000_i1044" style="width:108pt;height:1pt" o:hrpct="0" o:hralign="center" o:hrstd="t" o:hrnoshade="t" o:hr="t" fillcolor="black [3213]" stroked="f"/>
              </w:pict>
            </w:r>
          </w:p>
        </w:tc>
      </w:tr>
      <w:tr w:rsidR="00344637" w:rsidRPr="00A935AA" w:rsidTr="003B3977">
        <w:trPr>
          <w:cantSplit/>
        </w:trPr>
        <w:tc>
          <w:tcPr>
            <w:tcW w:w="4320" w:type="dxa"/>
            <w:shd w:val="clear" w:color="auto" w:fill="auto"/>
          </w:tcPr>
          <w:p w:rsidR="00344637" w:rsidRPr="00244C4F" w:rsidRDefault="000B60B2" w:rsidP="00A66B65">
            <w:pPr>
              <w:rPr>
                <w:b/>
                <w:sz w:val="20"/>
                <w:szCs w:val="20"/>
              </w:rPr>
            </w:pPr>
            <w:r>
              <w:rPr>
                <w:b/>
                <w:sz w:val="20"/>
                <w:szCs w:val="20"/>
              </w:rPr>
              <w:t>Thomas Boyce et al.</w:t>
            </w:r>
          </w:p>
          <w:p w:rsidR="00344637" w:rsidRPr="00244C4F" w:rsidRDefault="00344637" w:rsidP="00A66B65">
            <w:pPr>
              <w:tabs>
                <w:tab w:val="left" w:pos="-1440"/>
                <w:tab w:val="left" w:pos="-720"/>
              </w:tabs>
              <w:rPr>
                <w:sz w:val="20"/>
                <w:szCs w:val="20"/>
              </w:rPr>
            </w:pPr>
            <w:r w:rsidRPr="00244C4F">
              <w:rPr>
                <w:sz w:val="20"/>
                <w:szCs w:val="20"/>
              </w:rPr>
              <w:tab/>
            </w:r>
            <w:r w:rsidR="000B60B2">
              <w:rPr>
                <w:sz w:val="20"/>
                <w:szCs w:val="20"/>
              </w:rPr>
              <w:t>Jason D. Singer</w:t>
            </w:r>
          </w:p>
          <w:p w:rsidR="00344637" w:rsidRPr="00244C4F" w:rsidRDefault="00344637" w:rsidP="00A66B65">
            <w:pPr>
              <w:tabs>
                <w:tab w:val="left" w:pos="-1440"/>
                <w:tab w:val="left" w:pos="-720"/>
              </w:tabs>
              <w:rPr>
                <w:sz w:val="20"/>
                <w:szCs w:val="20"/>
              </w:rPr>
            </w:pPr>
            <w:r w:rsidRPr="00244C4F">
              <w:rPr>
                <w:sz w:val="20"/>
                <w:szCs w:val="20"/>
              </w:rPr>
              <w:tab/>
            </w:r>
            <w:r w:rsidR="000B60B2">
              <w:rPr>
                <w:sz w:val="20"/>
                <w:szCs w:val="20"/>
              </w:rPr>
              <w:t>Singer, Kwinter</w:t>
            </w:r>
          </w:p>
          <w:p w:rsidR="00344637" w:rsidRPr="00244C4F" w:rsidRDefault="00344637" w:rsidP="00A66B65">
            <w:pPr>
              <w:tabs>
                <w:tab w:val="left" w:pos="-1440"/>
                <w:tab w:val="left" w:pos="-720"/>
              </w:tabs>
              <w:rPr>
                <w:sz w:val="20"/>
                <w:szCs w:val="20"/>
              </w:rPr>
            </w:pPr>
          </w:p>
          <w:p w:rsidR="00344637" w:rsidRPr="00CC2796" w:rsidRDefault="00344637" w:rsidP="00A66B65">
            <w:pPr>
              <w:tabs>
                <w:tab w:val="left" w:pos="-1440"/>
                <w:tab w:val="left" w:pos="-720"/>
              </w:tabs>
              <w:rPr>
                <w:sz w:val="20"/>
                <w:szCs w:val="20"/>
              </w:rPr>
            </w:pPr>
            <w:r w:rsidRPr="00244C4F">
              <w:rPr>
                <w:sz w:val="20"/>
                <w:szCs w:val="20"/>
              </w:rPr>
              <w:tab/>
            </w:r>
            <w:r w:rsidRPr="00CC2796">
              <w:rPr>
                <w:sz w:val="20"/>
                <w:szCs w:val="20"/>
              </w:rPr>
              <w:t>v. (35</w:t>
            </w:r>
            <w:r w:rsidR="000B60B2">
              <w:rPr>
                <w:sz w:val="20"/>
                <w:szCs w:val="20"/>
              </w:rPr>
              <w:t>459</w:t>
            </w:r>
            <w:r w:rsidRPr="00CC2796">
              <w:rPr>
                <w:sz w:val="20"/>
                <w:szCs w:val="20"/>
              </w:rPr>
              <w:t>)</w:t>
            </w:r>
          </w:p>
          <w:p w:rsidR="00344637" w:rsidRPr="00CC2796" w:rsidRDefault="00344637" w:rsidP="00A66B65">
            <w:pPr>
              <w:tabs>
                <w:tab w:val="left" w:pos="-1440"/>
                <w:tab w:val="left" w:pos="-720"/>
              </w:tabs>
              <w:rPr>
                <w:sz w:val="20"/>
                <w:szCs w:val="20"/>
              </w:rPr>
            </w:pPr>
          </w:p>
          <w:p w:rsidR="00344637" w:rsidRPr="00CC2796" w:rsidRDefault="000B60B2" w:rsidP="00A66B65">
            <w:pPr>
              <w:tabs>
                <w:tab w:val="left" w:pos="-1440"/>
                <w:tab w:val="left" w:pos="-720"/>
              </w:tabs>
              <w:rPr>
                <w:b/>
                <w:sz w:val="20"/>
                <w:szCs w:val="20"/>
              </w:rPr>
            </w:pPr>
            <w:r>
              <w:rPr>
                <w:b/>
                <w:sz w:val="20"/>
                <w:szCs w:val="20"/>
              </w:rPr>
              <w:t xml:space="preserve">Co-Operators General Insurance Company </w:t>
            </w:r>
            <w:r w:rsidR="00344637" w:rsidRPr="00CC2796">
              <w:rPr>
                <w:b/>
                <w:sz w:val="20"/>
                <w:szCs w:val="20"/>
              </w:rPr>
              <w:t>(</w:t>
            </w:r>
            <w:r>
              <w:rPr>
                <w:b/>
                <w:sz w:val="20"/>
                <w:szCs w:val="20"/>
              </w:rPr>
              <w:t>Ont</w:t>
            </w:r>
            <w:r w:rsidR="00344637" w:rsidRPr="00CC2796">
              <w:rPr>
                <w:b/>
                <w:sz w:val="20"/>
                <w:szCs w:val="20"/>
              </w:rPr>
              <w:t>.)</w:t>
            </w:r>
          </w:p>
          <w:p w:rsidR="00344637" w:rsidRPr="00CC2796" w:rsidRDefault="00344637" w:rsidP="00A66B65">
            <w:pPr>
              <w:tabs>
                <w:tab w:val="left" w:pos="-1440"/>
                <w:tab w:val="left" w:pos="-720"/>
              </w:tabs>
              <w:rPr>
                <w:sz w:val="20"/>
                <w:szCs w:val="20"/>
              </w:rPr>
            </w:pPr>
            <w:r w:rsidRPr="00CC2796">
              <w:rPr>
                <w:sz w:val="20"/>
                <w:szCs w:val="20"/>
              </w:rPr>
              <w:tab/>
            </w:r>
            <w:r w:rsidR="000B60B2">
              <w:rPr>
                <w:sz w:val="20"/>
                <w:szCs w:val="20"/>
              </w:rPr>
              <w:t>Mitchell E. Kitagawa</w:t>
            </w:r>
          </w:p>
          <w:p w:rsidR="00344637" w:rsidRPr="00CC2796" w:rsidRDefault="00344637" w:rsidP="00A66B65">
            <w:pPr>
              <w:tabs>
                <w:tab w:val="left" w:pos="-1440"/>
                <w:tab w:val="left" w:pos="-720"/>
              </w:tabs>
              <w:rPr>
                <w:sz w:val="20"/>
                <w:szCs w:val="20"/>
              </w:rPr>
            </w:pPr>
            <w:r w:rsidRPr="00CC2796">
              <w:rPr>
                <w:sz w:val="20"/>
                <w:szCs w:val="20"/>
              </w:rPr>
              <w:tab/>
            </w:r>
            <w:r w:rsidR="000B60B2">
              <w:rPr>
                <w:sz w:val="20"/>
                <w:szCs w:val="20"/>
              </w:rPr>
              <w:t>Kelly Santini LLP</w:t>
            </w:r>
          </w:p>
          <w:p w:rsidR="00344637" w:rsidRPr="00CC2796" w:rsidRDefault="00344637" w:rsidP="00A66B65">
            <w:pPr>
              <w:tabs>
                <w:tab w:val="left" w:pos="-1440"/>
                <w:tab w:val="left" w:pos="-720"/>
              </w:tabs>
              <w:rPr>
                <w:sz w:val="20"/>
                <w:szCs w:val="20"/>
              </w:rPr>
            </w:pPr>
          </w:p>
          <w:p w:rsidR="00344637" w:rsidRPr="00CC2796" w:rsidRDefault="00344637" w:rsidP="00A66B65">
            <w:pPr>
              <w:rPr>
                <w:sz w:val="20"/>
                <w:szCs w:val="20"/>
              </w:rPr>
            </w:pPr>
            <w:r w:rsidRPr="00CC2796">
              <w:rPr>
                <w:sz w:val="20"/>
                <w:szCs w:val="20"/>
              </w:rPr>
              <w:t xml:space="preserve">FILING DATE: </w:t>
            </w:r>
            <w:r w:rsidR="000B60B2">
              <w:rPr>
                <w:sz w:val="20"/>
                <w:szCs w:val="20"/>
              </w:rPr>
              <w:t>02</w:t>
            </w:r>
            <w:r w:rsidRPr="00CC2796">
              <w:rPr>
                <w:sz w:val="20"/>
                <w:szCs w:val="20"/>
              </w:rPr>
              <w:t>.0</w:t>
            </w:r>
            <w:r w:rsidR="000B60B2">
              <w:rPr>
                <w:sz w:val="20"/>
                <w:szCs w:val="20"/>
              </w:rPr>
              <w:t>8</w:t>
            </w:r>
            <w:r w:rsidRPr="00CC2796">
              <w:rPr>
                <w:sz w:val="20"/>
                <w:szCs w:val="20"/>
              </w:rPr>
              <w:t>.2013</w:t>
            </w:r>
          </w:p>
          <w:p w:rsidR="00344637" w:rsidRPr="00CC2796" w:rsidRDefault="005F2BA7" w:rsidP="00A66B65">
            <w:pPr>
              <w:rPr>
                <w:sz w:val="20"/>
                <w:szCs w:val="20"/>
              </w:rPr>
            </w:pPr>
            <w:r w:rsidRPr="005F2BA7">
              <w:rPr>
                <w:sz w:val="20"/>
                <w:szCs w:val="20"/>
                <w:lang w:val="fr-CA"/>
              </w:rPr>
              <w:pict>
                <v:rect id="_x0000_i1045" style="width:108pt;height:1pt" o:hrpct="0" o:hralign="center" o:hrstd="t" o:hrnoshade="t" o:hr="t" fillcolor="black [3213]" stroked="f"/>
              </w:pict>
            </w:r>
          </w:p>
        </w:tc>
        <w:tc>
          <w:tcPr>
            <w:tcW w:w="1181" w:type="dxa"/>
            <w:shd w:val="clear" w:color="auto" w:fill="auto"/>
          </w:tcPr>
          <w:p w:rsidR="00344637" w:rsidRDefault="00344637"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670CA8" w:rsidRDefault="00670CA8" w:rsidP="00242AEE">
            <w:pPr>
              <w:jc w:val="center"/>
              <w:rPr>
                <w:sz w:val="20"/>
                <w:szCs w:val="20"/>
              </w:rPr>
            </w:pPr>
          </w:p>
          <w:p w:rsidR="000B60B2" w:rsidRDefault="000B60B2" w:rsidP="00242AEE">
            <w:pPr>
              <w:jc w:val="center"/>
              <w:rPr>
                <w:sz w:val="20"/>
                <w:szCs w:val="20"/>
              </w:rPr>
            </w:pPr>
          </w:p>
          <w:p w:rsidR="00670CA8" w:rsidRDefault="00670CA8" w:rsidP="00242AEE">
            <w:pPr>
              <w:jc w:val="center"/>
              <w:rPr>
                <w:sz w:val="20"/>
                <w:szCs w:val="20"/>
              </w:rPr>
            </w:pPr>
          </w:p>
          <w:p w:rsidR="00670CA8" w:rsidRPr="00CC2796" w:rsidRDefault="00670CA8" w:rsidP="00242AEE">
            <w:pPr>
              <w:jc w:val="center"/>
              <w:rPr>
                <w:sz w:val="20"/>
                <w:szCs w:val="20"/>
              </w:rPr>
            </w:pPr>
          </w:p>
        </w:tc>
        <w:tc>
          <w:tcPr>
            <w:tcW w:w="4320" w:type="dxa"/>
            <w:shd w:val="clear" w:color="auto" w:fill="auto"/>
          </w:tcPr>
          <w:p w:rsidR="00344637" w:rsidRDefault="00344637" w:rsidP="00A66B65">
            <w:pPr>
              <w:keepNext/>
              <w:keepLines/>
              <w:tabs>
                <w:tab w:val="left" w:pos="-1440"/>
                <w:tab w:val="left" w:pos="-720"/>
              </w:tabs>
              <w:rPr>
                <w:b/>
                <w:sz w:val="20"/>
                <w:szCs w:val="20"/>
              </w:rPr>
            </w:pPr>
          </w:p>
          <w:p w:rsidR="000B60B2" w:rsidRPr="00CC2796" w:rsidRDefault="000B60B2" w:rsidP="00A66B65">
            <w:pPr>
              <w:keepNext/>
              <w:keepLines/>
              <w:tabs>
                <w:tab w:val="left" w:pos="-1440"/>
                <w:tab w:val="left" w:pos="-720"/>
              </w:tabs>
              <w:rPr>
                <w:b/>
                <w:sz w:val="20"/>
                <w:szCs w:val="20"/>
              </w:rPr>
            </w:pPr>
            <w:r>
              <w:rPr>
                <w:b/>
                <w:sz w:val="20"/>
                <w:szCs w:val="20"/>
              </w:rPr>
              <w:t>Roman Kaziuk</w:t>
            </w:r>
          </w:p>
          <w:p w:rsidR="00344637" w:rsidRPr="00CC2796" w:rsidRDefault="00344637" w:rsidP="00A66B65">
            <w:pPr>
              <w:keepNext/>
              <w:keepLines/>
              <w:tabs>
                <w:tab w:val="left" w:pos="-1440"/>
                <w:tab w:val="left" w:pos="-720"/>
              </w:tabs>
              <w:rPr>
                <w:sz w:val="20"/>
                <w:szCs w:val="20"/>
              </w:rPr>
            </w:pPr>
            <w:r w:rsidRPr="00CC2796">
              <w:rPr>
                <w:sz w:val="20"/>
                <w:szCs w:val="20"/>
              </w:rPr>
              <w:tab/>
            </w:r>
            <w:r w:rsidR="000B60B2">
              <w:rPr>
                <w:sz w:val="20"/>
                <w:szCs w:val="20"/>
              </w:rPr>
              <w:t>Anil K. Kapoor</w:t>
            </w:r>
          </w:p>
          <w:p w:rsidR="00344637" w:rsidRPr="00CC2796" w:rsidRDefault="00344637" w:rsidP="00A66B65">
            <w:pPr>
              <w:keepNext/>
              <w:keepLines/>
              <w:tabs>
                <w:tab w:val="left" w:pos="-1440"/>
                <w:tab w:val="left" w:pos="-720"/>
              </w:tabs>
              <w:rPr>
                <w:sz w:val="20"/>
                <w:szCs w:val="20"/>
              </w:rPr>
            </w:pPr>
            <w:r w:rsidRPr="00CC2796">
              <w:rPr>
                <w:sz w:val="20"/>
                <w:szCs w:val="20"/>
              </w:rPr>
              <w:tab/>
            </w:r>
            <w:r w:rsidR="000B60B2">
              <w:rPr>
                <w:sz w:val="20"/>
                <w:szCs w:val="20"/>
              </w:rPr>
              <w:t>Kapoor Barristers</w:t>
            </w:r>
          </w:p>
          <w:p w:rsidR="00344637" w:rsidRPr="00CC2796" w:rsidRDefault="00344637" w:rsidP="00A66B65">
            <w:pPr>
              <w:keepNext/>
              <w:keepLines/>
              <w:tabs>
                <w:tab w:val="left" w:pos="-1440"/>
                <w:tab w:val="left" w:pos="-720"/>
              </w:tabs>
              <w:rPr>
                <w:sz w:val="20"/>
                <w:szCs w:val="20"/>
              </w:rPr>
            </w:pPr>
          </w:p>
          <w:p w:rsidR="00344637" w:rsidRPr="00CC2796" w:rsidRDefault="00344637" w:rsidP="00A66B65">
            <w:pPr>
              <w:keepNext/>
              <w:keepLines/>
              <w:tabs>
                <w:tab w:val="left" w:pos="-1440"/>
                <w:tab w:val="left" w:pos="-720"/>
              </w:tabs>
              <w:rPr>
                <w:sz w:val="20"/>
                <w:szCs w:val="20"/>
              </w:rPr>
            </w:pPr>
            <w:r w:rsidRPr="00CC2796">
              <w:rPr>
                <w:sz w:val="20"/>
                <w:szCs w:val="20"/>
              </w:rPr>
              <w:tab/>
              <w:t>v. (35</w:t>
            </w:r>
            <w:r w:rsidR="000B60B2">
              <w:rPr>
                <w:sz w:val="20"/>
                <w:szCs w:val="20"/>
              </w:rPr>
              <w:t>460</w:t>
            </w:r>
            <w:r w:rsidRPr="00CC2796">
              <w:rPr>
                <w:sz w:val="20"/>
                <w:szCs w:val="20"/>
              </w:rPr>
              <w:t>)</w:t>
            </w:r>
          </w:p>
          <w:p w:rsidR="00344637" w:rsidRPr="00CC2796" w:rsidRDefault="00344637" w:rsidP="00A66B65">
            <w:pPr>
              <w:keepNext/>
              <w:keepLines/>
              <w:tabs>
                <w:tab w:val="left" w:pos="-1440"/>
                <w:tab w:val="left" w:pos="-720"/>
              </w:tabs>
              <w:rPr>
                <w:sz w:val="20"/>
                <w:szCs w:val="20"/>
              </w:rPr>
            </w:pPr>
          </w:p>
          <w:p w:rsidR="00344637" w:rsidRPr="00CC2796" w:rsidRDefault="000B60B2" w:rsidP="00A66B65">
            <w:pPr>
              <w:keepNext/>
              <w:keepLines/>
              <w:tabs>
                <w:tab w:val="left" w:pos="-1440"/>
                <w:tab w:val="left" w:pos="-720"/>
              </w:tabs>
              <w:rPr>
                <w:b/>
                <w:sz w:val="20"/>
                <w:szCs w:val="20"/>
              </w:rPr>
            </w:pPr>
            <w:r>
              <w:rPr>
                <w:b/>
                <w:sz w:val="20"/>
                <w:szCs w:val="20"/>
              </w:rPr>
              <w:t xml:space="preserve">Her Majesty the Queen </w:t>
            </w:r>
            <w:r w:rsidR="00344637" w:rsidRPr="00CC2796">
              <w:rPr>
                <w:b/>
                <w:sz w:val="20"/>
                <w:szCs w:val="20"/>
              </w:rPr>
              <w:t>(Ont.)</w:t>
            </w:r>
          </w:p>
          <w:p w:rsidR="00344637" w:rsidRPr="00CC2796" w:rsidRDefault="00344637" w:rsidP="00A66B65">
            <w:pPr>
              <w:keepNext/>
              <w:keepLines/>
              <w:tabs>
                <w:tab w:val="left" w:pos="-1440"/>
                <w:tab w:val="left" w:pos="-720"/>
              </w:tabs>
              <w:rPr>
                <w:sz w:val="20"/>
                <w:szCs w:val="20"/>
              </w:rPr>
            </w:pPr>
            <w:r w:rsidRPr="00CC2796">
              <w:rPr>
                <w:sz w:val="20"/>
                <w:szCs w:val="20"/>
              </w:rPr>
              <w:tab/>
            </w:r>
            <w:r w:rsidR="000B60B2">
              <w:rPr>
                <w:sz w:val="20"/>
                <w:szCs w:val="20"/>
              </w:rPr>
              <w:t>Michael Perlin</w:t>
            </w:r>
          </w:p>
          <w:p w:rsidR="00344637" w:rsidRPr="00CC2796" w:rsidRDefault="00344637" w:rsidP="00A66B65">
            <w:pPr>
              <w:keepNext/>
              <w:keepLines/>
              <w:tabs>
                <w:tab w:val="left" w:pos="-1440"/>
                <w:tab w:val="left" w:pos="-720"/>
              </w:tabs>
              <w:rPr>
                <w:sz w:val="20"/>
                <w:szCs w:val="20"/>
              </w:rPr>
            </w:pPr>
            <w:r w:rsidRPr="00CC2796">
              <w:rPr>
                <w:sz w:val="20"/>
                <w:szCs w:val="20"/>
              </w:rPr>
              <w:tab/>
            </w:r>
            <w:r w:rsidR="000B60B2">
              <w:rPr>
                <w:sz w:val="20"/>
                <w:szCs w:val="20"/>
              </w:rPr>
              <w:t>A.G. of Ontario</w:t>
            </w:r>
          </w:p>
          <w:p w:rsidR="00344637" w:rsidRPr="00CC2796" w:rsidRDefault="00344637" w:rsidP="00A66B65">
            <w:pPr>
              <w:keepNext/>
              <w:keepLines/>
              <w:tabs>
                <w:tab w:val="left" w:pos="-1440"/>
                <w:tab w:val="left" w:pos="-720"/>
              </w:tabs>
              <w:rPr>
                <w:sz w:val="20"/>
                <w:szCs w:val="20"/>
              </w:rPr>
            </w:pPr>
          </w:p>
          <w:p w:rsidR="00344637" w:rsidRPr="00A935AA" w:rsidRDefault="00344637" w:rsidP="000B60B2">
            <w:pPr>
              <w:rPr>
                <w:sz w:val="20"/>
                <w:szCs w:val="20"/>
              </w:rPr>
            </w:pPr>
            <w:r w:rsidRPr="00A935AA">
              <w:rPr>
                <w:sz w:val="20"/>
                <w:szCs w:val="20"/>
              </w:rPr>
              <w:t xml:space="preserve">FILING DATE: </w:t>
            </w:r>
            <w:r w:rsidR="000B60B2">
              <w:rPr>
                <w:sz w:val="20"/>
                <w:szCs w:val="20"/>
              </w:rPr>
              <w:t>0</w:t>
            </w:r>
            <w:r w:rsidRPr="00A935AA">
              <w:rPr>
                <w:sz w:val="20"/>
                <w:szCs w:val="20"/>
              </w:rPr>
              <w:t>2.0</w:t>
            </w:r>
            <w:r w:rsidR="000B60B2">
              <w:rPr>
                <w:sz w:val="20"/>
                <w:szCs w:val="20"/>
              </w:rPr>
              <w:t>8</w:t>
            </w:r>
            <w:r w:rsidRPr="00A935AA">
              <w:rPr>
                <w:sz w:val="20"/>
                <w:szCs w:val="20"/>
              </w:rPr>
              <w:t>.201</w:t>
            </w:r>
            <w:r>
              <w:rPr>
                <w:sz w:val="20"/>
                <w:szCs w:val="20"/>
              </w:rPr>
              <w:t>3</w:t>
            </w:r>
            <w:r w:rsidR="005F2BA7" w:rsidRPr="005F2BA7">
              <w:rPr>
                <w:sz w:val="20"/>
                <w:szCs w:val="20"/>
                <w:lang w:val="fr-CA"/>
              </w:rPr>
              <w:pict>
                <v:rect id="_x0000_i1046" style="width:108pt;height:1pt" o:hrpct="0" o:hralign="center" o:hrstd="t" o:hrnoshade="t" o:hr="t" fillcolor="black [3213]" stroked="f"/>
              </w:pict>
            </w:r>
          </w:p>
        </w:tc>
      </w:tr>
      <w:tr w:rsidR="00344637" w:rsidRPr="000B60B2" w:rsidTr="003B3977">
        <w:trPr>
          <w:cantSplit/>
        </w:trPr>
        <w:tc>
          <w:tcPr>
            <w:tcW w:w="4320" w:type="dxa"/>
            <w:shd w:val="clear" w:color="auto" w:fill="auto"/>
          </w:tcPr>
          <w:p w:rsidR="00344637" w:rsidRPr="000B60B2" w:rsidRDefault="000B60B2" w:rsidP="00A66B65">
            <w:pPr>
              <w:rPr>
                <w:b/>
                <w:sz w:val="20"/>
                <w:szCs w:val="20"/>
                <w:lang w:val="fr-CA"/>
              </w:rPr>
            </w:pPr>
            <w:r w:rsidRPr="000B60B2">
              <w:rPr>
                <w:b/>
                <w:sz w:val="20"/>
                <w:szCs w:val="20"/>
                <w:lang w:val="fr-CA"/>
              </w:rPr>
              <w:t>Société en commandite Place Mullins 139612 Canada inc.</w:t>
            </w:r>
          </w:p>
          <w:p w:rsidR="00344637" w:rsidRPr="000B60B2" w:rsidRDefault="00344637" w:rsidP="00A66B65">
            <w:pPr>
              <w:tabs>
                <w:tab w:val="left" w:pos="-1440"/>
                <w:tab w:val="left" w:pos="-720"/>
              </w:tabs>
              <w:rPr>
                <w:sz w:val="20"/>
                <w:szCs w:val="20"/>
                <w:lang w:val="fr-CA"/>
              </w:rPr>
            </w:pPr>
            <w:r w:rsidRPr="000B60B2">
              <w:rPr>
                <w:sz w:val="20"/>
                <w:szCs w:val="20"/>
                <w:lang w:val="fr-CA"/>
              </w:rPr>
              <w:tab/>
            </w:r>
            <w:r w:rsidR="000B60B2">
              <w:rPr>
                <w:sz w:val="20"/>
                <w:szCs w:val="20"/>
                <w:lang w:val="fr-CA"/>
              </w:rPr>
              <w:t>Jean-Paul Gagnon</w:t>
            </w:r>
          </w:p>
          <w:p w:rsidR="00344637" w:rsidRPr="000B60B2" w:rsidRDefault="00344637" w:rsidP="00A66B65">
            <w:pPr>
              <w:tabs>
                <w:tab w:val="left" w:pos="-1440"/>
                <w:tab w:val="left" w:pos="-720"/>
              </w:tabs>
              <w:rPr>
                <w:sz w:val="20"/>
                <w:szCs w:val="20"/>
                <w:lang w:val="fr-CA"/>
              </w:rPr>
            </w:pPr>
          </w:p>
          <w:p w:rsidR="00344637" w:rsidRPr="000B60B2" w:rsidRDefault="00344637" w:rsidP="00A66B65">
            <w:pPr>
              <w:tabs>
                <w:tab w:val="left" w:pos="-1440"/>
                <w:tab w:val="left" w:pos="-720"/>
              </w:tabs>
              <w:rPr>
                <w:sz w:val="20"/>
                <w:szCs w:val="20"/>
                <w:lang w:val="fr-CA"/>
              </w:rPr>
            </w:pPr>
            <w:r w:rsidRPr="000B60B2">
              <w:rPr>
                <w:sz w:val="20"/>
                <w:szCs w:val="20"/>
                <w:lang w:val="fr-CA"/>
              </w:rPr>
              <w:tab/>
            </w:r>
            <w:r w:rsidR="000B60B2">
              <w:rPr>
                <w:sz w:val="20"/>
                <w:szCs w:val="20"/>
                <w:lang w:val="fr-CA"/>
              </w:rPr>
              <w:t>c</w:t>
            </w:r>
            <w:r w:rsidRPr="000B60B2">
              <w:rPr>
                <w:sz w:val="20"/>
                <w:szCs w:val="20"/>
                <w:lang w:val="fr-CA"/>
              </w:rPr>
              <w:t>. (35</w:t>
            </w:r>
            <w:r w:rsidR="000B60B2" w:rsidRPr="000B60B2">
              <w:rPr>
                <w:sz w:val="20"/>
                <w:szCs w:val="20"/>
                <w:lang w:val="fr-CA"/>
              </w:rPr>
              <w:t>461</w:t>
            </w:r>
            <w:r w:rsidRPr="000B60B2">
              <w:rPr>
                <w:sz w:val="20"/>
                <w:szCs w:val="20"/>
                <w:lang w:val="fr-CA"/>
              </w:rPr>
              <w:t>)</w:t>
            </w:r>
          </w:p>
          <w:p w:rsidR="00344637" w:rsidRPr="000B60B2" w:rsidRDefault="00344637" w:rsidP="00A66B65">
            <w:pPr>
              <w:tabs>
                <w:tab w:val="left" w:pos="-1440"/>
                <w:tab w:val="left" w:pos="-720"/>
              </w:tabs>
              <w:rPr>
                <w:sz w:val="20"/>
                <w:szCs w:val="20"/>
                <w:lang w:val="fr-CA"/>
              </w:rPr>
            </w:pPr>
          </w:p>
          <w:p w:rsidR="00344637" w:rsidRPr="000B60B2" w:rsidRDefault="000B60B2" w:rsidP="00A66B65">
            <w:pPr>
              <w:tabs>
                <w:tab w:val="left" w:pos="-1440"/>
                <w:tab w:val="left" w:pos="-720"/>
              </w:tabs>
              <w:rPr>
                <w:b/>
                <w:sz w:val="20"/>
                <w:szCs w:val="20"/>
                <w:lang w:val="fr-CA"/>
              </w:rPr>
            </w:pPr>
            <w:r w:rsidRPr="000B60B2">
              <w:rPr>
                <w:b/>
                <w:sz w:val="20"/>
                <w:szCs w:val="20"/>
                <w:lang w:val="fr-CA"/>
              </w:rPr>
              <w:t>Services immobiliers Diane Bisson inc.</w:t>
            </w:r>
            <w:r>
              <w:rPr>
                <w:b/>
                <w:sz w:val="20"/>
                <w:szCs w:val="20"/>
                <w:lang w:val="fr-CA"/>
              </w:rPr>
              <w:t xml:space="preserve"> </w:t>
            </w:r>
            <w:r w:rsidR="00344637" w:rsidRPr="000B60B2">
              <w:rPr>
                <w:b/>
                <w:sz w:val="20"/>
                <w:szCs w:val="20"/>
                <w:lang w:val="fr-CA"/>
              </w:rPr>
              <w:t>(</w:t>
            </w:r>
            <w:r>
              <w:rPr>
                <w:b/>
                <w:sz w:val="20"/>
                <w:szCs w:val="20"/>
                <w:lang w:val="fr-CA"/>
              </w:rPr>
              <w:t>Qc</w:t>
            </w:r>
            <w:r w:rsidR="00344637" w:rsidRPr="000B60B2">
              <w:rPr>
                <w:b/>
                <w:sz w:val="20"/>
                <w:szCs w:val="20"/>
                <w:lang w:val="fr-CA"/>
              </w:rPr>
              <w:t>)</w:t>
            </w:r>
          </w:p>
          <w:p w:rsidR="00344637" w:rsidRPr="000B60B2" w:rsidRDefault="00344637" w:rsidP="00A66B65">
            <w:pPr>
              <w:tabs>
                <w:tab w:val="left" w:pos="-1440"/>
                <w:tab w:val="left" w:pos="-720"/>
              </w:tabs>
              <w:rPr>
                <w:sz w:val="20"/>
                <w:szCs w:val="20"/>
                <w:lang w:val="fr-CA"/>
              </w:rPr>
            </w:pPr>
            <w:r w:rsidRPr="000B60B2">
              <w:rPr>
                <w:sz w:val="20"/>
                <w:szCs w:val="20"/>
                <w:lang w:val="fr-CA"/>
              </w:rPr>
              <w:tab/>
            </w:r>
            <w:r w:rsidR="000B60B2">
              <w:rPr>
                <w:sz w:val="20"/>
                <w:szCs w:val="20"/>
                <w:lang w:val="fr-CA"/>
              </w:rPr>
              <w:t>Pierre-G. Champagne</w:t>
            </w:r>
          </w:p>
          <w:p w:rsidR="00344637" w:rsidRPr="000B60B2" w:rsidRDefault="00344637" w:rsidP="00A66B65">
            <w:pPr>
              <w:tabs>
                <w:tab w:val="left" w:pos="-1440"/>
                <w:tab w:val="left" w:pos="-720"/>
              </w:tabs>
              <w:rPr>
                <w:sz w:val="20"/>
                <w:szCs w:val="20"/>
                <w:lang w:val="fr-CA"/>
              </w:rPr>
            </w:pPr>
            <w:r w:rsidRPr="000B60B2">
              <w:rPr>
                <w:sz w:val="20"/>
                <w:szCs w:val="20"/>
                <w:lang w:val="fr-CA"/>
              </w:rPr>
              <w:tab/>
            </w:r>
            <w:r w:rsidR="000B60B2">
              <w:rPr>
                <w:sz w:val="20"/>
                <w:szCs w:val="20"/>
                <w:lang w:val="fr-CA"/>
              </w:rPr>
              <w:t>de Grandpré Joli-Coeur</w:t>
            </w:r>
          </w:p>
          <w:p w:rsidR="00344637" w:rsidRPr="000B60B2" w:rsidRDefault="00344637" w:rsidP="00A66B65">
            <w:pPr>
              <w:tabs>
                <w:tab w:val="left" w:pos="-1440"/>
                <w:tab w:val="left" w:pos="-720"/>
              </w:tabs>
              <w:rPr>
                <w:sz w:val="20"/>
                <w:szCs w:val="20"/>
                <w:lang w:val="fr-CA"/>
              </w:rPr>
            </w:pPr>
          </w:p>
          <w:p w:rsidR="00344637" w:rsidRPr="000B60B2" w:rsidRDefault="00344637" w:rsidP="00A66B65">
            <w:pPr>
              <w:rPr>
                <w:sz w:val="20"/>
                <w:szCs w:val="20"/>
                <w:lang w:val="fr-CA"/>
              </w:rPr>
            </w:pPr>
            <w:r w:rsidRPr="000B60B2">
              <w:rPr>
                <w:sz w:val="20"/>
                <w:szCs w:val="20"/>
                <w:lang w:val="fr-CA"/>
              </w:rPr>
              <w:t>DATE</w:t>
            </w:r>
            <w:r w:rsidR="000B60B2" w:rsidRPr="000B60B2">
              <w:rPr>
                <w:sz w:val="20"/>
                <w:szCs w:val="20"/>
                <w:lang w:val="fr-CA"/>
              </w:rPr>
              <w:t xml:space="preserve"> DE PRODUCTION </w:t>
            </w:r>
            <w:r w:rsidRPr="000B60B2">
              <w:rPr>
                <w:sz w:val="20"/>
                <w:szCs w:val="20"/>
                <w:lang w:val="fr-CA"/>
              </w:rPr>
              <w:t xml:space="preserve">: </w:t>
            </w:r>
            <w:r w:rsidR="000B60B2">
              <w:rPr>
                <w:sz w:val="20"/>
                <w:szCs w:val="20"/>
                <w:lang w:val="fr-CA"/>
              </w:rPr>
              <w:t>06</w:t>
            </w:r>
            <w:r w:rsidRPr="000B60B2">
              <w:rPr>
                <w:sz w:val="20"/>
                <w:szCs w:val="20"/>
                <w:lang w:val="fr-CA"/>
              </w:rPr>
              <w:t>.0</w:t>
            </w:r>
            <w:r w:rsidR="000B60B2">
              <w:rPr>
                <w:sz w:val="20"/>
                <w:szCs w:val="20"/>
                <w:lang w:val="fr-CA"/>
              </w:rPr>
              <w:t>8</w:t>
            </w:r>
            <w:r w:rsidRPr="000B60B2">
              <w:rPr>
                <w:sz w:val="20"/>
                <w:szCs w:val="20"/>
                <w:lang w:val="fr-CA"/>
              </w:rPr>
              <w:t>.2013</w:t>
            </w:r>
          </w:p>
          <w:p w:rsidR="00344637" w:rsidRPr="000B60B2" w:rsidRDefault="005F2BA7" w:rsidP="00A66B65">
            <w:pPr>
              <w:rPr>
                <w:sz w:val="20"/>
                <w:szCs w:val="20"/>
                <w:lang w:val="fr-CA"/>
              </w:rPr>
            </w:pPr>
            <w:r w:rsidRPr="005F2BA7">
              <w:rPr>
                <w:sz w:val="20"/>
                <w:szCs w:val="20"/>
                <w:lang w:val="fr-CA"/>
              </w:rPr>
              <w:pict>
                <v:rect id="_x0000_i1047" style="width:108pt;height:1pt" o:hrpct="0" o:hralign="center" o:hrstd="t" o:hrnoshade="t" o:hr="t" fillcolor="black [3213]" stroked="f"/>
              </w:pict>
            </w:r>
          </w:p>
        </w:tc>
        <w:tc>
          <w:tcPr>
            <w:tcW w:w="1181" w:type="dxa"/>
            <w:shd w:val="clear" w:color="auto" w:fill="auto"/>
          </w:tcPr>
          <w:p w:rsidR="00344637" w:rsidRPr="000B60B2" w:rsidRDefault="00344637" w:rsidP="00242AEE">
            <w:pPr>
              <w:jc w:val="center"/>
              <w:rPr>
                <w:sz w:val="20"/>
                <w:szCs w:val="20"/>
                <w:lang w:val="fr-CA"/>
              </w:rPr>
            </w:pPr>
          </w:p>
          <w:p w:rsidR="00670CA8" w:rsidRPr="000B60B2" w:rsidRDefault="00670CA8" w:rsidP="00242AEE">
            <w:pPr>
              <w:jc w:val="center"/>
              <w:rPr>
                <w:sz w:val="20"/>
                <w:szCs w:val="20"/>
                <w:lang w:val="fr-CA"/>
              </w:rPr>
            </w:pPr>
          </w:p>
          <w:p w:rsidR="00670CA8" w:rsidRPr="000B60B2" w:rsidRDefault="00670CA8" w:rsidP="00242AEE">
            <w:pPr>
              <w:jc w:val="center"/>
              <w:rPr>
                <w:sz w:val="20"/>
                <w:szCs w:val="20"/>
                <w:lang w:val="fr-CA"/>
              </w:rPr>
            </w:pPr>
          </w:p>
          <w:p w:rsidR="00670CA8" w:rsidRPr="000B60B2" w:rsidRDefault="00670CA8" w:rsidP="00242AEE">
            <w:pPr>
              <w:jc w:val="center"/>
              <w:rPr>
                <w:sz w:val="20"/>
                <w:szCs w:val="20"/>
                <w:lang w:val="fr-CA"/>
              </w:rPr>
            </w:pPr>
          </w:p>
          <w:p w:rsidR="00670CA8" w:rsidRPr="000B60B2" w:rsidRDefault="00670CA8" w:rsidP="00242AEE">
            <w:pPr>
              <w:jc w:val="center"/>
              <w:rPr>
                <w:sz w:val="20"/>
                <w:szCs w:val="20"/>
                <w:lang w:val="fr-CA"/>
              </w:rPr>
            </w:pPr>
          </w:p>
          <w:p w:rsidR="00670CA8" w:rsidRPr="000B60B2" w:rsidRDefault="00670CA8" w:rsidP="00242AEE">
            <w:pPr>
              <w:jc w:val="center"/>
              <w:rPr>
                <w:sz w:val="20"/>
                <w:szCs w:val="20"/>
                <w:lang w:val="fr-CA"/>
              </w:rPr>
            </w:pPr>
          </w:p>
          <w:p w:rsidR="00670CA8" w:rsidRPr="000B60B2" w:rsidRDefault="00670CA8" w:rsidP="00242AEE">
            <w:pPr>
              <w:jc w:val="center"/>
              <w:rPr>
                <w:sz w:val="20"/>
                <w:szCs w:val="20"/>
                <w:lang w:val="fr-CA"/>
              </w:rPr>
            </w:pPr>
          </w:p>
          <w:p w:rsidR="00670CA8" w:rsidRPr="000B60B2" w:rsidRDefault="00670CA8" w:rsidP="00242AEE">
            <w:pPr>
              <w:jc w:val="center"/>
              <w:rPr>
                <w:sz w:val="20"/>
                <w:szCs w:val="20"/>
                <w:lang w:val="fr-CA"/>
              </w:rPr>
            </w:pPr>
          </w:p>
          <w:p w:rsidR="00670CA8" w:rsidRPr="000B60B2" w:rsidRDefault="00670CA8" w:rsidP="00242AEE">
            <w:pPr>
              <w:jc w:val="center"/>
              <w:rPr>
                <w:sz w:val="20"/>
                <w:szCs w:val="20"/>
                <w:lang w:val="fr-CA"/>
              </w:rPr>
            </w:pPr>
          </w:p>
          <w:p w:rsidR="00670CA8" w:rsidRPr="000B60B2" w:rsidRDefault="00670CA8" w:rsidP="00242AEE">
            <w:pPr>
              <w:jc w:val="center"/>
              <w:rPr>
                <w:sz w:val="20"/>
                <w:szCs w:val="20"/>
                <w:lang w:val="fr-CA"/>
              </w:rPr>
            </w:pPr>
          </w:p>
          <w:p w:rsidR="00670CA8" w:rsidRPr="000B60B2" w:rsidRDefault="00670CA8" w:rsidP="00242AEE">
            <w:pPr>
              <w:jc w:val="center"/>
              <w:rPr>
                <w:sz w:val="20"/>
                <w:szCs w:val="20"/>
                <w:lang w:val="fr-CA"/>
              </w:rPr>
            </w:pPr>
          </w:p>
          <w:p w:rsidR="00670CA8" w:rsidRPr="000B60B2" w:rsidRDefault="00670CA8" w:rsidP="00242AEE">
            <w:pPr>
              <w:jc w:val="center"/>
              <w:rPr>
                <w:sz w:val="20"/>
                <w:szCs w:val="20"/>
                <w:lang w:val="fr-CA"/>
              </w:rPr>
            </w:pPr>
          </w:p>
          <w:p w:rsidR="00670CA8" w:rsidRPr="000B60B2" w:rsidRDefault="00670CA8" w:rsidP="00242AEE">
            <w:pPr>
              <w:jc w:val="center"/>
              <w:rPr>
                <w:sz w:val="20"/>
                <w:szCs w:val="20"/>
                <w:lang w:val="fr-CA"/>
              </w:rPr>
            </w:pPr>
          </w:p>
        </w:tc>
        <w:tc>
          <w:tcPr>
            <w:tcW w:w="4320" w:type="dxa"/>
            <w:shd w:val="clear" w:color="auto" w:fill="auto"/>
          </w:tcPr>
          <w:p w:rsidR="00344637" w:rsidRPr="000B60B2" w:rsidRDefault="000B60B2" w:rsidP="00A66B65">
            <w:pPr>
              <w:keepNext/>
              <w:keepLines/>
              <w:tabs>
                <w:tab w:val="left" w:pos="-1440"/>
                <w:tab w:val="left" w:pos="-720"/>
              </w:tabs>
              <w:rPr>
                <w:b/>
                <w:sz w:val="20"/>
                <w:szCs w:val="20"/>
              </w:rPr>
            </w:pPr>
            <w:r w:rsidRPr="000B60B2">
              <w:rPr>
                <w:b/>
                <w:sz w:val="20"/>
                <w:szCs w:val="20"/>
              </w:rPr>
              <w:t>Le</w:t>
            </w:r>
            <w:r w:rsidR="00233EED">
              <w:rPr>
                <w:b/>
                <w:sz w:val="20"/>
                <w:szCs w:val="20"/>
              </w:rPr>
              <w:t>s</w:t>
            </w:r>
            <w:r w:rsidRPr="000B60B2">
              <w:rPr>
                <w:b/>
                <w:sz w:val="20"/>
                <w:szCs w:val="20"/>
              </w:rPr>
              <w:t>slie Askin</w:t>
            </w:r>
          </w:p>
          <w:p w:rsidR="00344637" w:rsidRPr="000B60B2" w:rsidRDefault="00344637" w:rsidP="00A66B65">
            <w:pPr>
              <w:keepNext/>
              <w:keepLines/>
              <w:tabs>
                <w:tab w:val="left" w:pos="-1440"/>
                <w:tab w:val="left" w:pos="-720"/>
              </w:tabs>
              <w:rPr>
                <w:sz w:val="20"/>
                <w:szCs w:val="20"/>
              </w:rPr>
            </w:pPr>
            <w:r w:rsidRPr="000B60B2">
              <w:rPr>
                <w:sz w:val="20"/>
                <w:szCs w:val="20"/>
              </w:rPr>
              <w:tab/>
            </w:r>
            <w:r w:rsidR="000B60B2" w:rsidRPr="000B60B2">
              <w:rPr>
                <w:sz w:val="20"/>
                <w:szCs w:val="20"/>
              </w:rPr>
              <w:t xml:space="preserve">A. </w:t>
            </w:r>
            <w:r w:rsidR="000B60B2">
              <w:rPr>
                <w:sz w:val="20"/>
                <w:szCs w:val="20"/>
              </w:rPr>
              <w:t>Cameron Ward</w:t>
            </w:r>
          </w:p>
          <w:p w:rsidR="00344637" w:rsidRPr="000B60B2" w:rsidRDefault="00344637" w:rsidP="00A66B65">
            <w:pPr>
              <w:keepNext/>
              <w:keepLines/>
              <w:tabs>
                <w:tab w:val="left" w:pos="-1440"/>
                <w:tab w:val="left" w:pos="-720"/>
              </w:tabs>
              <w:rPr>
                <w:sz w:val="20"/>
                <w:szCs w:val="20"/>
              </w:rPr>
            </w:pPr>
            <w:r w:rsidRPr="000B60B2">
              <w:rPr>
                <w:sz w:val="20"/>
                <w:szCs w:val="20"/>
              </w:rPr>
              <w:tab/>
            </w:r>
            <w:r w:rsidR="000B60B2">
              <w:rPr>
                <w:sz w:val="20"/>
                <w:szCs w:val="20"/>
              </w:rPr>
              <w:t>A. Cameron Ward &amp; Company</w:t>
            </w:r>
          </w:p>
          <w:p w:rsidR="00344637" w:rsidRPr="000B60B2" w:rsidRDefault="00344637" w:rsidP="00A66B65">
            <w:pPr>
              <w:keepNext/>
              <w:keepLines/>
              <w:tabs>
                <w:tab w:val="left" w:pos="-1440"/>
                <w:tab w:val="left" w:pos="-720"/>
              </w:tabs>
              <w:rPr>
                <w:sz w:val="20"/>
                <w:szCs w:val="20"/>
              </w:rPr>
            </w:pPr>
          </w:p>
          <w:p w:rsidR="00344637" w:rsidRPr="000B60B2" w:rsidRDefault="00344637" w:rsidP="00A66B65">
            <w:pPr>
              <w:keepNext/>
              <w:keepLines/>
              <w:tabs>
                <w:tab w:val="left" w:pos="-1440"/>
                <w:tab w:val="left" w:pos="-720"/>
              </w:tabs>
              <w:rPr>
                <w:sz w:val="20"/>
                <w:szCs w:val="20"/>
              </w:rPr>
            </w:pPr>
            <w:r w:rsidRPr="000B60B2">
              <w:rPr>
                <w:sz w:val="20"/>
                <w:szCs w:val="20"/>
              </w:rPr>
              <w:tab/>
              <w:t>v. (35</w:t>
            </w:r>
            <w:r w:rsidR="000B60B2">
              <w:rPr>
                <w:sz w:val="20"/>
                <w:szCs w:val="20"/>
              </w:rPr>
              <w:t>463</w:t>
            </w:r>
            <w:r w:rsidRPr="000B60B2">
              <w:rPr>
                <w:sz w:val="20"/>
                <w:szCs w:val="20"/>
              </w:rPr>
              <w:t>)</w:t>
            </w:r>
          </w:p>
          <w:p w:rsidR="00344637" w:rsidRPr="000B60B2" w:rsidRDefault="00344637" w:rsidP="00A66B65">
            <w:pPr>
              <w:keepNext/>
              <w:keepLines/>
              <w:tabs>
                <w:tab w:val="left" w:pos="-1440"/>
                <w:tab w:val="left" w:pos="-720"/>
              </w:tabs>
              <w:rPr>
                <w:sz w:val="20"/>
                <w:szCs w:val="20"/>
              </w:rPr>
            </w:pPr>
          </w:p>
          <w:p w:rsidR="00344637" w:rsidRPr="000B60B2" w:rsidRDefault="000B60B2" w:rsidP="00A66B65">
            <w:pPr>
              <w:keepNext/>
              <w:keepLines/>
              <w:tabs>
                <w:tab w:val="left" w:pos="-1440"/>
                <w:tab w:val="left" w:pos="-720"/>
              </w:tabs>
              <w:rPr>
                <w:b/>
                <w:sz w:val="20"/>
                <w:szCs w:val="20"/>
              </w:rPr>
            </w:pPr>
            <w:r>
              <w:rPr>
                <w:b/>
                <w:sz w:val="20"/>
                <w:szCs w:val="20"/>
              </w:rPr>
              <w:t xml:space="preserve">Law Society of British Columbia </w:t>
            </w:r>
            <w:r w:rsidR="00233EED">
              <w:rPr>
                <w:b/>
                <w:sz w:val="20"/>
                <w:szCs w:val="20"/>
              </w:rPr>
              <w:t xml:space="preserve">et al. </w:t>
            </w:r>
            <w:r w:rsidR="00344637" w:rsidRPr="000B60B2">
              <w:rPr>
                <w:b/>
                <w:sz w:val="20"/>
                <w:szCs w:val="20"/>
              </w:rPr>
              <w:t>(</w:t>
            </w:r>
            <w:r>
              <w:rPr>
                <w:b/>
                <w:sz w:val="20"/>
                <w:szCs w:val="20"/>
              </w:rPr>
              <w:t>B.C.</w:t>
            </w:r>
            <w:r w:rsidR="00344637" w:rsidRPr="000B60B2">
              <w:rPr>
                <w:b/>
                <w:sz w:val="20"/>
                <w:szCs w:val="20"/>
              </w:rPr>
              <w:t>)</w:t>
            </w:r>
          </w:p>
          <w:p w:rsidR="00344637" w:rsidRPr="000B60B2" w:rsidRDefault="00344637" w:rsidP="00A66B65">
            <w:pPr>
              <w:keepNext/>
              <w:keepLines/>
              <w:tabs>
                <w:tab w:val="left" w:pos="-1440"/>
                <w:tab w:val="left" w:pos="-720"/>
              </w:tabs>
              <w:rPr>
                <w:sz w:val="20"/>
                <w:szCs w:val="20"/>
              </w:rPr>
            </w:pPr>
            <w:r w:rsidRPr="000B60B2">
              <w:rPr>
                <w:sz w:val="20"/>
                <w:szCs w:val="20"/>
              </w:rPr>
              <w:tab/>
            </w:r>
            <w:r w:rsidR="000B60B2">
              <w:rPr>
                <w:sz w:val="20"/>
                <w:szCs w:val="20"/>
              </w:rPr>
              <w:t>K. Michael Stephens</w:t>
            </w:r>
          </w:p>
          <w:p w:rsidR="00344637" w:rsidRPr="000B60B2" w:rsidRDefault="00344637" w:rsidP="00A66B65">
            <w:pPr>
              <w:keepNext/>
              <w:keepLines/>
              <w:tabs>
                <w:tab w:val="left" w:pos="-1440"/>
                <w:tab w:val="left" w:pos="-720"/>
              </w:tabs>
              <w:rPr>
                <w:sz w:val="20"/>
                <w:szCs w:val="20"/>
              </w:rPr>
            </w:pPr>
            <w:r w:rsidRPr="000B60B2">
              <w:rPr>
                <w:sz w:val="20"/>
                <w:szCs w:val="20"/>
              </w:rPr>
              <w:tab/>
            </w:r>
            <w:r w:rsidR="000B60B2">
              <w:rPr>
                <w:sz w:val="20"/>
                <w:szCs w:val="20"/>
              </w:rPr>
              <w:t xml:space="preserve">Hunter Litigation Chambers Law </w:t>
            </w:r>
            <w:r w:rsidR="000B60B2">
              <w:rPr>
                <w:sz w:val="20"/>
                <w:szCs w:val="20"/>
              </w:rPr>
              <w:tab/>
              <w:t>Corporation</w:t>
            </w:r>
          </w:p>
          <w:p w:rsidR="00344637" w:rsidRPr="000B60B2" w:rsidRDefault="00344637" w:rsidP="00A66B65">
            <w:pPr>
              <w:keepNext/>
              <w:keepLines/>
              <w:tabs>
                <w:tab w:val="left" w:pos="-1440"/>
                <w:tab w:val="left" w:pos="-720"/>
              </w:tabs>
              <w:rPr>
                <w:sz w:val="20"/>
                <w:szCs w:val="20"/>
              </w:rPr>
            </w:pPr>
          </w:p>
          <w:p w:rsidR="00344637" w:rsidRPr="000B60B2" w:rsidRDefault="00344637" w:rsidP="000B60B2">
            <w:pPr>
              <w:rPr>
                <w:sz w:val="20"/>
                <w:szCs w:val="20"/>
              </w:rPr>
            </w:pPr>
            <w:r w:rsidRPr="000B60B2">
              <w:rPr>
                <w:sz w:val="20"/>
                <w:szCs w:val="20"/>
              </w:rPr>
              <w:t xml:space="preserve">FILING DATE: </w:t>
            </w:r>
            <w:r w:rsidR="000B60B2">
              <w:rPr>
                <w:sz w:val="20"/>
                <w:szCs w:val="20"/>
              </w:rPr>
              <w:t>06</w:t>
            </w:r>
            <w:r w:rsidRPr="000B60B2">
              <w:rPr>
                <w:sz w:val="20"/>
                <w:szCs w:val="20"/>
              </w:rPr>
              <w:t>.0</w:t>
            </w:r>
            <w:r w:rsidR="000B60B2">
              <w:rPr>
                <w:sz w:val="20"/>
                <w:szCs w:val="20"/>
              </w:rPr>
              <w:t>8</w:t>
            </w:r>
            <w:r w:rsidRPr="000B60B2">
              <w:rPr>
                <w:sz w:val="20"/>
                <w:szCs w:val="20"/>
              </w:rPr>
              <w:t>.2013</w:t>
            </w:r>
            <w:r w:rsidR="005F2BA7" w:rsidRPr="005F2BA7">
              <w:rPr>
                <w:sz w:val="20"/>
                <w:szCs w:val="20"/>
                <w:lang w:val="fr-CA"/>
              </w:rPr>
              <w:pict>
                <v:rect id="_x0000_i1048" style="width:108pt;height:1pt" o:hrpct="0" o:hralign="center" o:hrstd="t" o:hrnoshade="t" o:hr="t" fillcolor="black [3213]" stroked="f"/>
              </w:pict>
            </w:r>
          </w:p>
        </w:tc>
      </w:tr>
      <w:tr w:rsidR="009100FD" w:rsidRPr="00A935AA" w:rsidTr="003B3977">
        <w:trPr>
          <w:cantSplit/>
        </w:trPr>
        <w:tc>
          <w:tcPr>
            <w:tcW w:w="4320" w:type="dxa"/>
            <w:shd w:val="clear" w:color="auto" w:fill="auto"/>
          </w:tcPr>
          <w:p w:rsidR="009100FD" w:rsidRPr="001D7E7E" w:rsidRDefault="000B60B2" w:rsidP="009100FD">
            <w:pPr>
              <w:rPr>
                <w:b/>
                <w:sz w:val="20"/>
                <w:szCs w:val="20"/>
                <w:lang w:val="fr-CA"/>
              </w:rPr>
            </w:pPr>
            <w:r w:rsidRPr="001D7E7E">
              <w:rPr>
                <w:b/>
                <w:sz w:val="20"/>
                <w:szCs w:val="20"/>
                <w:lang w:val="fr-CA"/>
              </w:rPr>
              <w:lastRenderedPageBreak/>
              <w:t>Ian Vincent Beck et al.</w:t>
            </w:r>
          </w:p>
          <w:p w:rsidR="009100FD" w:rsidRPr="000B60B2" w:rsidRDefault="009100FD" w:rsidP="009100FD">
            <w:pPr>
              <w:tabs>
                <w:tab w:val="left" w:pos="-1440"/>
                <w:tab w:val="left" w:pos="-720"/>
              </w:tabs>
              <w:rPr>
                <w:sz w:val="20"/>
                <w:szCs w:val="20"/>
              </w:rPr>
            </w:pPr>
            <w:r w:rsidRPr="001D7E7E">
              <w:rPr>
                <w:sz w:val="20"/>
                <w:szCs w:val="20"/>
                <w:lang w:val="fr-CA"/>
              </w:rPr>
              <w:tab/>
            </w:r>
            <w:r w:rsidR="000B60B2">
              <w:rPr>
                <w:sz w:val="20"/>
                <w:szCs w:val="20"/>
              </w:rPr>
              <w:t>Peter W. Kryworuk</w:t>
            </w:r>
          </w:p>
          <w:p w:rsidR="009100FD" w:rsidRPr="007A77F9" w:rsidRDefault="009100FD" w:rsidP="009100FD">
            <w:pPr>
              <w:tabs>
                <w:tab w:val="left" w:pos="-1440"/>
                <w:tab w:val="left" w:pos="-720"/>
              </w:tabs>
              <w:rPr>
                <w:sz w:val="20"/>
                <w:szCs w:val="20"/>
              </w:rPr>
            </w:pPr>
            <w:r w:rsidRPr="000B60B2">
              <w:rPr>
                <w:sz w:val="20"/>
                <w:szCs w:val="20"/>
              </w:rPr>
              <w:tab/>
            </w:r>
            <w:r w:rsidR="000B60B2" w:rsidRPr="007A77F9">
              <w:rPr>
                <w:sz w:val="20"/>
                <w:szCs w:val="20"/>
              </w:rPr>
              <w:t>Lerners LLP</w:t>
            </w:r>
          </w:p>
          <w:p w:rsidR="009100FD" w:rsidRPr="007A77F9" w:rsidRDefault="009100FD" w:rsidP="009100FD">
            <w:pPr>
              <w:tabs>
                <w:tab w:val="left" w:pos="-1440"/>
                <w:tab w:val="left" w:pos="-720"/>
              </w:tabs>
              <w:rPr>
                <w:sz w:val="20"/>
                <w:szCs w:val="20"/>
              </w:rPr>
            </w:pPr>
          </w:p>
          <w:p w:rsidR="009100FD" w:rsidRPr="007A77F9" w:rsidRDefault="009100FD" w:rsidP="009100FD">
            <w:pPr>
              <w:tabs>
                <w:tab w:val="left" w:pos="-1440"/>
                <w:tab w:val="left" w:pos="-720"/>
              </w:tabs>
              <w:rPr>
                <w:sz w:val="20"/>
                <w:szCs w:val="20"/>
              </w:rPr>
            </w:pPr>
            <w:r w:rsidRPr="007A77F9">
              <w:rPr>
                <w:sz w:val="20"/>
                <w:szCs w:val="20"/>
              </w:rPr>
              <w:tab/>
              <w:t>v. (35</w:t>
            </w:r>
            <w:r w:rsidR="000B60B2" w:rsidRPr="007A77F9">
              <w:rPr>
                <w:sz w:val="20"/>
                <w:szCs w:val="20"/>
              </w:rPr>
              <w:t>466</w:t>
            </w:r>
            <w:r w:rsidRPr="007A77F9">
              <w:rPr>
                <w:sz w:val="20"/>
                <w:szCs w:val="20"/>
              </w:rPr>
              <w:t>)</w:t>
            </w:r>
          </w:p>
          <w:p w:rsidR="009100FD" w:rsidRPr="007A77F9" w:rsidRDefault="009100FD" w:rsidP="009100FD">
            <w:pPr>
              <w:tabs>
                <w:tab w:val="left" w:pos="-1440"/>
                <w:tab w:val="left" w:pos="-720"/>
              </w:tabs>
              <w:rPr>
                <w:sz w:val="20"/>
                <w:szCs w:val="20"/>
              </w:rPr>
            </w:pPr>
          </w:p>
          <w:p w:rsidR="009100FD" w:rsidRPr="000B60B2" w:rsidRDefault="000B60B2" w:rsidP="009100FD">
            <w:pPr>
              <w:tabs>
                <w:tab w:val="left" w:pos="-1440"/>
                <w:tab w:val="left" w:pos="-720"/>
              </w:tabs>
              <w:rPr>
                <w:b/>
                <w:sz w:val="20"/>
                <w:szCs w:val="20"/>
                <w:lang w:val="fr-CA"/>
              </w:rPr>
            </w:pPr>
            <w:r w:rsidRPr="000B60B2">
              <w:rPr>
                <w:b/>
                <w:sz w:val="20"/>
                <w:szCs w:val="20"/>
                <w:lang w:val="fr-CA"/>
              </w:rPr>
              <w:t>Dorothy Wilson et al.</w:t>
            </w:r>
            <w:r>
              <w:rPr>
                <w:b/>
                <w:sz w:val="20"/>
                <w:szCs w:val="20"/>
                <w:lang w:val="fr-CA"/>
              </w:rPr>
              <w:t xml:space="preserve"> </w:t>
            </w:r>
            <w:r w:rsidR="009100FD" w:rsidRPr="000B60B2">
              <w:rPr>
                <w:b/>
                <w:sz w:val="20"/>
                <w:szCs w:val="20"/>
                <w:lang w:val="fr-CA"/>
              </w:rPr>
              <w:t>(</w:t>
            </w:r>
            <w:r>
              <w:rPr>
                <w:b/>
                <w:sz w:val="20"/>
                <w:szCs w:val="20"/>
                <w:lang w:val="fr-CA"/>
              </w:rPr>
              <w:t>Ont</w:t>
            </w:r>
            <w:r w:rsidR="009100FD" w:rsidRPr="000B60B2">
              <w:rPr>
                <w:b/>
                <w:sz w:val="20"/>
                <w:szCs w:val="20"/>
                <w:lang w:val="fr-CA"/>
              </w:rPr>
              <w:t>.)</w:t>
            </w:r>
          </w:p>
          <w:p w:rsidR="009100FD" w:rsidRPr="00196D53" w:rsidRDefault="009100FD" w:rsidP="009100FD">
            <w:pPr>
              <w:tabs>
                <w:tab w:val="left" w:pos="-1440"/>
                <w:tab w:val="left" w:pos="-720"/>
              </w:tabs>
              <w:rPr>
                <w:sz w:val="20"/>
                <w:szCs w:val="20"/>
              </w:rPr>
            </w:pPr>
            <w:r w:rsidRPr="000B60B2">
              <w:rPr>
                <w:sz w:val="20"/>
                <w:szCs w:val="20"/>
                <w:lang w:val="fr-CA"/>
              </w:rPr>
              <w:tab/>
            </w:r>
            <w:r w:rsidR="000B60B2" w:rsidRPr="00196D53">
              <w:rPr>
                <w:sz w:val="20"/>
                <w:szCs w:val="20"/>
              </w:rPr>
              <w:t>David B. Williams</w:t>
            </w:r>
          </w:p>
          <w:p w:rsidR="009100FD" w:rsidRPr="00911900" w:rsidRDefault="009100FD" w:rsidP="009100FD">
            <w:pPr>
              <w:tabs>
                <w:tab w:val="left" w:pos="-1440"/>
                <w:tab w:val="left" w:pos="-720"/>
              </w:tabs>
              <w:rPr>
                <w:sz w:val="20"/>
                <w:szCs w:val="20"/>
              </w:rPr>
            </w:pPr>
            <w:r w:rsidRPr="00196D53">
              <w:rPr>
                <w:sz w:val="20"/>
                <w:szCs w:val="20"/>
              </w:rPr>
              <w:tab/>
            </w:r>
            <w:r w:rsidR="000B60B2" w:rsidRPr="00911900">
              <w:rPr>
                <w:sz w:val="20"/>
                <w:szCs w:val="20"/>
              </w:rPr>
              <w:t>Harrison Pensa LLP</w:t>
            </w:r>
          </w:p>
          <w:p w:rsidR="009100FD" w:rsidRPr="00911900" w:rsidRDefault="009100FD" w:rsidP="009100FD">
            <w:pPr>
              <w:tabs>
                <w:tab w:val="left" w:pos="-1440"/>
                <w:tab w:val="left" w:pos="-720"/>
              </w:tabs>
              <w:rPr>
                <w:sz w:val="20"/>
                <w:szCs w:val="20"/>
              </w:rPr>
            </w:pPr>
          </w:p>
          <w:p w:rsidR="009100FD" w:rsidRPr="000B60B2" w:rsidRDefault="009100FD" w:rsidP="009100FD">
            <w:pPr>
              <w:rPr>
                <w:sz w:val="20"/>
                <w:szCs w:val="20"/>
              </w:rPr>
            </w:pPr>
            <w:r w:rsidRPr="000B60B2">
              <w:rPr>
                <w:sz w:val="20"/>
                <w:szCs w:val="20"/>
              </w:rPr>
              <w:t xml:space="preserve">FILING DATE: </w:t>
            </w:r>
            <w:r w:rsidR="000B60B2">
              <w:rPr>
                <w:sz w:val="20"/>
                <w:szCs w:val="20"/>
              </w:rPr>
              <w:t>0</w:t>
            </w:r>
            <w:r w:rsidRPr="000B60B2">
              <w:rPr>
                <w:sz w:val="20"/>
                <w:szCs w:val="20"/>
              </w:rPr>
              <w:t>7.0</w:t>
            </w:r>
            <w:r w:rsidR="000B60B2">
              <w:rPr>
                <w:sz w:val="20"/>
                <w:szCs w:val="20"/>
              </w:rPr>
              <w:t>8</w:t>
            </w:r>
            <w:r w:rsidRPr="000B60B2">
              <w:rPr>
                <w:sz w:val="20"/>
                <w:szCs w:val="20"/>
              </w:rPr>
              <w:t>.2013</w:t>
            </w:r>
          </w:p>
          <w:p w:rsidR="009100FD" w:rsidRPr="00CC2796" w:rsidRDefault="005F2BA7" w:rsidP="009100FD">
            <w:pPr>
              <w:rPr>
                <w:sz w:val="20"/>
                <w:szCs w:val="20"/>
              </w:rPr>
            </w:pPr>
            <w:r w:rsidRPr="005F2BA7">
              <w:rPr>
                <w:sz w:val="20"/>
                <w:szCs w:val="20"/>
                <w:lang w:val="fr-CA"/>
              </w:rPr>
              <w:pict>
                <v:rect id="_x0000_i1049" style="width:108pt;height:1pt" o:hrpct="0" o:hralign="center" o:hrstd="t" o:hrnoshade="t" o:hr="t" fillcolor="black [3213]" stroked="f"/>
              </w:pict>
            </w:r>
          </w:p>
        </w:tc>
        <w:tc>
          <w:tcPr>
            <w:tcW w:w="1181" w:type="dxa"/>
            <w:shd w:val="clear" w:color="auto" w:fill="auto"/>
          </w:tcPr>
          <w:p w:rsidR="009100FD" w:rsidRDefault="009100FD" w:rsidP="00242AEE">
            <w:pPr>
              <w:jc w:val="center"/>
              <w:rPr>
                <w:sz w:val="20"/>
                <w:szCs w:val="20"/>
              </w:rPr>
            </w:pPr>
          </w:p>
          <w:p w:rsidR="009100FD" w:rsidRDefault="009100FD" w:rsidP="00242AEE">
            <w:pPr>
              <w:jc w:val="center"/>
              <w:rPr>
                <w:sz w:val="20"/>
                <w:szCs w:val="20"/>
              </w:rPr>
            </w:pPr>
          </w:p>
          <w:p w:rsidR="009100FD" w:rsidRDefault="009100FD" w:rsidP="00242AEE">
            <w:pPr>
              <w:jc w:val="center"/>
              <w:rPr>
                <w:sz w:val="20"/>
                <w:szCs w:val="20"/>
              </w:rPr>
            </w:pPr>
          </w:p>
          <w:p w:rsidR="009100FD" w:rsidRDefault="009100FD" w:rsidP="00242AEE">
            <w:pPr>
              <w:jc w:val="center"/>
              <w:rPr>
                <w:sz w:val="20"/>
                <w:szCs w:val="20"/>
              </w:rPr>
            </w:pPr>
          </w:p>
          <w:p w:rsidR="009100FD" w:rsidRDefault="009100FD" w:rsidP="00242AEE">
            <w:pPr>
              <w:jc w:val="center"/>
              <w:rPr>
                <w:sz w:val="20"/>
                <w:szCs w:val="20"/>
              </w:rPr>
            </w:pPr>
          </w:p>
          <w:p w:rsidR="009100FD" w:rsidRDefault="009100FD" w:rsidP="00242AEE">
            <w:pPr>
              <w:jc w:val="center"/>
              <w:rPr>
                <w:sz w:val="20"/>
                <w:szCs w:val="20"/>
              </w:rPr>
            </w:pPr>
          </w:p>
          <w:p w:rsidR="009100FD" w:rsidRDefault="009100FD" w:rsidP="00242AEE">
            <w:pPr>
              <w:jc w:val="center"/>
              <w:rPr>
                <w:sz w:val="20"/>
                <w:szCs w:val="20"/>
              </w:rPr>
            </w:pPr>
          </w:p>
          <w:p w:rsidR="009100FD" w:rsidRDefault="009100FD" w:rsidP="00242AEE">
            <w:pPr>
              <w:jc w:val="center"/>
              <w:rPr>
                <w:sz w:val="20"/>
                <w:szCs w:val="20"/>
              </w:rPr>
            </w:pPr>
          </w:p>
          <w:p w:rsidR="009100FD" w:rsidRDefault="009100FD" w:rsidP="00242AEE">
            <w:pPr>
              <w:jc w:val="center"/>
              <w:rPr>
                <w:sz w:val="20"/>
                <w:szCs w:val="20"/>
              </w:rPr>
            </w:pPr>
          </w:p>
          <w:p w:rsidR="009100FD" w:rsidRDefault="009100FD" w:rsidP="00242AEE">
            <w:pPr>
              <w:jc w:val="center"/>
              <w:rPr>
                <w:sz w:val="20"/>
                <w:szCs w:val="20"/>
              </w:rPr>
            </w:pPr>
          </w:p>
          <w:p w:rsidR="009100FD" w:rsidRDefault="009100FD" w:rsidP="00242AEE">
            <w:pPr>
              <w:jc w:val="center"/>
              <w:rPr>
                <w:sz w:val="20"/>
                <w:szCs w:val="20"/>
              </w:rPr>
            </w:pPr>
          </w:p>
          <w:p w:rsidR="009100FD" w:rsidRDefault="009100FD" w:rsidP="00242AEE">
            <w:pPr>
              <w:jc w:val="center"/>
              <w:rPr>
                <w:sz w:val="20"/>
                <w:szCs w:val="20"/>
              </w:rPr>
            </w:pPr>
          </w:p>
          <w:p w:rsidR="009100FD" w:rsidRDefault="009100FD" w:rsidP="00242AEE">
            <w:pPr>
              <w:jc w:val="center"/>
              <w:rPr>
                <w:sz w:val="20"/>
                <w:szCs w:val="20"/>
              </w:rPr>
            </w:pPr>
          </w:p>
        </w:tc>
        <w:tc>
          <w:tcPr>
            <w:tcW w:w="4320" w:type="dxa"/>
            <w:shd w:val="clear" w:color="auto" w:fill="auto"/>
          </w:tcPr>
          <w:p w:rsidR="009100FD" w:rsidRPr="00911900" w:rsidRDefault="00911900" w:rsidP="009100FD">
            <w:pPr>
              <w:keepNext/>
              <w:keepLines/>
              <w:tabs>
                <w:tab w:val="left" w:pos="-1440"/>
                <w:tab w:val="left" w:pos="-720"/>
              </w:tabs>
              <w:rPr>
                <w:b/>
                <w:sz w:val="20"/>
                <w:szCs w:val="20"/>
                <w:lang w:val="fr-CA"/>
              </w:rPr>
            </w:pPr>
            <w:r w:rsidRPr="00911900">
              <w:rPr>
                <w:b/>
                <w:sz w:val="20"/>
                <w:szCs w:val="20"/>
                <w:lang w:val="fr-CA"/>
              </w:rPr>
              <w:t>Samson Management &amp; Solutions Ltd. et al.</w:t>
            </w:r>
          </w:p>
          <w:p w:rsidR="009100FD" w:rsidRPr="00911900" w:rsidRDefault="009100FD" w:rsidP="009100FD">
            <w:pPr>
              <w:keepNext/>
              <w:keepLines/>
              <w:tabs>
                <w:tab w:val="left" w:pos="-1440"/>
                <w:tab w:val="left" w:pos="-720"/>
              </w:tabs>
              <w:rPr>
                <w:sz w:val="20"/>
                <w:szCs w:val="20"/>
              </w:rPr>
            </w:pPr>
            <w:r w:rsidRPr="00911900">
              <w:rPr>
                <w:sz w:val="20"/>
                <w:szCs w:val="20"/>
                <w:lang w:val="fr-CA"/>
              </w:rPr>
              <w:tab/>
            </w:r>
            <w:r w:rsidR="00911900" w:rsidRPr="00911900">
              <w:rPr>
                <w:sz w:val="20"/>
                <w:szCs w:val="20"/>
              </w:rPr>
              <w:t>H. Richard Bennett</w:t>
            </w:r>
          </w:p>
          <w:p w:rsidR="009100FD" w:rsidRPr="00911900" w:rsidRDefault="009100FD" w:rsidP="009100FD">
            <w:pPr>
              <w:keepNext/>
              <w:keepLines/>
              <w:tabs>
                <w:tab w:val="left" w:pos="-1440"/>
                <w:tab w:val="left" w:pos="-720"/>
              </w:tabs>
              <w:rPr>
                <w:sz w:val="20"/>
                <w:szCs w:val="20"/>
              </w:rPr>
            </w:pPr>
            <w:r w:rsidRPr="00911900">
              <w:rPr>
                <w:sz w:val="20"/>
                <w:szCs w:val="20"/>
              </w:rPr>
              <w:tab/>
            </w:r>
            <w:r w:rsidR="00911900" w:rsidRPr="00911900">
              <w:rPr>
                <w:sz w:val="20"/>
                <w:szCs w:val="20"/>
              </w:rPr>
              <w:t>Ricketts, Harris LLP</w:t>
            </w:r>
          </w:p>
          <w:p w:rsidR="009100FD" w:rsidRPr="00911900" w:rsidRDefault="009100FD" w:rsidP="009100FD">
            <w:pPr>
              <w:keepNext/>
              <w:keepLines/>
              <w:tabs>
                <w:tab w:val="left" w:pos="-1440"/>
                <w:tab w:val="left" w:pos="-720"/>
              </w:tabs>
              <w:rPr>
                <w:sz w:val="20"/>
                <w:szCs w:val="20"/>
              </w:rPr>
            </w:pPr>
          </w:p>
          <w:p w:rsidR="009100FD" w:rsidRPr="00CC2796" w:rsidRDefault="009100FD" w:rsidP="009100FD">
            <w:pPr>
              <w:keepNext/>
              <w:keepLines/>
              <w:tabs>
                <w:tab w:val="left" w:pos="-1440"/>
                <w:tab w:val="left" w:pos="-720"/>
              </w:tabs>
              <w:rPr>
                <w:sz w:val="20"/>
                <w:szCs w:val="20"/>
              </w:rPr>
            </w:pPr>
            <w:r w:rsidRPr="00911900">
              <w:rPr>
                <w:sz w:val="20"/>
                <w:szCs w:val="20"/>
              </w:rPr>
              <w:tab/>
            </w:r>
            <w:r w:rsidRPr="00CC2796">
              <w:rPr>
                <w:sz w:val="20"/>
                <w:szCs w:val="20"/>
              </w:rPr>
              <w:t>v. (35</w:t>
            </w:r>
            <w:r w:rsidR="00911900">
              <w:rPr>
                <w:sz w:val="20"/>
                <w:szCs w:val="20"/>
              </w:rPr>
              <w:t>465</w:t>
            </w:r>
            <w:r w:rsidRPr="00CC2796">
              <w:rPr>
                <w:sz w:val="20"/>
                <w:szCs w:val="20"/>
              </w:rPr>
              <w:t>)</w:t>
            </w:r>
          </w:p>
          <w:p w:rsidR="009100FD" w:rsidRPr="00CC2796" w:rsidRDefault="009100FD" w:rsidP="009100FD">
            <w:pPr>
              <w:keepNext/>
              <w:keepLines/>
              <w:tabs>
                <w:tab w:val="left" w:pos="-1440"/>
                <w:tab w:val="left" w:pos="-720"/>
              </w:tabs>
              <w:rPr>
                <w:sz w:val="20"/>
                <w:szCs w:val="20"/>
              </w:rPr>
            </w:pPr>
          </w:p>
          <w:p w:rsidR="009100FD" w:rsidRPr="00CC2796" w:rsidRDefault="00911900" w:rsidP="009100FD">
            <w:pPr>
              <w:keepNext/>
              <w:keepLines/>
              <w:tabs>
                <w:tab w:val="left" w:pos="-1440"/>
                <w:tab w:val="left" w:pos="-720"/>
              </w:tabs>
              <w:rPr>
                <w:b/>
                <w:sz w:val="20"/>
                <w:szCs w:val="20"/>
              </w:rPr>
            </w:pPr>
            <w:r>
              <w:rPr>
                <w:b/>
                <w:sz w:val="20"/>
                <w:szCs w:val="20"/>
              </w:rPr>
              <w:t xml:space="preserve">Royal Bank of Canada </w:t>
            </w:r>
            <w:r w:rsidR="009100FD" w:rsidRPr="00CC2796">
              <w:rPr>
                <w:b/>
                <w:sz w:val="20"/>
                <w:szCs w:val="20"/>
              </w:rPr>
              <w:t>(Ont.)</w:t>
            </w:r>
          </w:p>
          <w:p w:rsidR="009100FD" w:rsidRPr="00CC2796" w:rsidRDefault="009100FD" w:rsidP="009100FD">
            <w:pPr>
              <w:keepNext/>
              <w:keepLines/>
              <w:tabs>
                <w:tab w:val="left" w:pos="-1440"/>
                <w:tab w:val="left" w:pos="-720"/>
              </w:tabs>
              <w:rPr>
                <w:sz w:val="20"/>
                <w:szCs w:val="20"/>
              </w:rPr>
            </w:pPr>
            <w:r w:rsidRPr="00CC2796">
              <w:rPr>
                <w:sz w:val="20"/>
                <w:szCs w:val="20"/>
              </w:rPr>
              <w:tab/>
            </w:r>
            <w:r w:rsidR="00911900">
              <w:rPr>
                <w:sz w:val="20"/>
                <w:szCs w:val="20"/>
              </w:rPr>
              <w:t>Catherine Francis</w:t>
            </w:r>
          </w:p>
          <w:p w:rsidR="009100FD" w:rsidRPr="00CC2796" w:rsidRDefault="009100FD" w:rsidP="009100FD">
            <w:pPr>
              <w:keepNext/>
              <w:keepLines/>
              <w:tabs>
                <w:tab w:val="left" w:pos="-1440"/>
                <w:tab w:val="left" w:pos="-720"/>
              </w:tabs>
              <w:rPr>
                <w:sz w:val="20"/>
                <w:szCs w:val="20"/>
              </w:rPr>
            </w:pPr>
            <w:r w:rsidRPr="00CC2796">
              <w:rPr>
                <w:sz w:val="20"/>
                <w:szCs w:val="20"/>
              </w:rPr>
              <w:tab/>
            </w:r>
            <w:r w:rsidR="00911900">
              <w:rPr>
                <w:sz w:val="20"/>
                <w:szCs w:val="20"/>
              </w:rPr>
              <w:t>Minden, Gross LLP</w:t>
            </w:r>
          </w:p>
          <w:p w:rsidR="009100FD" w:rsidRPr="00CC2796" w:rsidRDefault="009100FD" w:rsidP="009100FD">
            <w:pPr>
              <w:keepNext/>
              <w:keepLines/>
              <w:tabs>
                <w:tab w:val="left" w:pos="-1440"/>
                <w:tab w:val="left" w:pos="-720"/>
              </w:tabs>
              <w:rPr>
                <w:sz w:val="20"/>
                <w:szCs w:val="20"/>
              </w:rPr>
            </w:pPr>
          </w:p>
          <w:p w:rsidR="009100FD" w:rsidRPr="00A935AA" w:rsidRDefault="009100FD" w:rsidP="00911900">
            <w:pPr>
              <w:rPr>
                <w:sz w:val="20"/>
                <w:szCs w:val="20"/>
              </w:rPr>
            </w:pPr>
            <w:r w:rsidRPr="00A935AA">
              <w:rPr>
                <w:sz w:val="20"/>
                <w:szCs w:val="20"/>
              </w:rPr>
              <w:t xml:space="preserve">FILING DATE: </w:t>
            </w:r>
            <w:r w:rsidR="00911900">
              <w:rPr>
                <w:sz w:val="20"/>
                <w:szCs w:val="20"/>
              </w:rPr>
              <w:t>08</w:t>
            </w:r>
            <w:r w:rsidRPr="00A935AA">
              <w:rPr>
                <w:sz w:val="20"/>
                <w:szCs w:val="20"/>
              </w:rPr>
              <w:t>.0</w:t>
            </w:r>
            <w:r w:rsidR="00911900">
              <w:rPr>
                <w:sz w:val="20"/>
                <w:szCs w:val="20"/>
              </w:rPr>
              <w:t>8</w:t>
            </w:r>
            <w:r w:rsidRPr="00A935AA">
              <w:rPr>
                <w:sz w:val="20"/>
                <w:szCs w:val="20"/>
              </w:rPr>
              <w:t>.201</w:t>
            </w:r>
            <w:r>
              <w:rPr>
                <w:sz w:val="20"/>
                <w:szCs w:val="20"/>
              </w:rPr>
              <w:t>3</w:t>
            </w:r>
            <w:r w:rsidR="005F2BA7" w:rsidRPr="005F2BA7">
              <w:rPr>
                <w:sz w:val="20"/>
                <w:szCs w:val="20"/>
                <w:lang w:val="fr-CA"/>
              </w:rPr>
              <w:pict>
                <v:rect id="_x0000_i1050" style="width:108pt;height:1pt" o:hrpct="0" o:hralign="center" o:hrstd="t" o:hrnoshade="t" o:hr="t" fillcolor="black [3213]" stroked="f"/>
              </w:pict>
            </w:r>
          </w:p>
        </w:tc>
      </w:tr>
      <w:tr w:rsidR="00064713" w:rsidRPr="00A935AA" w:rsidTr="003B3977">
        <w:trPr>
          <w:cantSplit/>
        </w:trPr>
        <w:tc>
          <w:tcPr>
            <w:tcW w:w="4320" w:type="dxa"/>
            <w:shd w:val="clear" w:color="auto" w:fill="auto"/>
          </w:tcPr>
          <w:p w:rsidR="00064713" w:rsidRDefault="00064713" w:rsidP="009100FD">
            <w:pPr>
              <w:rPr>
                <w:sz w:val="20"/>
                <w:szCs w:val="20"/>
              </w:rPr>
            </w:pPr>
            <w:r>
              <w:rPr>
                <w:b/>
                <w:sz w:val="20"/>
                <w:szCs w:val="20"/>
              </w:rPr>
              <w:t>M.F.</w:t>
            </w:r>
          </w:p>
          <w:p w:rsidR="00064713" w:rsidRDefault="00064713" w:rsidP="009100FD">
            <w:pPr>
              <w:rPr>
                <w:sz w:val="20"/>
                <w:szCs w:val="20"/>
              </w:rPr>
            </w:pPr>
            <w:r>
              <w:rPr>
                <w:sz w:val="20"/>
                <w:szCs w:val="20"/>
              </w:rPr>
              <w:tab/>
              <w:t>Arghavan Gerami</w:t>
            </w:r>
          </w:p>
          <w:p w:rsidR="00064713" w:rsidRDefault="00064713" w:rsidP="009100FD">
            <w:pPr>
              <w:rPr>
                <w:sz w:val="20"/>
                <w:szCs w:val="20"/>
              </w:rPr>
            </w:pPr>
            <w:r>
              <w:rPr>
                <w:sz w:val="20"/>
                <w:szCs w:val="20"/>
              </w:rPr>
              <w:tab/>
              <w:t>Gerami Law Professional Corporation</w:t>
            </w:r>
          </w:p>
          <w:p w:rsidR="00064713" w:rsidRDefault="00064713" w:rsidP="009100FD">
            <w:pPr>
              <w:rPr>
                <w:sz w:val="20"/>
                <w:szCs w:val="20"/>
              </w:rPr>
            </w:pPr>
          </w:p>
          <w:p w:rsidR="00064713" w:rsidRDefault="00064713" w:rsidP="009100FD">
            <w:pPr>
              <w:rPr>
                <w:sz w:val="20"/>
                <w:szCs w:val="20"/>
              </w:rPr>
            </w:pPr>
            <w:r>
              <w:rPr>
                <w:sz w:val="20"/>
                <w:szCs w:val="20"/>
              </w:rPr>
              <w:tab/>
              <w:t>v. (35467)</w:t>
            </w:r>
          </w:p>
          <w:p w:rsidR="00064713" w:rsidRDefault="00064713" w:rsidP="009100FD">
            <w:pPr>
              <w:rPr>
                <w:sz w:val="20"/>
                <w:szCs w:val="20"/>
              </w:rPr>
            </w:pPr>
          </w:p>
          <w:p w:rsidR="00064713" w:rsidRDefault="00064713" w:rsidP="009100FD">
            <w:pPr>
              <w:rPr>
                <w:b/>
                <w:sz w:val="20"/>
                <w:szCs w:val="20"/>
              </w:rPr>
            </w:pPr>
            <w:r>
              <w:rPr>
                <w:b/>
                <w:sz w:val="20"/>
                <w:szCs w:val="20"/>
              </w:rPr>
              <w:t>Family and Children’s Services of Lanark, Leeds and Grenville (Ont.)</w:t>
            </w:r>
          </w:p>
          <w:p w:rsidR="00064713" w:rsidRDefault="00064713" w:rsidP="009100FD">
            <w:pPr>
              <w:rPr>
                <w:sz w:val="20"/>
                <w:szCs w:val="20"/>
              </w:rPr>
            </w:pPr>
            <w:r>
              <w:rPr>
                <w:sz w:val="20"/>
                <w:szCs w:val="20"/>
              </w:rPr>
              <w:tab/>
              <w:t>Cheryl Hess</w:t>
            </w:r>
          </w:p>
          <w:p w:rsidR="00064713" w:rsidRDefault="00064713" w:rsidP="009100FD">
            <w:pPr>
              <w:rPr>
                <w:sz w:val="20"/>
                <w:szCs w:val="20"/>
              </w:rPr>
            </w:pPr>
            <w:r>
              <w:rPr>
                <w:sz w:val="20"/>
                <w:szCs w:val="20"/>
              </w:rPr>
              <w:tab/>
              <w:t>Bell Baker LLP</w:t>
            </w:r>
          </w:p>
          <w:p w:rsidR="00064713" w:rsidRDefault="00064713" w:rsidP="009100FD">
            <w:pPr>
              <w:rPr>
                <w:sz w:val="20"/>
                <w:szCs w:val="20"/>
              </w:rPr>
            </w:pPr>
          </w:p>
          <w:p w:rsidR="00064713" w:rsidRPr="000B60B2" w:rsidRDefault="00064713" w:rsidP="00064713">
            <w:pPr>
              <w:rPr>
                <w:sz w:val="20"/>
                <w:szCs w:val="20"/>
              </w:rPr>
            </w:pPr>
            <w:r w:rsidRPr="000B60B2">
              <w:rPr>
                <w:sz w:val="20"/>
                <w:szCs w:val="20"/>
              </w:rPr>
              <w:t xml:space="preserve">FILING DATE: </w:t>
            </w:r>
            <w:r>
              <w:rPr>
                <w:sz w:val="20"/>
                <w:szCs w:val="20"/>
              </w:rPr>
              <w:t>08</w:t>
            </w:r>
            <w:r w:rsidRPr="000B60B2">
              <w:rPr>
                <w:sz w:val="20"/>
                <w:szCs w:val="20"/>
              </w:rPr>
              <w:t>.0</w:t>
            </w:r>
            <w:r>
              <w:rPr>
                <w:sz w:val="20"/>
                <w:szCs w:val="20"/>
              </w:rPr>
              <w:t>8</w:t>
            </w:r>
            <w:r w:rsidRPr="000B60B2">
              <w:rPr>
                <w:sz w:val="20"/>
                <w:szCs w:val="20"/>
              </w:rPr>
              <w:t>.2013</w:t>
            </w:r>
          </w:p>
          <w:p w:rsidR="00064713" w:rsidRPr="00064713" w:rsidRDefault="005F2BA7" w:rsidP="00064713">
            <w:pPr>
              <w:rPr>
                <w:sz w:val="20"/>
                <w:szCs w:val="20"/>
              </w:rPr>
            </w:pPr>
            <w:r w:rsidRPr="005F2BA7">
              <w:rPr>
                <w:sz w:val="20"/>
                <w:szCs w:val="20"/>
                <w:lang w:val="fr-CA"/>
              </w:rPr>
              <w:pict>
                <v:rect id="_x0000_i1051" style="width:108pt;height:1pt" o:hrpct="0" o:hralign="center" o:hrstd="t" o:hrnoshade="t" o:hr="t" fillcolor="black [3213]" stroked="f"/>
              </w:pict>
            </w:r>
          </w:p>
        </w:tc>
        <w:tc>
          <w:tcPr>
            <w:tcW w:w="1181" w:type="dxa"/>
            <w:shd w:val="clear" w:color="auto" w:fill="auto"/>
          </w:tcPr>
          <w:p w:rsidR="00064713" w:rsidRDefault="00064713" w:rsidP="00242AEE">
            <w:pPr>
              <w:jc w:val="center"/>
              <w:rPr>
                <w:sz w:val="20"/>
                <w:szCs w:val="20"/>
              </w:rPr>
            </w:pPr>
          </w:p>
          <w:p w:rsidR="00064713" w:rsidRDefault="00064713" w:rsidP="00242AEE">
            <w:pPr>
              <w:jc w:val="center"/>
              <w:rPr>
                <w:sz w:val="20"/>
                <w:szCs w:val="20"/>
              </w:rPr>
            </w:pPr>
          </w:p>
          <w:p w:rsidR="00064713" w:rsidRDefault="00064713" w:rsidP="00242AEE">
            <w:pPr>
              <w:jc w:val="center"/>
              <w:rPr>
                <w:sz w:val="20"/>
                <w:szCs w:val="20"/>
              </w:rPr>
            </w:pPr>
          </w:p>
          <w:p w:rsidR="00064713" w:rsidRDefault="00064713" w:rsidP="00242AEE">
            <w:pPr>
              <w:jc w:val="center"/>
              <w:rPr>
                <w:sz w:val="20"/>
                <w:szCs w:val="20"/>
              </w:rPr>
            </w:pPr>
          </w:p>
          <w:p w:rsidR="00064713" w:rsidRDefault="00064713" w:rsidP="00242AEE">
            <w:pPr>
              <w:jc w:val="center"/>
              <w:rPr>
                <w:sz w:val="20"/>
                <w:szCs w:val="20"/>
              </w:rPr>
            </w:pPr>
          </w:p>
          <w:p w:rsidR="00064713" w:rsidRDefault="00064713" w:rsidP="00242AEE">
            <w:pPr>
              <w:jc w:val="center"/>
              <w:rPr>
                <w:sz w:val="20"/>
                <w:szCs w:val="20"/>
              </w:rPr>
            </w:pPr>
          </w:p>
          <w:p w:rsidR="00064713" w:rsidRDefault="00064713" w:rsidP="00242AEE">
            <w:pPr>
              <w:jc w:val="center"/>
              <w:rPr>
                <w:sz w:val="20"/>
                <w:szCs w:val="20"/>
              </w:rPr>
            </w:pPr>
          </w:p>
          <w:p w:rsidR="00064713" w:rsidRDefault="00064713" w:rsidP="00242AEE">
            <w:pPr>
              <w:jc w:val="center"/>
              <w:rPr>
                <w:sz w:val="20"/>
                <w:szCs w:val="20"/>
              </w:rPr>
            </w:pPr>
          </w:p>
          <w:p w:rsidR="00064713" w:rsidRDefault="00064713" w:rsidP="00242AEE">
            <w:pPr>
              <w:jc w:val="center"/>
              <w:rPr>
                <w:sz w:val="20"/>
                <w:szCs w:val="20"/>
              </w:rPr>
            </w:pPr>
          </w:p>
          <w:p w:rsidR="00064713" w:rsidRDefault="00064713" w:rsidP="00242AEE">
            <w:pPr>
              <w:jc w:val="center"/>
              <w:rPr>
                <w:sz w:val="20"/>
                <w:szCs w:val="20"/>
              </w:rPr>
            </w:pPr>
          </w:p>
          <w:p w:rsidR="00064713" w:rsidRDefault="00064713" w:rsidP="00242AEE">
            <w:pPr>
              <w:jc w:val="center"/>
              <w:rPr>
                <w:sz w:val="20"/>
                <w:szCs w:val="20"/>
              </w:rPr>
            </w:pPr>
          </w:p>
          <w:p w:rsidR="00064713" w:rsidRDefault="00064713" w:rsidP="00242AEE">
            <w:pPr>
              <w:jc w:val="center"/>
              <w:rPr>
                <w:sz w:val="20"/>
                <w:szCs w:val="20"/>
              </w:rPr>
            </w:pPr>
          </w:p>
          <w:p w:rsidR="00064713" w:rsidRDefault="00064713" w:rsidP="00242AEE">
            <w:pPr>
              <w:jc w:val="center"/>
              <w:rPr>
                <w:sz w:val="20"/>
                <w:szCs w:val="20"/>
              </w:rPr>
            </w:pPr>
          </w:p>
        </w:tc>
        <w:tc>
          <w:tcPr>
            <w:tcW w:w="4320" w:type="dxa"/>
            <w:shd w:val="clear" w:color="auto" w:fill="auto"/>
          </w:tcPr>
          <w:p w:rsidR="00064713" w:rsidRPr="000C7F74" w:rsidRDefault="00064713" w:rsidP="009100FD">
            <w:pPr>
              <w:keepNext/>
              <w:keepLines/>
              <w:tabs>
                <w:tab w:val="left" w:pos="-1440"/>
                <w:tab w:val="left" w:pos="-720"/>
              </w:tabs>
              <w:rPr>
                <w:sz w:val="20"/>
                <w:szCs w:val="20"/>
              </w:rPr>
            </w:pPr>
            <w:r w:rsidRPr="000C7F74">
              <w:rPr>
                <w:b/>
                <w:sz w:val="20"/>
                <w:szCs w:val="20"/>
              </w:rPr>
              <w:t>Stephen D. Halmo</w:t>
            </w:r>
          </w:p>
          <w:p w:rsidR="00064713" w:rsidRPr="000C7F74" w:rsidRDefault="00064713" w:rsidP="00064713">
            <w:pPr>
              <w:rPr>
                <w:sz w:val="20"/>
                <w:szCs w:val="20"/>
              </w:rPr>
            </w:pPr>
            <w:r w:rsidRPr="000C7F74">
              <w:rPr>
                <w:sz w:val="20"/>
                <w:szCs w:val="20"/>
              </w:rPr>
              <w:tab/>
              <w:t>Sarit E. Batner</w:t>
            </w:r>
          </w:p>
          <w:p w:rsidR="00064713" w:rsidRDefault="00064713" w:rsidP="00064713">
            <w:pPr>
              <w:rPr>
                <w:sz w:val="20"/>
                <w:szCs w:val="20"/>
              </w:rPr>
            </w:pPr>
            <w:r>
              <w:rPr>
                <w:sz w:val="20"/>
                <w:szCs w:val="20"/>
              </w:rPr>
              <w:tab/>
              <w:t>McCarthy Tétrault LLP</w:t>
            </w:r>
          </w:p>
          <w:p w:rsidR="00064713" w:rsidRDefault="00064713" w:rsidP="00064713">
            <w:pPr>
              <w:rPr>
                <w:sz w:val="20"/>
                <w:szCs w:val="20"/>
              </w:rPr>
            </w:pPr>
          </w:p>
          <w:p w:rsidR="00064713" w:rsidRDefault="00064713" w:rsidP="00064713">
            <w:pPr>
              <w:rPr>
                <w:sz w:val="20"/>
                <w:szCs w:val="20"/>
              </w:rPr>
            </w:pPr>
            <w:r>
              <w:rPr>
                <w:sz w:val="20"/>
                <w:szCs w:val="20"/>
              </w:rPr>
              <w:tab/>
              <w:t>v. (35468)</w:t>
            </w:r>
          </w:p>
          <w:p w:rsidR="00064713" w:rsidRDefault="00064713" w:rsidP="00064713">
            <w:pPr>
              <w:rPr>
                <w:sz w:val="20"/>
                <w:szCs w:val="20"/>
              </w:rPr>
            </w:pPr>
          </w:p>
          <w:p w:rsidR="00064713" w:rsidRDefault="00064713" w:rsidP="00064713">
            <w:pPr>
              <w:rPr>
                <w:b/>
                <w:sz w:val="20"/>
                <w:szCs w:val="20"/>
              </w:rPr>
            </w:pPr>
            <w:r>
              <w:rPr>
                <w:b/>
                <w:sz w:val="20"/>
                <w:szCs w:val="20"/>
              </w:rPr>
              <w:t>Steve Manary et al. (Ont.)</w:t>
            </w:r>
          </w:p>
          <w:p w:rsidR="00064713" w:rsidRDefault="00064713" w:rsidP="00064713">
            <w:pPr>
              <w:rPr>
                <w:sz w:val="20"/>
                <w:szCs w:val="20"/>
              </w:rPr>
            </w:pPr>
            <w:r>
              <w:rPr>
                <w:sz w:val="20"/>
                <w:szCs w:val="20"/>
              </w:rPr>
              <w:tab/>
              <w:t>J. Greg Murdoch</w:t>
            </w:r>
          </w:p>
          <w:p w:rsidR="00064713" w:rsidRDefault="00064713" w:rsidP="00064713">
            <w:pPr>
              <w:rPr>
                <w:sz w:val="20"/>
                <w:szCs w:val="20"/>
              </w:rPr>
            </w:pPr>
            <w:r>
              <w:rPr>
                <w:sz w:val="20"/>
                <w:szCs w:val="20"/>
              </w:rPr>
              <w:tab/>
              <w:t>Sorbara, Schumacher, McCann LLP</w:t>
            </w:r>
          </w:p>
          <w:p w:rsidR="00064713" w:rsidRDefault="00064713" w:rsidP="00064713">
            <w:pPr>
              <w:rPr>
                <w:sz w:val="20"/>
                <w:szCs w:val="20"/>
              </w:rPr>
            </w:pPr>
          </w:p>
          <w:p w:rsidR="00064713" w:rsidRPr="000B60B2" w:rsidRDefault="00064713" w:rsidP="00064713">
            <w:pPr>
              <w:rPr>
                <w:sz w:val="20"/>
                <w:szCs w:val="20"/>
              </w:rPr>
            </w:pPr>
            <w:r w:rsidRPr="000B60B2">
              <w:rPr>
                <w:sz w:val="20"/>
                <w:szCs w:val="20"/>
              </w:rPr>
              <w:t xml:space="preserve">FILING DATE: </w:t>
            </w:r>
            <w:r>
              <w:rPr>
                <w:sz w:val="20"/>
                <w:szCs w:val="20"/>
              </w:rPr>
              <w:t>08</w:t>
            </w:r>
            <w:r w:rsidRPr="000B60B2">
              <w:rPr>
                <w:sz w:val="20"/>
                <w:szCs w:val="20"/>
              </w:rPr>
              <w:t>.0</w:t>
            </w:r>
            <w:r>
              <w:rPr>
                <w:sz w:val="20"/>
                <w:szCs w:val="20"/>
              </w:rPr>
              <w:t>8</w:t>
            </w:r>
            <w:r w:rsidRPr="000B60B2">
              <w:rPr>
                <w:sz w:val="20"/>
                <w:szCs w:val="20"/>
              </w:rPr>
              <w:t>.2013</w:t>
            </w:r>
          </w:p>
          <w:p w:rsidR="00064713" w:rsidRPr="00064713" w:rsidRDefault="005F2BA7" w:rsidP="009100FD">
            <w:pPr>
              <w:keepNext/>
              <w:keepLines/>
              <w:tabs>
                <w:tab w:val="left" w:pos="-1440"/>
                <w:tab w:val="left" w:pos="-720"/>
              </w:tabs>
              <w:rPr>
                <w:sz w:val="20"/>
                <w:szCs w:val="20"/>
              </w:rPr>
            </w:pPr>
            <w:r w:rsidRPr="005F2BA7">
              <w:rPr>
                <w:sz w:val="20"/>
                <w:szCs w:val="20"/>
                <w:lang w:val="fr-CA"/>
              </w:rPr>
              <w:pict>
                <v:rect id="_x0000_i1052"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456EDC">
          <w:headerReference w:type="default" r:id="rId17"/>
          <w:footerReference w:type="default" r:id="rId18"/>
          <w:headerReference w:type="first" r:id="rId19"/>
          <w:footerReference w:type="first" r:id="rId20"/>
          <w:pgSz w:w="12240" w:h="15840"/>
          <w:pgMar w:top="720" w:right="965" w:bottom="1080" w:left="1656" w:header="706" w:footer="706" w:gutter="0"/>
          <w:pgNumType w:start="131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B8626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0C7F74" w:rsidRDefault="002E2327" w:rsidP="002E2327">
            <w:pPr>
              <w:keepLines/>
              <w:widowControl w:val="0"/>
              <w:rPr>
                <w:szCs w:val="24"/>
                <w:lang w:val="fr-CA"/>
              </w:rPr>
            </w:pPr>
            <w:r w:rsidRPr="000C7F74">
              <w:rPr>
                <w:b/>
                <w:szCs w:val="24"/>
                <w:lang w:val="fr-CA"/>
              </w:rPr>
              <w:t>DEMANDES SOUMISES À LA COUR DEPUIS LA DERNIÈRE PARUTION</w:t>
            </w:r>
          </w:p>
          <w:p w:rsidR="002E2327" w:rsidRPr="000C7F74"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0C7F74"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JU</w:t>
      </w:r>
      <w:r w:rsidR="00C524AA">
        <w:rPr>
          <w:b/>
          <w:sz w:val="20"/>
          <w:szCs w:val="20"/>
        </w:rPr>
        <w:t>LY</w:t>
      </w:r>
      <w:r>
        <w:rPr>
          <w:b/>
          <w:sz w:val="20"/>
          <w:szCs w:val="20"/>
        </w:rPr>
        <w:t xml:space="preserve"> </w:t>
      </w:r>
      <w:r w:rsidR="00C524AA">
        <w:rPr>
          <w:b/>
          <w:sz w:val="20"/>
          <w:szCs w:val="20"/>
        </w:rPr>
        <w:t>29</w:t>
      </w:r>
      <w:r w:rsidR="004B7F60" w:rsidRPr="00C50A5C">
        <w:rPr>
          <w:b/>
          <w:sz w:val="20"/>
          <w:szCs w:val="20"/>
        </w:rPr>
        <w:t>, 201</w:t>
      </w:r>
      <w:r>
        <w:rPr>
          <w:b/>
          <w:sz w:val="20"/>
          <w:szCs w:val="20"/>
        </w:rPr>
        <w:t>3</w:t>
      </w:r>
      <w:r w:rsidR="004B7F60" w:rsidRPr="00C50A5C">
        <w:rPr>
          <w:b/>
          <w:sz w:val="20"/>
          <w:szCs w:val="20"/>
        </w:rPr>
        <w:t xml:space="preserve"> / LE </w:t>
      </w:r>
      <w:r w:rsidR="00C524AA">
        <w:rPr>
          <w:b/>
          <w:sz w:val="20"/>
          <w:szCs w:val="20"/>
        </w:rPr>
        <w:t>29</w:t>
      </w:r>
      <w:r w:rsidR="004B7F60">
        <w:rPr>
          <w:b/>
          <w:sz w:val="20"/>
          <w:szCs w:val="20"/>
        </w:rPr>
        <w:t xml:space="preserve"> </w:t>
      </w:r>
      <w:r>
        <w:rPr>
          <w:b/>
          <w:sz w:val="20"/>
          <w:szCs w:val="20"/>
        </w:rPr>
        <w:t>J</w:t>
      </w:r>
      <w:r w:rsidR="00C524AA">
        <w:rPr>
          <w:b/>
          <w:sz w:val="20"/>
          <w:szCs w:val="20"/>
        </w:rPr>
        <w:t>U</w:t>
      </w:r>
      <w:r>
        <w:rPr>
          <w:b/>
          <w:sz w:val="20"/>
          <w:szCs w:val="20"/>
        </w:rPr>
        <w:t>I</w:t>
      </w:r>
      <w:r w:rsidR="00C524AA">
        <w:rPr>
          <w:b/>
          <w:sz w:val="20"/>
          <w:szCs w:val="20"/>
        </w:rPr>
        <w:t>LL</w:t>
      </w:r>
      <w:r>
        <w:rPr>
          <w:b/>
          <w:sz w:val="20"/>
          <w:szCs w:val="20"/>
        </w:rPr>
        <w:t>E</w:t>
      </w:r>
      <w:r w:rsidR="00C524AA">
        <w:rPr>
          <w:b/>
          <w:sz w:val="20"/>
          <w:szCs w:val="20"/>
        </w:rPr>
        <w:t>T</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D572FF" w:rsidP="004B7F60">
      <w:pPr>
        <w:pStyle w:val="ListParagraph"/>
        <w:widowControl w:val="0"/>
        <w:numPr>
          <w:ilvl w:val="0"/>
          <w:numId w:val="1"/>
        </w:numPr>
        <w:ind w:hanging="720"/>
        <w:jc w:val="both"/>
        <w:rPr>
          <w:sz w:val="20"/>
          <w:szCs w:val="20"/>
        </w:rPr>
      </w:pPr>
      <w:r w:rsidRPr="00D572FF">
        <w:rPr>
          <w:i/>
          <w:sz w:val="20"/>
          <w:szCs w:val="20"/>
        </w:rPr>
        <w:t>Trial Lawyers Association of British Columbia v. Attorney General of British Columbia</w:t>
      </w:r>
      <w:r w:rsidRPr="005A3B96">
        <w:rPr>
          <w:sz w:val="20"/>
          <w:szCs w:val="20"/>
        </w:rPr>
        <w:t xml:space="preserve"> (B.C.) (Civil) (By Leave)</w:t>
      </w:r>
      <w:r w:rsidRPr="00C50A5C">
        <w:rPr>
          <w:sz w:val="20"/>
          <w:szCs w:val="20"/>
        </w:rPr>
        <w:t xml:space="preserve"> </w:t>
      </w:r>
      <w:r w:rsidR="004B7F60" w:rsidRPr="00C50A5C">
        <w:rPr>
          <w:sz w:val="20"/>
          <w:szCs w:val="20"/>
        </w:rPr>
        <w:t>(3</w:t>
      </w:r>
      <w:r w:rsidR="00C524AA">
        <w:rPr>
          <w:sz w:val="20"/>
          <w:szCs w:val="20"/>
        </w:rPr>
        <w:t>5</w:t>
      </w:r>
      <w:r>
        <w:rPr>
          <w:sz w:val="20"/>
          <w:szCs w:val="20"/>
        </w:rPr>
        <w:t>315</w:t>
      </w:r>
      <w:r w:rsidR="004B7F60" w:rsidRPr="00C50A5C">
        <w:rPr>
          <w:sz w:val="20"/>
          <w:szCs w:val="20"/>
        </w:rPr>
        <w:t>)</w:t>
      </w:r>
    </w:p>
    <w:p w:rsidR="004B7F60" w:rsidRDefault="004B7F60" w:rsidP="004B7F60">
      <w:pPr>
        <w:widowControl w:val="0"/>
        <w:jc w:val="both"/>
        <w:rPr>
          <w:sz w:val="20"/>
          <w:szCs w:val="20"/>
          <w:lang w:val="fr-CA"/>
        </w:rPr>
      </w:pPr>
    </w:p>
    <w:p w:rsidR="00C524AA" w:rsidRDefault="00C524AA" w:rsidP="004B7F60">
      <w:pPr>
        <w:widowControl w:val="0"/>
        <w:jc w:val="both"/>
        <w:rPr>
          <w:sz w:val="20"/>
          <w:szCs w:val="20"/>
          <w:lang w:val="fr-CA"/>
        </w:rPr>
      </w:pPr>
    </w:p>
    <w:p w:rsidR="00C524AA" w:rsidRPr="00C50A5C" w:rsidRDefault="00C524AA" w:rsidP="00C524AA">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C524AA" w:rsidRPr="00C50A5C" w:rsidRDefault="00C524AA" w:rsidP="00C524AA">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C524AA" w:rsidRPr="00C524AA" w:rsidRDefault="00C524AA" w:rsidP="004B7F60">
      <w:pPr>
        <w:widowControl w:val="0"/>
        <w:jc w:val="both"/>
        <w:rPr>
          <w:sz w:val="20"/>
          <w:szCs w:val="20"/>
          <w:lang w:val="fr-CA"/>
        </w:rPr>
      </w:pPr>
    </w:p>
    <w:p w:rsidR="004B7F60" w:rsidRPr="00D572FF" w:rsidRDefault="00D572FF" w:rsidP="004B7F60">
      <w:pPr>
        <w:pStyle w:val="ListParagraph"/>
        <w:widowControl w:val="0"/>
        <w:numPr>
          <w:ilvl w:val="0"/>
          <w:numId w:val="1"/>
        </w:numPr>
        <w:ind w:hanging="720"/>
        <w:jc w:val="both"/>
        <w:rPr>
          <w:sz w:val="20"/>
          <w:szCs w:val="20"/>
          <w:lang w:val="fr-CA"/>
        </w:rPr>
      </w:pPr>
      <w:r w:rsidRPr="00D572FF">
        <w:rPr>
          <w:i/>
          <w:sz w:val="20"/>
          <w:szCs w:val="20"/>
          <w:lang w:val="fr-CA"/>
        </w:rPr>
        <w:t>Ville de Québec c. Société immobilière du Québec</w:t>
      </w:r>
      <w:r w:rsidRPr="005A3B96">
        <w:rPr>
          <w:sz w:val="20"/>
          <w:szCs w:val="20"/>
          <w:lang w:val="fr-CA"/>
        </w:rPr>
        <w:t xml:space="preserve"> (Qc) (Civile) (Autorisation)</w:t>
      </w:r>
      <w:r w:rsidRPr="00D572FF">
        <w:rPr>
          <w:sz w:val="20"/>
          <w:szCs w:val="20"/>
          <w:lang w:val="fr-CA"/>
        </w:rPr>
        <w:t xml:space="preserve"> </w:t>
      </w:r>
      <w:r w:rsidR="004B7F60" w:rsidRPr="00D572FF">
        <w:rPr>
          <w:sz w:val="20"/>
          <w:szCs w:val="20"/>
          <w:lang w:val="fr-CA"/>
        </w:rPr>
        <w:t>(3</w:t>
      </w:r>
      <w:r w:rsidR="00C524AA" w:rsidRPr="00D572FF">
        <w:rPr>
          <w:sz w:val="20"/>
          <w:szCs w:val="20"/>
          <w:lang w:val="fr-CA"/>
        </w:rPr>
        <w:t>5</w:t>
      </w:r>
      <w:r w:rsidRPr="00D572FF">
        <w:rPr>
          <w:sz w:val="20"/>
          <w:szCs w:val="20"/>
          <w:lang w:val="fr-CA"/>
        </w:rPr>
        <w:t>324</w:t>
      </w:r>
      <w:r w:rsidR="004B7F60" w:rsidRPr="00D572FF">
        <w:rPr>
          <w:sz w:val="20"/>
          <w:szCs w:val="20"/>
          <w:lang w:val="fr-CA"/>
        </w:rPr>
        <w:t>)</w:t>
      </w:r>
    </w:p>
    <w:p w:rsidR="004B7F60" w:rsidRPr="00D572FF" w:rsidRDefault="004B7F60" w:rsidP="004B7F60">
      <w:pPr>
        <w:widowControl w:val="0"/>
        <w:jc w:val="both"/>
        <w:rPr>
          <w:sz w:val="20"/>
          <w:szCs w:val="20"/>
          <w:lang w:val="fr-CA"/>
        </w:rPr>
      </w:pPr>
    </w:p>
    <w:p w:rsidR="004B7F60" w:rsidRPr="00D572FF" w:rsidRDefault="00D572FF" w:rsidP="004B7F60">
      <w:pPr>
        <w:pStyle w:val="ListParagraph"/>
        <w:widowControl w:val="0"/>
        <w:numPr>
          <w:ilvl w:val="0"/>
          <w:numId w:val="1"/>
        </w:numPr>
        <w:ind w:hanging="720"/>
        <w:jc w:val="both"/>
        <w:rPr>
          <w:sz w:val="20"/>
          <w:szCs w:val="20"/>
          <w:lang w:val="fr-CA"/>
        </w:rPr>
      </w:pPr>
      <w:r w:rsidRPr="00D572FF">
        <w:rPr>
          <w:i/>
          <w:sz w:val="20"/>
          <w:szCs w:val="20"/>
          <w:lang w:val="fr-CA"/>
        </w:rPr>
        <w:t>M.V. c. C.G.</w:t>
      </w:r>
      <w:r w:rsidRPr="005A3B96">
        <w:rPr>
          <w:sz w:val="20"/>
          <w:szCs w:val="20"/>
          <w:lang w:val="fr-CA"/>
        </w:rPr>
        <w:t xml:space="preserve"> (Qc) (Civile) (Autorisation)</w:t>
      </w:r>
      <w:r w:rsidRPr="00D572FF">
        <w:rPr>
          <w:sz w:val="20"/>
          <w:szCs w:val="20"/>
          <w:lang w:val="fr-CA"/>
        </w:rPr>
        <w:t xml:space="preserve"> </w:t>
      </w:r>
      <w:r w:rsidR="004B7F60" w:rsidRPr="00D572FF">
        <w:rPr>
          <w:sz w:val="20"/>
          <w:szCs w:val="20"/>
          <w:lang w:val="fr-CA"/>
        </w:rPr>
        <w:t>(3</w:t>
      </w:r>
      <w:r w:rsidR="00C524AA" w:rsidRPr="00D572FF">
        <w:rPr>
          <w:sz w:val="20"/>
          <w:szCs w:val="20"/>
          <w:lang w:val="fr-CA"/>
        </w:rPr>
        <w:t>5</w:t>
      </w:r>
      <w:r w:rsidRPr="00D572FF">
        <w:rPr>
          <w:sz w:val="20"/>
          <w:szCs w:val="20"/>
          <w:lang w:val="fr-CA"/>
        </w:rPr>
        <w:t>378</w:t>
      </w:r>
      <w:r w:rsidR="004B7F60" w:rsidRPr="00D572FF">
        <w:rPr>
          <w:sz w:val="20"/>
          <w:szCs w:val="20"/>
          <w:lang w:val="fr-CA"/>
        </w:rPr>
        <w:t>)</w:t>
      </w:r>
    </w:p>
    <w:p w:rsidR="004B7F60" w:rsidRPr="00D572FF" w:rsidRDefault="004B7F60" w:rsidP="004B7F60">
      <w:pPr>
        <w:widowControl w:val="0"/>
        <w:rPr>
          <w:sz w:val="20"/>
          <w:szCs w:val="20"/>
          <w:lang w:val="fr-CA"/>
        </w:rPr>
      </w:pPr>
    </w:p>
    <w:p w:rsidR="004B7F60" w:rsidRPr="00D572FF" w:rsidRDefault="00D572FF" w:rsidP="004B7F60">
      <w:pPr>
        <w:pStyle w:val="ListParagraph"/>
        <w:widowControl w:val="0"/>
        <w:numPr>
          <w:ilvl w:val="0"/>
          <w:numId w:val="1"/>
        </w:numPr>
        <w:ind w:hanging="720"/>
        <w:jc w:val="both"/>
        <w:rPr>
          <w:sz w:val="20"/>
          <w:szCs w:val="20"/>
          <w:lang w:val="fr-CA"/>
        </w:rPr>
      </w:pPr>
      <w:r w:rsidRPr="00D572FF">
        <w:rPr>
          <w:i/>
          <w:sz w:val="20"/>
          <w:szCs w:val="20"/>
          <w:lang w:val="fr-CA"/>
        </w:rPr>
        <w:t>Ville de Montréal et autre c. Grace Biondi et autres</w:t>
      </w:r>
      <w:r w:rsidRPr="005A3B96">
        <w:rPr>
          <w:sz w:val="20"/>
          <w:szCs w:val="20"/>
          <w:lang w:val="fr-CA"/>
        </w:rPr>
        <w:t xml:space="preserve"> (Qc) (Civile) (Autorisation)</w:t>
      </w:r>
      <w:r w:rsidRPr="00D572FF">
        <w:rPr>
          <w:sz w:val="20"/>
          <w:szCs w:val="20"/>
          <w:lang w:val="fr-CA"/>
        </w:rPr>
        <w:t xml:space="preserve"> </w:t>
      </w:r>
      <w:r w:rsidR="004B7F60" w:rsidRPr="00D572FF">
        <w:rPr>
          <w:sz w:val="20"/>
          <w:szCs w:val="20"/>
          <w:lang w:val="fr-CA"/>
        </w:rPr>
        <w:t>(3</w:t>
      </w:r>
      <w:r w:rsidR="00C524AA" w:rsidRPr="00D572FF">
        <w:rPr>
          <w:sz w:val="20"/>
          <w:szCs w:val="20"/>
          <w:lang w:val="fr-CA"/>
        </w:rPr>
        <w:t>5</w:t>
      </w:r>
      <w:r w:rsidRPr="00D572FF">
        <w:rPr>
          <w:sz w:val="20"/>
          <w:szCs w:val="20"/>
          <w:lang w:val="fr-CA"/>
        </w:rPr>
        <w:t>351</w:t>
      </w:r>
      <w:r w:rsidR="004B7F60" w:rsidRPr="00D572FF">
        <w:rPr>
          <w:sz w:val="20"/>
          <w:szCs w:val="20"/>
          <w:lang w:val="fr-CA"/>
        </w:rPr>
        <w:t>)</w:t>
      </w:r>
    </w:p>
    <w:p w:rsidR="004B7F60" w:rsidRPr="00D572FF" w:rsidRDefault="004B7F60" w:rsidP="004B7F60">
      <w:pPr>
        <w:widowControl w:val="0"/>
        <w:jc w:val="both"/>
        <w:rPr>
          <w:sz w:val="20"/>
          <w:szCs w:val="20"/>
          <w:lang w:val="fr-CA"/>
        </w:rPr>
      </w:pPr>
    </w:p>
    <w:p w:rsidR="004B7F60" w:rsidRPr="00D572FF" w:rsidRDefault="004B7F60" w:rsidP="004B7F60">
      <w:pPr>
        <w:widowControl w:val="0"/>
        <w:jc w:val="both"/>
        <w:rPr>
          <w:sz w:val="20"/>
          <w:szCs w:val="20"/>
          <w:lang w:val="fr-CA"/>
        </w:rPr>
      </w:pPr>
    </w:p>
    <w:p w:rsidR="00C524AA" w:rsidRPr="00C50A5C" w:rsidRDefault="00C524AA" w:rsidP="00C524AA">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C524AA" w:rsidRPr="00C50A5C" w:rsidRDefault="00C524AA" w:rsidP="00C524AA">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16CB3" w:rsidRDefault="004B7F60" w:rsidP="004B7F60">
      <w:pPr>
        <w:widowControl w:val="0"/>
        <w:jc w:val="both"/>
        <w:rPr>
          <w:sz w:val="20"/>
          <w:szCs w:val="20"/>
          <w:lang w:val="fr-CA"/>
        </w:rPr>
      </w:pPr>
    </w:p>
    <w:p w:rsidR="004B7F60" w:rsidRPr="00C612D0" w:rsidRDefault="00D572FF" w:rsidP="004B7F60">
      <w:pPr>
        <w:pStyle w:val="ListParagraph"/>
        <w:widowControl w:val="0"/>
        <w:numPr>
          <w:ilvl w:val="0"/>
          <w:numId w:val="1"/>
        </w:numPr>
        <w:ind w:hanging="720"/>
        <w:jc w:val="both"/>
        <w:rPr>
          <w:sz w:val="20"/>
          <w:szCs w:val="20"/>
          <w:lang w:val="fr-CA"/>
        </w:rPr>
      </w:pPr>
      <w:r w:rsidRPr="00D572FF">
        <w:rPr>
          <w:i/>
          <w:sz w:val="20"/>
          <w:szCs w:val="20"/>
        </w:rPr>
        <w:t>Cortlen Bryce McLeod v. Her Majesty the Queen</w:t>
      </w:r>
      <w:r w:rsidRPr="005A3B96">
        <w:rPr>
          <w:sz w:val="20"/>
          <w:szCs w:val="20"/>
        </w:rPr>
        <w:t xml:space="preserve"> (Sask.) (Crim.) (By Leave)</w:t>
      </w:r>
      <w:r w:rsidRPr="00C612D0">
        <w:rPr>
          <w:sz w:val="20"/>
          <w:szCs w:val="20"/>
          <w:lang w:val="fr-CA"/>
        </w:rPr>
        <w:t xml:space="preserve"> </w:t>
      </w:r>
      <w:r w:rsidR="004B7F60" w:rsidRPr="00C612D0">
        <w:rPr>
          <w:sz w:val="20"/>
          <w:szCs w:val="20"/>
          <w:lang w:val="fr-CA"/>
        </w:rPr>
        <w:t>(3</w:t>
      </w:r>
      <w:r w:rsidR="00C524AA">
        <w:rPr>
          <w:sz w:val="20"/>
          <w:szCs w:val="20"/>
          <w:lang w:val="fr-CA"/>
        </w:rPr>
        <w:t>5</w:t>
      </w:r>
      <w:r>
        <w:rPr>
          <w:sz w:val="20"/>
          <w:szCs w:val="20"/>
          <w:lang w:val="fr-CA"/>
        </w:rPr>
        <w:t>365</w:t>
      </w:r>
      <w:r w:rsidR="004B7F60" w:rsidRPr="00C612D0">
        <w:rPr>
          <w:sz w:val="20"/>
          <w:szCs w:val="20"/>
          <w:lang w:val="fr-CA"/>
        </w:rPr>
        <w:t>)</w:t>
      </w:r>
    </w:p>
    <w:p w:rsidR="002E2327" w:rsidRPr="00C50A5C" w:rsidRDefault="002E2327" w:rsidP="002E2327">
      <w:pPr>
        <w:widowControl w:val="0"/>
        <w:rPr>
          <w:sz w:val="20"/>
          <w:szCs w:val="20"/>
          <w:lang w:val="fr-CA"/>
        </w:rPr>
      </w:pPr>
    </w:p>
    <w:p w:rsidR="002E2327" w:rsidRDefault="005F2BA7" w:rsidP="002E2327">
      <w:pPr>
        <w:widowControl w:val="0"/>
        <w:rPr>
          <w:sz w:val="20"/>
          <w:szCs w:val="20"/>
        </w:rPr>
      </w:pPr>
      <w:r w:rsidRPr="005F2BA7">
        <w:rPr>
          <w:sz w:val="20"/>
          <w:szCs w:val="20"/>
        </w:rPr>
        <w:pict>
          <v:rect id="_x0000_i1055" style="width:2in;height:1pt" o:hrpct="0" o:hralign="center" o:hrstd="t" o:hrnoshade="t" o:hr="t" fillcolor="black [3213]" stroked="f"/>
        </w:pict>
      </w:r>
    </w:p>
    <w:p w:rsidR="00D94028" w:rsidRDefault="00D94028" w:rsidP="002E2327">
      <w:pPr>
        <w:widowControl w:val="0"/>
        <w:rPr>
          <w:sz w:val="20"/>
          <w:szCs w:val="20"/>
        </w:rPr>
      </w:pPr>
    </w:p>
    <w:p w:rsidR="00C524AA" w:rsidRPr="00C50A5C" w:rsidRDefault="00C524AA" w:rsidP="00C524AA">
      <w:pPr>
        <w:widowControl w:val="0"/>
        <w:rPr>
          <w:b/>
          <w:sz w:val="20"/>
          <w:szCs w:val="20"/>
        </w:rPr>
      </w:pPr>
      <w:r>
        <w:rPr>
          <w:b/>
          <w:sz w:val="20"/>
          <w:szCs w:val="20"/>
        </w:rPr>
        <w:t>AUGUST 6</w:t>
      </w:r>
      <w:r w:rsidRPr="00C50A5C">
        <w:rPr>
          <w:b/>
          <w:sz w:val="20"/>
          <w:szCs w:val="20"/>
        </w:rPr>
        <w:t>, 201</w:t>
      </w:r>
      <w:r>
        <w:rPr>
          <w:b/>
          <w:sz w:val="20"/>
          <w:szCs w:val="20"/>
        </w:rPr>
        <w:t>3</w:t>
      </w:r>
      <w:r w:rsidRPr="00C50A5C">
        <w:rPr>
          <w:b/>
          <w:sz w:val="20"/>
          <w:szCs w:val="20"/>
        </w:rPr>
        <w:t xml:space="preserve"> / LE </w:t>
      </w:r>
      <w:r>
        <w:rPr>
          <w:b/>
          <w:sz w:val="20"/>
          <w:szCs w:val="20"/>
        </w:rPr>
        <w:t>6 AOÛT</w:t>
      </w:r>
      <w:r w:rsidRPr="00C50A5C">
        <w:rPr>
          <w:b/>
          <w:sz w:val="20"/>
          <w:szCs w:val="20"/>
        </w:rPr>
        <w:t xml:space="preserve"> 201</w:t>
      </w:r>
      <w:r>
        <w:rPr>
          <w:b/>
          <w:sz w:val="20"/>
          <w:szCs w:val="20"/>
        </w:rPr>
        <w:t>3</w:t>
      </w:r>
    </w:p>
    <w:p w:rsidR="00C524AA" w:rsidRPr="00C50A5C" w:rsidRDefault="00C524AA" w:rsidP="00C524AA">
      <w:pPr>
        <w:widowControl w:val="0"/>
        <w:rPr>
          <w:b/>
          <w:sz w:val="20"/>
          <w:szCs w:val="20"/>
        </w:rPr>
      </w:pPr>
    </w:p>
    <w:p w:rsidR="00C524AA" w:rsidRPr="00C50A5C" w:rsidRDefault="00C524AA" w:rsidP="00C524AA">
      <w:pPr>
        <w:widowControl w:val="0"/>
        <w:jc w:val="center"/>
        <w:rPr>
          <w:b/>
          <w:sz w:val="20"/>
          <w:szCs w:val="20"/>
        </w:rPr>
      </w:pPr>
      <w:r w:rsidRPr="00C50A5C">
        <w:rPr>
          <w:b/>
          <w:sz w:val="20"/>
          <w:szCs w:val="20"/>
        </w:rPr>
        <w:t xml:space="preserve">CORAM:  Chief Justice McLachlin and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C524AA" w:rsidRPr="00C50A5C" w:rsidRDefault="00C524AA" w:rsidP="00C524AA">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Abella</w:t>
      </w:r>
      <w:r w:rsidRPr="00C50A5C">
        <w:rPr>
          <w:b/>
          <w:sz w:val="20"/>
          <w:szCs w:val="20"/>
          <w:lang w:val="fr-CA"/>
        </w:rPr>
        <w:t xml:space="preserve"> et </w:t>
      </w:r>
      <w:r>
        <w:rPr>
          <w:b/>
          <w:sz w:val="20"/>
          <w:szCs w:val="20"/>
          <w:lang w:val="fr-CA"/>
        </w:rPr>
        <w:t>Cromwell</w:t>
      </w:r>
    </w:p>
    <w:p w:rsidR="00C524AA" w:rsidRPr="00C50A5C" w:rsidRDefault="00C524AA" w:rsidP="00C524AA">
      <w:pPr>
        <w:widowControl w:val="0"/>
        <w:rPr>
          <w:sz w:val="20"/>
          <w:szCs w:val="20"/>
          <w:lang w:val="fr-CA"/>
        </w:rPr>
      </w:pPr>
    </w:p>
    <w:p w:rsidR="00C524AA" w:rsidRPr="00C50A5C" w:rsidRDefault="00B264A1" w:rsidP="00C524AA">
      <w:pPr>
        <w:pStyle w:val="ListParagraph"/>
        <w:widowControl w:val="0"/>
        <w:numPr>
          <w:ilvl w:val="0"/>
          <w:numId w:val="7"/>
        </w:numPr>
        <w:ind w:hanging="720"/>
        <w:jc w:val="both"/>
        <w:rPr>
          <w:sz w:val="20"/>
          <w:szCs w:val="20"/>
        </w:rPr>
      </w:pPr>
      <w:r w:rsidRPr="00B264A1">
        <w:rPr>
          <w:i/>
          <w:sz w:val="20"/>
          <w:szCs w:val="20"/>
        </w:rPr>
        <w:t>Government of Yukon v. Ross River Dena Council</w:t>
      </w:r>
      <w:r w:rsidRPr="00B264A1">
        <w:rPr>
          <w:sz w:val="20"/>
          <w:szCs w:val="20"/>
        </w:rPr>
        <w:t xml:space="preserve"> (Y.T.) (Civil) (By Leave)</w:t>
      </w:r>
      <w:r w:rsidRPr="00C50A5C">
        <w:rPr>
          <w:sz w:val="20"/>
          <w:szCs w:val="20"/>
        </w:rPr>
        <w:t xml:space="preserve"> </w:t>
      </w:r>
      <w:r w:rsidR="00C524AA" w:rsidRPr="00C50A5C">
        <w:rPr>
          <w:sz w:val="20"/>
          <w:szCs w:val="20"/>
        </w:rPr>
        <w:t>(3</w:t>
      </w:r>
      <w:r w:rsidR="00C524AA">
        <w:rPr>
          <w:sz w:val="20"/>
          <w:szCs w:val="20"/>
        </w:rPr>
        <w:t>5</w:t>
      </w:r>
      <w:r>
        <w:rPr>
          <w:sz w:val="20"/>
          <w:szCs w:val="20"/>
        </w:rPr>
        <w:t>236</w:t>
      </w:r>
      <w:r w:rsidR="00C524AA" w:rsidRPr="00C50A5C">
        <w:rPr>
          <w:sz w:val="20"/>
          <w:szCs w:val="20"/>
        </w:rPr>
        <w:t>)</w:t>
      </w:r>
    </w:p>
    <w:p w:rsidR="00C524AA" w:rsidRDefault="00C524AA" w:rsidP="00C524AA">
      <w:pPr>
        <w:widowControl w:val="0"/>
        <w:jc w:val="both"/>
        <w:rPr>
          <w:sz w:val="20"/>
          <w:szCs w:val="20"/>
        </w:rPr>
      </w:pPr>
    </w:p>
    <w:p w:rsidR="00B264A1" w:rsidRDefault="00B264A1" w:rsidP="00C524AA">
      <w:pPr>
        <w:widowControl w:val="0"/>
        <w:jc w:val="both"/>
        <w:rPr>
          <w:sz w:val="20"/>
          <w:szCs w:val="20"/>
        </w:rPr>
      </w:pPr>
    </w:p>
    <w:p w:rsidR="00B264A1" w:rsidRPr="00C50A5C" w:rsidRDefault="00B264A1" w:rsidP="00B264A1">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B264A1" w:rsidRPr="00C50A5C" w:rsidRDefault="00B264A1" w:rsidP="00B264A1">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B264A1" w:rsidRPr="00B264A1" w:rsidRDefault="00B264A1" w:rsidP="00C524AA">
      <w:pPr>
        <w:widowControl w:val="0"/>
        <w:jc w:val="both"/>
        <w:rPr>
          <w:sz w:val="20"/>
          <w:szCs w:val="20"/>
          <w:lang w:val="fr-CA"/>
        </w:rPr>
      </w:pPr>
    </w:p>
    <w:p w:rsidR="00C524AA" w:rsidRPr="00B264A1" w:rsidRDefault="00B264A1" w:rsidP="00C524AA">
      <w:pPr>
        <w:pStyle w:val="ListParagraph"/>
        <w:widowControl w:val="0"/>
        <w:numPr>
          <w:ilvl w:val="0"/>
          <w:numId w:val="7"/>
        </w:numPr>
        <w:ind w:hanging="720"/>
        <w:jc w:val="both"/>
        <w:rPr>
          <w:sz w:val="20"/>
          <w:szCs w:val="20"/>
          <w:lang w:val="fr-CA"/>
        </w:rPr>
      </w:pPr>
      <w:r w:rsidRPr="00B264A1">
        <w:rPr>
          <w:i/>
          <w:sz w:val="20"/>
          <w:szCs w:val="20"/>
          <w:lang w:val="fr-CA"/>
        </w:rPr>
        <w:t>Association pour la protection des automobilistes (APA) et autre c. Pétro-Canada et autres</w:t>
      </w:r>
      <w:r w:rsidRPr="00B264A1">
        <w:rPr>
          <w:sz w:val="20"/>
          <w:szCs w:val="20"/>
          <w:lang w:val="fr-CA"/>
        </w:rPr>
        <w:t xml:space="preserve"> (Qc) (Civile) (Autorisation) </w:t>
      </w:r>
      <w:r w:rsidR="00C524AA" w:rsidRPr="00B264A1">
        <w:rPr>
          <w:sz w:val="20"/>
          <w:szCs w:val="20"/>
          <w:lang w:val="fr-CA"/>
        </w:rPr>
        <w:t>(35</w:t>
      </w:r>
      <w:r>
        <w:rPr>
          <w:sz w:val="20"/>
          <w:szCs w:val="20"/>
          <w:lang w:val="fr-CA"/>
        </w:rPr>
        <w:t>335</w:t>
      </w:r>
      <w:r w:rsidR="00C524AA" w:rsidRPr="00B264A1">
        <w:rPr>
          <w:sz w:val="20"/>
          <w:szCs w:val="20"/>
          <w:lang w:val="fr-CA"/>
        </w:rPr>
        <w:t>)</w:t>
      </w:r>
    </w:p>
    <w:p w:rsidR="00C524AA" w:rsidRPr="00B264A1" w:rsidRDefault="00C524AA" w:rsidP="00C524AA">
      <w:pPr>
        <w:widowControl w:val="0"/>
        <w:jc w:val="both"/>
        <w:rPr>
          <w:sz w:val="20"/>
          <w:szCs w:val="20"/>
          <w:lang w:val="fr-CA"/>
        </w:rPr>
      </w:pPr>
    </w:p>
    <w:p w:rsidR="00C524AA" w:rsidRPr="00C50A5C" w:rsidRDefault="00B264A1" w:rsidP="00C524AA">
      <w:pPr>
        <w:pStyle w:val="ListParagraph"/>
        <w:widowControl w:val="0"/>
        <w:numPr>
          <w:ilvl w:val="0"/>
          <w:numId w:val="7"/>
        </w:numPr>
        <w:ind w:hanging="720"/>
        <w:jc w:val="both"/>
        <w:rPr>
          <w:sz w:val="20"/>
          <w:szCs w:val="20"/>
        </w:rPr>
      </w:pPr>
      <w:r w:rsidRPr="00B264A1">
        <w:rPr>
          <w:i/>
          <w:sz w:val="20"/>
          <w:szCs w:val="20"/>
        </w:rPr>
        <w:t>Andrew Keewatin Jr. et al. v. Minister of Natural Resources et al.</w:t>
      </w:r>
      <w:r w:rsidRPr="00B264A1">
        <w:rPr>
          <w:sz w:val="20"/>
          <w:szCs w:val="20"/>
        </w:rPr>
        <w:t xml:space="preserve"> (Ont.) (Civil) (By Leave)</w:t>
      </w:r>
      <w:r w:rsidRPr="00940CAD">
        <w:rPr>
          <w:sz w:val="20"/>
          <w:szCs w:val="20"/>
        </w:rPr>
        <w:t xml:space="preserve"> </w:t>
      </w:r>
      <w:r w:rsidR="00C524AA" w:rsidRPr="00940CAD">
        <w:rPr>
          <w:sz w:val="20"/>
          <w:szCs w:val="20"/>
        </w:rPr>
        <w:t>(3</w:t>
      </w:r>
      <w:r w:rsidR="00C524AA">
        <w:rPr>
          <w:sz w:val="20"/>
          <w:szCs w:val="20"/>
        </w:rPr>
        <w:t>5</w:t>
      </w:r>
      <w:r>
        <w:rPr>
          <w:sz w:val="20"/>
          <w:szCs w:val="20"/>
        </w:rPr>
        <w:t>379</w:t>
      </w:r>
      <w:r w:rsidR="00C524AA" w:rsidRPr="00940CAD">
        <w:rPr>
          <w:sz w:val="20"/>
          <w:szCs w:val="20"/>
        </w:rPr>
        <w:t>)</w:t>
      </w:r>
    </w:p>
    <w:p w:rsidR="00C524AA" w:rsidRDefault="00C524AA" w:rsidP="00C524AA">
      <w:pPr>
        <w:widowControl w:val="0"/>
        <w:rPr>
          <w:sz w:val="20"/>
          <w:szCs w:val="20"/>
        </w:rPr>
      </w:pPr>
    </w:p>
    <w:p w:rsidR="00B264A1" w:rsidRDefault="00B264A1" w:rsidP="00C524AA">
      <w:pPr>
        <w:widowControl w:val="0"/>
        <w:rPr>
          <w:sz w:val="20"/>
          <w:szCs w:val="20"/>
        </w:rPr>
      </w:pPr>
    </w:p>
    <w:p w:rsidR="00B264A1" w:rsidRPr="00C50A5C" w:rsidRDefault="00B264A1" w:rsidP="00B264A1">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B264A1" w:rsidRPr="00C50A5C" w:rsidRDefault="00B264A1" w:rsidP="00B264A1">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B264A1" w:rsidRPr="00B264A1" w:rsidRDefault="00B264A1" w:rsidP="00C524AA">
      <w:pPr>
        <w:widowControl w:val="0"/>
        <w:rPr>
          <w:sz w:val="20"/>
          <w:szCs w:val="20"/>
          <w:lang w:val="fr-CA"/>
        </w:rPr>
      </w:pPr>
    </w:p>
    <w:p w:rsidR="00C524AA" w:rsidRPr="00C50A5C" w:rsidRDefault="00B264A1" w:rsidP="00C524AA">
      <w:pPr>
        <w:pStyle w:val="ListParagraph"/>
        <w:widowControl w:val="0"/>
        <w:numPr>
          <w:ilvl w:val="0"/>
          <w:numId w:val="7"/>
        </w:numPr>
        <w:ind w:hanging="720"/>
        <w:jc w:val="both"/>
        <w:rPr>
          <w:sz w:val="20"/>
          <w:szCs w:val="20"/>
        </w:rPr>
      </w:pPr>
      <w:r w:rsidRPr="00B264A1">
        <w:rPr>
          <w:i/>
          <w:sz w:val="20"/>
          <w:szCs w:val="20"/>
        </w:rPr>
        <w:t>Mohammad Aslam Chaudhry v. Her Majesty the Queen</w:t>
      </w:r>
      <w:r w:rsidRPr="00B264A1">
        <w:rPr>
          <w:sz w:val="20"/>
          <w:szCs w:val="20"/>
        </w:rPr>
        <w:t xml:space="preserve"> (F.C.) (Civil) (By Leave)</w:t>
      </w:r>
      <w:r w:rsidRPr="00C50A5C">
        <w:rPr>
          <w:sz w:val="20"/>
          <w:szCs w:val="20"/>
        </w:rPr>
        <w:t xml:space="preserve"> </w:t>
      </w:r>
      <w:r w:rsidR="00C524AA" w:rsidRPr="00C50A5C">
        <w:rPr>
          <w:sz w:val="20"/>
          <w:szCs w:val="20"/>
        </w:rPr>
        <w:t>(3</w:t>
      </w:r>
      <w:r w:rsidR="00C524AA">
        <w:rPr>
          <w:sz w:val="20"/>
          <w:szCs w:val="20"/>
        </w:rPr>
        <w:t>5</w:t>
      </w:r>
      <w:r>
        <w:rPr>
          <w:sz w:val="20"/>
          <w:szCs w:val="20"/>
        </w:rPr>
        <w:t>392</w:t>
      </w:r>
      <w:r w:rsidR="00C524AA" w:rsidRPr="00C50A5C">
        <w:rPr>
          <w:sz w:val="20"/>
          <w:szCs w:val="20"/>
        </w:rPr>
        <w:t>)</w:t>
      </w:r>
    </w:p>
    <w:p w:rsidR="00C524AA" w:rsidRPr="00B264A1" w:rsidRDefault="00C524AA" w:rsidP="00C524AA">
      <w:pPr>
        <w:widowControl w:val="0"/>
        <w:jc w:val="both"/>
        <w:rPr>
          <w:sz w:val="20"/>
          <w:szCs w:val="20"/>
        </w:rPr>
      </w:pPr>
    </w:p>
    <w:p w:rsidR="00C524AA" w:rsidRPr="00B264A1" w:rsidRDefault="00B264A1" w:rsidP="00C524AA">
      <w:pPr>
        <w:pStyle w:val="ListParagraph"/>
        <w:widowControl w:val="0"/>
        <w:numPr>
          <w:ilvl w:val="0"/>
          <w:numId w:val="7"/>
        </w:numPr>
        <w:ind w:hanging="720"/>
        <w:jc w:val="both"/>
        <w:rPr>
          <w:sz w:val="20"/>
          <w:szCs w:val="20"/>
        </w:rPr>
      </w:pPr>
      <w:r w:rsidRPr="00B264A1">
        <w:rPr>
          <w:i/>
          <w:sz w:val="20"/>
          <w:szCs w:val="20"/>
        </w:rPr>
        <w:t>Daniela Ramsden v. Arnault Thibault Cléroux</w:t>
      </w:r>
      <w:r w:rsidRPr="00B264A1">
        <w:rPr>
          <w:sz w:val="20"/>
          <w:szCs w:val="20"/>
        </w:rPr>
        <w:t xml:space="preserve"> (Que.) (Civil) (By Leave) </w:t>
      </w:r>
      <w:r w:rsidR="00C524AA" w:rsidRPr="00B264A1">
        <w:rPr>
          <w:sz w:val="20"/>
          <w:szCs w:val="20"/>
        </w:rPr>
        <w:t>(35</w:t>
      </w:r>
      <w:r w:rsidRPr="00B264A1">
        <w:rPr>
          <w:sz w:val="20"/>
          <w:szCs w:val="20"/>
        </w:rPr>
        <w:t>349</w:t>
      </w:r>
      <w:r w:rsidR="00C524AA" w:rsidRPr="00B264A1">
        <w:rPr>
          <w:sz w:val="20"/>
          <w:szCs w:val="20"/>
        </w:rPr>
        <w:t>)</w:t>
      </w:r>
    </w:p>
    <w:p w:rsidR="00C524AA" w:rsidRPr="00B264A1" w:rsidRDefault="00C524AA" w:rsidP="00C524AA">
      <w:pPr>
        <w:widowControl w:val="0"/>
        <w:rPr>
          <w:sz w:val="20"/>
          <w:szCs w:val="20"/>
        </w:rPr>
      </w:pPr>
    </w:p>
    <w:p w:rsidR="00C524AA" w:rsidRDefault="005F2BA7" w:rsidP="00C524AA">
      <w:pPr>
        <w:widowControl w:val="0"/>
        <w:rPr>
          <w:sz w:val="20"/>
          <w:szCs w:val="20"/>
        </w:rPr>
      </w:pPr>
      <w:r w:rsidRPr="005F2BA7">
        <w:rPr>
          <w:sz w:val="20"/>
          <w:szCs w:val="20"/>
        </w:rPr>
        <w:pict>
          <v:rect id="_x0000_i1056" style="width:2in;height:1pt" o:hrpct="0" o:hralign="center" o:hrstd="t" o:hrnoshade="t" o:hr="t" fillcolor="black [3213]" stroked="f"/>
        </w:pict>
      </w:r>
    </w:p>
    <w:p w:rsidR="00B264A1" w:rsidRDefault="00B264A1">
      <w:pPr>
        <w:rPr>
          <w:sz w:val="20"/>
          <w:szCs w:val="20"/>
        </w:rPr>
      </w:pPr>
    </w:p>
    <w:p w:rsidR="00B264A1" w:rsidRDefault="00B264A1">
      <w:pPr>
        <w:rPr>
          <w:sz w:val="20"/>
          <w:szCs w:val="20"/>
        </w:rPr>
      </w:pPr>
      <w:r>
        <w:rPr>
          <w:sz w:val="20"/>
          <w:szCs w:val="20"/>
        </w:rPr>
        <w:br w:type="page"/>
      </w:r>
    </w:p>
    <w:p w:rsidR="00C524AA" w:rsidRPr="00C50A5C" w:rsidRDefault="00C524AA" w:rsidP="00C524AA">
      <w:pPr>
        <w:widowControl w:val="0"/>
        <w:rPr>
          <w:b/>
          <w:sz w:val="20"/>
          <w:szCs w:val="20"/>
        </w:rPr>
      </w:pPr>
      <w:r>
        <w:rPr>
          <w:b/>
          <w:sz w:val="20"/>
          <w:szCs w:val="20"/>
        </w:rPr>
        <w:lastRenderedPageBreak/>
        <w:t>AUGUST 12</w:t>
      </w:r>
      <w:r w:rsidRPr="00C50A5C">
        <w:rPr>
          <w:b/>
          <w:sz w:val="20"/>
          <w:szCs w:val="20"/>
        </w:rPr>
        <w:t>, 201</w:t>
      </w:r>
      <w:r>
        <w:rPr>
          <w:b/>
          <w:sz w:val="20"/>
          <w:szCs w:val="20"/>
        </w:rPr>
        <w:t>3</w:t>
      </w:r>
      <w:r w:rsidRPr="00C50A5C">
        <w:rPr>
          <w:b/>
          <w:sz w:val="20"/>
          <w:szCs w:val="20"/>
        </w:rPr>
        <w:t xml:space="preserve"> / LE </w:t>
      </w:r>
      <w:r>
        <w:rPr>
          <w:b/>
          <w:sz w:val="20"/>
          <w:szCs w:val="20"/>
        </w:rPr>
        <w:t>12 AOÛT</w:t>
      </w:r>
      <w:r w:rsidRPr="00C50A5C">
        <w:rPr>
          <w:b/>
          <w:sz w:val="20"/>
          <w:szCs w:val="20"/>
        </w:rPr>
        <w:t xml:space="preserve"> 201</w:t>
      </w:r>
      <w:r>
        <w:rPr>
          <w:b/>
          <w:sz w:val="20"/>
          <w:szCs w:val="20"/>
        </w:rPr>
        <w:t>3</w:t>
      </w:r>
    </w:p>
    <w:p w:rsidR="00C524AA" w:rsidRPr="00C524AA" w:rsidRDefault="00C524AA" w:rsidP="00C524AA">
      <w:pPr>
        <w:widowControl w:val="0"/>
        <w:rPr>
          <w:sz w:val="20"/>
          <w:szCs w:val="20"/>
        </w:rPr>
      </w:pPr>
    </w:p>
    <w:p w:rsidR="00C524AA" w:rsidRPr="00C50A5C" w:rsidRDefault="00C524AA" w:rsidP="00C524AA">
      <w:pPr>
        <w:widowControl w:val="0"/>
        <w:jc w:val="center"/>
        <w:rPr>
          <w:b/>
          <w:sz w:val="20"/>
          <w:szCs w:val="20"/>
        </w:rPr>
      </w:pPr>
      <w:r w:rsidRPr="00C50A5C">
        <w:rPr>
          <w:b/>
          <w:sz w:val="20"/>
          <w:szCs w:val="20"/>
        </w:rPr>
        <w:t xml:space="preserve">CORAM:  Chief Justice McLachlin and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C524AA" w:rsidRPr="00C50A5C" w:rsidRDefault="00C524AA" w:rsidP="00C524AA">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Abella</w:t>
      </w:r>
      <w:r w:rsidRPr="00C50A5C">
        <w:rPr>
          <w:b/>
          <w:sz w:val="20"/>
          <w:szCs w:val="20"/>
          <w:lang w:val="fr-CA"/>
        </w:rPr>
        <w:t xml:space="preserve"> et </w:t>
      </w:r>
      <w:r>
        <w:rPr>
          <w:b/>
          <w:sz w:val="20"/>
          <w:szCs w:val="20"/>
          <w:lang w:val="fr-CA"/>
        </w:rPr>
        <w:t>Cromwell</w:t>
      </w:r>
    </w:p>
    <w:p w:rsidR="00C524AA" w:rsidRPr="00C50A5C" w:rsidRDefault="00C524AA" w:rsidP="00C524AA">
      <w:pPr>
        <w:widowControl w:val="0"/>
        <w:rPr>
          <w:sz w:val="20"/>
          <w:szCs w:val="20"/>
          <w:lang w:val="fr-CA"/>
        </w:rPr>
      </w:pPr>
    </w:p>
    <w:p w:rsidR="00C524AA" w:rsidRPr="00631AD7" w:rsidRDefault="00631AD7" w:rsidP="00C524AA">
      <w:pPr>
        <w:pStyle w:val="ListParagraph"/>
        <w:widowControl w:val="0"/>
        <w:numPr>
          <w:ilvl w:val="0"/>
          <w:numId w:val="8"/>
        </w:numPr>
        <w:ind w:hanging="720"/>
        <w:jc w:val="both"/>
        <w:rPr>
          <w:sz w:val="20"/>
          <w:szCs w:val="20"/>
          <w:lang w:val="fr-CA"/>
        </w:rPr>
      </w:pPr>
      <w:r w:rsidRPr="00631AD7">
        <w:rPr>
          <w:i/>
          <w:sz w:val="20"/>
          <w:szCs w:val="20"/>
          <w:lang w:val="fr-CA"/>
        </w:rPr>
        <w:t xml:space="preserve">Francis Doyle Fowler c. Ministre de la </w:t>
      </w:r>
      <w:r w:rsidR="005D6428">
        <w:rPr>
          <w:i/>
          <w:sz w:val="20"/>
          <w:szCs w:val="20"/>
          <w:lang w:val="fr-CA"/>
        </w:rPr>
        <w:t>J</w:t>
      </w:r>
      <w:r w:rsidRPr="00631AD7">
        <w:rPr>
          <w:i/>
          <w:sz w:val="20"/>
          <w:szCs w:val="20"/>
          <w:lang w:val="fr-CA"/>
        </w:rPr>
        <w:t>ustice du Canada</w:t>
      </w:r>
      <w:r w:rsidRPr="00631AD7">
        <w:rPr>
          <w:sz w:val="20"/>
          <w:szCs w:val="20"/>
          <w:lang w:val="fr-CA"/>
        </w:rPr>
        <w:t xml:space="preserve"> (Qc) (Crim.) (Autorisation) </w:t>
      </w:r>
      <w:r w:rsidR="00C524AA" w:rsidRPr="00631AD7">
        <w:rPr>
          <w:sz w:val="20"/>
          <w:szCs w:val="20"/>
          <w:lang w:val="fr-CA"/>
        </w:rPr>
        <w:t>(35</w:t>
      </w:r>
      <w:r w:rsidRPr="00631AD7">
        <w:rPr>
          <w:sz w:val="20"/>
          <w:szCs w:val="20"/>
          <w:lang w:val="fr-CA"/>
        </w:rPr>
        <w:t>427</w:t>
      </w:r>
      <w:r w:rsidR="00C524AA" w:rsidRPr="00631AD7">
        <w:rPr>
          <w:sz w:val="20"/>
          <w:szCs w:val="20"/>
          <w:lang w:val="fr-CA"/>
        </w:rPr>
        <w:t>)</w:t>
      </w:r>
    </w:p>
    <w:p w:rsidR="00C524AA" w:rsidRPr="00631AD7" w:rsidRDefault="00C524AA" w:rsidP="00C524AA">
      <w:pPr>
        <w:widowControl w:val="0"/>
        <w:jc w:val="both"/>
        <w:rPr>
          <w:sz w:val="20"/>
          <w:szCs w:val="20"/>
          <w:lang w:val="fr-CA"/>
        </w:rPr>
      </w:pPr>
    </w:p>
    <w:p w:rsidR="00C524AA" w:rsidRPr="00C612D0" w:rsidRDefault="00631AD7" w:rsidP="00C524AA">
      <w:pPr>
        <w:pStyle w:val="ListParagraph"/>
        <w:widowControl w:val="0"/>
        <w:numPr>
          <w:ilvl w:val="0"/>
          <w:numId w:val="8"/>
        </w:numPr>
        <w:ind w:hanging="720"/>
        <w:jc w:val="both"/>
        <w:rPr>
          <w:sz w:val="20"/>
          <w:szCs w:val="20"/>
        </w:rPr>
      </w:pPr>
      <w:r w:rsidRPr="00631AD7">
        <w:rPr>
          <w:i/>
          <w:sz w:val="20"/>
          <w:szCs w:val="20"/>
          <w:lang w:val="fr-CA"/>
        </w:rPr>
        <w:t>Paul Martin et al. v. Certas Direct Insurance Company</w:t>
      </w:r>
      <w:r w:rsidRPr="00631AD7">
        <w:rPr>
          <w:sz w:val="20"/>
          <w:szCs w:val="20"/>
          <w:lang w:val="fr-CA"/>
        </w:rPr>
        <w:t xml:space="preserve"> (Ont.) </w:t>
      </w:r>
      <w:r w:rsidRPr="00631AD7">
        <w:rPr>
          <w:sz w:val="20"/>
          <w:szCs w:val="20"/>
        </w:rPr>
        <w:t>(Civil) (By Leave)</w:t>
      </w:r>
      <w:r w:rsidRPr="00C612D0">
        <w:rPr>
          <w:sz w:val="20"/>
          <w:szCs w:val="20"/>
        </w:rPr>
        <w:t xml:space="preserve"> </w:t>
      </w:r>
      <w:r w:rsidR="00C524AA" w:rsidRPr="00C612D0">
        <w:rPr>
          <w:sz w:val="20"/>
          <w:szCs w:val="20"/>
        </w:rPr>
        <w:t>(3</w:t>
      </w:r>
      <w:r w:rsidR="00C524AA">
        <w:rPr>
          <w:sz w:val="20"/>
          <w:szCs w:val="20"/>
        </w:rPr>
        <w:t>5</w:t>
      </w:r>
      <w:r>
        <w:rPr>
          <w:sz w:val="20"/>
          <w:szCs w:val="20"/>
        </w:rPr>
        <w:t>355</w:t>
      </w:r>
      <w:r w:rsidR="00C524AA" w:rsidRPr="00C612D0">
        <w:rPr>
          <w:sz w:val="20"/>
          <w:szCs w:val="20"/>
        </w:rPr>
        <w:t>)</w:t>
      </w:r>
    </w:p>
    <w:p w:rsidR="00C524AA" w:rsidRDefault="00C524AA" w:rsidP="00C524AA">
      <w:pPr>
        <w:widowControl w:val="0"/>
        <w:jc w:val="both"/>
        <w:rPr>
          <w:sz w:val="20"/>
          <w:szCs w:val="20"/>
        </w:rPr>
      </w:pPr>
    </w:p>
    <w:p w:rsidR="00631AD7" w:rsidRDefault="00631AD7" w:rsidP="00C524AA">
      <w:pPr>
        <w:widowControl w:val="0"/>
        <w:jc w:val="both"/>
        <w:rPr>
          <w:sz w:val="20"/>
          <w:szCs w:val="20"/>
        </w:rPr>
      </w:pPr>
    </w:p>
    <w:p w:rsidR="00631AD7" w:rsidRPr="00C50A5C" w:rsidRDefault="00631AD7" w:rsidP="00631AD7">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631AD7" w:rsidRPr="00C50A5C" w:rsidRDefault="00631AD7" w:rsidP="00631AD7">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631AD7" w:rsidRPr="00C16CB3" w:rsidRDefault="00631AD7" w:rsidP="00631AD7">
      <w:pPr>
        <w:widowControl w:val="0"/>
        <w:jc w:val="both"/>
        <w:rPr>
          <w:sz w:val="20"/>
          <w:szCs w:val="20"/>
          <w:lang w:val="fr-CA"/>
        </w:rPr>
      </w:pPr>
    </w:p>
    <w:p w:rsidR="00C524AA" w:rsidRPr="00631AD7" w:rsidRDefault="00631AD7" w:rsidP="00C524AA">
      <w:pPr>
        <w:pStyle w:val="ListParagraph"/>
        <w:widowControl w:val="0"/>
        <w:numPr>
          <w:ilvl w:val="0"/>
          <w:numId w:val="8"/>
        </w:numPr>
        <w:ind w:hanging="720"/>
        <w:jc w:val="both"/>
        <w:rPr>
          <w:sz w:val="20"/>
          <w:szCs w:val="20"/>
          <w:lang w:val="fr-CA"/>
        </w:rPr>
      </w:pPr>
      <w:r w:rsidRPr="00631AD7">
        <w:rPr>
          <w:i/>
          <w:sz w:val="20"/>
          <w:szCs w:val="20"/>
          <w:lang w:val="fr-CA"/>
        </w:rPr>
        <w:t>Dorin Savu c. Ministre de la Justice du Canada</w:t>
      </w:r>
      <w:r w:rsidRPr="00631AD7">
        <w:rPr>
          <w:sz w:val="20"/>
          <w:szCs w:val="20"/>
          <w:lang w:val="fr-CA"/>
        </w:rPr>
        <w:t xml:space="preserve"> (Qc) (Crim.) (Autorisation) </w:t>
      </w:r>
      <w:r w:rsidR="00C524AA" w:rsidRPr="00631AD7">
        <w:rPr>
          <w:sz w:val="20"/>
          <w:szCs w:val="20"/>
          <w:lang w:val="fr-CA"/>
        </w:rPr>
        <w:t>(35</w:t>
      </w:r>
      <w:r w:rsidRPr="00631AD7">
        <w:rPr>
          <w:sz w:val="20"/>
          <w:szCs w:val="20"/>
          <w:lang w:val="fr-CA"/>
        </w:rPr>
        <w:t>316</w:t>
      </w:r>
      <w:r w:rsidR="00C524AA" w:rsidRPr="00631AD7">
        <w:rPr>
          <w:sz w:val="20"/>
          <w:szCs w:val="20"/>
          <w:lang w:val="fr-CA"/>
        </w:rPr>
        <w:t>)</w:t>
      </w:r>
    </w:p>
    <w:p w:rsidR="00C524AA" w:rsidRPr="00631AD7" w:rsidRDefault="00C524AA" w:rsidP="00C524AA">
      <w:pPr>
        <w:widowControl w:val="0"/>
        <w:rPr>
          <w:sz w:val="20"/>
          <w:szCs w:val="20"/>
          <w:lang w:val="fr-CA"/>
        </w:rPr>
      </w:pPr>
    </w:p>
    <w:p w:rsidR="00C524AA" w:rsidRPr="00C50A5C" w:rsidRDefault="00631AD7" w:rsidP="00C524AA">
      <w:pPr>
        <w:pStyle w:val="ListParagraph"/>
        <w:widowControl w:val="0"/>
        <w:numPr>
          <w:ilvl w:val="0"/>
          <w:numId w:val="8"/>
        </w:numPr>
        <w:ind w:hanging="720"/>
        <w:jc w:val="both"/>
        <w:rPr>
          <w:sz w:val="20"/>
          <w:szCs w:val="20"/>
        </w:rPr>
      </w:pPr>
      <w:r w:rsidRPr="00631AD7">
        <w:rPr>
          <w:i/>
          <w:sz w:val="20"/>
          <w:szCs w:val="20"/>
        </w:rPr>
        <w:t>Francis Mazhero v. Bell Canada et al.</w:t>
      </w:r>
      <w:r w:rsidRPr="00631AD7">
        <w:rPr>
          <w:sz w:val="20"/>
          <w:szCs w:val="20"/>
        </w:rPr>
        <w:t xml:space="preserve"> (Que.) (Civil) (By Leave)</w:t>
      </w:r>
      <w:r w:rsidRPr="00C50A5C">
        <w:rPr>
          <w:sz w:val="20"/>
          <w:szCs w:val="20"/>
        </w:rPr>
        <w:t xml:space="preserve"> </w:t>
      </w:r>
      <w:r w:rsidR="00C524AA" w:rsidRPr="00C50A5C">
        <w:rPr>
          <w:sz w:val="20"/>
          <w:szCs w:val="20"/>
        </w:rPr>
        <w:t>(3</w:t>
      </w:r>
      <w:r w:rsidR="00C524AA">
        <w:rPr>
          <w:sz w:val="20"/>
          <w:szCs w:val="20"/>
        </w:rPr>
        <w:t>5</w:t>
      </w:r>
      <w:r>
        <w:rPr>
          <w:sz w:val="20"/>
          <w:szCs w:val="20"/>
        </w:rPr>
        <w:t>262</w:t>
      </w:r>
      <w:r w:rsidR="00C524AA" w:rsidRPr="00C50A5C">
        <w:rPr>
          <w:sz w:val="20"/>
          <w:szCs w:val="20"/>
        </w:rPr>
        <w:t>)</w:t>
      </w:r>
    </w:p>
    <w:p w:rsidR="00C524AA" w:rsidRDefault="00C524AA" w:rsidP="00C524AA">
      <w:pPr>
        <w:widowControl w:val="0"/>
        <w:jc w:val="both"/>
        <w:rPr>
          <w:sz w:val="20"/>
          <w:szCs w:val="20"/>
        </w:rPr>
      </w:pPr>
    </w:p>
    <w:p w:rsidR="00C524AA" w:rsidRPr="00C612D0" w:rsidRDefault="00631AD7" w:rsidP="00C524AA">
      <w:pPr>
        <w:pStyle w:val="ListParagraph"/>
        <w:widowControl w:val="0"/>
        <w:numPr>
          <w:ilvl w:val="0"/>
          <w:numId w:val="8"/>
        </w:numPr>
        <w:ind w:hanging="720"/>
        <w:jc w:val="both"/>
        <w:rPr>
          <w:sz w:val="20"/>
          <w:szCs w:val="20"/>
          <w:lang w:val="fr-CA"/>
        </w:rPr>
      </w:pPr>
      <w:r w:rsidRPr="00631AD7">
        <w:rPr>
          <w:i/>
          <w:sz w:val="20"/>
          <w:szCs w:val="20"/>
          <w:lang w:val="fr-CA"/>
        </w:rPr>
        <w:t>Yvan Cloutier et autres c. Alex Rahmi et autres</w:t>
      </w:r>
      <w:r w:rsidRPr="00631AD7">
        <w:rPr>
          <w:sz w:val="20"/>
          <w:szCs w:val="20"/>
          <w:lang w:val="fr-CA"/>
        </w:rPr>
        <w:t xml:space="preserve"> (Qc) (Civile) (Autorisation)</w:t>
      </w:r>
      <w:r w:rsidRPr="00C612D0">
        <w:rPr>
          <w:sz w:val="20"/>
          <w:szCs w:val="20"/>
          <w:lang w:val="fr-CA"/>
        </w:rPr>
        <w:t xml:space="preserve"> </w:t>
      </w:r>
      <w:r w:rsidR="00C524AA" w:rsidRPr="00C612D0">
        <w:rPr>
          <w:sz w:val="20"/>
          <w:szCs w:val="20"/>
          <w:lang w:val="fr-CA"/>
        </w:rPr>
        <w:t>(3</w:t>
      </w:r>
      <w:r w:rsidR="00C524AA">
        <w:rPr>
          <w:sz w:val="20"/>
          <w:szCs w:val="20"/>
          <w:lang w:val="fr-CA"/>
        </w:rPr>
        <w:t>5</w:t>
      </w:r>
      <w:r>
        <w:rPr>
          <w:sz w:val="20"/>
          <w:szCs w:val="20"/>
          <w:lang w:val="fr-CA"/>
        </w:rPr>
        <w:t>328</w:t>
      </w:r>
      <w:r w:rsidR="00C524AA" w:rsidRPr="00C612D0">
        <w:rPr>
          <w:sz w:val="20"/>
          <w:szCs w:val="20"/>
          <w:lang w:val="fr-CA"/>
        </w:rPr>
        <w:t>)</w:t>
      </w:r>
    </w:p>
    <w:p w:rsidR="00C524AA" w:rsidRDefault="00C524AA" w:rsidP="00C524AA">
      <w:pPr>
        <w:widowControl w:val="0"/>
        <w:rPr>
          <w:sz w:val="20"/>
          <w:szCs w:val="20"/>
          <w:lang w:val="fr-CA"/>
        </w:rPr>
      </w:pPr>
    </w:p>
    <w:p w:rsidR="00631AD7" w:rsidRDefault="00631AD7" w:rsidP="00C524AA">
      <w:pPr>
        <w:widowControl w:val="0"/>
        <w:rPr>
          <w:sz w:val="20"/>
          <w:szCs w:val="20"/>
          <w:lang w:val="fr-CA"/>
        </w:rPr>
      </w:pPr>
    </w:p>
    <w:p w:rsidR="00631AD7" w:rsidRPr="00C50A5C" w:rsidRDefault="00631AD7" w:rsidP="00631AD7">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631AD7" w:rsidRPr="00C50A5C" w:rsidRDefault="00631AD7" w:rsidP="00631AD7">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631AD7" w:rsidRPr="00C612D0" w:rsidRDefault="00631AD7" w:rsidP="00C524AA">
      <w:pPr>
        <w:widowControl w:val="0"/>
        <w:rPr>
          <w:sz w:val="20"/>
          <w:szCs w:val="20"/>
          <w:lang w:val="fr-CA"/>
        </w:rPr>
      </w:pPr>
    </w:p>
    <w:p w:rsidR="00C524AA" w:rsidRPr="00631AD7" w:rsidRDefault="00631AD7" w:rsidP="00C524AA">
      <w:pPr>
        <w:pStyle w:val="ListParagraph"/>
        <w:widowControl w:val="0"/>
        <w:numPr>
          <w:ilvl w:val="0"/>
          <w:numId w:val="8"/>
        </w:numPr>
        <w:ind w:hanging="720"/>
        <w:jc w:val="both"/>
        <w:rPr>
          <w:sz w:val="20"/>
          <w:szCs w:val="20"/>
        </w:rPr>
      </w:pPr>
      <w:r w:rsidRPr="00631AD7">
        <w:rPr>
          <w:i/>
          <w:sz w:val="20"/>
          <w:szCs w:val="20"/>
        </w:rPr>
        <w:t>Maria Cornelia Erdmann v. Complaints Inquiry Committee of the Institute of Chartered Accountants of Alberta</w:t>
      </w:r>
      <w:r w:rsidRPr="00631AD7">
        <w:rPr>
          <w:sz w:val="20"/>
          <w:szCs w:val="20"/>
        </w:rPr>
        <w:t xml:space="preserve"> (Alta.) (Civil) (By Leave) </w:t>
      </w:r>
      <w:r w:rsidR="00C524AA" w:rsidRPr="00631AD7">
        <w:rPr>
          <w:sz w:val="20"/>
          <w:szCs w:val="20"/>
        </w:rPr>
        <w:t>(35</w:t>
      </w:r>
      <w:r w:rsidRPr="00631AD7">
        <w:rPr>
          <w:sz w:val="20"/>
          <w:szCs w:val="20"/>
        </w:rPr>
        <w:t>403</w:t>
      </w:r>
      <w:r w:rsidR="00C524AA" w:rsidRPr="00631AD7">
        <w:rPr>
          <w:sz w:val="20"/>
          <w:szCs w:val="20"/>
        </w:rPr>
        <w:t>)</w:t>
      </w:r>
    </w:p>
    <w:p w:rsidR="00C524AA" w:rsidRPr="00631AD7" w:rsidRDefault="00C524AA" w:rsidP="00C524AA">
      <w:pPr>
        <w:widowControl w:val="0"/>
        <w:jc w:val="both"/>
        <w:rPr>
          <w:sz w:val="20"/>
          <w:szCs w:val="20"/>
        </w:rPr>
      </w:pPr>
    </w:p>
    <w:p w:rsidR="00C524AA" w:rsidRPr="00115C9E" w:rsidRDefault="00631AD7" w:rsidP="00C524AA">
      <w:pPr>
        <w:pStyle w:val="ListParagraph"/>
        <w:widowControl w:val="0"/>
        <w:numPr>
          <w:ilvl w:val="0"/>
          <w:numId w:val="8"/>
        </w:numPr>
        <w:ind w:hanging="720"/>
        <w:jc w:val="both"/>
        <w:rPr>
          <w:sz w:val="20"/>
          <w:szCs w:val="20"/>
          <w:lang w:val="fr-CA"/>
        </w:rPr>
      </w:pPr>
      <w:r w:rsidRPr="00631AD7">
        <w:rPr>
          <w:i/>
          <w:sz w:val="20"/>
          <w:szCs w:val="20"/>
          <w:lang w:val="fr-CA"/>
        </w:rPr>
        <w:t>Elie Malka et al. v. Larry Vasiliadis et al.</w:t>
      </w:r>
      <w:r w:rsidRPr="00631AD7">
        <w:rPr>
          <w:sz w:val="20"/>
          <w:szCs w:val="20"/>
          <w:lang w:val="fr-CA"/>
        </w:rPr>
        <w:t xml:space="preserve"> (Ont.) (Civil) (By Leave)</w:t>
      </w:r>
      <w:r w:rsidRPr="00115C9E">
        <w:rPr>
          <w:sz w:val="20"/>
          <w:szCs w:val="20"/>
          <w:lang w:val="fr-CA"/>
        </w:rPr>
        <w:t xml:space="preserve"> </w:t>
      </w:r>
      <w:r w:rsidR="00C524AA" w:rsidRPr="00115C9E">
        <w:rPr>
          <w:sz w:val="20"/>
          <w:szCs w:val="20"/>
          <w:lang w:val="fr-CA"/>
        </w:rPr>
        <w:t>(35</w:t>
      </w:r>
      <w:r>
        <w:rPr>
          <w:sz w:val="20"/>
          <w:szCs w:val="20"/>
          <w:lang w:val="fr-CA"/>
        </w:rPr>
        <w:t>395</w:t>
      </w:r>
      <w:r w:rsidR="00C524AA" w:rsidRPr="00115C9E">
        <w:rPr>
          <w:sz w:val="20"/>
          <w:szCs w:val="20"/>
          <w:lang w:val="fr-CA"/>
        </w:rPr>
        <w:t>)</w:t>
      </w:r>
    </w:p>
    <w:p w:rsidR="00C524AA" w:rsidRDefault="00C524AA" w:rsidP="00C524AA">
      <w:pPr>
        <w:widowControl w:val="0"/>
        <w:rPr>
          <w:sz w:val="20"/>
          <w:szCs w:val="20"/>
          <w:lang w:val="fr-CA"/>
        </w:rPr>
      </w:pPr>
    </w:p>
    <w:p w:rsidR="00C524AA" w:rsidRDefault="005F2BA7" w:rsidP="00C524AA">
      <w:pPr>
        <w:widowControl w:val="0"/>
        <w:rPr>
          <w:sz w:val="20"/>
          <w:szCs w:val="20"/>
        </w:rPr>
      </w:pPr>
      <w:r w:rsidRPr="005F2BA7">
        <w:rPr>
          <w:sz w:val="20"/>
          <w:szCs w:val="20"/>
        </w:rPr>
        <w:pict>
          <v:rect id="_x0000_i1057" style="width:2in;height:1pt" o:hrpct="0" o:hralign="center" o:hrstd="t" o:hrnoshade="t" o:hr="t" fillcolor="black [3213]" stroked="f"/>
        </w:pict>
      </w:r>
    </w:p>
    <w:p w:rsidR="00C524AA" w:rsidRDefault="00C524AA" w:rsidP="00C524AA">
      <w:pPr>
        <w:widowControl w:val="0"/>
        <w:rPr>
          <w:sz w:val="20"/>
          <w:szCs w:val="20"/>
        </w:rPr>
      </w:pPr>
    </w:p>
    <w:p w:rsidR="00A8654B" w:rsidRPr="00C50A5C" w:rsidRDefault="00A8654B" w:rsidP="00A8654B">
      <w:pPr>
        <w:widowControl w:val="0"/>
        <w:rPr>
          <w:b/>
          <w:sz w:val="20"/>
          <w:szCs w:val="20"/>
        </w:rPr>
      </w:pPr>
      <w:r>
        <w:rPr>
          <w:b/>
          <w:sz w:val="20"/>
          <w:szCs w:val="20"/>
        </w:rPr>
        <w:t>AUGUST 15</w:t>
      </w:r>
      <w:r w:rsidRPr="00C50A5C">
        <w:rPr>
          <w:b/>
          <w:sz w:val="20"/>
          <w:szCs w:val="20"/>
        </w:rPr>
        <w:t>, 201</w:t>
      </w:r>
      <w:r>
        <w:rPr>
          <w:b/>
          <w:sz w:val="20"/>
          <w:szCs w:val="20"/>
        </w:rPr>
        <w:t>3</w:t>
      </w:r>
      <w:r w:rsidRPr="00C50A5C">
        <w:rPr>
          <w:b/>
          <w:sz w:val="20"/>
          <w:szCs w:val="20"/>
        </w:rPr>
        <w:t xml:space="preserve"> / LE </w:t>
      </w:r>
      <w:r>
        <w:rPr>
          <w:b/>
          <w:sz w:val="20"/>
          <w:szCs w:val="20"/>
        </w:rPr>
        <w:t>15 AOÛT</w:t>
      </w:r>
      <w:r w:rsidRPr="00C50A5C">
        <w:rPr>
          <w:b/>
          <w:sz w:val="20"/>
          <w:szCs w:val="20"/>
        </w:rPr>
        <w:t xml:space="preserve"> 201</w:t>
      </w:r>
      <w:r>
        <w:rPr>
          <w:b/>
          <w:sz w:val="20"/>
          <w:szCs w:val="20"/>
        </w:rPr>
        <w:t>3</w:t>
      </w:r>
    </w:p>
    <w:p w:rsidR="00A8654B" w:rsidRPr="00C524AA" w:rsidRDefault="00A8654B" w:rsidP="00A8654B">
      <w:pPr>
        <w:widowControl w:val="0"/>
        <w:rPr>
          <w:sz w:val="20"/>
          <w:szCs w:val="20"/>
        </w:rPr>
      </w:pPr>
    </w:p>
    <w:p w:rsidR="00A8654B" w:rsidRPr="00C50A5C" w:rsidRDefault="00A8654B" w:rsidP="00A8654B">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A8654B" w:rsidRPr="00C50A5C" w:rsidRDefault="00A8654B" w:rsidP="00A8654B">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A8654B" w:rsidRPr="00C50A5C" w:rsidRDefault="00A8654B" w:rsidP="00A8654B">
      <w:pPr>
        <w:widowControl w:val="0"/>
        <w:rPr>
          <w:sz w:val="20"/>
          <w:szCs w:val="20"/>
          <w:lang w:val="fr-CA"/>
        </w:rPr>
      </w:pPr>
    </w:p>
    <w:p w:rsidR="00A8654B" w:rsidRPr="00C50A5C" w:rsidRDefault="00A8654B" w:rsidP="00A8654B">
      <w:pPr>
        <w:pStyle w:val="ListParagraph"/>
        <w:widowControl w:val="0"/>
        <w:numPr>
          <w:ilvl w:val="0"/>
          <w:numId w:val="9"/>
        </w:numPr>
        <w:ind w:hanging="720"/>
        <w:jc w:val="both"/>
        <w:rPr>
          <w:sz w:val="20"/>
          <w:szCs w:val="20"/>
        </w:rPr>
      </w:pPr>
      <w:r w:rsidRPr="00A8654B">
        <w:rPr>
          <w:i/>
          <w:sz w:val="20"/>
          <w:szCs w:val="20"/>
        </w:rPr>
        <w:t>Robert Meredith et al. v. Attorney General of Canada</w:t>
      </w:r>
      <w:r w:rsidRPr="00A8654B">
        <w:rPr>
          <w:sz w:val="20"/>
          <w:szCs w:val="20"/>
        </w:rPr>
        <w:t xml:space="preserve"> (F</w:t>
      </w:r>
      <w:r>
        <w:rPr>
          <w:sz w:val="20"/>
          <w:szCs w:val="20"/>
        </w:rPr>
        <w:t>.</w:t>
      </w:r>
      <w:r w:rsidRPr="00A8654B">
        <w:rPr>
          <w:sz w:val="20"/>
          <w:szCs w:val="20"/>
        </w:rPr>
        <w:t>C</w:t>
      </w:r>
      <w:r>
        <w:rPr>
          <w:sz w:val="20"/>
          <w:szCs w:val="20"/>
        </w:rPr>
        <w:t>.</w:t>
      </w:r>
      <w:r w:rsidRPr="00A8654B">
        <w:rPr>
          <w:sz w:val="20"/>
          <w:szCs w:val="20"/>
        </w:rPr>
        <w:t>) (Civil) (By Leave)</w:t>
      </w:r>
      <w:r w:rsidRPr="00C50A5C">
        <w:rPr>
          <w:sz w:val="20"/>
          <w:szCs w:val="20"/>
        </w:rPr>
        <w:t xml:space="preserve"> (3</w:t>
      </w:r>
      <w:r>
        <w:rPr>
          <w:sz w:val="20"/>
          <w:szCs w:val="20"/>
        </w:rPr>
        <w:t>5424</w:t>
      </w:r>
      <w:r w:rsidRPr="00C50A5C">
        <w:rPr>
          <w:sz w:val="20"/>
          <w:szCs w:val="20"/>
        </w:rPr>
        <w:t>)</w:t>
      </w:r>
    </w:p>
    <w:p w:rsidR="00A8654B" w:rsidRPr="00C50A5C" w:rsidRDefault="00A8654B" w:rsidP="00A8654B">
      <w:pPr>
        <w:widowControl w:val="0"/>
        <w:jc w:val="both"/>
        <w:rPr>
          <w:sz w:val="20"/>
          <w:szCs w:val="20"/>
        </w:rPr>
      </w:pPr>
    </w:p>
    <w:p w:rsidR="00A8654B" w:rsidRDefault="005F2BA7" w:rsidP="00C524AA">
      <w:pPr>
        <w:widowControl w:val="0"/>
        <w:rPr>
          <w:sz w:val="20"/>
          <w:szCs w:val="20"/>
        </w:rPr>
      </w:pPr>
      <w:r w:rsidRPr="005F2BA7">
        <w:rPr>
          <w:sz w:val="20"/>
          <w:szCs w:val="20"/>
        </w:rPr>
        <w:pict>
          <v:rect id="_x0000_i1058" style="width:2in;height:1pt" o:hrpct="0" o:hralign="center" o:hrstd="t" o:hrnoshade="t" o:hr="t" fillcolor="black [3213]" stroked="f"/>
        </w:pict>
      </w:r>
    </w:p>
    <w:p w:rsidR="00A8654B" w:rsidRDefault="00A8654B" w:rsidP="00C524AA">
      <w:pPr>
        <w:widowControl w:val="0"/>
        <w:rPr>
          <w:sz w:val="20"/>
          <w:szCs w:val="20"/>
        </w:rPr>
      </w:pPr>
    </w:p>
    <w:p w:rsidR="00C524AA" w:rsidRPr="00C50A5C" w:rsidRDefault="00C524AA" w:rsidP="00C524AA">
      <w:pPr>
        <w:widowControl w:val="0"/>
        <w:rPr>
          <w:b/>
          <w:sz w:val="20"/>
          <w:szCs w:val="20"/>
        </w:rPr>
      </w:pPr>
      <w:r>
        <w:rPr>
          <w:b/>
          <w:sz w:val="20"/>
          <w:szCs w:val="20"/>
        </w:rPr>
        <w:t>AUGUST 19</w:t>
      </w:r>
      <w:r w:rsidRPr="00C50A5C">
        <w:rPr>
          <w:b/>
          <w:sz w:val="20"/>
          <w:szCs w:val="20"/>
        </w:rPr>
        <w:t>, 201</w:t>
      </w:r>
      <w:r>
        <w:rPr>
          <w:b/>
          <w:sz w:val="20"/>
          <w:szCs w:val="20"/>
        </w:rPr>
        <w:t>3</w:t>
      </w:r>
      <w:r w:rsidRPr="00C50A5C">
        <w:rPr>
          <w:b/>
          <w:sz w:val="20"/>
          <w:szCs w:val="20"/>
        </w:rPr>
        <w:t xml:space="preserve"> / LE </w:t>
      </w:r>
      <w:r>
        <w:rPr>
          <w:b/>
          <w:sz w:val="20"/>
          <w:szCs w:val="20"/>
        </w:rPr>
        <w:t>19 AOÛT</w:t>
      </w:r>
      <w:r w:rsidRPr="00C50A5C">
        <w:rPr>
          <w:b/>
          <w:sz w:val="20"/>
          <w:szCs w:val="20"/>
        </w:rPr>
        <w:t xml:space="preserve"> 201</w:t>
      </w:r>
      <w:r>
        <w:rPr>
          <w:b/>
          <w:sz w:val="20"/>
          <w:szCs w:val="20"/>
        </w:rPr>
        <w:t>3</w:t>
      </w:r>
    </w:p>
    <w:p w:rsidR="00C524AA" w:rsidRPr="00C524AA" w:rsidRDefault="00C524AA" w:rsidP="00C524AA">
      <w:pPr>
        <w:widowControl w:val="0"/>
        <w:rPr>
          <w:sz w:val="20"/>
          <w:szCs w:val="20"/>
        </w:rPr>
      </w:pPr>
    </w:p>
    <w:p w:rsidR="00C524AA" w:rsidRPr="00C50A5C" w:rsidRDefault="00C524AA" w:rsidP="00C524AA">
      <w:pPr>
        <w:widowControl w:val="0"/>
        <w:jc w:val="center"/>
        <w:rPr>
          <w:b/>
          <w:sz w:val="20"/>
          <w:szCs w:val="20"/>
        </w:rPr>
      </w:pPr>
      <w:r w:rsidRPr="00C50A5C">
        <w:rPr>
          <w:b/>
          <w:sz w:val="20"/>
          <w:szCs w:val="20"/>
        </w:rPr>
        <w:t xml:space="preserve">CORAM:  Chief Justice McLachlin and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C524AA" w:rsidRPr="00C50A5C" w:rsidRDefault="00C524AA" w:rsidP="00C524AA">
      <w:pPr>
        <w:widowControl w:val="0"/>
        <w:jc w:val="center"/>
        <w:rPr>
          <w:sz w:val="20"/>
          <w:szCs w:val="20"/>
          <w:lang w:val="fr-CA"/>
        </w:rPr>
      </w:pPr>
      <w:r w:rsidRPr="002468F2">
        <w:rPr>
          <w:b/>
          <w:sz w:val="20"/>
          <w:szCs w:val="20"/>
          <w:lang w:val="fr-CA"/>
        </w:rPr>
        <w:t xml:space="preserve">La juge en chef McLachlin et </w:t>
      </w:r>
      <w:r w:rsidRPr="00C50A5C">
        <w:rPr>
          <w:b/>
          <w:sz w:val="20"/>
          <w:szCs w:val="20"/>
          <w:lang w:val="fr-CA"/>
        </w:rPr>
        <w:t xml:space="preserve">les juges </w:t>
      </w:r>
      <w:r>
        <w:rPr>
          <w:b/>
          <w:sz w:val="20"/>
          <w:szCs w:val="20"/>
          <w:lang w:val="fr-CA"/>
        </w:rPr>
        <w:t>Abella</w:t>
      </w:r>
      <w:r w:rsidRPr="00C50A5C">
        <w:rPr>
          <w:b/>
          <w:sz w:val="20"/>
          <w:szCs w:val="20"/>
          <w:lang w:val="fr-CA"/>
        </w:rPr>
        <w:t xml:space="preserve"> et </w:t>
      </w:r>
      <w:r>
        <w:rPr>
          <w:b/>
          <w:sz w:val="20"/>
          <w:szCs w:val="20"/>
          <w:lang w:val="fr-CA"/>
        </w:rPr>
        <w:t>Cromwell</w:t>
      </w:r>
    </w:p>
    <w:p w:rsidR="00C524AA" w:rsidRPr="00C50A5C" w:rsidRDefault="00C524AA" w:rsidP="00C524AA">
      <w:pPr>
        <w:widowControl w:val="0"/>
        <w:rPr>
          <w:sz w:val="20"/>
          <w:szCs w:val="20"/>
          <w:lang w:val="fr-CA"/>
        </w:rPr>
      </w:pPr>
    </w:p>
    <w:p w:rsidR="00C524AA" w:rsidRPr="00450C1E" w:rsidRDefault="00450C1E" w:rsidP="00A8654B">
      <w:pPr>
        <w:pStyle w:val="ListParagraph"/>
        <w:widowControl w:val="0"/>
        <w:numPr>
          <w:ilvl w:val="0"/>
          <w:numId w:val="13"/>
        </w:numPr>
        <w:ind w:hanging="720"/>
        <w:jc w:val="both"/>
        <w:rPr>
          <w:sz w:val="20"/>
          <w:szCs w:val="20"/>
          <w:lang w:val="fr-CA"/>
        </w:rPr>
      </w:pPr>
      <w:r w:rsidRPr="00450C1E">
        <w:rPr>
          <w:i/>
          <w:sz w:val="20"/>
          <w:szCs w:val="20"/>
          <w:lang w:val="fr-CA"/>
        </w:rPr>
        <w:t>Édith St-Pierre c. Carlos Roberto Gonzalez Cruz</w:t>
      </w:r>
      <w:r w:rsidRPr="00F47A67">
        <w:rPr>
          <w:sz w:val="20"/>
          <w:szCs w:val="20"/>
          <w:lang w:val="fr-CA"/>
        </w:rPr>
        <w:t xml:space="preserve"> (Qc) (Civile) (Autorisation)</w:t>
      </w:r>
      <w:r w:rsidRPr="00450C1E">
        <w:rPr>
          <w:sz w:val="20"/>
          <w:szCs w:val="20"/>
          <w:lang w:val="fr-CA"/>
        </w:rPr>
        <w:t xml:space="preserve"> </w:t>
      </w:r>
      <w:r w:rsidR="00C524AA" w:rsidRPr="00450C1E">
        <w:rPr>
          <w:sz w:val="20"/>
          <w:szCs w:val="20"/>
          <w:lang w:val="fr-CA"/>
        </w:rPr>
        <w:t>(35</w:t>
      </w:r>
      <w:r w:rsidRPr="00450C1E">
        <w:rPr>
          <w:sz w:val="20"/>
          <w:szCs w:val="20"/>
          <w:lang w:val="fr-CA"/>
        </w:rPr>
        <w:t>441</w:t>
      </w:r>
      <w:r w:rsidR="00C524AA" w:rsidRPr="00450C1E">
        <w:rPr>
          <w:sz w:val="20"/>
          <w:szCs w:val="20"/>
          <w:lang w:val="fr-CA"/>
        </w:rPr>
        <w:t>)</w:t>
      </w:r>
    </w:p>
    <w:p w:rsidR="00C524AA" w:rsidRPr="00450C1E" w:rsidRDefault="00C524AA" w:rsidP="00C524AA">
      <w:pPr>
        <w:widowControl w:val="0"/>
        <w:jc w:val="both"/>
        <w:rPr>
          <w:sz w:val="20"/>
          <w:szCs w:val="20"/>
          <w:lang w:val="fr-CA"/>
        </w:rPr>
      </w:pPr>
    </w:p>
    <w:p w:rsidR="00C524AA" w:rsidRPr="00450C1E" w:rsidRDefault="00450C1E" w:rsidP="00A8654B">
      <w:pPr>
        <w:pStyle w:val="ListParagraph"/>
        <w:widowControl w:val="0"/>
        <w:numPr>
          <w:ilvl w:val="0"/>
          <w:numId w:val="13"/>
        </w:numPr>
        <w:ind w:hanging="720"/>
        <w:jc w:val="both"/>
        <w:rPr>
          <w:sz w:val="20"/>
          <w:szCs w:val="20"/>
          <w:lang w:val="fr-CA"/>
        </w:rPr>
      </w:pPr>
      <w:r w:rsidRPr="00450C1E">
        <w:rPr>
          <w:i/>
          <w:sz w:val="20"/>
          <w:szCs w:val="20"/>
          <w:lang w:val="fr-CA"/>
        </w:rPr>
        <w:t>François Deraspe c. Zinc Électrolytique du Canada Ltée et autres</w:t>
      </w:r>
      <w:r w:rsidRPr="00F47A67">
        <w:rPr>
          <w:sz w:val="20"/>
          <w:szCs w:val="20"/>
          <w:lang w:val="fr-CA"/>
        </w:rPr>
        <w:t xml:space="preserve"> (Qc) (Civile) (Autorisation)</w:t>
      </w:r>
      <w:r w:rsidRPr="00450C1E">
        <w:rPr>
          <w:sz w:val="20"/>
          <w:szCs w:val="20"/>
          <w:lang w:val="fr-CA"/>
        </w:rPr>
        <w:t xml:space="preserve"> </w:t>
      </w:r>
      <w:r w:rsidR="00C524AA" w:rsidRPr="00450C1E">
        <w:rPr>
          <w:sz w:val="20"/>
          <w:szCs w:val="20"/>
          <w:lang w:val="fr-CA"/>
        </w:rPr>
        <w:t>(35</w:t>
      </w:r>
      <w:r w:rsidRPr="00450C1E">
        <w:rPr>
          <w:sz w:val="20"/>
          <w:szCs w:val="20"/>
          <w:lang w:val="fr-CA"/>
        </w:rPr>
        <w:t>393</w:t>
      </w:r>
      <w:r w:rsidR="00C524AA" w:rsidRPr="00450C1E">
        <w:rPr>
          <w:sz w:val="20"/>
          <w:szCs w:val="20"/>
          <w:lang w:val="fr-CA"/>
        </w:rPr>
        <w:t>)</w:t>
      </w:r>
    </w:p>
    <w:p w:rsidR="00C524AA" w:rsidRPr="00450C1E" w:rsidRDefault="00C524AA" w:rsidP="00C524AA">
      <w:pPr>
        <w:widowControl w:val="0"/>
        <w:jc w:val="both"/>
        <w:rPr>
          <w:sz w:val="20"/>
          <w:szCs w:val="20"/>
          <w:lang w:val="fr-CA"/>
        </w:rPr>
      </w:pPr>
    </w:p>
    <w:p w:rsidR="00F47A67" w:rsidRPr="00450C1E" w:rsidRDefault="00F47A67" w:rsidP="00C524AA">
      <w:pPr>
        <w:widowControl w:val="0"/>
        <w:jc w:val="both"/>
        <w:rPr>
          <w:sz w:val="20"/>
          <w:szCs w:val="20"/>
          <w:lang w:val="fr-CA"/>
        </w:rPr>
      </w:pPr>
    </w:p>
    <w:p w:rsidR="00F47A67" w:rsidRPr="00C50A5C" w:rsidRDefault="00F47A67" w:rsidP="00F47A67">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F47A67" w:rsidRPr="00C50A5C" w:rsidRDefault="00F47A67" w:rsidP="00F47A67">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F47A67" w:rsidRPr="00F47A67" w:rsidRDefault="00F47A67" w:rsidP="00C524AA">
      <w:pPr>
        <w:widowControl w:val="0"/>
        <w:jc w:val="both"/>
        <w:rPr>
          <w:sz w:val="20"/>
          <w:szCs w:val="20"/>
          <w:lang w:val="fr-CA"/>
        </w:rPr>
      </w:pPr>
    </w:p>
    <w:p w:rsidR="00C524AA" w:rsidRPr="00450C1E" w:rsidRDefault="00450C1E" w:rsidP="00A8654B">
      <w:pPr>
        <w:pStyle w:val="ListParagraph"/>
        <w:widowControl w:val="0"/>
        <w:numPr>
          <w:ilvl w:val="0"/>
          <w:numId w:val="13"/>
        </w:numPr>
        <w:ind w:hanging="720"/>
        <w:jc w:val="both"/>
        <w:rPr>
          <w:sz w:val="20"/>
          <w:szCs w:val="20"/>
          <w:lang w:val="fr-CA"/>
        </w:rPr>
      </w:pPr>
      <w:r w:rsidRPr="00450C1E">
        <w:rPr>
          <w:i/>
          <w:sz w:val="20"/>
          <w:szCs w:val="20"/>
          <w:lang w:val="fr-CA"/>
        </w:rPr>
        <w:t>Jennifer Camiran c. Sa Majesté la Reine</w:t>
      </w:r>
      <w:r w:rsidRPr="00F47A67">
        <w:rPr>
          <w:sz w:val="20"/>
          <w:szCs w:val="20"/>
          <w:lang w:val="fr-CA"/>
        </w:rPr>
        <w:t xml:space="preserve"> (Qc) (Crim.) (Autorisation)</w:t>
      </w:r>
      <w:r w:rsidRPr="00450C1E">
        <w:rPr>
          <w:sz w:val="20"/>
          <w:szCs w:val="20"/>
          <w:lang w:val="fr-CA"/>
        </w:rPr>
        <w:t xml:space="preserve"> </w:t>
      </w:r>
      <w:r w:rsidR="00C524AA" w:rsidRPr="00450C1E">
        <w:rPr>
          <w:sz w:val="20"/>
          <w:szCs w:val="20"/>
          <w:lang w:val="fr-CA"/>
        </w:rPr>
        <w:t>(35</w:t>
      </w:r>
      <w:r w:rsidRPr="00450C1E">
        <w:rPr>
          <w:sz w:val="20"/>
          <w:szCs w:val="20"/>
          <w:lang w:val="fr-CA"/>
        </w:rPr>
        <w:t>404</w:t>
      </w:r>
      <w:r w:rsidR="00C524AA" w:rsidRPr="00450C1E">
        <w:rPr>
          <w:sz w:val="20"/>
          <w:szCs w:val="20"/>
          <w:lang w:val="fr-CA"/>
        </w:rPr>
        <w:t>)</w:t>
      </w:r>
    </w:p>
    <w:p w:rsidR="00C524AA" w:rsidRPr="00450C1E" w:rsidRDefault="00C524AA" w:rsidP="00C524AA">
      <w:pPr>
        <w:widowControl w:val="0"/>
        <w:rPr>
          <w:sz w:val="20"/>
          <w:szCs w:val="20"/>
          <w:lang w:val="fr-CA"/>
        </w:rPr>
      </w:pPr>
    </w:p>
    <w:p w:rsidR="00C524AA" w:rsidRPr="00450C1E" w:rsidRDefault="00450C1E" w:rsidP="00A8654B">
      <w:pPr>
        <w:pStyle w:val="ListParagraph"/>
        <w:widowControl w:val="0"/>
        <w:numPr>
          <w:ilvl w:val="0"/>
          <w:numId w:val="13"/>
        </w:numPr>
        <w:ind w:hanging="720"/>
        <w:jc w:val="both"/>
        <w:rPr>
          <w:sz w:val="20"/>
          <w:szCs w:val="20"/>
          <w:lang w:val="fr-CA"/>
        </w:rPr>
      </w:pPr>
      <w:r w:rsidRPr="00450C1E">
        <w:rPr>
          <w:i/>
          <w:sz w:val="20"/>
          <w:szCs w:val="20"/>
          <w:lang w:val="fr-CA"/>
        </w:rPr>
        <w:t>Scott Chase c. Sa Majesté la Reine</w:t>
      </w:r>
      <w:r w:rsidRPr="00F47A67">
        <w:rPr>
          <w:sz w:val="20"/>
          <w:szCs w:val="20"/>
          <w:lang w:val="fr-CA"/>
        </w:rPr>
        <w:t xml:space="preserve"> (Qc) (Crim.) (Autorisation)</w:t>
      </w:r>
      <w:r w:rsidRPr="00450C1E">
        <w:rPr>
          <w:sz w:val="20"/>
          <w:szCs w:val="20"/>
          <w:lang w:val="fr-CA"/>
        </w:rPr>
        <w:t xml:space="preserve"> </w:t>
      </w:r>
      <w:r w:rsidR="00C524AA" w:rsidRPr="00450C1E">
        <w:rPr>
          <w:sz w:val="20"/>
          <w:szCs w:val="20"/>
          <w:lang w:val="fr-CA"/>
        </w:rPr>
        <w:t>(35</w:t>
      </w:r>
      <w:r w:rsidRPr="00450C1E">
        <w:rPr>
          <w:sz w:val="20"/>
          <w:szCs w:val="20"/>
          <w:lang w:val="fr-CA"/>
        </w:rPr>
        <w:t>434</w:t>
      </w:r>
      <w:r w:rsidR="00C524AA" w:rsidRPr="00450C1E">
        <w:rPr>
          <w:sz w:val="20"/>
          <w:szCs w:val="20"/>
          <w:lang w:val="fr-CA"/>
        </w:rPr>
        <w:t>)</w:t>
      </w:r>
    </w:p>
    <w:p w:rsidR="00C524AA" w:rsidRDefault="00C524AA" w:rsidP="00C524AA">
      <w:pPr>
        <w:widowControl w:val="0"/>
        <w:jc w:val="both"/>
        <w:rPr>
          <w:sz w:val="20"/>
          <w:szCs w:val="20"/>
          <w:lang w:val="fr-CA"/>
        </w:rPr>
      </w:pPr>
    </w:p>
    <w:p w:rsidR="00F47A67" w:rsidRDefault="00F47A67" w:rsidP="00C524AA">
      <w:pPr>
        <w:widowControl w:val="0"/>
        <w:jc w:val="both"/>
        <w:rPr>
          <w:sz w:val="20"/>
          <w:szCs w:val="20"/>
          <w:lang w:val="fr-CA"/>
        </w:rPr>
      </w:pPr>
    </w:p>
    <w:p w:rsidR="00F47A67" w:rsidRPr="00C50A5C" w:rsidRDefault="00F47A67" w:rsidP="00F47A67">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F47A67" w:rsidRPr="00C50A5C" w:rsidRDefault="00F47A67" w:rsidP="00F47A67">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F47A67" w:rsidRPr="00C16CB3" w:rsidRDefault="00F47A67" w:rsidP="00C524AA">
      <w:pPr>
        <w:widowControl w:val="0"/>
        <w:jc w:val="both"/>
        <w:rPr>
          <w:sz w:val="20"/>
          <w:szCs w:val="20"/>
          <w:lang w:val="fr-CA"/>
        </w:rPr>
      </w:pPr>
    </w:p>
    <w:p w:rsidR="00C524AA" w:rsidRPr="00C612D0" w:rsidRDefault="00450C1E" w:rsidP="00A8654B">
      <w:pPr>
        <w:pStyle w:val="ListParagraph"/>
        <w:widowControl w:val="0"/>
        <w:numPr>
          <w:ilvl w:val="0"/>
          <w:numId w:val="13"/>
        </w:numPr>
        <w:ind w:hanging="720"/>
        <w:jc w:val="both"/>
        <w:rPr>
          <w:sz w:val="20"/>
          <w:szCs w:val="20"/>
          <w:lang w:val="fr-CA"/>
        </w:rPr>
      </w:pPr>
      <w:r w:rsidRPr="00450C1E">
        <w:rPr>
          <w:i/>
          <w:sz w:val="20"/>
          <w:szCs w:val="20"/>
        </w:rPr>
        <w:t>Corporation of the City of Windsor et al. v. Amyotrophic Lateral Sclerosis Society of Essex County et al.</w:t>
      </w:r>
      <w:r w:rsidRPr="00F47A67">
        <w:rPr>
          <w:sz w:val="20"/>
          <w:szCs w:val="20"/>
        </w:rPr>
        <w:t xml:space="preserve"> (Ont.) (Civil) (By Leave)</w:t>
      </w:r>
      <w:r w:rsidRPr="00C612D0">
        <w:rPr>
          <w:sz w:val="20"/>
          <w:szCs w:val="20"/>
          <w:lang w:val="fr-CA"/>
        </w:rPr>
        <w:t xml:space="preserve"> </w:t>
      </w:r>
      <w:r w:rsidR="00C524AA" w:rsidRPr="00C612D0">
        <w:rPr>
          <w:sz w:val="20"/>
          <w:szCs w:val="20"/>
          <w:lang w:val="fr-CA"/>
        </w:rPr>
        <w:t>(3</w:t>
      </w:r>
      <w:r w:rsidR="00C524AA">
        <w:rPr>
          <w:sz w:val="20"/>
          <w:szCs w:val="20"/>
          <w:lang w:val="fr-CA"/>
        </w:rPr>
        <w:t>5</w:t>
      </w:r>
      <w:r>
        <w:rPr>
          <w:sz w:val="20"/>
          <w:szCs w:val="20"/>
          <w:lang w:val="fr-CA"/>
        </w:rPr>
        <w:t>425</w:t>
      </w:r>
      <w:r w:rsidR="00C524AA" w:rsidRPr="00C612D0">
        <w:rPr>
          <w:sz w:val="20"/>
          <w:szCs w:val="20"/>
          <w:lang w:val="fr-CA"/>
        </w:rPr>
        <w:t>)</w:t>
      </w:r>
    </w:p>
    <w:p w:rsidR="00C524AA" w:rsidRPr="00C612D0" w:rsidRDefault="00C524AA" w:rsidP="00C524AA">
      <w:pPr>
        <w:widowControl w:val="0"/>
        <w:rPr>
          <w:sz w:val="20"/>
          <w:szCs w:val="20"/>
          <w:lang w:val="fr-CA"/>
        </w:rPr>
      </w:pPr>
    </w:p>
    <w:p w:rsidR="00C524AA" w:rsidRPr="00450C1E" w:rsidRDefault="00450C1E" w:rsidP="00A8654B">
      <w:pPr>
        <w:pStyle w:val="ListParagraph"/>
        <w:widowControl w:val="0"/>
        <w:numPr>
          <w:ilvl w:val="0"/>
          <w:numId w:val="13"/>
        </w:numPr>
        <w:ind w:hanging="720"/>
        <w:jc w:val="both"/>
        <w:rPr>
          <w:sz w:val="20"/>
          <w:szCs w:val="20"/>
        </w:rPr>
      </w:pPr>
      <w:r w:rsidRPr="00450C1E">
        <w:rPr>
          <w:i/>
          <w:sz w:val="20"/>
          <w:szCs w:val="20"/>
        </w:rPr>
        <w:t>Robin Argue v. Corporation of the Township of Tay</w:t>
      </w:r>
      <w:r w:rsidRPr="00F47A67">
        <w:rPr>
          <w:sz w:val="20"/>
          <w:szCs w:val="20"/>
        </w:rPr>
        <w:t xml:space="preserve"> (Ont.) (Civil) (By Leave)</w:t>
      </w:r>
      <w:r w:rsidRPr="00450C1E">
        <w:rPr>
          <w:sz w:val="20"/>
          <w:szCs w:val="20"/>
        </w:rPr>
        <w:t xml:space="preserve"> </w:t>
      </w:r>
      <w:r w:rsidR="00C524AA" w:rsidRPr="00450C1E">
        <w:rPr>
          <w:sz w:val="20"/>
          <w:szCs w:val="20"/>
        </w:rPr>
        <w:t>(35</w:t>
      </w:r>
      <w:r w:rsidRPr="00450C1E">
        <w:rPr>
          <w:sz w:val="20"/>
          <w:szCs w:val="20"/>
        </w:rPr>
        <w:t>409</w:t>
      </w:r>
      <w:r w:rsidR="00C524AA" w:rsidRPr="00450C1E">
        <w:rPr>
          <w:sz w:val="20"/>
          <w:szCs w:val="20"/>
        </w:rPr>
        <w:t>)</w:t>
      </w:r>
    </w:p>
    <w:p w:rsidR="00C524AA" w:rsidRPr="00450C1E" w:rsidRDefault="00C524AA" w:rsidP="00C524AA">
      <w:pPr>
        <w:widowControl w:val="0"/>
        <w:rPr>
          <w:sz w:val="20"/>
          <w:szCs w:val="20"/>
        </w:rPr>
      </w:pPr>
    </w:p>
    <w:p w:rsidR="00C524AA" w:rsidRDefault="005F2BA7" w:rsidP="00C524AA">
      <w:pPr>
        <w:widowControl w:val="0"/>
        <w:rPr>
          <w:sz w:val="20"/>
          <w:szCs w:val="20"/>
        </w:rPr>
      </w:pPr>
      <w:r w:rsidRPr="005F2BA7">
        <w:rPr>
          <w:sz w:val="20"/>
          <w:szCs w:val="20"/>
        </w:rPr>
        <w:pict>
          <v:rect id="_x0000_i1059" style="width:2in;height:1pt" o:hrpct="0" o:hralign="center" o:hrstd="t" o:hrnoshade="t" o:hr="t" fillcolor="black [3213]" stroked="f"/>
        </w:pict>
      </w:r>
    </w:p>
    <w:p w:rsidR="00C524AA" w:rsidRDefault="00C524AA" w:rsidP="00C524AA">
      <w:pPr>
        <w:widowControl w:val="0"/>
        <w:rPr>
          <w:sz w:val="20"/>
          <w:szCs w:val="20"/>
        </w:rPr>
      </w:pPr>
    </w:p>
    <w:p w:rsidR="00C524AA" w:rsidRPr="00C50A5C" w:rsidRDefault="00C524AA" w:rsidP="00C524AA">
      <w:pPr>
        <w:widowControl w:val="0"/>
        <w:rPr>
          <w:b/>
          <w:sz w:val="20"/>
          <w:szCs w:val="20"/>
        </w:rPr>
      </w:pPr>
      <w:r>
        <w:rPr>
          <w:b/>
          <w:sz w:val="20"/>
          <w:szCs w:val="20"/>
        </w:rPr>
        <w:t>AUGUST 26</w:t>
      </w:r>
      <w:r w:rsidRPr="00C50A5C">
        <w:rPr>
          <w:b/>
          <w:sz w:val="20"/>
          <w:szCs w:val="20"/>
        </w:rPr>
        <w:t>, 201</w:t>
      </w:r>
      <w:r>
        <w:rPr>
          <w:b/>
          <w:sz w:val="20"/>
          <w:szCs w:val="20"/>
        </w:rPr>
        <w:t>3</w:t>
      </w:r>
      <w:r w:rsidRPr="00C50A5C">
        <w:rPr>
          <w:b/>
          <w:sz w:val="20"/>
          <w:szCs w:val="20"/>
        </w:rPr>
        <w:t xml:space="preserve"> / LE </w:t>
      </w:r>
      <w:r>
        <w:rPr>
          <w:b/>
          <w:sz w:val="20"/>
          <w:szCs w:val="20"/>
        </w:rPr>
        <w:t>26 AOÛT</w:t>
      </w:r>
      <w:r w:rsidRPr="00C50A5C">
        <w:rPr>
          <w:b/>
          <w:sz w:val="20"/>
          <w:szCs w:val="20"/>
        </w:rPr>
        <w:t xml:space="preserve"> 201</w:t>
      </w:r>
      <w:r>
        <w:rPr>
          <w:b/>
          <w:sz w:val="20"/>
          <w:szCs w:val="20"/>
        </w:rPr>
        <w:t>3</w:t>
      </w:r>
    </w:p>
    <w:p w:rsidR="00C524AA" w:rsidRPr="00C524AA" w:rsidRDefault="00C524AA" w:rsidP="00C524AA">
      <w:pPr>
        <w:widowControl w:val="0"/>
        <w:rPr>
          <w:sz w:val="20"/>
          <w:szCs w:val="20"/>
        </w:rPr>
      </w:pPr>
    </w:p>
    <w:p w:rsidR="00C524AA" w:rsidRPr="00C50A5C" w:rsidRDefault="00C524AA" w:rsidP="00C524AA">
      <w:pPr>
        <w:widowControl w:val="0"/>
        <w:jc w:val="center"/>
        <w:rPr>
          <w:b/>
          <w:sz w:val="20"/>
          <w:szCs w:val="20"/>
        </w:rPr>
      </w:pPr>
      <w:r w:rsidRPr="00C50A5C">
        <w:rPr>
          <w:b/>
          <w:sz w:val="20"/>
          <w:szCs w:val="20"/>
        </w:rPr>
        <w:t xml:space="preserve">CORAM:  Chief Justice McLachlin and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C524AA" w:rsidRPr="00C50A5C" w:rsidRDefault="00C524AA" w:rsidP="00C524AA">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Abella</w:t>
      </w:r>
      <w:r w:rsidRPr="00C50A5C">
        <w:rPr>
          <w:b/>
          <w:sz w:val="20"/>
          <w:szCs w:val="20"/>
          <w:lang w:val="fr-CA"/>
        </w:rPr>
        <w:t xml:space="preserve"> et </w:t>
      </w:r>
      <w:r>
        <w:rPr>
          <w:b/>
          <w:sz w:val="20"/>
          <w:szCs w:val="20"/>
          <w:lang w:val="fr-CA"/>
        </w:rPr>
        <w:t>Cromwell</w:t>
      </w:r>
    </w:p>
    <w:p w:rsidR="00C524AA" w:rsidRPr="00C50A5C" w:rsidRDefault="00C524AA" w:rsidP="00C524AA">
      <w:pPr>
        <w:widowControl w:val="0"/>
        <w:rPr>
          <w:sz w:val="20"/>
          <w:szCs w:val="20"/>
          <w:lang w:val="fr-CA"/>
        </w:rPr>
      </w:pPr>
    </w:p>
    <w:p w:rsidR="00C524AA" w:rsidRPr="00C50A5C" w:rsidRDefault="003B5EFB" w:rsidP="00C524AA">
      <w:pPr>
        <w:pStyle w:val="ListParagraph"/>
        <w:widowControl w:val="0"/>
        <w:numPr>
          <w:ilvl w:val="0"/>
          <w:numId w:val="10"/>
        </w:numPr>
        <w:ind w:hanging="720"/>
        <w:jc w:val="both"/>
        <w:rPr>
          <w:sz w:val="20"/>
          <w:szCs w:val="20"/>
        </w:rPr>
      </w:pPr>
      <w:r w:rsidRPr="003B5EFB">
        <w:rPr>
          <w:i/>
          <w:sz w:val="20"/>
          <w:szCs w:val="20"/>
        </w:rPr>
        <w:t>Shawn Edward Jordan v. Rosemary Nation et al.</w:t>
      </w:r>
      <w:r w:rsidRPr="003B5EFB">
        <w:rPr>
          <w:sz w:val="20"/>
          <w:szCs w:val="20"/>
        </w:rPr>
        <w:t xml:space="preserve"> (Alta.) (Civil) (By Leave)</w:t>
      </w:r>
      <w:r w:rsidRPr="00C50A5C">
        <w:rPr>
          <w:sz w:val="20"/>
          <w:szCs w:val="20"/>
        </w:rPr>
        <w:t xml:space="preserve"> </w:t>
      </w:r>
      <w:r w:rsidR="00C524AA" w:rsidRPr="00C50A5C">
        <w:rPr>
          <w:sz w:val="20"/>
          <w:szCs w:val="20"/>
        </w:rPr>
        <w:t>(3</w:t>
      </w:r>
      <w:r w:rsidR="00C524AA">
        <w:rPr>
          <w:sz w:val="20"/>
          <w:szCs w:val="20"/>
        </w:rPr>
        <w:t>5</w:t>
      </w:r>
      <w:r>
        <w:rPr>
          <w:sz w:val="20"/>
          <w:szCs w:val="20"/>
        </w:rPr>
        <w:t>405</w:t>
      </w:r>
      <w:r w:rsidR="00C524AA" w:rsidRPr="00C50A5C">
        <w:rPr>
          <w:sz w:val="20"/>
          <w:szCs w:val="20"/>
        </w:rPr>
        <w:t>)</w:t>
      </w:r>
    </w:p>
    <w:p w:rsidR="00C524AA" w:rsidRPr="003B5EFB" w:rsidRDefault="00C524AA" w:rsidP="00C524AA">
      <w:pPr>
        <w:widowControl w:val="0"/>
        <w:jc w:val="both"/>
        <w:rPr>
          <w:i/>
          <w:sz w:val="20"/>
          <w:szCs w:val="20"/>
        </w:rPr>
      </w:pPr>
    </w:p>
    <w:p w:rsidR="00C524AA" w:rsidRPr="00C612D0" w:rsidRDefault="003B5EFB" w:rsidP="00C524AA">
      <w:pPr>
        <w:pStyle w:val="ListParagraph"/>
        <w:widowControl w:val="0"/>
        <w:numPr>
          <w:ilvl w:val="0"/>
          <w:numId w:val="10"/>
        </w:numPr>
        <w:ind w:hanging="720"/>
        <w:jc w:val="both"/>
        <w:rPr>
          <w:sz w:val="20"/>
          <w:szCs w:val="20"/>
        </w:rPr>
      </w:pPr>
      <w:r w:rsidRPr="003B5EFB">
        <w:rPr>
          <w:i/>
          <w:sz w:val="20"/>
          <w:szCs w:val="20"/>
        </w:rPr>
        <w:t>Nicola Zefferino v. Meloche Monnex Insurance Company</w:t>
      </w:r>
      <w:r w:rsidRPr="003B5EFB">
        <w:rPr>
          <w:sz w:val="20"/>
          <w:szCs w:val="20"/>
        </w:rPr>
        <w:t xml:space="preserve"> (Ont.) (Civil) (By Leave)</w:t>
      </w:r>
      <w:r w:rsidRPr="00C612D0">
        <w:rPr>
          <w:sz w:val="20"/>
          <w:szCs w:val="20"/>
        </w:rPr>
        <w:t xml:space="preserve"> </w:t>
      </w:r>
      <w:r w:rsidR="00C524AA" w:rsidRPr="00C612D0">
        <w:rPr>
          <w:sz w:val="20"/>
          <w:szCs w:val="20"/>
        </w:rPr>
        <w:t>(3</w:t>
      </w:r>
      <w:r w:rsidR="00C524AA">
        <w:rPr>
          <w:sz w:val="20"/>
          <w:szCs w:val="20"/>
        </w:rPr>
        <w:t>5</w:t>
      </w:r>
      <w:r>
        <w:rPr>
          <w:sz w:val="20"/>
          <w:szCs w:val="20"/>
        </w:rPr>
        <w:t>333</w:t>
      </w:r>
      <w:r w:rsidR="00C524AA" w:rsidRPr="00C612D0">
        <w:rPr>
          <w:sz w:val="20"/>
          <w:szCs w:val="20"/>
        </w:rPr>
        <w:t>)</w:t>
      </w:r>
    </w:p>
    <w:p w:rsidR="00C524AA" w:rsidRDefault="00C524AA" w:rsidP="00C524AA">
      <w:pPr>
        <w:widowControl w:val="0"/>
        <w:jc w:val="both"/>
        <w:rPr>
          <w:sz w:val="20"/>
          <w:szCs w:val="20"/>
        </w:rPr>
      </w:pPr>
    </w:p>
    <w:p w:rsidR="003B5EFB" w:rsidRDefault="003B5EFB" w:rsidP="00C524AA">
      <w:pPr>
        <w:widowControl w:val="0"/>
        <w:jc w:val="both"/>
        <w:rPr>
          <w:sz w:val="20"/>
          <w:szCs w:val="20"/>
        </w:rPr>
      </w:pPr>
    </w:p>
    <w:p w:rsidR="003B5EFB" w:rsidRPr="00C50A5C" w:rsidRDefault="003B5EFB" w:rsidP="003B5EFB">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3B5EFB" w:rsidRPr="00C50A5C" w:rsidRDefault="003B5EFB" w:rsidP="003B5EFB">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3B5EFB" w:rsidRPr="003B5EFB" w:rsidRDefault="003B5EFB" w:rsidP="00C524AA">
      <w:pPr>
        <w:widowControl w:val="0"/>
        <w:jc w:val="both"/>
        <w:rPr>
          <w:sz w:val="20"/>
          <w:szCs w:val="20"/>
          <w:lang w:val="fr-CA"/>
        </w:rPr>
      </w:pPr>
    </w:p>
    <w:p w:rsidR="00C524AA" w:rsidRPr="00C50A5C" w:rsidRDefault="003B5EFB" w:rsidP="00C524AA">
      <w:pPr>
        <w:pStyle w:val="ListParagraph"/>
        <w:widowControl w:val="0"/>
        <w:numPr>
          <w:ilvl w:val="0"/>
          <w:numId w:val="10"/>
        </w:numPr>
        <w:ind w:hanging="720"/>
        <w:jc w:val="both"/>
        <w:rPr>
          <w:sz w:val="20"/>
          <w:szCs w:val="20"/>
        </w:rPr>
      </w:pPr>
      <w:r w:rsidRPr="003B5EFB">
        <w:rPr>
          <w:i/>
          <w:sz w:val="20"/>
          <w:szCs w:val="20"/>
        </w:rPr>
        <w:t>J.W. v. Her Majesty the Queen</w:t>
      </w:r>
      <w:r w:rsidRPr="003B5EFB">
        <w:rPr>
          <w:sz w:val="20"/>
          <w:szCs w:val="20"/>
        </w:rPr>
        <w:t xml:space="preserve"> (Ont.) (Crim.) (By Leave)</w:t>
      </w:r>
      <w:r w:rsidRPr="00940CAD">
        <w:rPr>
          <w:sz w:val="20"/>
          <w:szCs w:val="20"/>
        </w:rPr>
        <w:t xml:space="preserve"> </w:t>
      </w:r>
      <w:r w:rsidR="00C524AA" w:rsidRPr="00940CAD">
        <w:rPr>
          <w:sz w:val="20"/>
          <w:szCs w:val="20"/>
        </w:rPr>
        <w:t>(3</w:t>
      </w:r>
      <w:r w:rsidR="00C524AA">
        <w:rPr>
          <w:sz w:val="20"/>
          <w:szCs w:val="20"/>
        </w:rPr>
        <w:t>5</w:t>
      </w:r>
      <w:r>
        <w:rPr>
          <w:sz w:val="20"/>
          <w:szCs w:val="20"/>
        </w:rPr>
        <w:t>447</w:t>
      </w:r>
      <w:r w:rsidR="00C524AA" w:rsidRPr="00940CAD">
        <w:rPr>
          <w:sz w:val="20"/>
          <w:szCs w:val="20"/>
        </w:rPr>
        <w:t>)</w:t>
      </w:r>
    </w:p>
    <w:p w:rsidR="00C524AA" w:rsidRPr="00C50A5C" w:rsidRDefault="00C524AA" w:rsidP="00C524AA">
      <w:pPr>
        <w:widowControl w:val="0"/>
        <w:rPr>
          <w:sz w:val="20"/>
          <w:szCs w:val="20"/>
        </w:rPr>
      </w:pPr>
    </w:p>
    <w:p w:rsidR="00C524AA" w:rsidRPr="003B5EFB" w:rsidRDefault="003B5EFB" w:rsidP="00C524AA">
      <w:pPr>
        <w:pStyle w:val="ListParagraph"/>
        <w:widowControl w:val="0"/>
        <w:numPr>
          <w:ilvl w:val="0"/>
          <w:numId w:val="10"/>
        </w:numPr>
        <w:ind w:hanging="720"/>
        <w:jc w:val="both"/>
        <w:rPr>
          <w:sz w:val="20"/>
          <w:szCs w:val="20"/>
          <w:lang w:val="fr-CA"/>
        </w:rPr>
      </w:pPr>
      <w:r w:rsidRPr="003B5EFB">
        <w:rPr>
          <w:i/>
          <w:sz w:val="20"/>
          <w:szCs w:val="20"/>
          <w:lang w:val="fr-CA"/>
        </w:rPr>
        <w:t>Agence du revenu du Québec c. Pratt &amp; Whitney Canada Cie</w:t>
      </w:r>
      <w:r w:rsidRPr="003B5EFB">
        <w:rPr>
          <w:sz w:val="20"/>
          <w:szCs w:val="20"/>
          <w:lang w:val="fr-CA"/>
        </w:rPr>
        <w:t xml:space="preserve"> (Qc) (Civile) (Autorisation) </w:t>
      </w:r>
      <w:r w:rsidR="00C524AA" w:rsidRPr="003B5EFB">
        <w:rPr>
          <w:sz w:val="20"/>
          <w:szCs w:val="20"/>
          <w:lang w:val="fr-CA"/>
        </w:rPr>
        <w:t>(35</w:t>
      </w:r>
      <w:r w:rsidRPr="003B5EFB">
        <w:rPr>
          <w:sz w:val="20"/>
          <w:szCs w:val="20"/>
          <w:lang w:val="fr-CA"/>
        </w:rPr>
        <w:t>414</w:t>
      </w:r>
      <w:r w:rsidR="00C524AA" w:rsidRPr="003B5EFB">
        <w:rPr>
          <w:sz w:val="20"/>
          <w:szCs w:val="20"/>
          <w:lang w:val="fr-CA"/>
        </w:rPr>
        <w:t>)</w:t>
      </w:r>
    </w:p>
    <w:p w:rsidR="00C524AA" w:rsidRPr="003B5EFB" w:rsidRDefault="00C524AA" w:rsidP="00C524AA">
      <w:pPr>
        <w:widowControl w:val="0"/>
        <w:jc w:val="both"/>
        <w:rPr>
          <w:sz w:val="20"/>
          <w:szCs w:val="20"/>
          <w:lang w:val="fr-CA"/>
        </w:rPr>
      </w:pPr>
    </w:p>
    <w:p w:rsidR="00C524AA" w:rsidRPr="003B5EFB" w:rsidRDefault="00C524AA" w:rsidP="00C524AA">
      <w:pPr>
        <w:widowControl w:val="0"/>
        <w:jc w:val="both"/>
        <w:rPr>
          <w:sz w:val="20"/>
          <w:szCs w:val="20"/>
          <w:lang w:val="fr-CA"/>
        </w:rPr>
      </w:pPr>
    </w:p>
    <w:p w:rsidR="003B5EFB" w:rsidRPr="00C50A5C" w:rsidRDefault="003B5EFB" w:rsidP="003B5EFB">
      <w:pPr>
        <w:widowControl w:val="0"/>
        <w:jc w:val="center"/>
        <w:rPr>
          <w:b/>
          <w:sz w:val="20"/>
          <w:szCs w:val="20"/>
        </w:rPr>
      </w:pPr>
      <w:r w:rsidRPr="00C50A5C">
        <w:rPr>
          <w:b/>
          <w:sz w:val="20"/>
          <w:szCs w:val="20"/>
        </w:rPr>
        <w:t xml:space="preserve">CORAM: </w:t>
      </w:r>
      <w:r w:rsidR="00927A68">
        <w:rPr>
          <w:b/>
          <w:sz w:val="20"/>
          <w:szCs w:val="20"/>
        </w:rPr>
        <w:t>LeBel</w:t>
      </w:r>
      <w:r>
        <w:rPr>
          <w:b/>
          <w:sz w:val="20"/>
          <w:szCs w:val="20"/>
        </w:rPr>
        <w:t>,</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3B5EFB" w:rsidRPr="00C50A5C" w:rsidRDefault="003B5EFB" w:rsidP="003B5EFB">
      <w:pPr>
        <w:widowControl w:val="0"/>
        <w:jc w:val="center"/>
        <w:rPr>
          <w:b/>
          <w:sz w:val="20"/>
          <w:szCs w:val="20"/>
          <w:lang w:val="fr-CA"/>
        </w:rPr>
      </w:pPr>
      <w:r w:rsidRPr="00C50A5C">
        <w:rPr>
          <w:b/>
          <w:sz w:val="20"/>
          <w:szCs w:val="20"/>
          <w:lang w:val="fr-CA"/>
        </w:rPr>
        <w:t xml:space="preserve">Les juges </w:t>
      </w:r>
      <w:r w:rsidR="00927A68" w:rsidRPr="007C5A5B">
        <w:rPr>
          <w:b/>
          <w:sz w:val="20"/>
          <w:szCs w:val="20"/>
          <w:lang w:val="fr-CA"/>
        </w:rPr>
        <w:t>LeBel</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C524AA" w:rsidRPr="00C16CB3" w:rsidRDefault="00C524AA" w:rsidP="00C524AA">
      <w:pPr>
        <w:widowControl w:val="0"/>
        <w:jc w:val="both"/>
        <w:rPr>
          <w:sz w:val="20"/>
          <w:szCs w:val="20"/>
          <w:lang w:val="fr-CA"/>
        </w:rPr>
      </w:pPr>
    </w:p>
    <w:p w:rsidR="00C524AA" w:rsidRPr="00C612D0" w:rsidRDefault="003B5EFB" w:rsidP="00C524AA">
      <w:pPr>
        <w:pStyle w:val="ListParagraph"/>
        <w:widowControl w:val="0"/>
        <w:numPr>
          <w:ilvl w:val="0"/>
          <w:numId w:val="10"/>
        </w:numPr>
        <w:ind w:hanging="720"/>
        <w:jc w:val="both"/>
        <w:rPr>
          <w:sz w:val="20"/>
          <w:szCs w:val="20"/>
          <w:lang w:val="fr-CA"/>
        </w:rPr>
      </w:pPr>
      <w:r w:rsidRPr="003B5EFB">
        <w:rPr>
          <w:i/>
          <w:sz w:val="20"/>
          <w:szCs w:val="20"/>
        </w:rPr>
        <w:t>Tracy Dawn Smith v. Her Majesty the Queen</w:t>
      </w:r>
      <w:r w:rsidRPr="003B5EFB">
        <w:rPr>
          <w:sz w:val="20"/>
          <w:szCs w:val="20"/>
        </w:rPr>
        <w:t xml:space="preserve"> (B.C.) (Crim.) (By Leave)</w:t>
      </w:r>
      <w:r w:rsidRPr="00C612D0">
        <w:rPr>
          <w:sz w:val="20"/>
          <w:szCs w:val="20"/>
          <w:lang w:val="fr-CA"/>
        </w:rPr>
        <w:t xml:space="preserve"> </w:t>
      </w:r>
      <w:r w:rsidR="00C524AA" w:rsidRPr="00C612D0">
        <w:rPr>
          <w:sz w:val="20"/>
          <w:szCs w:val="20"/>
          <w:lang w:val="fr-CA"/>
        </w:rPr>
        <w:t>(3</w:t>
      </w:r>
      <w:r w:rsidR="00C524AA">
        <w:rPr>
          <w:sz w:val="20"/>
          <w:szCs w:val="20"/>
          <w:lang w:val="fr-CA"/>
        </w:rPr>
        <w:t>5</w:t>
      </w:r>
      <w:r>
        <w:rPr>
          <w:sz w:val="20"/>
          <w:szCs w:val="20"/>
          <w:lang w:val="fr-CA"/>
        </w:rPr>
        <w:t>416</w:t>
      </w:r>
      <w:r w:rsidR="00C524AA" w:rsidRPr="00C612D0">
        <w:rPr>
          <w:sz w:val="20"/>
          <w:szCs w:val="20"/>
          <w:lang w:val="fr-CA"/>
        </w:rPr>
        <w:t>)</w:t>
      </w:r>
    </w:p>
    <w:p w:rsidR="00C524AA" w:rsidRPr="00C612D0" w:rsidRDefault="00C524AA" w:rsidP="00C524AA">
      <w:pPr>
        <w:widowControl w:val="0"/>
        <w:rPr>
          <w:sz w:val="20"/>
          <w:szCs w:val="20"/>
          <w:lang w:val="fr-CA"/>
        </w:rPr>
      </w:pPr>
    </w:p>
    <w:p w:rsidR="00C524AA" w:rsidRPr="003B5EFB" w:rsidRDefault="003B5EFB" w:rsidP="00C524AA">
      <w:pPr>
        <w:pStyle w:val="ListParagraph"/>
        <w:widowControl w:val="0"/>
        <w:numPr>
          <w:ilvl w:val="0"/>
          <w:numId w:val="10"/>
        </w:numPr>
        <w:ind w:hanging="720"/>
        <w:jc w:val="both"/>
        <w:rPr>
          <w:sz w:val="20"/>
          <w:szCs w:val="20"/>
        </w:rPr>
      </w:pPr>
      <w:r w:rsidRPr="003B5EFB">
        <w:rPr>
          <w:i/>
          <w:sz w:val="20"/>
          <w:szCs w:val="20"/>
        </w:rPr>
        <w:t>1654776 Ontario Limited v. Sinclair Stewart et al.</w:t>
      </w:r>
      <w:r w:rsidRPr="003B5EFB">
        <w:rPr>
          <w:sz w:val="20"/>
          <w:szCs w:val="20"/>
        </w:rPr>
        <w:t xml:space="preserve"> (Ont.) (Civil) (By Leave) </w:t>
      </w:r>
      <w:r w:rsidR="00C524AA" w:rsidRPr="003B5EFB">
        <w:rPr>
          <w:sz w:val="20"/>
          <w:szCs w:val="20"/>
        </w:rPr>
        <w:t>(35</w:t>
      </w:r>
      <w:r w:rsidRPr="003B5EFB">
        <w:rPr>
          <w:sz w:val="20"/>
          <w:szCs w:val="20"/>
        </w:rPr>
        <w:t>394</w:t>
      </w:r>
      <w:r w:rsidR="00C524AA" w:rsidRPr="003B5EFB">
        <w:rPr>
          <w:sz w:val="20"/>
          <w:szCs w:val="20"/>
        </w:rPr>
        <w:t>)</w:t>
      </w:r>
    </w:p>
    <w:p w:rsidR="00C524AA" w:rsidRPr="003B5EFB" w:rsidRDefault="00C524AA" w:rsidP="00C524AA">
      <w:pPr>
        <w:widowControl w:val="0"/>
        <w:rPr>
          <w:sz w:val="20"/>
          <w:szCs w:val="20"/>
        </w:rPr>
      </w:pPr>
    </w:p>
    <w:p w:rsidR="00C524AA" w:rsidRDefault="005F2BA7" w:rsidP="00C524AA">
      <w:pPr>
        <w:widowControl w:val="0"/>
        <w:rPr>
          <w:sz w:val="20"/>
          <w:szCs w:val="20"/>
        </w:rPr>
      </w:pPr>
      <w:r w:rsidRPr="005F2BA7">
        <w:rPr>
          <w:sz w:val="20"/>
          <w:szCs w:val="20"/>
        </w:rPr>
        <w:pict>
          <v:rect id="_x0000_i1060" style="width:2in;height:1pt" o:hrpct="0" o:hralign="center" o:hrstd="t" o:hrnoshade="t" o:hr="t" fillcolor="black [3213]" stroked="f"/>
        </w:pict>
      </w:r>
    </w:p>
    <w:p w:rsidR="00C524AA" w:rsidRDefault="00C524AA" w:rsidP="00C524AA">
      <w:pPr>
        <w:widowControl w:val="0"/>
        <w:rPr>
          <w:sz w:val="20"/>
          <w:szCs w:val="20"/>
        </w:rPr>
      </w:pPr>
    </w:p>
    <w:p w:rsidR="003B5EFB" w:rsidRPr="003B5EFB" w:rsidRDefault="003B5EFB" w:rsidP="003B5EFB">
      <w:pPr>
        <w:widowControl w:val="0"/>
        <w:rPr>
          <w:sz w:val="20"/>
          <w:szCs w:val="20"/>
        </w:rPr>
      </w:pPr>
    </w:p>
    <w:p w:rsidR="00C524AA" w:rsidRDefault="00C524AA"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B86261"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332827" w:rsidRDefault="00332827" w:rsidP="000E2959">
      <w:pPr>
        <w:rPr>
          <w:b/>
          <w:sz w:val="20"/>
          <w:szCs w:val="20"/>
        </w:rPr>
      </w:pPr>
      <w:r>
        <w:rPr>
          <w:b/>
          <w:sz w:val="20"/>
          <w:szCs w:val="20"/>
        </w:rPr>
        <w:t>AUGUST 15, 2013 / LE 15 AOÛT 2013</w:t>
      </w:r>
    </w:p>
    <w:p w:rsidR="00332827" w:rsidRPr="00332827" w:rsidRDefault="00332827"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05DB8" w:rsidRPr="009B1157" w:rsidTr="00C173EE">
        <w:trPr>
          <w:cantSplit/>
        </w:trPr>
        <w:tc>
          <w:tcPr>
            <w:tcW w:w="1458" w:type="dxa"/>
          </w:tcPr>
          <w:p w:rsidR="00F05DB8" w:rsidRPr="009B1157" w:rsidRDefault="00F05DB8" w:rsidP="00C173EE">
            <w:pPr>
              <w:rPr>
                <w:sz w:val="20"/>
                <w:szCs w:val="20"/>
              </w:rPr>
            </w:pPr>
            <w:r w:rsidRPr="009B1157">
              <w:rPr>
                <w:rStyle w:val="SCCFileNumberChar"/>
                <w:sz w:val="20"/>
                <w:szCs w:val="20"/>
              </w:rPr>
              <w:t>35155</w:t>
            </w:r>
          </w:p>
          <w:p w:rsidR="00F05DB8" w:rsidRPr="009B1157" w:rsidRDefault="00F05DB8" w:rsidP="00C173EE">
            <w:pPr>
              <w:rPr>
                <w:b/>
                <w:sz w:val="20"/>
                <w:szCs w:val="20"/>
                <w:lang w:val="fr-CA"/>
              </w:rPr>
            </w:pPr>
          </w:p>
        </w:tc>
        <w:tc>
          <w:tcPr>
            <w:tcW w:w="8118" w:type="dxa"/>
          </w:tcPr>
          <w:p w:rsidR="00F05DB8" w:rsidRPr="009B1157" w:rsidRDefault="00F05DB8" w:rsidP="00C173EE">
            <w:pPr>
              <w:jc w:val="both"/>
              <w:rPr>
                <w:sz w:val="20"/>
                <w:szCs w:val="20"/>
              </w:rPr>
            </w:pPr>
            <w:r w:rsidRPr="00F05DB8">
              <w:rPr>
                <w:rStyle w:val="SCCLsocChar"/>
                <w:sz w:val="20"/>
                <w:szCs w:val="20"/>
                <w:lang w:val="en-CA"/>
              </w:rPr>
              <w:t>United Food and Commercial Workers, Local 1400 v. Wal-Mart Canada Corp., operating as Wal-Mart and Wal-Mart Canada, Gordon Button</w:t>
            </w:r>
            <w:r w:rsidR="009064BE">
              <w:rPr>
                <w:rStyle w:val="SCCLsocChar"/>
                <w:sz w:val="20"/>
                <w:szCs w:val="20"/>
                <w:lang w:val="en-CA"/>
              </w:rPr>
              <w:t xml:space="preserve"> and</w:t>
            </w:r>
            <w:r w:rsidRPr="00F05DB8">
              <w:rPr>
                <w:rStyle w:val="SCCLsocChar"/>
                <w:sz w:val="20"/>
                <w:szCs w:val="20"/>
                <w:lang w:val="en-CA"/>
              </w:rPr>
              <w:t xml:space="preserve"> Saskatchewan Labour Relations Board</w:t>
            </w:r>
            <w:r w:rsidRPr="009B1157">
              <w:rPr>
                <w:sz w:val="20"/>
                <w:szCs w:val="20"/>
              </w:rPr>
              <w:t xml:space="preserve"> (Sask.) (Civil) (By Leave)</w:t>
            </w:r>
          </w:p>
          <w:p w:rsidR="00F05DB8" w:rsidRPr="009B1157" w:rsidRDefault="00F05DB8" w:rsidP="00C173EE">
            <w:pPr>
              <w:jc w:val="both"/>
              <w:rPr>
                <w:sz w:val="20"/>
                <w:szCs w:val="20"/>
              </w:rPr>
            </w:pPr>
          </w:p>
        </w:tc>
      </w:tr>
      <w:tr w:rsidR="00F05DB8" w:rsidRPr="009B1157" w:rsidTr="00C173EE">
        <w:trPr>
          <w:cantSplit/>
        </w:trPr>
        <w:tc>
          <w:tcPr>
            <w:tcW w:w="1458" w:type="dxa"/>
          </w:tcPr>
          <w:p w:rsidR="00F05DB8" w:rsidRPr="009B1157" w:rsidRDefault="00F05DB8" w:rsidP="00C173EE">
            <w:pPr>
              <w:rPr>
                <w:sz w:val="20"/>
                <w:szCs w:val="20"/>
              </w:rPr>
            </w:pPr>
            <w:r w:rsidRPr="009B1157">
              <w:rPr>
                <w:sz w:val="20"/>
                <w:szCs w:val="20"/>
              </w:rPr>
              <w:t>Coram :</w:t>
            </w:r>
          </w:p>
        </w:tc>
        <w:tc>
          <w:tcPr>
            <w:tcW w:w="8118" w:type="dxa"/>
          </w:tcPr>
          <w:p w:rsidR="00F05DB8" w:rsidRPr="009B1157" w:rsidRDefault="00F05DB8" w:rsidP="00C173EE">
            <w:pPr>
              <w:rPr>
                <w:sz w:val="20"/>
                <w:szCs w:val="20"/>
              </w:rPr>
            </w:pPr>
            <w:r w:rsidRPr="00F05DB8">
              <w:rPr>
                <w:rStyle w:val="SCCCoramChar"/>
                <w:sz w:val="20"/>
                <w:szCs w:val="20"/>
                <w:lang w:val="en-CA"/>
              </w:rPr>
              <w:t>Fish, Rothstein and Moldaver JJ.</w:t>
            </w:r>
          </w:p>
          <w:p w:rsidR="00F05DB8" w:rsidRPr="009B1157" w:rsidRDefault="00F05DB8" w:rsidP="00C173EE">
            <w:pPr>
              <w:rPr>
                <w:sz w:val="20"/>
                <w:szCs w:val="20"/>
                <w:u w:val="single"/>
              </w:rPr>
            </w:pPr>
          </w:p>
        </w:tc>
      </w:tr>
      <w:tr w:rsidR="00F05DB8" w:rsidRPr="00B86261" w:rsidTr="00C173EE">
        <w:trPr>
          <w:cantSplit/>
        </w:trPr>
        <w:tc>
          <w:tcPr>
            <w:tcW w:w="9576" w:type="dxa"/>
            <w:gridSpan w:val="2"/>
          </w:tcPr>
          <w:p w:rsidR="00F05DB8" w:rsidRPr="009B1157" w:rsidRDefault="00F05DB8" w:rsidP="00C173EE">
            <w:pPr>
              <w:pStyle w:val="SCCShortJudgment"/>
              <w:rPr>
                <w:szCs w:val="20"/>
              </w:rPr>
            </w:pPr>
            <w:r w:rsidRPr="009B1157">
              <w:rPr>
                <w:szCs w:val="20"/>
              </w:rPr>
              <w:t>The application for leave to appeal from the judgment of the Court of Appeal for Saskatchewan, Number CACV 2181, 2012 SKCA 131, dated December 31, 2012, is dismissed with costs to the respondent Wal-Mart Canada Corp., operating as Wal-Mart and Wal-Mart Canada.</w:t>
            </w:r>
          </w:p>
          <w:p w:rsidR="00F05DB8" w:rsidRPr="009B1157" w:rsidRDefault="00F05DB8" w:rsidP="00C173EE">
            <w:pPr>
              <w:pStyle w:val="SCCShortJudgment"/>
              <w:ind w:firstLine="0"/>
              <w:rPr>
                <w:szCs w:val="20"/>
              </w:rPr>
            </w:pPr>
          </w:p>
          <w:p w:rsidR="00F05DB8" w:rsidRPr="009B1157" w:rsidRDefault="00F05DB8" w:rsidP="009064BE">
            <w:pPr>
              <w:pStyle w:val="SCCShortJudgment"/>
              <w:rPr>
                <w:szCs w:val="20"/>
                <w:lang w:val="fr-CA"/>
              </w:rPr>
            </w:pPr>
            <w:r w:rsidRPr="009B1157">
              <w:rPr>
                <w:szCs w:val="20"/>
                <w:lang w:val="fr-CA"/>
              </w:rPr>
              <w:t>La demande d’autorisation d’appel de l’arrêt de la Cour d’appel de la Saskatchewan, numéro CACV 2181, 2012 SKCA 131, daté du 31 décembre 2012, est rejetée avec dépens en faveur de l’intimée Wal-Mart Canada Corp., exerçant ses activités sous les noms de Wal-Mart et Wal-Mart Canada.</w:t>
            </w:r>
          </w:p>
        </w:tc>
      </w:tr>
    </w:tbl>
    <w:p w:rsidR="00332827" w:rsidRPr="0016547E" w:rsidRDefault="00332827" w:rsidP="00332827">
      <w:pPr>
        <w:rPr>
          <w:sz w:val="20"/>
          <w:szCs w:val="20"/>
          <w:lang w:val="fr-CA"/>
        </w:rPr>
      </w:pPr>
    </w:p>
    <w:p w:rsidR="00332827" w:rsidRPr="001B157C" w:rsidRDefault="00332827" w:rsidP="00332827">
      <w:pPr>
        <w:rPr>
          <w:sz w:val="20"/>
          <w:szCs w:val="20"/>
          <w:u w:val="single"/>
        </w:rPr>
      </w:pPr>
      <w:r w:rsidRPr="001B157C">
        <w:rPr>
          <w:sz w:val="20"/>
          <w:szCs w:val="20"/>
          <w:u w:val="single"/>
        </w:rPr>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8614E" w:rsidRPr="005143FF" w:rsidTr="0098614E">
        <w:tc>
          <w:tcPr>
            <w:tcW w:w="5000" w:type="pct"/>
            <w:gridSpan w:val="3"/>
          </w:tcPr>
          <w:p w:rsidR="0098614E" w:rsidRPr="005143FF" w:rsidRDefault="0098614E" w:rsidP="0098614E">
            <w:pPr>
              <w:jc w:val="both"/>
              <w:rPr>
                <w:rFonts w:eastAsia="Calibri"/>
                <w:sz w:val="20"/>
              </w:rPr>
            </w:pPr>
            <w:r w:rsidRPr="005143FF">
              <w:rPr>
                <w:rFonts w:eastAsia="Calibri"/>
                <w:sz w:val="20"/>
              </w:rPr>
              <w:t>Unions – Certification – Judicial review – Standard of review – Jurisdictional question – Whether review of an administrative tribunal’s refusal to exercise its mandatory authority and to determine an application properly before it is a “jurisdictional question” for the purposes of judicial review – Correct application of the reasonableness standard on judicial review of a labour relations board’s refusal or failure to decide applications before it – Whether appellate court is entitled to make inferences or findings of fact on an appeal from a judicial review.</w:t>
            </w:r>
          </w:p>
        </w:tc>
      </w:tr>
      <w:tr w:rsidR="0098614E" w:rsidRPr="005143FF" w:rsidTr="0098614E">
        <w:tc>
          <w:tcPr>
            <w:tcW w:w="5000" w:type="pct"/>
            <w:gridSpan w:val="3"/>
          </w:tcPr>
          <w:p w:rsidR="0098614E" w:rsidRPr="005143FF" w:rsidRDefault="0098614E" w:rsidP="0098614E">
            <w:pPr>
              <w:jc w:val="both"/>
              <w:rPr>
                <w:rFonts w:eastAsia="Calibri"/>
                <w:sz w:val="20"/>
              </w:rPr>
            </w:pPr>
          </w:p>
        </w:tc>
      </w:tr>
      <w:tr w:rsidR="0098614E" w:rsidRPr="005143FF" w:rsidTr="0098614E">
        <w:tc>
          <w:tcPr>
            <w:tcW w:w="5000" w:type="pct"/>
            <w:gridSpan w:val="3"/>
          </w:tcPr>
          <w:p w:rsidR="0098614E" w:rsidRPr="005143FF" w:rsidRDefault="0098614E" w:rsidP="0098614E">
            <w:pPr>
              <w:jc w:val="both"/>
              <w:rPr>
                <w:rFonts w:eastAsia="Calibri"/>
                <w:sz w:val="20"/>
              </w:rPr>
            </w:pPr>
            <w:r w:rsidRPr="005143FF">
              <w:rPr>
                <w:rFonts w:eastAsia="Calibri"/>
                <w:sz w:val="20"/>
              </w:rPr>
              <w:t xml:space="preserve">In April 2004, the United Food and Commercial Workers, Local 1400 (the “Union”), applied to be certified as the bargaining agent for the employees of Wal-Mart’s store in Weyburn, Saskatchewan. The Union was certified in December 2008. In the meantime, the legislature had passed and proclaimed </w:t>
            </w:r>
            <w:r w:rsidRPr="005143FF">
              <w:rPr>
                <w:rFonts w:eastAsia="Calibri"/>
                <w:i/>
                <w:sz w:val="20"/>
              </w:rPr>
              <w:t>The Trade Union Amendment Act, 2008</w:t>
            </w:r>
            <w:r w:rsidRPr="005143FF">
              <w:rPr>
                <w:rFonts w:eastAsia="Calibri"/>
                <w:sz w:val="20"/>
              </w:rPr>
              <w:t>, S.S. 2008, c. 26. Wal-Mart immediately applied for reconsideration and its obligation respecting disclosure of employee information was partially stayed. The Board rejected the reconsideration application.  On judicial review, the certification was quashed, but it was restored on appeal.</w:t>
            </w:r>
          </w:p>
          <w:p w:rsidR="0098614E" w:rsidRPr="005143FF" w:rsidRDefault="0098614E" w:rsidP="0098614E">
            <w:pPr>
              <w:jc w:val="both"/>
              <w:rPr>
                <w:rFonts w:eastAsia="Calibri"/>
                <w:sz w:val="20"/>
              </w:rPr>
            </w:pPr>
          </w:p>
          <w:p w:rsidR="0098614E" w:rsidRPr="005143FF" w:rsidRDefault="0098614E" w:rsidP="0098614E">
            <w:pPr>
              <w:jc w:val="both"/>
              <w:rPr>
                <w:rFonts w:eastAsia="Calibri"/>
                <w:sz w:val="20"/>
              </w:rPr>
            </w:pPr>
            <w:r w:rsidRPr="005143FF">
              <w:rPr>
                <w:rFonts w:eastAsia="Calibri"/>
                <w:sz w:val="20"/>
              </w:rPr>
              <w:t xml:space="preserve">Meanwhile, the Union made four applications concerning unfair labour practices, and an employee applied for an order decertifying the Union.  The applications were heard in a consolidated hearing.  To facilitate that hearing, the Board ordered that the employees hold a secret ballot on representation, but that the ballots not </w:t>
            </w:r>
            <w:proofErr w:type="gramStart"/>
            <w:r w:rsidRPr="005143FF">
              <w:rPr>
                <w:rFonts w:eastAsia="Calibri"/>
                <w:sz w:val="20"/>
              </w:rPr>
              <w:t>be</w:t>
            </w:r>
            <w:proofErr w:type="gramEnd"/>
            <w:r w:rsidRPr="005143FF">
              <w:rPr>
                <w:rFonts w:eastAsia="Calibri"/>
                <w:sz w:val="20"/>
              </w:rPr>
              <w:t xml:space="preserve"> counted until certain matters were settled.  The Board dismissed all of the unfair labour practice applications and allowed rescission application.  On the Union’s application for judicial review, the chambers judge quashed or dismissed the bulk of the Board’s orders.  The Court of Appeal dismissed the Union’s appeals on its applications and allowed Wal-Mart’s cross-appeal on rescission.</w:t>
            </w:r>
          </w:p>
          <w:p w:rsidR="0098614E" w:rsidRPr="005143FF" w:rsidRDefault="0098614E" w:rsidP="0098614E">
            <w:pPr>
              <w:jc w:val="both"/>
              <w:rPr>
                <w:rFonts w:eastAsia="Calibri"/>
                <w:sz w:val="20"/>
              </w:rPr>
            </w:pPr>
          </w:p>
        </w:tc>
      </w:tr>
      <w:tr w:rsidR="0098614E" w:rsidRPr="005143FF" w:rsidTr="0098614E">
        <w:tc>
          <w:tcPr>
            <w:tcW w:w="2427" w:type="pct"/>
          </w:tcPr>
          <w:p w:rsidR="0098614E" w:rsidRPr="005143FF" w:rsidRDefault="0098614E" w:rsidP="0098614E">
            <w:pPr>
              <w:jc w:val="both"/>
              <w:rPr>
                <w:rFonts w:eastAsia="Calibri"/>
                <w:sz w:val="20"/>
              </w:rPr>
            </w:pPr>
            <w:r w:rsidRPr="005143FF">
              <w:rPr>
                <w:rFonts w:eastAsia="Calibri"/>
                <w:sz w:val="20"/>
              </w:rPr>
              <w:t>September 29, 2011</w:t>
            </w:r>
          </w:p>
          <w:p w:rsidR="0098614E" w:rsidRPr="005143FF" w:rsidRDefault="0098614E" w:rsidP="0098614E">
            <w:pPr>
              <w:jc w:val="both"/>
              <w:rPr>
                <w:rFonts w:eastAsia="Calibri"/>
                <w:sz w:val="20"/>
              </w:rPr>
            </w:pPr>
            <w:r w:rsidRPr="005143FF">
              <w:rPr>
                <w:rFonts w:eastAsia="Calibri"/>
                <w:sz w:val="20"/>
              </w:rPr>
              <w:t>Court of Queen’s Bench of Saskatchewan</w:t>
            </w:r>
          </w:p>
          <w:p w:rsidR="0098614E" w:rsidRPr="005143FF" w:rsidRDefault="0098614E" w:rsidP="0098614E">
            <w:pPr>
              <w:jc w:val="both"/>
              <w:rPr>
                <w:rFonts w:eastAsia="Calibri"/>
                <w:sz w:val="20"/>
              </w:rPr>
            </w:pPr>
            <w:r w:rsidRPr="005143FF">
              <w:rPr>
                <w:rFonts w:eastAsia="Calibri"/>
                <w:sz w:val="20"/>
              </w:rPr>
              <w:t>(Mills J.)</w:t>
            </w:r>
          </w:p>
          <w:p w:rsidR="0098614E" w:rsidRPr="005143FF" w:rsidRDefault="0098614E" w:rsidP="0098614E">
            <w:pPr>
              <w:jc w:val="both"/>
              <w:rPr>
                <w:rFonts w:eastAsia="Calibri"/>
                <w:sz w:val="20"/>
              </w:rPr>
            </w:pPr>
            <w:r w:rsidRPr="005143FF">
              <w:rPr>
                <w:rFonts w:eastAsia="Calibri"/>
                <w:sz w:val="20"/>
              </w:rPr>
              <w:t>2011 SKQB 358</w:t>
            </w:r>
          </w:p>
        </w:tc>
        <w:tc>
          <w:tcPr>
            <w:tcW w:w="243" w:type="pct"/>
          </w:tcPr>
          <w:p w:rsidR="0098614E" w:rsidRPr="005143FF" w:rsidRDefault="0098614E" w:rsidP="0098614E">
            <w:pPr>
              <w:jc w:val="both"/>
              <w:rPr>
                <w:rFonts w:eastAsia="Calibri"/>
                <w:sz w:val="20"/>
              </w:rPr>
            </w:pPr>
          </w:p>
        </w:tc>
        <w:tc>
          <w:tcPr>
            <w:tcW w:w="2330" w:type="pct"/>
          </w:tcPr>
          <w:p w:rsidR="0098614E" w:rsidRPr="005143FF" w:rsidRDefault="0098614E" w:rsidP="0098614E">
            <w:pPr>
              <w:jc w:val="both"/>
              <w:rPr>
                <w:rFonts w:eastAsia="Calibri"/>
                <w:sz w:val="20"/>
              </w:rPr>
            </w:pPr>
            <w:r w:rsidRPr="005143FF">
              <w:rPr>
                <w:rFonts w:eastAsia="Calibri"/>
                <w:sz w:val="20"/>
              </w:rPr>
              <w:t xml:space="preserve">LRB File Nos. 096-04, 001-09, 184-10: Board’s orders quashed; matter returned for determination per fiat; </w:t>
            </w:r>
          </w:p>
          <w:p w:rsidR="0098614E" w:rsidRPr="005143FF" w:rsidRDefault="0098614E" w:rsidP="0098614E">
            <w:pPr>
              <w:jc w:val="both"/>
              <w:rPr>
                <w:rFonts w:eastAsia="Calibri"/>
                <w:sz w:val="20"/>
              </w:rPr>
            </w:pPr>
            <w:r w:rsidRPr="005143FF">
              <w:rPr>
                <w:rFonts w:eastAsia="Calibri"/>
                <w:sz w:val="20"/>
              </w:rPr>
              <w:t>LRB File Nos. 038-05, 166-10:  application for judicial review dismissed;</w:t>
            </w:r>
          </w:p>
          <w:p w:rsidR="0098614E" w:rsidRPr="005143FF" w:rsidRDefault="0098614E" w:rsidP="0098614E">
            <w:pPr>
              <w:jc w:val="both"/>
              <w:rPr>
                <w:rFonts w:eastAsia="Calibri"/>
                <w:sz w:val="20"/>
              </w:rPr>
            </w:pPr>
            <w:r w:rsidRPr="005143FF">
              <w:rPr>
                <w:rFonts w:eastAsia="Calibri"/>
                <w:sz w:val="20"/>
              </w:rPr>
              <w:t>LRB File No. 177-10: Board’s order quashed with respect to timing of vote; matter returned for determination per fiat.</w:t>
            </w:r>
          </w:p>
          <w:p w:rsidR="0098614E" w:rsidRPr="005143FF" w:rsidRDefault="0098614E" w:rsidP="0098614E">
            <w:pPr>
              <w:jc w:val="both"/>
              <w:rPr>
                <w:rFonts w:eastAsia="Calibri"/>
                <w:sz w:val="20"/>
              </w:rPr>
            </w:pPr>
          </w:p>
        </w:tc>
      </w:tr>
      <w:tr w:rsidR="0098614E" w:rsidRPr="005143FF" w:rsidTr="002B1AA0">
        <w:trPr>
          <w:cantSplit/>
        </w:trPr>
        <w:tc>
          <w:tcPr>
            <w:tcW w:w="2427" w:type="pct"/>
          </w:tcPr>
          <w:p w:rsidR="0098614E" w:rsidRPr="005143FF" w:rsidRDefault="0098614E" w:rsidP="0098614E">
            <w:pPr>
              <w:jc w:val="both"/>
              <w:rPr>
                <w:rFonts w:eastAsia="Calibri"/>
                <w:sz w:val="20"/>
              </w:rPr>
            </w:pPr>
            <w:r w:rsidRPr="005143FF">
              <w:rPr>
                <w:rFonts w:eastAsia="Calibri"/>
                <w:sz w:val="20"/>
              </w:rPr>
              <w:lastRenderedPageBreak/>
              <w:t>December 31, 2012</w:t>
            </w:r>
          </w:p>
          <w:p w:rsidR="0098614E" w:rsidRPr="005143FF" w:rsidRDefault="0098614E" w:rsidP="0098614E">
            <w:pPr>
              <w:jc w:val="both"/>
              <w:rPr>
                <w:rFonts w:eastAsia="Calibri"/>
                <w:sz w:val="20"/>
              </w:rPr>
            </w:pPr>
            <w:r w:rsidRPr="005143FF">
              <w:rPr>
                <w:rFonts w:eastAsia="Calibri"/>
                <w:sz w:val="20"/>
              </w:rPr>
              <w:t>Court of Appeal for Saskatchewan</w:t>
            </w:r>
          </w:p>
          <w:p w:rsidR="0098614E" w:rsidRPr="005143FF" w:rsidRDefault="0098614E" w:rsidP="0098614E">
            <w:pPr>
              <w:jc w:val="both"/>
              <w:rPr>
                <w:rFonts w:eastAsia="Calibri"/>
                <w:sz w:val="20"/>
              </w:rPr>
            </w:pPr>
            <w:r w:rsidRPr="005143FF">
              <w:rPr>
                <w:rFonts w:eastAsia="Calibri"/>
                <w:sz w:val="20"/>
              </w:rPr>
              <w:t>(Cameron, Gerwing and Jackson JJ.A.)</w:t>
            </w:r>
          </w:p>
          <w:p w:rsidR="0098614E" w:rsidRPr="005143FF" w:rsidRDefault="0098614E" w:rsidP="0098614E">
            <w:pPr>
              <w:jc w:val="both"/>
              <w:rPr>
                <w:rFonts w:eastAsia="Calibri"/>
                <w:sz w:val="20"/>
              </w:rPr>
            </w:pPr>
            <w:r w:rsidRPr="005143FF">
              <w:rPr>
                <w:rFonts w:eastAsia="Calibri"/>
                <w:sz w:val="20"/>
              </w:rPr>
              <w:t>2012 SKCA 131</w:t>
            </w:r>
          </w:p>
          <w:p w:rsidR="0098614E" w:rsidRPr="005143FF" w:rsidRDefault="0098614E" w:rsidP="0098614E">
            <w:pPr>
              <w:jc w:val="both"/>
              <w:rPr>
                <w:rFonts w:eastAsia="Calibri"/>
                <w:sz w:val="20"/>
              </w:rPr>
            </w:pPr>
          </w:p>
        </w:tc>
        <w:tc>
          <w:tcPr>
            <w:tcW w:w="243" w:type="pct"/>
          </w:tcPr>
          <w:p w:rsidR="0098614E" w:rsidRPr="005143FF" w:rsidRDefault="0098614E" w:rsidP="0098614E">
            <w:pPr>
              <w:jc w:val="both"/>
              <w:rPr>
                <w:rFonts w:eastAsia="Calibri"/>
                <w:sz w:val="20"/>
              </w:rPr>
            </w:pPr>
          </w:p>
        </w:tc>
        <w:tc>
          <w:tcPr>
            <w:tcW w:w="2330" w:type="pct"/>
          </w:tcPr>
          <w:p w:rsidR="0098614E" w:rsidRPr="005143FF" w:rsidRDefault="0098614E" w:rsidP="0098614E">
            <w:pPr>
              <w:jc w:val="both"/>
              <w:rPr>
                <w:rFonts w:eastAsia="Calibri"/>
                <w:sz w:val="20"/>
              </w:rPr>
            </w:pPr>
            <w:r w:rsidRPr="005143FF">
              <w:rPr>
                <w:rFonts w:eastAsia="Calibri"/>
                <w:sz w:val="20"/>
              </w:rPr>
              <w:t>Union’s appeals dismissed with costs to Wal-Mart; cross-appeal allowed with costs; no costs to the employee or the Labour Relations Board.</w:t>
            </w:r>
          </w:p>
          <w:p w:rsidR="0098614E" w:rsidRPr="005143FF" w:rsidRDefault="0098614E" w:rsidP="0098614E">
            <w:pPr>
              <w:jc w:val="both"/>
              <w:rPr>
                <w:rFonts w:eastAsia="Calibri"/>
                <w:sz w:val="20"/>
              </w:rPr>
            </w:pPr>
          </w:p>
        </w:tc>
      </w:tr>
      <w:tr w:rsidR="0098614E" w:rsidRPr="005143FF" w:rsidTr="002B1AA0">
        <w:trPr>
          <w:cantSplit/>
        </w:trPr>
        <w:tc>
          <w:tcPr>
            <w:tcW w:w="2427" w:type="pct"/>
          </w:tcPr>
          <w:p w:rsidR="0098614E" w:rsidRPr="005143FF" w:rsidRDefault="0098614E" w:rsidP="0098614E">
            <w:pPr>
              <w:jc w:val="both"/>
              <w:rPr>
                <w:rFonts w:eastAsia="Calibri"/>
                <w:sz w:val="20"/>
              </w:rPr>
            </w:pPr>
            <w:r w:rsidRPr="005143FF">
              <w:rPr>
                <w:rFonts w:eastAsia="Calibri"/>
                <w:sz w:val="20"/>
              </w:rPr>
              <w:t>February 26, 2013</w:t>
            </w:r>
          </w:p>
          <w:p w:rsidR="0098614E" w:rsidRPr="005143FF" w:rsidRDefault="0098614E" w:rsidP="0098614E">
            <w:pPr>
              <w:jc w:val="both"/>
              <w:rPr>
                <w:rFonts w:eastAsia="Calibri"/>
                <w:sz w:val="20"/>
              </w:rPr>
            </w:pPr>
            <w:r w:rsidRPr="005143FF">
              <w:rPr>
                <w:rFonts w:eastAsia="Calibri"/>
                <w:sz w:val="20"/>
              </w:rPr>
              <w:t>Supreme Court of Canada</w:t>
            </w:r>
          </w:p>
        </w:tc>
        <w:tc>
          <w:tcPr>
            <w:tcW w:w="243" w:type="pct"/>
          </w:tcPr>
          <w:p w:rsidR="0098614E" w:rsidRPr="005143FF" w:rsidRDefault="0098614E" w:rsidP="0098614E">
            <w:pPr>
              <w:jc w:val="both"/>
              <w:rPr>
                <w:rFonts w:eastAsia="Calibri"/>
                <w:sz w:val="20"/>
              </w:rPr>
            </w:pPr>
          </w:p>
        </w:tc>
        <w:tc>
          <w:tcPr>
            <w:tcW w:w="2330" w:type="pct"/>
          </w:tcPr>
          <w:p w:rsidR="0098614E" w:rsidRPr="005143FF" w:rsidRDefault="0098614E" w:rsidP="0098614E">
            <w:pPr>
              <w:jc w:val="both"/>
              <w:rPr>
                <w:rFonts w:eastAsia="Calibri"/>
                <w:sz w:val="20"/>
              </w:rPr>
            </w:pPr>
            <w:r w:rsidRPr="005143FF">
              <w:rPr>
                <w:rFonts w:eastAsia="Calibri"/>
                <w:sz w:val="20"/>
              </w:rPr>
              <w:t>Application for leave to appeal filed.</w:t>
            </w: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63" style="width:2in;height:1pt" o:hrpct="0" o:hralign="center" o:hrstd="t" o:hrnoshade="t" o:hr="t" fillcolor="black [3213]" stroked="f"/>
        </w:pict>
      </w:r>
    </w:p>
    <w:p w:rsidR="00332827" w:rsidRDefault="00332827" w:rsidP="00332827">
      <w:pPr>
        <w:rPr>
          <w:sz w:val="20"/>
          <w:szCs w:val="20"/>
        </w:rPr>
      </w:pPr>
    </w:p>
    <w:p w:rsidR="00332827" w:rsidRPr="001B157C" w:rsidRDefault="00332827" w:rsidP="00332827">
      <w:pPr>
        <w:rPr>
          <w:sz w:val="20"/>
          <w:szCs w:val="20"/>
          <w:u w:val="single"/>
          <w:lang w:val="fr-CA"/>
        </w:rPr>
      </w:pPr>
      <w:r w:rsidRPr="001B157C">
        <w:rPr>
          <w:sz w:val="20"/>
          <w:szCs w:val="20"/>
          <w:u w:val="single"/>
          <w:lang w:val="fr-CA"/>
        </w:rPr>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8614E" w:rsidRPr="00B86261" w:rsidTr="0098614E">
        <w:tc>
          <w:tcPr>
            <w:tcW w:w="5000" w:type="pct"/>
            <w:gridSpan w:val="3"/>
          </w:tcPr>
          <w:p w:rsidR="0098614E" w:rsidRPr="005143FF" w:rsidRDefault="0098614E" w:rsidP="0098614E">
            <w:pPr>
              <w:jc w:val="both"/>
              <w:rPr>
                <w:rFonts w:eastAsia="Calibri"/>
                <w:sz w:val="20"/>
                <w:lang w:val="fr-CA"/>
              </w:rPr>
            </w:pPr>
            <w:r w:rsidRPr="005143FF">
              <w:rPr>
                <w:rFonts w:eastAsia="Calibri"/>
                <w:sz w:val="20"/>
                <w:lang w:val="fr-CA"/>
              </w:rPr>
              <w:t>Syndicats – Accréditation – Contrôle judiciaire – Norme de contrôle – Question de compétence – L'examen du refus d’un tribunal administratif d'exercer son pouvoir obligatoire et de statuer sur une demande dont il est dûment saisi est-il une « question de compétence » aux fins du contrôle judiciaire? – Application correcte de la norme de la décision raisonnable lors du contrôle judiciaire du refus ou de l’omission d'un conseil des relations de travail de statuer sur des demandes dont il est saisi – Une cour d'appel peut-elle faire des inférences de fait ou tirer des conclusions de fait en appel d'un contrôle judiciaire?</w:t>
            </w:r>
          </w:p>
        </w:tc>
      </w:tr>
      <w:tr w:rsidR="0098614E" w:rsidRPr="00B86261" w:rsidTr="0098614E">
        <w:tc>
          <w:tcPr>
            <w:tcW w:w="5000" w:type="pct"/>
            <w:gridSpan w:val="3"/>
          </w:tcPr>
          <w:p w:rsidR="0098614E" w:rsidRPr="005143FF" w:rsidRDefault="0098614E" w:rsidP="0098614E">
            <w:pPr>
              <w:jc w:val="both"/>
              <w:rPr>
                <w:rFonts w:eastAsia="Calibri"/>
                <w:sz w:val="20"/>
                <w:lang w:val="fr-CA"/>
              </w:rPr>
            </w:pPr>
          </w:p>
        </w:tc>
      </w:tr>
      <w:tr w:rsidR="0098614E" w:rsidRPr="00B86261" w:rsidTr="0098614E">
        <w:tc>
          <w:tcPr>
            <w:tcW w:w="5000" w:type="pct"/>
            <w:gridSpan w:val="3"/>
          </w:tcPr>
          <w:p w:rsidR="0098614E" w:rsidRPr="005143FF" w:rsidRDefault="0098614E" w:rsidP="0098614E">
            <w:pPr>
              <w:jc w:val="both"/>
              <w:rPr>
                <w:rFonts w:eastAsia="Calibri"/>
                <w:sz w:val="20"/>
                <w:lang w:val="fr-CA"/>
              </w:rPr>
            </w:pPr>
            <w:r w:rsidRPr="005143FF">
              <w:rPr>
                <w:rFonts w:eastAsia="Calibri"/>
                <w:sz w:val="20"/>
                <w:lang w:val="fr-CA"/>
              </w:rPr>
              <w:t xml:space="preserve">En avril 2004, les Travailleurs et travailleuses unis de l'alimentation et du commerce, section locale 1400 (le « syndicat »), ont fait une demande d'accréditation comme agent négociateur des employés du magasin de Wal-Mart à Weyburn (Saskatchewan).  Le syndicat a obtenu son accréditation en décembre 2008.  Entre-temps, la législature avait adopté et édicté </w:t>
            </w:r>
            <w:r w:rsidRPr="005143FF">
              <w:rPr>
                <w:rFonts w:eastAsia="Calibri"/>
                <w:i/>
                <w:sz w:val="20"/>
                <w:lang w:val="fr-CA"/>
              </w:rPr>
              <w:t>The Trade Union Amendment Act, 2008</w:t>
            </w:r>
            <w:r w:rsidRPr="005143FF">
              <w:rPr>
                <w:rFonts w:eastAsia="Calibri"/>
                <w:sz w:val="20"/>
                <w:lang w:val="fr-CA"/>
              </w:rPr>
              <w:t>, S.S. 2008, ch. 26.  Wal-Mart a immédiatement fait une demande de réexamen et son obligation en ce qui a trait à la communication des renseignements sur les employés a été partiellement suspendue.  Le conseil a rejeté la demande de réexamen.  Lors du contrôle judiciaire, l'accréditation a été annulée, mais a été rétablie en appel.</w:t>
            </w:r>
          </w:p>
          <w:p w:rsidR="0098614E" w:rsidRPr="005143FF" w:rsidRDefault="0098614E" w:rsidP="0098614E">
            <w:pPr>
              <w:jc w:val="both"/>
              <w:rPr>
                <w:rFonts w:eastAsia="Calibri"/>
                <w:sz w:val="20"/>
                <w:lang w:val="fr-CA"/>
              </w:rPr>
            </w:pPr>
          </w:p>
          <w:p w:rsidR="0098614E" w:rsidRPr="005143FF" w:rsidRDefault="0098614E" w:rsidP="0098614E">
            <w:pPr>
              <w:jc w:val="both"/>
              <w:rPr>
                <w:rFonts w:eastAsia="Calibri"/>
                <w:sz w:val="20"/>
                <w:lang w:val="fr-CA"/>
              </w:rPr>
            </w:pPr>
            <w:r w:rsidRPr="005143FF">
              <w:rPr>
                <w:rFonts w:eastAsia="Calibri"/>
                <w:sz w:val="20"/>
                <w:lang w:val="fr-CA"/>
              </w:rPr>
              <w:t xml:space="preserve">Entre-temps, le syndicat a présenté quatre demandes portant sur des pratiques déloyales de travail et un employé </w:t>
            </w:r>
            <w:proofErr w:type="gramStart"/>
            <w:r w:rsidRPr="005143FF">
              <w:rPr>
                <w:rFonts w:eastAsia="Calibri"/>
                <w:sz w:val="20"/>
                <w:lang w:val="fr-CA"/>
              </w:rPr>
              <w:t>a</w:t>
            </w:r>
            <w:proofErr w:type="gramEnd"/>
            <w:r w:rsidRPr="005143FF">
              <w:rPr>
                <w:rFonts w:eastAsia="Calibri"/>
                <w:sz w:val="20"/>
                <w:lang w:val="fr-CA"/>
              </w:rPr>
              <w:t xml:space="preserve"> demandé une ordonnance de révocation de l'accréditation du syndicat. Les demandes ont été entendues ensemble à la même audience.  Pour faciliter cette audience, le conseil a ordonné aux employés de tenir un scrutin secret sur la représentation, mais les bulletins ne devaient pas dépouillés tant que certaines questions n'étaient pas réglées.  Le conseil a rejeté toutes les demandes portant sur des pratiques déloyales de travail et a accueilli la demande de révocation.  Saisi d'une demande de contrôle judiciaire présentée par le syndicat, le juge en chambre a annulé ou rejeté la plupart des ordonnances du conseil.  La Cour d'appel a rejeté les appels du syndicat relativement à ses demandes et a accueilli l'appel incident de Wal</w:t>
            </w:r>
            <w:r w:rsidRPr="005143FF">
              <w:rPr>
                <w:rFonts w:eastAsia="Calibri"/>
                <w:sz w:val="20"/>
                <w:lang w:val="fr-CA"/>
              </w:rPr>
              <w:noBreakHyphen/>
              <w:t>Mart sur la question de la révocation.</w:t>
            </w:r>
          </w:p>
          <w:p w:rsidR="0098614E" w:rsidRPr="005143FF" w:rsidRDefault="0098614E" w:rsidP="0098614E">
            <w:pPr>
              <w:jc w:val="both"/>
              <w:rPr>
                <w:rFonts w:eastAsia="Calibri"/>
                <w:sz w:val="20"/>
                <w:lang w:val="fr-CA"/>
              </w:rPr>
            </w:pPr>
          </w:p>
        </w:tc>
      </w:tr>
      <w:tr w:rsidR="0098614E" w:rsidRPr="00B86261" w:rsidTr="0098614E">
        <w:tc>
          <w:tcPr>
            <w:tcW w:w="2427" w:type="pct"/>
          </w:tcPr>
          <w:p w:rsidR="0098614E" w:rsidRPr="005143FF" w:rsidRDefault="0098614E" w:rsidP="0098614E">
            <w:pPr>
              <w:jc w:val="both"/>
              <w:rPr>
                <w:rFonts w:eastAsia="Calibri"/>
                <w:sz w:val="20"/>
                <w:lang w:val="fr-CA"/>
              </w:rPr>
            </w:pPr>
            <w:r w:rsidRPr="005143FF">
              <w:rPr>
                <w:rFonts w:eastAsia="Calibri"/>
                <w:sz w:val="20"/>
                <w:lang w:val="fr-CA"/>
              </w:rPr>
              <w:t>29 septembre 2011</w:t>
            </w:r>
          </w:p>
          <w:p w:rsidR="0098614E" w:rsidRPr="005143FF" w:rsidRDefault="0098614E" w:rsidP="0098614E">
            <w:pPr>
              <w:jc w:val="both"/>
              <w:rPr>
                <w:rFonts w:eastAsia="Calibri"/>
                <w:sz w:val="20"/>
                <w:lang w:val="fr-CA"/>
              </w:rPr>
            </w:pPr>
            <w:r w:rsidRPr="005143FF">
              <w:rPr>
                <w:rFonts w:eastAsia="Calibri"/>
                <w:sz w:val="20"/>
                <w:lang w:val="fr-CA"/>
              </w:rPr>
              <w:t xml:space="preserve">Cour du Banc de la Reine de la Saskatchewan </w:t>
            </w:r>
          </w:p>
          <w:p w:rsidR="0098614E" w:rsidRPr="005143FF" w:rsidRDefault="0098614E" w:rsidP="0098614E">
            <w:pPr>
              <w:jc w:val="both"/>
              <w:rPr>
                <w:rFonts w:eastAsia="Calibri"/>
                <w:sz w:val="20"/>
                <w:lang w:val="fr-CA"/>
              </w:rPr>
            </w:pPr>
            <w:r w:rsidRPr="005143FF">
              <w:rPr>
                <w:rFonts w:eastAsia="Calibri"/>
                <w:sz w:val="20"/>
                <w:lang w:val="fr-CA"/>
              </w:rPr>
              <w:t>(Juge Mills)</w:t>
            </w:r>
          </w:p>
          <w:p w:rsidR="0098614E" w:rsidRPr="005143FF" w:rsidRDefault="0098614E" w:rsidP="0098614E">
            <w:pPr>
              <w:jc w:val="both"/>
              <w:rPr>
                <w:rFonts w:eastAsia="Calibri"/>
                <w:sz w:val="20"/>
                <w:lang w:val="fr-CA"/>
              </w:rPr>
            </w:pPr>
            <w:r w:rsidRPr="005143FF">
              <w:rPr>
                <w:rFonts w:eastAsia="Calibri"/>
                <w:sz w:val="20"/>
                <w:lang w:val="fr-CA"/>
              </w:rPr>
              <w:t>2011 SKQB 358</w:t>
            </w:r>
          </w:p>
        </w:tc>
        <w:tc>
          <w:tcPr>
            <w:tcW w:w="243" w:type="pct"/>
          </w:tcPr>
          <w:p w:rsidR="0098614E" w:rsidRPr="005143FF" w:rsidRDefault="0098614E" w:rsidP="0098614E">
            <w:pPr>
              <w:jc w:val="both"/>
              <w:rPr>
                <w:rFonts w:eastAsia="Calibri"/>
                <w:sz w:val="20"/>
                <w:lang w:val="fr-CA"/>
              </w:rPr>
            </w:pPr>
          </w:p>
        </w:tc>
        <w:tc>
          <w:tcPr>
            <w:tcW w:w="2330" w:type="pct"/>
          </w:tcPr>
          <w:p w:rsidR="0098614E" w:rsidRPr="005143FF" w:rsidRDefault="0098614E" w:rsidP="0098614E">
            <w:pPr>
              <w:jc w:val="both"/>
              <w:rPr>
                <w:rFonts w:eastAsia="Calibri"/>
                <w:sz w:val="20"/>
                <w:lang w:val="fr-CA"/>
              </w:rPr>
            </w:pPr>
            <w:r w:rsidRPr="005143FF">
              <w:rPr>
                <w:rFonts w:eastAsia="Calibri"/>
                <w:sz w:val="20"/>
                <w:lang w:val="fr-CA"/>
              </w:rPr>
              <w:t>Dossiers du conseil des relations de travail n</w:t>
            </w:r>
            <w:r w:rsidRPr="005143FF">
              <w:rPr>
                <w:rFonts w:eastAsia="Calibri"/>
                <w:sz w:val="20"/>
                <w:vertAlign w:val="superscript"/>
                <w:lang w:val="fr-CA"/>
              </w:rPr>
              <w:t>os</w:t>
            </w:r>
            <w:r w:rsidRPr="005143FF">
              <w:rPr>
                <w:rFonts w:eastAsia="Calibri"/>
                <w:sz w:val="20"/>
                <w:lang w:val="fr-CA"/>
              </w:rPr>
              <w:t xml:space="preserve"> 096-04, 001-09, 184-10 : ordonnances du conseil annulées; affaire renvoyée pour qu'une nouvelle décision soit rendue conformément à l'ordonnance; </w:t>
            </w:r>
          </w:p>
          <w:p w:rsidR="0098614E" w:rsidRPr="005143FF" w:rsidRDefault="0098614E" w:rsidP="0098614E">
            <w:pPr>
              <w:jc w:val="both"/>
              <w:rPr>
                <w:rFonts w:eastAsia="Calibri"/>
                <w:sz w:val="20"/>
                <w:lang w:val="fr-CA"/>
              </w:rPr>
            </w:pPr>
            <w:r w:rsidRPr="005143FF">
              <w:rPr>
                <w:rFonts w:eastAsia="Calibri"/>
                <w:sz w:val="20"/>
                <w:lang w:val="fr-CA"/>
              </w:rPr>
              <w:t>Dossiers du conseil des relations de travail n</w:t>
            </w:r>
            <w:r w:rsidRPr="005143FF">
              <w:rPr>
                <w:rFonts w:eastAsia="Calibri"/>
                <w:sz w:val="20"/>
                <w:vertAlign w:val="superscript"/>
                <w:lang w:val="fr-CA"/>
              </w:rPr>
              <w:t>os</w:t>
            </w:r>
            <w:r w:rsidRPr="005143FF">
              <w:rPr>
                <w:rFonts w:eastAsia="Calibri"/>
                <w:sz w:val="20"/>
                <w:lang w:val="fr-CA"/>
              </w:rPr>
              <w:t> 038-05, 166-10 : demande de contrôle judiciaire, rejetée;</w:t>
            </w:r>
          </w:p>
          <w:p w:rsidR="0098614E" w:rsidRPr="005143FF" w:rsidRDefault="0098614E" w:rsidP="0098614E">
            <w:pPr>
              <w:jc w:val="both"/>
              <w:rPr>
                <w:rFonts w:eastAsia="Calibri"/>
                <w:sz w:val="20"/>
                <w:lang w:val="fr-CA"/>
              </w:rPr>
            </w:pPr>
            <w:r w:rsidRPr="005143FF">
              <w:rPr>
                <w:rFonts w:eastAsia="Calibri"/>
                <w:sz w:val="20"/>
                <w:lang w:val="fr-CA"/>
              </w:rPr>
              <w:t>Dossier du conseil des relations de travail n</w:t>
            </w:r>
            <w:r w:rsidRPr="005143FF">
              <w:rPr>
                <w:rFonts w:eastAsia="Calibri"/>
                <w:sz w:val="20"/>
                <w:vertAlign w:val="superscript"/>
                <w:lang w:val="fr-CA"/>
              </w:rPr>
              <w:t>o</w:t>
            </w:r>
            <w:r w:rsidRPr="005143FF">
              <w:rPr>
                <w:rFonts w:eastAsia="Calibri"/>
                <w:sz w:val="20"/>
                <w:lang w:val="fr-CA"/>
              </w:rPr>
              <w:t xml:space="preserve"> 177-10 : ordonnance du conseil annulée pour ce qui est du moment du vote; affaire renvoyée pour qu'une nouvelle décision soit rendue conformément à l'ordonnance.</w:t>
            </w:r>
          </w:p>
          <w:p w:rsidR="0098614E" w:rsidRPr="005143FF" w:rsidRDefault="0098614E" w:rsidP="0098614E">
            <w:pPr>
              <w:jc w:val="both"/>
              <w:rPr>
                <w:rFonts w:eastAsia="Calibri"/>
                <w:sz w:val="20"/>
                <w:lang w:val="fr-CA"/>
              </w:rPr>
            </w:pPr>
          </w:p>
        </w:tc>
      </w:tr>
      <w:tr w:rsidR="0098614E" w:rsidRPr="00B86261" w:rsidTr="002B1AA0">
        <w:trPr>
          <w:cantSplit/>
        </w:trPr>
        <w:tc>
          <w:tcPr>
            <w:tcW w:w="2427" w:type="pct"/>
          </w:tcPr>
          <w:p w:rsidR="0098614E" w:rsidRPr="005143FF" w:rsidRDefault="0098614E" w:rsidP="0098614E">
            <w:pPr>
              <w:jc w:val="both"/>
              <w:rPr>
                <w:rFonts w:eastAsia="Calibri"/>
                <w:sz w:val="20"/>
                <w:lang w:val="fr-CA"/>
              </w:rPr>
            </w:pPr>
            <w:r w:rsidRPr="005143FF">
              <w:rPr>
                <w:rFonts w:eastAsia="Calibri"/>
                <w:sz w:val="20"/>
                <w:lang w:val="fr-CA"/>
              </w:rPr>
              <w:lastRenderedPageBreak/>
              <w:t>31 décembre 2012</w:t>
            </w:r>
          </w:p>
          <w:p w:rsidR="0098614E" w:rsidRPr="005143FF" w:rsidRDefault="0098614E" w:rsidP="0098614E">
            <w:pPr>
              <w:jc w:val="both"/>
              <w:rPr>
                <w:rFonts w:eastAsia="Calibri"/>
                <w:sz w:val="20"/>
                <w:lang w:val="fr-CA"/>
              </w:rPr>
            </w:pPr>
            <w:r w:rsidRPr="005143FF">
              <w:rPr>
                <w:rFonts w:eastAsia="Calibri"/>
                <w:sz w:val="20"/>
                <w:lang w:val="fr-CA"/>
              </w:rPr>
              <w:t>Cour d'appel de la Saskatchewan</w:t>
            </w:r>
          </w:p>
          <w:p w:rsidR="0098614E" w:rsidRPr="005143FF" w:rsidRDefault="0098614E" w:rsidP="0098614E">
            <w:pPr>
              <w:jc w:val="both"/>
              <w:rPr>
                <w:rFonts w:eastAsia="Calibri"/>
                <w:sz w:val="20"/>
                <w:lang w:val="fr-CA"/>
              </w:rPr>
            </w:pPr>
            <w:r w:rsidRPr="005143FF">
              <w:rPr>
                <w:rFonts w:eastAsia="Calibri"/>
                <w:sz w:val="20"/>
                <w:lang w:val="fr-CA"/>
              </w:rPr>
              <w:t>(Juges Cameron, Gerwing et Jackson)</w:t>
            </w:r>
          </w:p>
          <w:p w:rsidR="0098614E" w:rsidRPr="005143FF" w:rsidRDefault="0098614E" w:rsidP="0098614E">
            <w:pPr>
              <w:jc w:val="both"/>
              <w:rPr>
                <w:rFonts w:eastAsia="Calibri"/>
                <w:sz w:val="20"/>
                <w:lang w:val="fr-CA"/>
              </w:rPr>
            </w:pPr>
            <w:r w:rsidRPr="005143FF">
              <w:rPr>
                <w:rFonts w:eastAsia="Calibri"/>
                <w:sz w:val="20"/>
                <w:lang w:val="fr-CA"/>
              </w:rPr>
              <w:t>2012 SKCA 131</w:t>
            </w:r>
          </w:p>
          <w:p w:rsidR="0098614E" w:rsidRPr="005143FF" w:rsidRDefault="0098614E" w:rsidP="0098614E">
            <w:pPr>
              <w:jc w:val="both"/>
              <w:rPr>
                <w:rFonts w:eastAsia="Calibri"/>
                <w:sz w:val="20"/>
                <w:lang w:val="fr-CA"/>
              </w:rPr>
            </w:pPr>
          </w:p>
        </w:tc>
        <w:tc>
          <w:tcPr>
            <w:tcW w:w="243" w:type="pct"/>
          </w:tcPr>
          <w:p w:rsidR="0098614E" w:rsidRPr="005143FF" w:rsidRDefault="0098614E" w:rsidP="0098614E">
            <w:pPr>
              <w:jc w:val="both"/>
              <w:rPr>
                <w:rFonts w:eastAsia="Calibri"/>
                <w:sz w:val="20"/>
                <w:lang w:val="fr-CA"/>
              </w:rPr>
            </w:pPr>
          </w:p>
        </w:tc>
        <w:tc>
          <w:tcPr>
            <w:tcW w:w="2330" w:type="pct"/>
          </w:tcPr>
          <w:p w:rsidR="0098614E" w:rsidRPr="005143FF" w:rsidRDefault="0098614E" w:rsidP="0098614E">
            <w:pPr>
              <w:jc w:val="both"/>
              <w:rPr>
                <w:rFonts w:eastAsia="Calibri"/>
                <w:sz w:val="20"/>
                <w:lang w:val="fr-CA"/>
              </w:rPr>
            </w:pPr>
            <w:r w:rsidRPr="005143FF">
              <w:rPr>
                <w:rFonts w:eastAsia="Calibri"/>
                <w:sz w:val="20"/>
                <w:lang w:val="fr-CA"/>
              </w:rPr>
              <w:t>Appel du syndicat rejeté avec dépens en faveur de Wal-Mart; appel incident accueilli avec dépens; sans frais pour l'employé et le conseil des relations de travail.</w:t>
            </w:r>
          </w:p>
          <w:p w:rsidR="0098614E" w:rsidRPr="005143FF" w:rsidRDefault="0098614E" w:rsidP="0098614E">
            <w:pPr>
              <w:jc w:val="both"/>
              <w:rPr>
                <w:rFonts w:eastAsia="Calibri"/>
                <w:sz w:val="20"/>
                <w:lang w:val="fr-CA"/>
              </w:rPr>
            </w:pPr>
          </w:p>
        </w:tc>
      </w:tr>
      <w:tr w:rsidR="0098614E" w:rsidRPr="005143FF" w:rsidTr="002B1AA0">
        <w:trPr>
          <w:cantSplit/>
        </w:trPr>
        <w:tc>
          <w:tcPr>
            <w:tcW w:w="2427" w:type="pct"/>
          </w:tcPr>
          <w:p w:rsidR="0098614E" w:rsidRPr="005143FF" w:rsidRDefault="0098614E" w:rsidP="0098614E">
            <w:pPr>
              <w:jc w:val="both"/>
              <w:rPr>
                <w:rFonts w:eastAsia="Calibri"/>
                <w:sz w:val="20"/>
                <w:lang w:val="fr-CA"/>
              </w:rPr>
            </w:pPr>
            <w:r w:rsidRPr="005143FF">
              <w:rPr>
                <w:rFonts w:eastAsia="Calibri"/>
                <w:sz w:val="20"/>
                <w:lang w:val="fr-CA"/>
              </w:rPr>
              <w:t>26 février 2013</w:t>
            </w:r>
          </w:p>
          <w:p w:rsidR="0098614E" w:rsidRPr="005143FF" w:rsidRDefault="0098614E" w:rsidP="0098614E">
            <w:pPr>
              <w:jc w:val="both"/>
              <w:rPr>
                <w:rFonts w:eastAsia="Calibri"/>
                <w:sz w:val="20"/>
                <w:lang w:val="fr-CA"/>
              </w:rPr>
            </w:pPr>
            <w:r w:rsidRPr="005143FF">
              <w:rPr>
                <w:rFonts w:eastAsia="Calibri"/>
                <w:sz w:val="20"/>
                <w:lang w:val="fr-CA"/>
              </w:rPr>
              <w:t>Cour suprême du Canada</w:t>
            </w:r>
          </w:p>
        </w:tc>
        <w:tc>
          <w:tcPr>
            <w:tcW w:w="243" w:type="pct"/>
          </w:tcPr>
          <w:p w:rsidR="0098614E" w:rsidRPr="005143FF" w:rsidRDefault="0098614E" w:rsidP="0098614E">
            <w:pPr>
              <w:jc w:val="both"/>
              <w:rPr>
                <w:rFonts w:eastAsia="Calibri"/>
                <w:sz w:val="20"/>
                <w:lang w:val="fr-CA"/>
              </w:rPr>
            </w:pPr>
          </w:p>
        </w:tc>
        <w:tc>
          <w:tcPr>
            <w:tcW w:w="2330" w:type="pct"/>
          </w:tcPr>
          <w:p w:rsidR="0098614E" w:rsidRPr="005143FF" w:rsidRDefault="0098614E" w:rsidP="0098614E">
            <w:pPr>
              <w:jc w:val="both"/>
              <w:rPr>
                <w:rFonts w:eastAsia="Calibri"/>
                <w:sz w:val="20"/>
                <w:lang w:val="fr-CA"/>
              </w:rPr>
            </w:pPr>
            <w:r w:rsidRPr="005143FF">
              <w:rPr>
                <w:rFonts w:eastAsia="Calibri"/>
                <w:sz w:val="20"/>
                <w:lang w:val="fr-CA"/>
              </w:rPr>
              <w:t>Demande d'autorisation d'appel, déposée.</w:t>
            </w:r>
          </w:p>
        </w:tc>
      </w:tr>
    </w:tbl>
    <w:p w:rsidR="00332827" w:rsidRDefault="00332827" w:rsidP="000E2959">
      <w:pPr>
        <w:rPr>
          <w:sz w:val="20"/>
          <w:szCs w:val="20"/>
        </w:rPr>
      </w:pPr>
    </w:p>
    <w:p w:rsidR="00332827" w:rsidRDefault="005F2BA7" w:rsidP="000E2959">
      <w:pPr>
        <w:rPr>
          <w:sz w:val="20"/>
          <w:szCs w:val="20"/>
        </w:rPr>
      </w:pPr>
      <w:r w:rsidRPr="005F2BA7">
        <w:rPr>
          <w:sz w:val="20"/>
          <w:szCs w:val="20"/>
          <w:lang w:val="fr-CA"/>
        </w:rPr>
        <w:pict>
          <v:rect id="_x0000_i1064" style="width:2in;height:1pt" o:hrpct="0" o:hralign="center" o:hrstd="t" o:hrnoshade="t" o:hr="t" fillcolor="black [3213]" stroked="f"/>
        </w:pict>
      </w:r>
    </w:p>
    <w:p w:rsidR="00332827" w:rsidRDefault="00332827"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05DB8" w:rsidRPr="009B1157" w:rsidTr="00C173EE">
        <w:trPr>
          <w:cantSplit/>
        </w:trPr>
        <w:tc>
          <w:tcPr>
            <w:tcW w:w="1458" w:type="dxa"/>
          </w:tcPr>
          <w:p w:rsidR="00F05DB8" w:rsidRPr="009B1157" w:rsidRDefault="00F05DB8" w:rsidP="00C173EE">
            <w:pPr>
              <w:rPr>
                <w:sz w:val="20"/>
                <w:szCs w:val="20"/>
              </w:rPr>
            </w:pPr>
            <w:r w:rsidRPr="009B1157">
              <w:rPr>
                <w:rStyle w:val="SCCFileNumberChar"/>
                <w:sz w:val="20"/>
                <w:szCs w:val="20"/>
              </w:rPr>
              <w:t>35293</w:t>
            </w:r>
          </w:p>
          <w:p w:rsidR="00F05DB8" w:rsidRPr="009B1157" w:rsidRDefault="00F05DB8" w:rsidP="00C173EE">
            <w:pPr>
              <w:rPr>
                <w:b/>
                <w:sz w:val="20"/>
                <w:szCs w:val="20"/>
                <w:lang w:val="fr-CA"/>
              </w:rPr>
            </w:pPr>
          </w:p>
        </w:tc>
        <w:tc>
          <w:tcPr>
            <w:tcW w:w="8118" w:type="dxa"/>
          </w:tcPr>
          <w:p w:rsidR="00F05DB8" w:rsidRPr="009B1157" w:rsidRDefault="00F05DB8" w:rsidP="00C173EE">
            <w:pPr>
              <w:jc w:val="both"/>
              <w:rPr>
                <w:sz w:val="20"/>
                <w:szCs w:val="20"/>
              </w:rPr>
            </w:pPr>
            <w:r w:rsidRPr="00F05DB8">
              <w:rPr>
                <w:rStyle w:val="SCCLsocChar"/>
                <w:sz w:val="20"/>
                <w:szCs w:val="20"/>
                <w:lang w:val="en-CA"/>
              </w:rPr>
              <w:t>Los Angeles Salad Company Inc.</w:t>
            </w:r>
            <w:r w:rsidR="007D55A1">
              <w:rPr>
                <w:rStyle w:val="SCCLsocChar"/>
                <w:sz w:val="20"/>
                <w:szCs w:val="20"/>
                <w:lang w:val="en-CA"/>
              </w:rPr>
              <w:t xml:space="preserve"> and</w:t>
            </w:r>
            <w:r w:rsidRPr="00F05DB8">
              <w:rPr>
                <w:rStyle w:val="SCCLsocChar"/>
                <w:sz w:val="20"/>
                <w:szCs w:val="20"/>
                <w:lang w:val="en-CA"/>
              </w:rPr>
              <w:t xml:space="preserve"> Los Angeles Salad International Inc. v. Canadian Food Inspection Agency</w:t>
            </w:r>
            <w:r w:rsidR="007D55A1">
              <w:rPr>
                <w:rStyle w:val="SCCLsocChar"/>
                <w:sz w:val="20"/>
                <w:szCs w:val="20"/>
                <w:lang w:val="en-CA"/>
              </w:rPr>
              <w:t xml:space="preserve"> and</w:t>
            </w:r>
            <w:r w:rsidRPr="00F05DB8">
              <w:rPr>
                <w:rStyle w:val="SCCLsocChar"/>
                <w:sz w:val="20"/>
                <w:szCs w:val="20"/>
                <w:lang w:val="en-CA"/>
              </w:rPr>
              <w:t xml:space="preserve"> Her Majesty the Queen in Right of Canada as represented by the Attorney General of Canada</w:t>
            </w:r>
            <w:r w:rsidRPr="009B1157">
              <w:rPr>
                <w:sz w:val="20"/>
                <w:szCs w:val="20"/>
              </w:rPr>
              <w:t xml:space="preserve"> (B.C.) (Civil) (By Leave)</w:t>
            </w:r>
          </w:p>
          <w:p w:rsidR="00F05DB8" w:rsidRPr="009B1157" w:rsidRDefault="00F05DB8" w:rsidP="00C173EE">
            <w:pPr>
              <w:jc w:val="both"/>
              <w:rPr>
                <w:sz w:val="20"/>
                <w:szCs w:val="20"/>
              </w:rPr>
            </w:pPr>
          </w:p>
        </w:tc>
      </w:tr>
      <w:tr w:rsidR="00F05DB8" w:rsidRPr="009B1157" w:rsidTr="00C173EE">
        <w:trPr>
          <w:cantSplit/>
        </w:trPr>
        <w:tc>
          <w:tcPr>
            <w:tcW w:w="1458" w:type="dxa"/>
          </w:tcPr>
          <w:p w:rsidR="00F05DB8" w:rsidRPr="009B1157" w:rsidRDefault="00F05DB8" w:rsidP="00C173EE">
            <w:pPr>
              <w:rPr>
                <w:sz w:val="20"/>
                <w:szCs w:val="20"/>
              </w:rPr>
            </w:pPr>
            <w:r w:rsidRPr="009B1157">
              <w:rPr>
                <w:sz w:val="20"/>
                <w:szCs w:val="20"/>
              </w:rPr>
              <w:t>Coram :</w:t>
            </w:r>
          </w:p>
        </w:tc>
        <w:tc>
          <w:tcPr>
            <w:tcW w:w="8118" w:type="dxa"/>
          </w:tcPr>
          <w:p w:rsidR="00F05DB8" w:rsidRPr="009B1157" w:rsidRDefault="00F05DB8" w:rsidP="00C173EE">
            <w:pPr>
              <w:rPr>
                <w:sz w:val="20"/>
                <w:szCs w:val="20"/>
              </w:rPr>
            </w:pPr>
            <w:r w:rsidRPr="00F05DB8">
              <w:rPr>
                <w:rStyle w:val="SCCCoramChar"/>
                <w:sz w:val="20"/>
                <w:szCs w:val="20"/>
                <w:lang w:val="en-CA"/>
              </w:rPr>
              <w:t>Fish, Rothstein and Moldaver JJ.</w:t>
            </w:r>
          </w:p>
          <w:p w:rsidR="00F05DB8" w:rsidRPr="009B1157" w:rsidRDefault="00F05DB8" w:rsidP="00C173EE">
            <w:pPr>
              <w:rPr>
                <w:sz w:val="20"/>
                <w:szCs w:val="20"/>
                <w:u w:val="single"/>
              </w:rPr>
            </w:pPr>
          </w:p>
        </w:tc>
      </w:tr>
      <w:tr w:rsidR="00F05DB8" w:rsidRPr="00B86261" w:rsidTr="00C173EE">
        <w:trPr>
          <w:cantSplit/>
        </w:trPr>
        <w:tc>
          <w:tcPr>
            <w:tcW w:w="9576" w:type="dxa"/>
            <w:gridSpan w:val="2"/>
          </w:tcPr>
          <w:p w:rsidR="00F05DB8" w:rsidRPr="009B1157" w:rsidRDefault="00F05DB8" w:rsidP="00C173EE">
            <w:pPr>
              <w:pStyle w:val="SCCShortJudgment"/>
              <w:rPr>
                <w:szCs w:val="20"/>
              </w:rPr>
            </w:pPr>
            <w:r w:rsidRPr="009B1157">
              <w:rPr>
                <w:szCs w:val="20"/>
              </w:rPr>
              <w:t>The application for leave to appeal from the judgment of the Court of Appeal for British Columbia (Vancouver), Number CA039160, 2013 BCCA 34, dated January 29, 2013, is dismissed with costs.</w:t>
            </w:r>
          </w:p>
          <w:p w:rsidR="00F05DB8" w:rsidRPr="009B1157" w:rsidRDefault="00F05DB8" w:rsidP="00C173EE">
            <w:pPr>
              <w:pStyle w:val="SCCShortJudgment"/>
              <w:ind w:firstLine="0"/>
              <w:rPr>
                <w:szCs w:val="20"/>
              </w:rPr>
            </w:pPr>
          </w:p>
          <w:p w:rsidR="00F05DB8" w:rsidRPr="009B1157" w:rsidRDefault="00F05DB8" w:rsidP="00C173EE">
            <w:pPr>
              <w:pStyle w:val="SCCShortJudgment"/>
              <w:rPr>
                <w:szCs w:val="20"/>
                <w:lang w:val="fr-CA"/>
              </w:rPr>
            </w:pPr>
            <w:r w:rsidRPr="009B1157">
              <w:rPr>
                <w:szCs w:val="20"/>
                <w:lang w:val="fr-CA"/>
              </w:rPr>
              <w:t>La demande d’autorisation d’appel de l’arrêt de la Cour d’appel de la Colombie-Britannique (Vancouver), numéro CA039160, 2013 BCCA 34, daté du 29 janvier 2013, est rejetée avec dépens.</w:t>
            </w:r>
          </w:p>
        </w:tc>
      </w:tr>
    </w:tbl>
    <w:p w:rsidR="00332827" w:rsidRPr="0016547E" w:rsidRDefault="00332827" w:rsidP="00332827">
      <w:pPr>
        <w:rPr>
          <w:sz w:val="20"/>
          <w:szCs w:val="20"/>
          <w:lang w:val="fr-CA"/>
        </w:rPr>
      </w:pPr>
    </w:p>
    <w:p w:rsidR="00332827" w:rsidRPr="001B157C" w:rsidRDefault="00332827" w:rsidP="00332827">
      <w:pPr>
        <w:rPr>
          <w:sz w:val="20"/>
          <w:szCs w:val="20"/>
          <w:u w:val="single"/>
        </w:rPr>
      </w:pPr>
      <w:r w:rsidRPr="001B157C">
        <w:rPr>
          <w:sz w:val="20"/>
          <w:szCs w:val="20"/>
          <w:u w:val="single"/>
        </w:rPr>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8614E" w:rsidRPr="005143FF" w:rsidTr="0098614E">
        <w:tc>
          <w:tcPr>
            <w:tcW w:w="5000" w:type="pct"/>
            <w:gridSpan w:val="3"/>
          </w:tcPr>
          <w:p w:rsidR="0098614E" w:rsidRPr="005143FF" w:rsidRDefault="0098614E" w:rsidP="0098614E">
            <w:pPr>
              <w:jc w:val="both"/>
              <w:rPr>
                <w:rFonts w:eastAsia="Calibri"/>
                <w:sz w:val="20"/>
              </w:rPr>
            </w:pPr>
            <w:r w:rsidRPr="005143FF">
              <w:rPr>
                <w:rFonts w:eastAsia="Calibri"/>
                <w:sz w:val="20"/>
              </w:rPr>
              <w:t xml:space="preserve">Torts – Negligence – Duty of care – Negligent investigation – Legislation – Interpretation – Motion to strike statement of claim as disclosing no reasonable cause of action – Whether a duty of care exists – Did the Court of Appeal err in concluding that it was plain and obvious, on the facts as pleaded, that the legislation did not contemplate or recognize a private law duty of care – Did the Court of Appeal err in concluding that it was plain and obvious, on the facts as pleaded, that there was no relationship of proximity between the parties – Did the Court of Appeal err in concluding that the applicants’ claim did not fall within a recognized category namely, negligent inspection or investigation – Did the Court of Appeal err in concluding that even if a </w:t>
            </w:r>
            <w:r w:rsidRPr="005143FF">
              <w:rPr>
                <w:rFonts w:eastAsia="Calibri"/>
                <w:i/>
                <w:sz w:val="20"/>
              </w:rPr>
              <w:t>prima facie</w:t>
            </w:r>
            <w:r w:rsidRPr="005143FF">
              <w:rPr>
                <w:rFonts w:eastAsia="Calibri"/>
                <w:sz w:val="20"/>
              </w:rPr>
              <w:t xml:space="preserve"> duty of care arises, its existence is negated by indeterminate liability.</w:t>
            </w:r>
          </w:p>
        </w:tc>
      </w:tr>
      <w:tr w:rsidR="0098614E" w:rsidRPr="005143FF" w:rsidTr="0098614E">
        <w:tc>
          <w:tcPr>
            <w:tcW w:w="5000" w:type="pct"/>
            <w:gridSpan w:val="3"/>
          </w:tcPr>
          <w:p w:rsidR="0098614E" w:rsidRPr="005143FF" w:rsidRDefault="0098614E" w:rsidP="0098614E">
            <w:pPr>
              <w:jc w:val="both"/>
              <w:rPr>
                <w:rFonts w:eastAsia="Calibri"/>
                <w:sz w:val="20"/>
              </w:rPr>
            </w:pPr>
          </w:p>
        </w:tc>
      </w:tr>
      <w:tr w:rsidR="0098614E" w:rsidRPr="005143FF" w:rsidTr="0098614E">
        <w:tc>
          <w:tcPr>
            <w:tcW w:w="5000" w:type="pct"/>
            <w:gridSpan w:val="3"/>
          </w:tcPr>
          <w:p w:rsidR="0098614E" w:rsidRPr="005143FF" w:rsidRDefault="0098614E" w:rsidP="0098614E">
            <w:pPr>
              <w:jc w:val="both"/>
              <w:rPr>
                <w:rFonts w:eastAsia="Calibri"/>
                <w:sz w:val="20"/>
              </w:rPr>
            </w:pPr>
            <w:r w:rsidRPr="005143FF">
              <w:rPr>
                <w:rFonts w:eastAsia="Calibri"/>
                <w:sz w:val="20"/>
              </w:rPr>
              <w:t>The applicants distribute carrots for retail sale by Costco in Canada and the United States.  In 2007, four cases of Shigella were reported in the Calgary area.  It is a disease that can be caused by contaminated food, and a possible source was the applicants’ carrots, which may have been eaten by the persons affected.  The Canadian Food Inspection Agency, the Public Health Agency of Canada and Health Canada (the “regulatory agencies”) enforce compliance with regulations prohibiting the sale of contaminated food in Canada.  Their investigation into the reported illnesses led to the voluntary recall of the baby carrots in Canada and the United States, causing economic loss to the applicants.  The applicants brought an action claiming negligence by the regulatory agencies in the way they conducted the investigation, tested the food products and communicated warnings to the public and American regulators.  They alleged a breach of the duty of care owed them by the regulatory agencies and claimed compensation for their losses.</w:t>
            </w:r>
          </w:p>
          <w:p w:rsidR="0098614E" w:rsidRPr="005143FF" w:rsidRDefault="0098614E" w:rsidP="0098614E">
            <w:pPr>
              <w:jc w:val="both"/>
              <w:rPr>
                <w:rFonts w:eastAsia="Calibri"/>
                <w:sz w:val="20"/>
              </w:rPr>
            </w:pPr>
          </w:p>
          <w:p w:rsidR="0098614E" w:rsidRPr="005143FF" w:rsidRDefault="0098614E" w:rsidP="0098614E">
            <w:pPr>
              <w:jc w:val="both"/>
              <w:rPr>
                <w:rFonts w:eastAsia="Calibri"/>
                <w:sz w:val="20"/>
              </w:rPr>
            </w:pPr>
            <w:r w:rsidRPr="005143FF">
              <w:rPr>
                <w:rFonts w:eastAsia="Calibri"/>
                <w:sz w:val="20"/>
              </w:rPr>
              <w:t>The Supreme Court of British Columbia granted an application by the regulatory agencies for an order striking the applicants’ statement of claim and dismissing the action on the basis that it was plain and obvious that the regulatory agencies did not owe the suppliers a private law duty of care.  An appeal to the Court of Appeal for British Columbia was dismissed.</w:t>
            </w:r>
          </w:p>
          <w:p w:rsidR="0098614E" w:rsidRPr="005143FF" w:rsidRDefault="0098614E" w:rsidP="0098614E">
            <w:pPr>
              <w:jc w:val="both"/>
              <w:rPr>
                <w:rFonts w:eastAsia="Calibri"/>
                <w:sz w:val="20"/>
              </w:rPr>
            </w:pPr>
          </w:p>
        </w:tc>
      </w:tr>
      <w:tr w:rsidR="0098614E" w:rsidRPr="005143FF" w:rsidTr="002B1AA0">
        <w:trPr>
          <w:cantSplit/>
        </w:trPr>
        <w:tc>
          <w:tcPr>
            <w:tcW w:w="2427" w:type="pct"/>
          </w:tcPr>
          <w:p w:rsidR="0098614E" w:rsidRPr="005143FF" w:rsidRDefault="0098614E" w:rsidP="0098614E">
            <w:pPr>
              <w:jc w:val="both"/>
              <w:rPr>
                <w:rFonts w:eastAsia="Calibri"/>
                <w:sz w:val="20"/>
              </w:rPr>
            </w:pPr>
            <w:r w:rsidRPr="005143FF">
              <w:rPr>
                <w:rFonts w:eastAsia="Calibri"/>
                <w:sz w:val="20"/>
              </w:rPr>
              <w:lastRenderedPageBreak/>
              <w:t>June 15, 2011</w:t>
            </w:r>
          </w:p>
          <w:p w:rsidR="0098614E" w:rsidRPr="005143FF" w:rsidRDefault="0098614E" w:rsidP="0098614E">
            <w:pPr>
              <w:jc w:val="both"/>
              <w:rPr>
                <w:rFonts w:eastAsia="Calibri"/>
                <w:sz w:val="20"/>
              </w:rPr>
            </w:pPr>
            <w:r w:rsidRPr="005143FF">
              <w:rPr>
                <w:rFonts w:eastAsia="Calibri"/>
                <w:sz w:val="20"/>
              </w:rPr>
              <w:t>Supreme Court of British Columbia</w:t>
            </w:r>
          </w:p>
          <w:p w:rsidR="0098614E" w:rsidRPr="005143FF" w:rsidRDefault="0098614E" w:rsidP="0098614E">
            <w:pPr>
              <w:jc w:val="both"/>
              <w:rPr>
                <w:rFonts w:eastAsia="Calibri"/>
                <w:sz w:val="20"/>
              </w:rPr>
            </w:pPr>
            <w:r w:rsidRPr="005143FF">
              <w:rPr>
                <w:rFonts w:eastAsia="Calibri"/>
                <w:sz w:val="20"/>
              </w:rPr>
              <w:t>(Harris J.)</w:t>
            </w:r>
          </w:p>
          <w:p w:rsidR="0098614E" w:rsidRPr="005143FF" w:rsidRDefault="0098614E" w:rsidP="0098614E">
            <w:pPr>
              <w:jc w:val="both"/>
              <w:rPr>
                <w:rFonts w:eastAsia="Calibri"/>
                <w:sz w:val="20"/>
              </w:rPr>
            </w:pPr>
            <w:r w:rsidRPr="005143FF">
              <w:rPr>
                <w:rFonts w:eastAsia="Calibri"/>
                <w:sz w:val="20"/>
              </w:rPr>
              <w:t>2011 BCSC 779; S076293</w:t>
            </w:r>
          </w:p>
          <w:p w:rsidR="0098614E" w:rsidRPr="005143FF" w:rsidRDefault="0098614E" w:rsidP="0098614E">
            <w:pPr>
              <w:jc w:val="both"/>
              <w:rPr>
                <w:rFonts w:eastAsia="Calibri"/>
                <w:sz w:val="20"/>
              </w:rPr>
            </w:pPr>
          </w:p>
        </w:tc>
        <w:tc>
          <w:tcPr>
            <w:tcW w:w="243" w:type="pct"/>
          </w:tcPr>
          <w:p w:rsidR="0098614E" w:rsidRPr="005143FF" w:rsidRDefault="0098614E" w:rsidP="0098614E">
            <w:pPr>
              <w:jc w:val="both"/>
              <w:rPr>
                <w:rFonts w:eastAsia="Calibri"/>
                <w:sz w:val="20"/>
              </w:rPr>
            </w:pPr>
          </w:p>
        </w:tc>
        <w:tc>
          <w:tcPr>
            <w:tcW w:w="2330" w:type="pct"/>
          </w:tcPr>
          <w:p w:rsidR="0098614E" w:rsidRPr="005143FF" w:rsidRDefault="0098614E" w:rsidP="0098614E">
            <w:pPr>
              <w:jc w:val="both"/>
              <w:rPr>
                <w:rFonts w:eastAsia="Calibri"/>
                <w:sz w:val="20"/>
              </w:rPr>
            </w:pPr>
            <w:r w:rsidRPr="005143FF">
              <w:rPr>
                <w:rFonts w:eastAsia="Calibri"/>
                <w:sz w:val="20"/>
              </w:rPr>
              <w:t>Respondents’ application to strike statement of claim and dismiss the applicants’ action, granted</w:t>
            </w:r>
          </w:p>
          <w:p w:rsidR="0098614E" w:rsidRPr="005143FF" w:rsidRDefault="0098614E" w:rsidP="0098614E">
            <w:pPr>
              <w:jc w:val="both"/>
              <w:rPr>
                <w:rFonts w:eastAsia="Calibri"/>
                <w:sz w:val="20"/>
              </w:rPr>
            </w:pPr>
          </w:p>
        </w:tc>
      </w:tr>
      <w:tr w:rsidR="0098614E" w:rsidRPr="005143FF" w:rsidTr="002B1AA0">
        <w:trPr>
          <w:cantSplit/>
        </w:trPr>
        <w:tc>
          <w:tcPr>
            <w:tcW w:w="2427" w:type="pct"/>
          </w:tcPr>
          <w:p w:rsidR="0098614E" w:rsidRPr="005143FF" w:rsidRDefault="0098614E" w:rsidP="0098614E">
            <w:pPr>
              <w:jc w:val="both"/>
              <w:rPr>
                <w:rFonts w:eastAsia="Calibri"/>
                <w:sz w:val="20"/>
              </w:rPr>
            </w:pPr>
            <w:r w:rsidRPr="005143FF">
              <w:rPr>
                <w:rFonts w:eastAsia="Calibri"/>
                <w:sz w:val="20"/>
              </w:rPr>
              <w:t>January 29, 2013</w:t>
            </w:r>
          </w:p>
          <w:p w:rsidR="0098614E" w:rsidRPr="005143FF" w:rsidRDefault="0098614E" w:rsidP="0098614E">
            <w:pPr>
              <w:jc w:val="both"/>
              <w:rPr>
                <w:rFonts w:eastAsia="Calibri"/>
                <w:sz w:val="20"/>
              </w:rPr>
            </w:pPr>
            <w:r w:rsidRPr="005143FF">
              <w:rPr>
                <w:rFonts w:eastAsia="Calibri"/>
                <w:sz w:val="20"/>
              </w:rPr>
              <w:t xml:space="preserve">Court of Appeal for British Columbia </w:t>
            </w:r>
          </w:p>
          <w:p w:rsidR="0098614E" w:rsidRPr="005143FF" w:rsidRDefault="0098614E" w:rsidP="0098614E">
            <w:pPr>
              <w:jc w:val="both"/>
              <w:rPr>
                <w:rFonts w:eastAsia="Calibri"/>
                <w:sz w:val="20"/>
              </w:rPr>
            </w:pPr>
            <w:r w:rsidRPr="005143FF">
              <w:rPr>
                <w:rFonts w:eastAsia="Calibri"/>
                <w:sz w:val="20"/>
              </w:rPr>
              <w:t>(Vancouver)</w:t>
            </w:r>
          </w:p>
          <w:p w:rsidR="0098614E" w:rsidRPr="005143FF" w:rsidRDefault="0098614E" w:rsidP="0098614E">
            <w:pPr>
              <w:jc w:val="both"/>
              <w:rPr>
                <w:rFonts w:eastAsia="Calibri"/>
                <w:sz w:val="20"/>
              </w:rPr>
            </w:pPr>
            <w:r w:rsidRPr="005143FF">
              <w:rPr>
                <w:rFonts w:eastAsia="Calibri"/>
                <w:sz w:val="20"/>
              </w:rPr>
              <w:t>(Smith, Frankel and Bennett JJ.A.)</w:t>
            </w:r>
          </w:p>
          <w:p w:rsidR="0098614E" w:rsidRPr="005143FF" w:rsidRDefault="0098614E" w:rsidP="0098614E">
            <w:pPr>
              <w:jc w:val="both"/>
              <w:rPr>
                <w:rFonts w:eastAsia="Calibri"/>
                <w:sz w:val="20"/>
              </w:rPr>
            </w:pPr>
            <w:r w:rsidRPr="005143FF">
              <w:rPr>
                <w:rFonts w:eastAsia="Calibri"/>
                <w:sz w:val="20"/>
              </w:rPr>
              <w:t>2013 BCCA 34; CA039160</w:t>
            </w:r>
          </w:p>
          <w:p w:rsidR="0098614E" w:rsidRPr="005143FF" w:rsidRDefault="0098614E" w:rsidP="0098614E">
            <w:pPr>
              <w:jc w:val="both"/>
              <w:rPr>
                <w:rFonts w:eastAsia="Calibri"/>
                <w:sz w:val="20"/>
              </w:rPr>
            </w:pPr>
          </w:p>
        </w:tc>
        <w:tc>
          <w:tcPr>
            <w:tcW w:w="243" w:type="pct"/>
          </w:tcPr>
          <w:p w:rsidR="0098614E" w:rsidRPr="005143FF" w:rsidRDefault="0098614E" w:rsidP="0098614E">
            <w:pPr>
              <w:jc w:val="both"/>
              <w:rPr>
                <w:rFonts w:eastAsia="Calibri"/>
                <w:sz w:val="20"/>
              </w:rPr>
            </w:pPr>
          </w:p>
        </w:tc>
        <w:tc>
          <w:tcPr>
            <w:tcW w:w="2330" w:type="pct"/>
          </w:tcPr>
          <w:p w:rsidR="0098614E" w:rsidRPr="005143FF" w:rsidRDefault="0098614E" w:rsidP="0098614E">
            <w:pPr>
              <w:jc w:val="both"/>
              <w:rPr>
                <w:rFonts w:eastAsia="Calibri"/>
                <w:sz w:val="20"/>
              </w:rPr>
            </w:pPr>
            <w:r w:rsidRPr="005143FF">
              <w:rPr>
                <w:rFonts w:eastAsia="Calibri"/>
                <w:sz w:val="20"/>
              </w:rPr>
              <w:t>Appeal dismissed</w:t>
            </w:r>
          </w:p>
          <w:p w:rsidR="0098614E" w:rsidRPr="005143FF" w:rsidRDefault="0098614E" w:rsidP="0098614E">
            <w:pPr>
              <w:jc w:val="both"/>
              <w:rPr>
                <w:rFonts w:eastAsia="Calibri"/>
                <w:sz w:val="20"/>
              </w:rPr>
            </w:pPr>
          </w:p>
        </w:tc>
      </w:tr>
      <w:tr w:rsidR="0098614E" w:rsidRPr="005143FF" w:rsidTr="002B1AA0">
        <w:trPr>
          <w:cantSplit/>
        </w:trPr>
        <w:tc>
          <w:tcPr>
            <w:tcW w:w="2427" w:type="pct"/>
          </w:tcPr>
          <w:p w:rsidR="0098614E" w:rsidRPr="005143FF" w:rsidRDefault="0098614E" w:rsidP="0098614E">
            <w:pPr>
              <w:jc w:val="both"/>
              <w:rPr>
                <w:rFonts w:eastAsia="Calibri"/>
                <w:sz w:val="20"/>
              </w:rPr>
            </w:pPr>
            <w:r w:rsidRPr="005143FF">
              <w:rPr>
                <w:rFonts w:eastAsia="Calibri"/>
                <w:sz w:val="20"/>
              </w:rPr>
              <w:t>March 28, 2013</w:t>
            </w:r>
          </w:p>
          <w:p w:rsidR="0098614E" w:rsidRPr="005143FF" w:rsidRDefault="0098614E" w:rsidP="0098614E">
            <w:pPr>
              <w:jc w:val="both"/>
              <w:rPr>
                <w:rFonts w:eastAsia="Calibri"/>
                <w:sz w:val="20"/>
              </w:rPr>
            </w:pPr>
            <w:r w:rsidRPr="005143FF">
              <w:rPr>
                <w:rFonts w:eastAsia="Calibri"/>
                <w:sz w:val="20"/>
              </w:rPr>
              <w:t>Supreme Court of Canada</w:t>
            </w:r>
          </w:p>
        </w:tc>
        <w:tc>
          <w:tcPr>
            <w:tcW w:w="243" w:type="pct"/>
          </w:tcPr>
          <w:p w:rsidR="0098614E" w:rsidRPr="005143FF" w:rsidRDefault="0098614E" w:rsidP="0098614E">
            <w:pPr>
              <w:jc w:val="both"/>
              <w:rPr>
                <w:rFonts w:eastAsia="Calibri"/>
                <w:sz w:val="20"/>
              </w:rPr>
            </w:pPr>
          </w:p>
        </w:tc>
        <w:tc>
          <w:tcPr>
            <w:tcW w:w="2330" w:type="pct"/>
          </w:tcPr>
          <w:p w:rsidR="0098614E" w:rsidRPr="005143FF" w:rsidRDefault="0098614E" w:rsidP="0098614E">
            <w:pPr>
              <w:jc w:val="both"/>
              <w:rPr>
                <w:rFonts w:eastAsia="Calibri"/>
                <w:sz w:val="20"/>
              </w:rPr>
            </w:pPr>
            <w:r w:rsidRPr="005143FF">
              <w:rPr>
                <w:rFonts w:eastAsia="Calibri"/>
                <w:sz w:val="20"/>
              </w:rPr>
              <w:t>Application for leave to appeal filed</w:t>
            </w:r>
          </w:p>
          <w:p w:rsidR="0098614E" w:rsidRPr="005143FF" w:rsidRDefault="0098614E" w:rsidP="0098614E">
            <w:pPr>
              <w:jc w:val="both"/>
              <w:rPr>
                <w:rFonts w:eastAsia="Calibri"/>
                <w:sz w:val="20"/>
              </w:rPr>
            </w:pP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65" style="width:2in;height:1pt" o:hrpct="0" o:hralign="center" o:hrstd="t" o:hrnoshade="t" o:hr="t" fillcolor="black [3213]" stroked="f"/>
        </w:pict>
      </w:r>
    </w:p>
    <w:p w:rsidR="00332827" w:rsidRDefault="00332827" w:rsidP="00332827">
      <w:pPr>
        <w:rPr>
          <w:sz w:val="20"/>
          <w:szCs w:val="20"/>
        </w:rPr>
      </w:pPr>
    </w:p>
    <w:p w:rsidR="00332827" w:rsidRPr="001B157C" w:rsidRDefault="00332827" w:rsidP="00332827">
      <w:pPr>
        <w:rPr>
          <w:sz w:val="20"/>
          <w:szCs w:val="20"/>
          <w:u w:val="single"/>
          <w:lang w:val="fr-CA"/>
        </w:rPr>
      </w:pPr>
      <w:r w:rsidRPr="001B157C">
        <w:rPr>
          <w:sz w:val="20"/>
          <w:szCs w:val="20"/>
          <w:u w:val="single"/>
          <w:lang w:val="fr-CA"/>
        </w:rPr>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8614E" w:rsidRPr="00B86261" w:rsidTr="0098614E">
        <w:tc>
          <w:tcPr>
            <w:tcW w:w="5000" w:type="pct"/>
            <w:gridSpan w:val="3"/>
          </w:tcPr>
          <w:p w:rsidR="0098614E" w:rsidRPr="005143FF" w:rsidRDefault="0098614E" w:rsidP="0098614E">
            <w:pPr>
              <w:jc w:val="both"/>
              <w:rPr>
                <w:rFonts w:eastAsia="Calibri"/>
                <w:sz w:val="20"/>
                <w:lang w:val="fr-CA"/>
              </w:rPr>
            </w:pPr>
            <w:r w:rsidRPr="005143FF">
              <w:rPr>
                <w:rFonts w:eastAsia="Calibri"/>
                <w:sz w:val="20"/>
                <w:lang w:val="fr-CA"/>
              </w:rPr>
              <w:t xml:space="preserve">Responsabilité délictuelle – Négligence – Obligation de diligence – Enquête négligente – Législation – Interprétation – Requête visant à faire radier la déclaration au motif qu'elle ne révélait aucune cause raisonnable d'action – Existe-t-il une obligation de diligence? – La Cour d'appel a-t-elle eu tort de conclure qu'il était évident et manifeste, compte tenu des faits allégués, que la législation ne prévoyait ni ne reconnaissait aucune obligation de diligence de droit privé? – La Cour d'appel a-t-elle eu tort de conclure qu'il était évident et manifeste, compte tenu des faits allégués, qu'il n'existait entre les parties aucun lien de proximité? – La Cour d'appel a-t-elle eu tort de conclure que l'allégation des demanderesses ne correspondait pas à une catégorie reconnue, à savoir l'inspection ou l'enquête négligentes? – La Cour d'appel a-t-elle eu tort de conclure que même si une obligation de diligence </w:t>
            </w:r>
            <w:r w:rsidRPr="005143FF">
              <w:rPr>
                <w:rFonts w:eastAsia="Calibri"/>
                <w:i/>
                <w:sz w:val="20"/>
                <w:lang w:val="fr-CA"/>
              </w:rPr>
              <w:t>prima facie</w:t>
            </w:r>
            <w:r w:rsidRPr="005143FF">
              <w:rPr>
                <w:rFonts w:eastAsia="Calibri"/>
                <w:sz w:val="20"/>
                <w:lang w:val="fr-CA"/>
              </w:rPr>
              <w:t xml:space="preserve"> prend naissance, son existence est écartée par la responsabilité indéterminée?</w:t>
            </w:r>
          </w:p>
        </w:tc>
      </w:tr>
      <w:tr w:rsidR="0098614E" w:rsidRPr="00B86261" w:rsidTr="0098614E">
        <w:tc>
          <w:tcPr>
            <w:tcW w:w="5000" w:type="pct"/>
            <w:gridSpan w:val="3"/>
          </w:tcPr>
          <w:p w:rsidR="0098614E" w:rsidRPr="005143FF" w:rsidRDefault="0098614E" w:rsidP="0098614E">
            <w:pPr>
              <w:jc w:val="both"/>
              <w:rPr>
                <w:rFonts w:eastAsia="Calibri"/>
                <w:sz w:val="20"/>
                <w:lang w:val="fr-CA"/>
              </w:rPr>
            </w:pPr>
          </w:p>
        </w:tc>
      </w:tr>
      <w:tr w:rsidR="0098614E" w:rsidRPr="00B86261" w:rsidTr="0098614E">
        <w:tc>
          <w:tcPr>
            <w:tcW w:w="5000" w:type="pct"/>
            <w:gridSpan w:val="3"/>
          </w:tcPr>
          <w:p w:rsidR="0098614E" w:rsidRPr="005143FF" w:rsidRDefault="0098614E" w:rsidP="0098614E">
            <w:pPr>
              <w:jc w:val="both"/>
              <w:rPr>
                <w:rFonts w:eastAsia="Calibri"/>
                <w:sz w:val="20"/>
                <w:lang w:val="fr-CA"/>
              </w:rPr>
            </w:pPr>
            <w:r w:rsidRPr="005143FF">
              <w:rPr>
                <w:rFonts w:eastAsia="Calibri"/>
                <w:sz w:val="20"/>
                <w:lang w:val="fr-CA"/>
              </w:rPr>
              <w:t>Les demanderesses font la distribution de carottes pour la vente au détail par Costco au Canada et aux États-Unis.  En 2007, quatre cas de Shigella ont été déclarés dans la région de Calgary.   Il s'agit d'une maladie qui peut être causée par les aliments contaminés et les carottes des demanderesses – qui ont pu être mangées par les personnes touchées – ont pu en avoir été la source.  L'Agence canadienne d'inspection des aliments, l'Agence de la santé publique du Canada et Santé Canada (les « organismes de réglementation ») veillent à l'application des règlements interdisant la vente d'aliments contaminés au Canada.  Leur enquête sur les maladies déclarées a mené au rappel volontaire des mini-carottes au Canada et aux États-Unis, ce qui a fait subir un préjudice financier aux demanderesses.  Les demanderesses ont intenté une action, alléguant que les organismes de réglementation avaient fait preuve de négligence dans la façon dont ils avaient mené l'enquête, testé les produits alimentaires et communiqué les mises en garde au public et aux organismes de réglementation américains.  Elles ont allégué un manquement à l'obligation de diligence que les organismes de réglementation avaient envers elles et ont demandé d'être indemnisées de leurs pertes.</w:t>
            </w:r>
          </w:p>
          <w:p w:rsidR="0098614E" w:rsidRPr="005143FF" w:rsidRDefault="0098614E" w:rsidP="0098614E">
            <w:pPr>
              <w:jc w:val="both"/>
              <w:rPr>
                <w:rFonts w:eastAsia="Calibri"/>
                <w:sz w:val="20"/>
                <w:lang w:val="fr-CA"/>
              </w:rPr>
            </w:pPr>
          </w:p>
          <w:p w:rsidR="0098614E" w:rsidRPr="005143FF" w:rsidRDefault="0098614E" w:rsidP="0098614E">
            <w:pPr>
              <w:jc w:val="both"/>
              <w:rPr>
                <w:rFonts w:eastAsia="Calibri"/>
                <w:sz w:val="20"/>
                <w:lang w:val="fr-CA"/>
              </w:rPr>
            </w:pPr>
            <w:r w:rsidRPr="005143FF">
              <w:rPr>
                <w:rFonts w:eastAsia="Calibri"/>
                <w:sz w:val="20"/>
                <w:lang w:val="fr-CA"/>
              </w:rPr>
              <w:t>La Cour suprême de la Colombie-Britannique a accueilli une requête des organismes de réglementation visant à obtenir une ordonnance radiant la déclaration des demanderesses et rejetant l'action au motif qu'il était évident et manifeste que les organismes de réglementation n'avaient envers les fournisseurs aucune obligation de diligence de droit privé.  Un appel à la Cour d'appel de la Colombie-Britannique a été rejeté.</w:t>
            </w:r>
          </w:p>
          <w:p w:rsidR="0098614E" w:rsidRPr="005143FF" w:rsidRDefault="0098614E" w:rsidP="0098614E">
            <w:pPr>
              <w:jc w:val="both"/>
              <w:rPr>
                <w:rFonts w:eastAsia="Calibri"/>
                <w:sz w:val="20"/>
                <w:lang w:val="fr-CA"/>
              </w:rPr>
            </w:pPr>
          </w:p>
        </w:tc>
      </w:tr>
      <w:tr w:rsidR="0098614E" w:rsidRPr="00B86261" w:rsidTr="0098614E">
        <w:tc>
          <w:tcPr>
            <w:tcW w:w="2427" w:type="pct"/>
          </w:tcPr>
          <w:p w:rsidR="0098614E" w:rsidRPr="005143FF" w:rsidRDefault="0098614E" w:rsidP="0098614E">
            <w:pPr>
              <w:jc w:val="both"/>
              <w:rPr>
                <w:rFonts w:eastAsia="Calibri"/>
                <w:sz w:val="20"/>
                <w:lang w:val="fr-CA"/>
              </w:rPr>
            </w:pPr>
            <w:r w:rsidRPr="005143FF">
              <w:rPr>
                <w:rFonts w:eastAsia="Calibri"/>
                <w:sz w:val="20"/>
                <w:lang w:val="fr-CA"/>
              </w:rPr>
              <w:t>15 juin 2011</w:t>
            </w:r>
          </w:p>
          <w:p w:rsidR="0098614E" w:rsidRPr="005143FF" w:rsidRDefault="0098614E" w:rsidP="0098614E">
            <w:pPr>
              <w:jc w:val="both"/>
              <w:rPr>
                <w:rFonts w:eastAsia="Calibri"/>
                <w:sz w:val="20"/>
                <w:lang w:val="fr-CA"/>
              </w:rPr>
            </w:pPr>
            <w:r w:rsidRPr="005143FF">
              <w:rPr>
                <w:rFonts w:eastAsia="Calibri"/>
                <w:sz w:val="20"/>
                <w:lang w:val="fr-CA"/>
              </w:rPr>
              <w:t xml:space="preserve">Cour suprême de la Colombie-Britannique </w:t>
            </w:r>
          </w:p>
          <w:p w:rsidR="0098614E" w:rsidRPr="005143FF" w:rsidRDefault="0098614E" w:rsidP="0098614E">
            <w:pPr>
              <w:jc w:val="both"/>
              <w:rPr>
                <w:rFonts w:eastAsia="Calibri"/>
                <w:sz w:val="20"/>
                <w:lang w:val="fr-CA"/>
              </w:rPr>
            </w:pPr>
            <w:r w:rsidRPr="005143FF">
              <w:rPr>
                <w:rFonts w:eastAsia="Calibri"/>
                <w:sz w:val="20"/>
                <w:lang w:val="fr-CA"/>
              </w:rPr>
              <w:t>(Juge Harris)</w:t>
            </w:r>
          </w:p>
          <w:p w:rsidR="0098614E" w:rsidRPr="005143FF" w:rsidRDefault="0098614E" w:rsidP="0098614E">
            <w:pPr>
              <w:jc w:val="both"/>
              <w:rPr>
                <w:rFonts w:eastAsia="Calibri"/>
                <w:sz w:val="20"/>
                <w:lang w:val="fr-CA"/>
              </w:rPr>
            </w:pPr>
            <w:r w:rsidRPr="005143FF">
              <w:rPr>
                <w:rFonts w:eastAsia="Calibri"/>
                <w:sz w:val="20"/>
                <w:lang w:val="fr-CA"/>
              </w:rPr>
              <w:t>2011 BCSC 779; S076293</w:t>
            </w:r>
          </w:p>
          <w:p w:rsidR="0098614E" w:rsidRPr="005143FF" w:rsidRDefault="0098614E" w:rsidP="0098614E">
            <w:pPr>
              <w:jc w:val="both"/>
              <w:rPr>
                <w:rFonts w:eastAsia="Calibri"/>
                <w:sz w:val="20"/>
                <w:lang w:val="fr-CA"/>
              </w:rPr>
            </w:pPr>
          </w:p>
        </w:tc>
        <w:tc>
          <w:tcPr>
            <w:tcW w:w="243" w:type="pct"/>
          </w:tcPr>
          <w:p w:rsidR="0098614E" w:rsidRPr="005143FF" w:rsidRDefault="0098614E" w:rsidP="0098614E">
            <w:pPr>
              <w:jc w:val="both"/>
              <w:rPr>
                <w:rFonts w:eastAsia="Calibri"/>
                <w:sz w:val="20"/>
                <w:lang w:val="fr-CA"/>
              </w:rPr>
            </w:pPr>
          </w:p>
        </w:tc>
        <w:tc>
          <w:tcPr>
            <w:tcW w:w="2330" w:type="pct"/>
          </w:tcPr>
          <w:p w:rsidR="0098614E" w:rsidRPr="005143FF" w:rsidRDefault="0098614E" w:rsidP="0098614E">
            <w:pPr>
              <w:jc w:val="both"/>
              <w:rPr>
                <w:rFonts w:eastAsia="Calibri"/>
                <w:sz w:val="20"/>
                <w:lang w:val="fr-CA"/>
              </w:rPr>
            </w:pPr>
            <w:r w:rsidRPr="005143FF">
              <w:rPr>
                <w:rFonts w:eastAsia="Calibri"/>
                <w:sz w:val="20"/>
                <w:lang w:val="fr-CA"/>
              </w:rPr>
              <w:t>Requête des intimées visant à faire radier la déclaration et rejeter l'action des demanderesses, accueillie</w:t>
            </w:r>
          </w:p>
          <w:p w:rsidR="0098614E" w:rsidRPr="005143FF" w:rsidRDefault="0098614E" w:rsidP="0098614E">
            <w:pPr>
              <w:jc w:val="both"/>
              <w:rPr>
                <w:rFonts w:eastAsia="Calibri"/>
                <w:sz w:val="20"/>
                <w:lang w:val="fr-CA"/>
              </w:rPr>
            </w:pPr>
          </w:p>
        </w:tc>
      </w:tr>
      <w:tr w:rsidR="0098614E" w:rsidRPr="005143FF" w:rsidTr="002B1AA0">
        <w:trPr>
          <w:cantSplit/>
        </w:trPr>
        <w:tc>
          <w:tcPr>
            <w:tcW w:w="2427" w:type="pct"/>
          </w:tcPr>
          <w:p w:rsidR="0098614E" w:rsidRPr="005143FF" w:rsidRDefault="0098614E" w:rsidP="0098614E">
            <w:pPr>
              <w:jc w:val="both"/>
              <w:rPr>
                <w:rFonts w:eastAsia="Calibri"/>
                <w:sz w:val="20"/>
                <w:lang w:val="fr-CA"/>
              </w:rPr>
            </w:pPr>
            <w:r w:rsidRPr="005143FF">
              <w:rPr>
                <w:rFonts w:eastAsia="Calibri"/>
                <w:sz w:val="20"/>
                <w:lang w:val="fr-CA"/>
              </w:rPr>
              <w:lastRenderedPageBreak/>
              <w:t>29 janvier 2013</w:t>
            </w:r>
          </w:p>
          <w:p w:rsidR="0098614E" w:rsidRPr="005143FF" w:rsidRDefault="0098614E" w:rsidP="0098614E">
            <w:pPr>
              <w:jc w:val="both"/>
              <w:rPr>
                <w:rFonts w:eastAsia="Calibri"/>
                <w:sz w:val="20"/>
                <w:lang w:val="fr-CA"/>
              </w:rPr>
            </w:pPr>
            <w:r w:rsidRPr="005143FF">
              <w:rPr>
                <w:rFonts w:eastAsia="Calibri"/>
                <w:sz w:val="20"/>
                <w:lang w:val="fr-CA"/>
              </w:rPr>
              <w:t xml:space="preserve">Cour d'appel de la Colombie-Britannique </w:t>
            </w:r>
          </w:p>
          <w:p w:rsidR="0098614E" w:rsidRPr="005143FF" w:rsidRDefault="0098614E" w:rsidP="0098614E">
            <w:pPr>
              <w:jc w:val="both"/>
              <w:rPr>
                <w:rFonts w:eastAsia="Calibri"/>
                <w:sz w:val="20"/>
                <w:lang w:val="fr-CA"/>
              </w:rPr>
            </w:pPr>
            <w:r w:rsidRPr="005143FF">
              <w:rPr>
                <w:rFonts w:eastAsia="Calibri"/>
                <w:sz w:val="20"/>
                <w:lang w:val="fr-CA"/>
              </w:rPr>
              <w:t>(Vancouver)</w:t>
            </w:r>
          </w:p>
          <w:p w:rsidR="0098614E" w:rsidRPr="005143FF" w:rsidRDefault="0098614E" w:rsidP="0098614E">
            <w:pPr>
              <w:jc w:val="both"/>
              <w:rPr>
                <w:rFonts w:eastAsia="Calibri"/>
                <w:sz w:val="20"/>
                <w:lang w:val="fr-CA"/>
              </w:rPr>
            </w:pPr>
            <w:r w:rsidRPr="005143FF">
              <w:rPr>
                <w:rFonts w:eastAsia="Calibri"/>
                <w:sz w:val="20"/>
                <w:lang w:val="fr-CA"/>
              </w:rPr>
              <w:t>(Juges Smith, Frankel et Bennett)</w:t>
            </w:r>
          </w:p>
          <w:p w:rsidR="0098614E" w:rsidRPr="005143FF" w:rsidRDefault="0098614E" w:rsidP="0098614E">
            <w:pPr>
              <w:jc w:val="both"/>
              <w:rPr>
                <w:rFonts w:eastAsia="Calibri"/>
                <w:sz w:val="20"/>
                <w:lang w:val="fr-CA"/>
              </w:rPr>
            </w:pPr>
            <w:r w:rsidRPr="005143FF">
              <w:rPr>
                <w:rFonts w:eastAsia="Calibri"/>
                <w:sz w:val="20"/>
                <w:lang w:val="fr-CA"/>
              </w:rPr>
              <w:t>2013 BCCA 34; CA039160</w:t>
            </w:r>
          </w:p>
          <w:p w:rsidR="0098614E" w:rsidRPr="005143FF" w:rsidRDefault="0098614E" w:rsidP="0098614E">
            <w:pPr>
              <w:jc w:val="both"/>
              <w:rPr>
                <w:rFonts w:eastAsia="Calibri"/>
                <w:sz w:val="20"/>
                <w:lang w:val="fr-CA"/>
              </w:rPr>
            </w:pPr>
          </w:p>
        </w:tc>
        <w:tc>
          <w:tcPr>
            <w:tcW w:w="243" w:type="pct"/>
          </w:tcPr>
          <w:p w:rsidR="0098614E" w:rsidRPr="005143FF" w:rsidRDefault="0098614E" w:rsidP="0098614E">
            <w:pPr>
              <w:jc w:val="both"/>
              <w:rPr>
                <w:rFonts w:eastAsia="Calibri"/>
                <w:sz w:val="20"/>
                <w:lang w:val="fr-CA"/>
              </w:rPr>
            </w:pPr>
          </w:p>
        </w:tc>
        <w:tc>
          <w:tcPr>
            <w:tcW w:w="2330" w:type="pct"/>
          </w:tcPr>
          <w:p w:rsidR="0098614E" w:rsidRPr="005143FF" w:rsidRDefault="0098614E" w:rsidP="0098614E">
            <w:pPr>
              <w:jc w:val="both"/>
              <w:rPr>
                <w:rFonts w:eastAsia="Calibri"/>
                <w:sz w:val="20"/>
                <w:lang w:val="fr-CA"/>
              </w:rPr>
            </w:pPr>
            <w:r w:rsidRPr="005143FF">
              <w:rPr>
                <w:rFonts w:eastAsia="Calibri"/>
                <w:sz w:val="20"/>
                <w:lang w:val="fr-CA"/>
              </w:rPr>
              <w:t>Appel rejeté</w:t>
            </w:r>
          </w:p>
          <w:p w:rsidR="0098614E" w:rsidRPr="005143FF" w:rsidRDefault="0098614E" w:rsidP="0098614E">
            <w:pPr>
              <w:jc w:val="both"/>
              <w:rPr>
                <w:rFonts w:eastAsia="Calibri"/>
                <w:sz w:val="20"/>
                <w:lang w:val="fr-CA"/>
              </w:rPr>
            </w:pPr>
          </w:p>
        </w:tc>
      </w:tr>
      <w:tr w:rsidR="0098614E" w:rsidRPr="005143FF" w:rsidTr="002B1AA0">
        <w:trPr>
          <w:cantSplit/>
        </w:trPr>
        <w:tc>
          <w:tcPr>
            <w:tcW w:w="2427" w:type="pct"/>
          </w:tcPr>
          <w:p w:rsidR="0098614E" w:rsidRPr="005143FF" w:rsidRDefault="0098614E" w:rsidP="0098614E">
            <w:pPr>
              <w:jc w:val="both"/>
              <w:rPr>
                <w:rFonts w:eastAsia="Calibri"/>
                <w:sz w:val="20"/>
                <w:lang w:val="fr-CA"/>
              </w:rPr>
            </w:pPr>
            <w:r w:rsidRPr="005143FF">
              <w:rPr>
                <w:rFonts w:eastAsia="Calibri"/>
                <w:sz w:val="20"/>
                <w:lang w:val="fr-CA"/>
              </w:rPr>
              <w:t>28 mars 2013</w:t>
            </w:r>
          </w:p>
          <w:p w:rsidR="0098614E" w:rsidRPr="005143FF" w:rsidRDefault="0098614E" w:rsidP="0098614E">
            <w:pPr>
              <w:jc w:val="both"/>
              <w:rPr>
                <w:rFonts w:eastAsia="Calibri"/>
                <w:sz w:val="20"/>
                <w:lang w:val="fr-CA"/>
              </w:rPr>
            </w:pPr>
            <w:r w:rsidRPr="005143FF">
              <w:rPr>
                <w:rFonts w:eastAsia="Calibri"/>
                <w:sz w:val="20"/>
                <w:lang w:val="fr-CA"/>
              </w:rPr>
              <w:t>Cour suprême du Canada</w:t>
            </w:r>
          </w:p>
        </w:tc>
        <w:tc>
          <w:tcPr>
            <w:tcW w:w="243" w:type="pct"/>
          </w:tcPr>
          <w:p w:rsidR="0098614E" w:rsidRPr="005143FF" w:rsidRDefault="0098614E" w:rsidP="0098614E">
            <w:pPr>
              <w:jc w:val="both"/>
              <w:rPr>
                <w:rFonts w:eastAsia="Calibri"/>
                <w:sz w:val="20"/>
                <w:lang w:val="fr-CA"/>
              </w:rPr>
            </w:pPr>
          </w:p>
        </w:tc>
        <w:tc>
          <w:tcPr>
            <w:tcW w:w="2330" w:type="pct"/>
          </w:tcPr>
          <w:p w:rsidR="0098614E" w:rsidRPr="005143FF" w:rsidRDefault="0098614E" w:rsidP="0098614E">
            <w:pPr>
              <w:jc w:val="both"/>
              <w:rPr>
                <w:rFonts w:eastAsia="Calibri"/>
                <w:sz w:val="20"/>
                <w:lang w:val="fr-CA"/>
              </w:rPr>
            </w:pPr>
            <w:r w:rsidRPr="005143FF">
              <w:rPr>
                <w:rFonts w:eastAsia="Calibri"/>
                <w:sz w:val="20"/>
                <w:lang w:val="fr-CA"/>
              </w:rPr>
              <w:t>Demande d'autorisation d'appel, déposée</w:t>
            </w:r>
          </w:p>
          <w:p w:rsidR="0098614E" w:rsidRPr="005143FF" w:rsidRDefault="0098614E" w:rsidP="0098614E">
            <w:pPr>
              <w:jc w:val="both"/>
              <w:rPr>
                <w:rFonts w:eastAsia="Calibri"/>
                <w:sz w:val="20"/>
                <w:lang w:val="fr-CA"/>
              </w:rPr>
            </w:pPr>
          </w:p>
        </w:tc>
      </w:tr>
    </w:tbl>
    <w:p w:rsidR="00332827" w:rsidRDefault="00332827" w:rsidP="00332827">
      <w:pPr>
        <w:rPr>
          <w:sz w:val="20"/>
          <w:szCs w:val="20"/>
        </w:rPr>
      </w:pPr>
    </w:p>
    <w:p w:rsidR="00332827" w:rsidRDefault="005F2BA7" w:rsidP="00332827">
      <w:pPr>
        <w:rPr>
          <w:sz w:val="20"/>
          <w:szCs w:val="20"/>
        </w:rPr>
      </w:pPr>
      <w:r w:rsidRPr="005F2BA7">
        <w:rPr>
          <w:sz w:val="20"/>
          <w:szCs w:val="20"/>
          <w:lang w:val="fr-CA"/>
        </w:rPr>
        <w:pict>
          <v:rect id="_x0000_i1066" style="width:2in;height:1pt" o:hrpct="0" o:hralign="center" o:hrstd="t" o:hrnoshade="t" o:hr="t" fillcolor="black [3213]" stroked="f"/>
        </w:pict>
      </w:r>
    </w:p>
    <w:p w:rsidR="00332827" w:rsidRPr="00332827" w:rsidRDefault="00332827" w:rsidP="0033282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05DB8" w:rsidRPr="009B1157" w:rsidTr="00C173EE">
        <w:trPr>
          <w:cantSplit/>
        </w:trPr>
        <w:tc>
          <w:tcPr>
            <w:tcW w:w="1458" w:type="dxa"/>
          </w:tcPr>
          <w:p w:rsidR="00F05DB8" w:rsidRPr="009B1157" w:rsidRDefault="00F05DB8" w:rsidP="00C173EE">
            <w:pPr>
              <w:rPr>
                <w:sz w:val="20"/>
                <w:szCs w:val="20"/>
              </w:rPr>
            </w:pPr>
            <w:r w:rsidRPr="009B1157">
              <w:rPr>
                <w:rStyle w:val="SCCFileNumberChar"/>
                <w:sz w:val="20"/>
                <w:szCs w:val="20"/>
              </w:rPr>
              <w:t>35308</w:t>
            </w:r>
          </w:p>
          <w:p w:rsidR="00F05DB8" w:rsidRPr="009B1157" w:rsidRDefault="00F05DB8" w:rsidP="00C173EE">
            <w:pPr>
              <w:rPr>
                <w:b/>
                <w:sz w:val="20"/>
                <w:szCs w:val="20"/>
                <w:lang w:val="fr-CA"/>
              </w:rPr>
            </w:pPr>
          </w:p>
        </w:tc>
        <w:tc>
          <w:tcPr>
            <w:tcW w:w="8118" w:type="dxa"/>
          </w:tcPr>
          <w:p w:rsidR="00F05DB8" w:rsidRPr="009B1157" w:rsidRDefault="00F05DB8" w:rsidP="00C173EE">
            <w:pPr>
              <w:rPr>
                <w:sz w:val="20"/>
                <w:szCs w:val="20"/>
              </w:rPr>
            </w:pPr>
            <w:r w:rsidRPr="00F05DB8">
              <w:rPr>
                <w:rStyle w:val="SCCLsocChar"/>
                <w:sz w:val="20"/>
                <w:szCs w:val="20"/>
                <w:lang w:val="en-CA"/>
              </w:rPr>
              <w:t>Marc Charbonneau v. Her Majesty the Queen</w:t>
            </w:r>
            <w:r w:rsidRPr="009B1157">
              <w:rPr>
                <w:sz w:val="20"/>
                <w:szCs w:val="20"/>
              </w:rPr>
              <w:t xml:space="preserve"> (Ont.) (Criminal) (By Leave)</w:t>
            </w:r>
          </w:p>
          <w:p w:rsidR="00F05DB8" w:rsidRPr="009B1157" w:rsidRDefault="00F05DB8" w:rsidP="00C173EE">
            <w:pPr>
              <w:rPr>
                <w:sz w:val="20"/>
                <w:szCs w:val="20"/>
              </w:rPr>
            </w:pPr>
          </w:p>
        </w:tc>
      </w:tr>
      <w:tr w:rsidR="00F05DB8" w:rsidRPr="009B1157" w:rsidTr="00C173EE">
        <w:trPr>
          <w:cantSplit/>
        </w:trPr>
        <w:tc>
          <w:tcPr>
            <w:tcW w:w="1458" w:type="dxa"/>
          </w:tcPr>
          <w:p w:rsidR="00F05DB8" w:rsidRPr="009B1157" w:rsidRDefault="00F05DB8" w:rsidP="00C173EE">
            <w:pPr>
              <w:rPr>
                <w:sz w:val="20"/>
                <w:szCs w:val="20"/>
              </w:rPr>
            </w:pPr>
            <w:r w:rsidRPr="009B1157">
              <w:rPr>
                <w:sz w:val="20"/>
                <w:szCs w:val="20"/>
              </w:rPr>
              <w:t>Coram :</w:t>
            </w:r>
          </w:p>
        </w:tc>
        <w:tc>
          <w:tcPr>
            <w:tcW w:w="8118" w:type="dxa"/>
          </w:tcPr>
          <w:p w:rsidR="00F05DB8" w:rsidRPr="009B1157" w:rsidRDefault="00F05DB8" w:rsidP="00C173EE">
            <w:pPr>
              <w:rPr>
                <w:sz w:val="20"/>
                <w:szCs w:val="20"/>
              </w:rPr>
            </w:pPr>
            <w:r w:rsidRPr="00F05DB8">
              <w:rPr>
                <w:rStyle w:val="SCCCoramChar"/>
                <w:sz w:val="20"/>
                <w:szCs w:val="20"/>
                <w:lang w:val="en-CA"/>
              </w:rPr>
              <w:t>Fish, Rothstein and Moldaver JJ.</w:t>
            </w:r>
          </w:p>
          <w:p w:rsidR="00F05DB8" w:rsidRPr="009B1157" w:rsidRDefault="00F05DB8" w:rsidP="00C173EE">
            <w:pPr>
              <w:rPr>
                <w:sz w:val="20"/>
                <w:szCs w:val="20"/>
                <w:u w:val="single"/>
              </w:rPr>
            </w:pPr>
          </w:p>
        </w:tc>
      </w:tr>
      <w:tr w:rsidR="00F05DB8" w:rsidRPr="00B86261" w:rsidTr="00C173EE">
        <w:trPr>
          <w:cantSplit/>
        </w:trPr>
        <w:tc>
          <w:tcPr>
            <w:tcW w:w="9576" w:type="dxa"/>
            <w:gridSpan w:val="2"/>
          </w:tcPr>
          <w:p w:rsidR="00F05DB8" w:rsidRPr="009B1157" w:rsidRDefault="00F05DB8" w:rsidP="00C173EE">
            <w:pPr>
              <w:pStyle w:val="SCCShortJudgment"/>
              <w:rPr>
                <w:szCs w:val="20"/>
              </w:rPr>
            </w:pPr>
            <w:r w:rsidRPr="009B1157">
              <w:rPr>
                <w:szCs w:val="20"/>
              </w:rPr>
              <w:t>The motion for an extension of time to serve and file the application for leave to appeal is granted.  The application for leave to appeal from the judgment of the Court of Appeal for Ontario, Number C49981, 2012 ONCA 314, dated May 14, 2012, is dismissed without costs.</w:t>
            </w:r>
          </w:p>
          <w:p w:rsidR="00F05DB8" w:rsidRPr="009B1157" w:rsidRDefault="00F05DB8" w:rsidP="00C173EE">
            <w:pPr>
              <w:pStyle w:val="SCCShortJudgment"/>
              <w:ind w:firstLine="0"/>
              <w:rPr>
                <w:szCs w:val="20"/>
              </w:rPr>
            </w:pPr>
          </w:p>
          <w:p w:rsidR="00F05DB8" w:rsidRPr="009B1157" w:rsidRDefault="00F05DB8" w:rsidP="00C173EE">
            <w:pPr>
              <w:pStyle w:val="SCCShortJudgment"/>
              <w:rPr>
                <w:szCs w:val="20"/>
                <w:lang w:val="fr-CA"/>
              </w:rPr>
            </w:pPr>
            <w:r w:rsidRPr="009B1157">
              <w:rPr>
                <w:szCs w:val="20"/>
                <w:lang w:val="fr-CA"/>
              </w:rPr>
              <w:t>La requête en prorogation du délai de signification et de dépôt de la demande d’autorisation d’appel est accueillie.  La demande d’autorisation d’appel de l’arrêt de la Cour d’appel de l’Ontario, numéro C49981, 2012 ONCA 314, daté du 14 mai 2012, est rejetée sans dépens.</w:t>
            </w:r>
          </w:p>
        </w:tc>
      </w:tr>
    </w:tbl>
    <w:p w:rsidR="00332827" w:rsidRPr="0016547E" w:rsidRDefault="00332827" w:rsidP="00332827">
      <w:pPr>
        <w:rPr>
          <w:sz w:val="20"/>
          <w:szCs w:val="20"/>
          <w:lang w:val="fr-CA"/>
        </w:rPr>
      </w:pPr>
    </w:p>
    <w:p w:rsidR="00332827" w:rsidRPr="001B157C" w:rsidRDefault="00332827" w:rsidP="00332827">
      <w:pPr>
        <w:rPr>
          <w:sz w:val="20"/>
          <w:szCs w:val="20"/>
          <w:u w:val="single"/>
        </w:rPr>
      </w:pPr>
      <w:r w:rsidRPr="001B157C">
        <w:rPr>
          <w:sz w:val="20"/>
          <w:szCs w:val="20"/>
          <w:u w:val="single"/>
        </w:rPr>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F3160" w:rsidRPr="005143FF" w:rsidTr="0098614E">
        <w:tc>
          <w:tcPr>
            <w:tcW w:w="5000" w:type="pct"/>
            <w:gridSpan w:val="3"/>
          </w:tcPr>
          <w:p w:rsidR="004F3160" w:rsidRPr="005143FF" w:rsidRDefault="004F3160" w:rsidP="0098614E">
            <w:pPr>
              <w:jc w:val="both"/>
              <w:rPr>
                <w:rFonts w:eastAsia="Calibri"/>
                <w:smallCaps/>
                <w:sz w:val="20"/>
              </w:rPr>
            </w:pPr>
            <w:r w:rsidRPr="005143FF">
              <w:rPr>
                <w:rFonts w:eastAsia="Calibri"/>
                <w:smallCaps/>
                <w:sz w:val="20"/>
              </w:rPr>
              <w:t>(Publication Ban in Case)</w:t>
            </w:r>
          </w:p>
          <w:p w:rsidR="004F3160" w:rsidRPr="005143FF" w:rsidRDefault="004F3160" w:rsidP="0098614E">
            <w:pPr>
              <w:jc w:val="both"/>
              <w:rPr>
                <w:rFonts w:eastAsia="Calibri"/>
                <w:smallCaps/>
                <w:sz w:val="20"/>
              </w:rPr>
            </w:pPr>
          </w:p>
        </w:tc>
      </w:tr>
      <w:tr w:rsidR="004F3160" w:rsidRPr="005143FF" w:rsidTr="0098614E">
        <w:tc>
          <w:tcPr>
            <w:tcW w:w="5000" w:type="pct"/>
            <w:gridSpan w:val="3"/>
          </w:tcPr>
          <w:p w:rsidR="004F3160" w:rsidRPr="005143FF" w:rsidRDefault="004F3160" w:rsidP="0098614E">
            <w:pPr>
              <w:jc w:val="both"/>
              <w:rPr>
                <w:rFonts w:eastAsia="Calibri"/>
                <w:sz w:val="20"/>
              </w:rPr>
            </w:pPr>
            <w:r w:rsidRPr="005143FF">
              <w:rPr>
                <w:rFonts w:eastAsia="Calibri"/>
                <w:sz w:val="20"/>
              </w:rPr>
              <w:t>Criminal law – Evidence – Sexual assault – Whether a conviction can be reasonable when the identification evidence of the complainant does not identify the accused.</w:t>
            </w:r>
          </w:p>
          <w:p w:rsidR="004F3160" w:rsidRPr="005143FF" w:rsidRDefault="004F3160" w:rsidP="0098614E">
            <w:pPr>
              <w:jc w:val="both"/>
              <w:rPr>
                <w:rFonts w:eastAsia="Calibri"/>
                <w:sz w:val="20"/>
              </w:rPr>
            </w:pPr>
          </w:p>
        </w:tc>
      </w:tr>
      <w:tr w:rsidR="004F3160" w:rsidRPr="005143FF" w:rsidTr="0098614E">
        <w:tc>
          <w:tcPr>
            <w:tcW w:w="5000" w:type="pct"/>
            <w:gridSpan w:val="3"/>
          </w:tcPr>
          <w:p w:rsidR="004F3160" w:rsidRPr="005143FF" w:rsidRDefault="004F3160" w:rsidP="0098614E">
            <w:pPr>
              <w:jc w:val="both"/>
              <w:rPr>
                <w:rFonts w:eastAsia="Calibri"/>
                <w:sz w:val="20"/>
              </w:rPr>
            </w:pPr>
            <w:r w:rsidRPr="005143FF">
              <w:rPr>
                <w:rFonts w:eastAsia="Calibri"/>
                <w:sz w:val="20"/>
              </w:rPr>
              <w:t xml:space="preserve">Mr. Charbonneau was convicted of sexual assault.  The only evidence at trial directly implicating Mr. Charbonneau in the sexual assault was the testimony of the complainant.  The main issue at trial was identification.  </w:t>
            </w:r>
          </w:p>
          <w:p w:rsidR="004F3160" w:rsidRPr="005143FF" w:rsidRDefault="004F3160" w:rsidP="0098614E">
            <w:pPr>
              <w:jc w:val="both"/>
              <w:rPr>
                <w:rFonts w:eastAsia="Calibri"/>
                <w:sz w:val="20"/>
              </w:rPr>
            </w:pPr>
          </w:p>
          <w:p w:rsidR="004F3160" w:rsidRPr="005143FF" w:rsidRDefault="004F3160" w:rsidP="0098614E">
            <w:pPr>
              <w:jc w:val="both"/>
              <w:rPr>
                <w:rFonts w:eastAsia="Calibri"/>
                <w:sz w:val="20"/>
              </w:rPr>
            </w:pPr>
            <w:r w:rsidRPr="005143FF">
              <w:rPr>
                <w:rFonts w:eastAsia="Calibri"/>
                <w:sz w:val="20"/>
              </w:rPr>
              <w:t>On appeal, Mr. Charbonneau argued that the trial judge erred in her instructions to the jury concerning eyewitness identification evidence.  In addition, he submitted that the trial judge erred in ruling that, in the event that Mr. Charbonneau elected to testify, he would be subject to cross-examination on his criminal record.  The appeal was dismissed.</w:t>
            </w:r>
          </w:p>
          <w:p w:rsidR="004F3160" w:rsidRPr="005143FF" w:rsidRDefault="004F3160" w:rsidP="0098614E">
            <w:pPr>
              <w:jc w:val="both"/>
              <w:rPr>
                <w:rFonts w:eastAsia="Calibri"/>
                <w:sz w:val="20"/>
              </w:rPr>
            </w:pPr>
          </w:p>
        </w:tc>
      </w:tr>
      <w:tr w:rsidR="004F3160" w:rsidRPr="005143FF" w:rsidTr="0098614E">
        <w:tc>
          <w:tcPr>
            <w:tcW w:w="2427" w:type="pct"/>
          </w:tcPr>
          <w:p w:rsidR="004F3160" w:rsidRPr="005143FF" w:rsidRDefault="004F3160" w:rsidP="0098614E">
            <w:pPr>
              <w:jc w:val="both"/>
              <w:rPr>
                <w:rFonts w:eastAsia="Calibri"/>
                <w:sz w:val="20"/>
              </w:rPr>
            </w:pPr>
            <w:r w:rsidRPr="005143FF">
              <w:rPr>
                <w:rFonts w:eastAsia="Calibri"/>
                <w:sz w:val="20"/>
              </w:rPr>
              <w:t>February 3, 2006</w:t>
            </w:r>
          </w:p>
          <w:p w:rsidR="004F3160" w:rsidRPr="005143FF" w:rsidRDefault="004F3160" w:rsidP="0098614E">
            <w:pPr>
              <w:jc w:val="both"/>
              <w:rPr>
                <w:rFonts w:eastAsia="Calibri"/>
                <w:sz w:val="20"/>
              </w:rPr>
            </w:pPr>
            <w:r w:rsidRPr="005143FF">
              <w:rPr>
                <w:rFonts w:eastAsia="Calibri"/>
                <w:sz w:val="20"/>
              </w:rPr>
              <w:t>Ontario Superior Court of Justice</w:t>
            </w:r>
          </w:p>
          <w:p w:rsidR="004F3160" w:rsidRPr="005143FF" w:rsidRDefault="004F3160" w:rsidP="0098614E">
            <w:pPr>
              <w:jc w:val="both"/>
              <w:rPr>
                <w:rFonts w:eastAsia="Calibri"/>
                <w:sz w:val="20"/>
              </w:rPr>
            </w:pPr>
            <w:r w:rsidRPr="005143FF">
              <w:rPr>
                <w:rFonts w:eastAsia="Calibri"/>
                <w:sz w:val="20"/>
              </w:rPr>
              <w:t>(Aitken J.)</w:t>
            </w:r>
          </w:p>
          <w:p w:rsidR="004F3160" w:rsidRPr="005143FF" w:rsidRDefault="004F3160" w:rsidP="0098614E">
            <w:pPr>
              <w:jc w:val="both"/>
              <w:rPr>
                <w:rFonts w:eastAsia="Calibri"/>
                <w:sz w:val="20"/>
              </w:rPr>
            </w:pPr>
          </w:p>
        </w:tc>
        <w:tc>
          <w:tcPr>
            <w:tcW w:w="243" w:type="pct"/>
          </w:tcPr>
          <w:p w:rsidR="004F3160" w:rsidRPr="005143FF" w:rsidRDefault="004F3160" w:rsidP="0098614E">
            <w:pPr>
              <w:jc w:val="both"/>
              <w:rPr>
                <w:rFonts w:eastAsia="Calibri"/>
                <w:sz w:val="20"/>
              </w:rPr>
            </w:pPr>
          </w:p>
        </w:tc>
        <w:tc>
          <w:tcPr>
            <w:tcW w:w="2330" w:type="pct"/>
          </w:tcPr>
          <w:p w:rsidR="004F3160" w:rsidRPr="005143FF" w:rsidRDefault="004F3160" w:rsidP="0098614E">
            <w:pPr>
              <w:jc w:val="both"/>
              <w:rPr>
                <w:rFonts w:eastAsia="Calibri"/>
                <w:sz w:val="20"/>
              </w:rPr>
            </w:pPr>
            <w:r w:rsidRPr="005143FF">
              <w:rPr>
                <w:rFonts w:eastAsia="Calibri"/>
                <w:sz w:val="20"/>
              </w:rPr>
              <w:t>Applicant convicted of sexual assault</w:t>
            </w:r>
          </w:p>
          <w:p w:rsidR="004F3160" w:rsidRPr="005143FF" w:rsidRDefault="004F3160" w:rsidP="0098614E">
            <w:pPr>
              <w:jc w:val="both"/>
              <w:rPr>
                <w:rFonts w:eastAsia="Calibri"/>
                <w:sz w:val="20"/>
              </w:rPr>
            </w:pPr>
          </w:p>
        </w:tc>
      </w:tr>
      <w:tr w:rsidR="004F3160" w:rsidRPr="005143FF" w:rsidTr="0098614E">
        <w:tc>
          <w:tcPr>
            <w:tcW w:w="2427" w:type="pct"/>
          </w:tcPr>
          <w:p w:rsidR="004F3160" w:rsidRPr="005143FF" w:rsidRDefault="004F3160" w:rsidP="0098614E">
            <w:pPr>
              <w:jc w:val="both"/>
              <w:rPr>
                <w:rFonts w:eastAsia="Calibri"/>
                <w:sz w:val="20"/>
              </w:rPr>
            </w:pPr>
            <w:r w:rsidRPr="005143FF">
              <w:rPr>
                <w:rFonts w:eastAsia="Calibri"/>
                <w:sz w:val="20"/>
              </w:rPr>
              <w:t>May 14, 2012</w:t>
            </w:r>
          </w:p>
          <w:p w:rsidR="004F3160" w:rsidRPr="005143FF" w:rsidRDefault="004F3160" w:rsidP="0098614E">
            <w:pPr>
              <w:jc w:val="both"/>
              <w:rPr>
                <w:rFonts w:eastAsia="Calibri"/>
                <w:sz w:val="20"/>
              </w:rPr>
            </w:pPr>
            <w:r w:rsidRPr="005143FF">
              <w:rPr>
                <w:rFonts w:eastAsia="Calibri"/>
                <w:sz w:val="20"/>
              </w:rPr>
              <w:t>Court of Appeal for Ontario</w:t>
            </w:r>
          </w:p>
          <w:p w:rsidR="004F3160" w:rsidRPr="005143FF" w:rsidRDefault="004F3160" w:rsidP="0098614E">
            <w:pPr>
              <w:jc w:val="both"/>
              <w:rPr>
                <w:rFonts w:eastAsia="Calibri"/>
                <w:sz w:val="20"/>
              </w:rPr>
            </w:pPr>
            <w:r w:rsidRPr="005143FF">
              <w:rPr>
                <w:rFonts w:eastAsia="Calibri"/>
                <w:sz w:val="20"/>
              </w:rPr>
              <w:t>(Weiler, Simmons and Cronk JJ.A.)</w:t>
            </w:r>
          </w:p>
          <w:p w:rsidR="004F3160" w:rsidRPr="005143FF" w:rsidRDefault="004F3160" w:rsidP="002B1AA0">
            <w:pPr>
              <w:jc w:val="both"/>
              <w:rPr>
                <w:rFonts w:eastAsia="Calibri"/>
                <w:sz w:val="20"/>
              </w:rPr>
            </w:pPr>
            <w:r w:rsidRPr="005143FF">
              <w:rPr>
                <w:rFonts w:eastAsia="Calibri"/>
                <w:sz w:val="20"/>
              </w:rPr>
              <w:t>2012 ONCA 314; C49981</w:t>
            </w:r>
          </w:p>
        </w:tc>
        <w:tc>
          <w:tcPr>
            <w:tcW w:w="243" w:type="pct"/>
          </w:tcPr>
          <w:p w:rsidR="004F3160" w:rsidRPr="005143FF" w:rsidRDefault="004F3160" w:rsidP="0098614E">
            <w:pPr>
              <w:jc w:val="both"/>
              <w:rPr>
                <w:rFonts w:eastAsia="Calibri"/>
                <w:sz w:val="20"/>
              </w:rPr>
            </w:pPr>
          </w:p>
        </w:tc>
        <w:tc>
          <w:tcPr>
            <w:tcW w:w="2330" w:type="pct"/>
          </w:tcPr>
          <w:p w:rsidR="004F3160" w:rsidRPr="005143FF" w:rsidRDefault="004F3160" w:rsidP="0098614E">
            <w:pPr>
              <w:jc w:val="both"/>
              <w:rPr>
                <w:rFonts w:eastAsia="Calibri"/>
                <w:sz w:val="20"/>
              </w:rPr>
            </w:pPr>
            <w:r w:rsidRPr="005143FF">
              <w:rPr>
                <w:rFonts w:eastAsia="Calibri"/>
                <w:sz w:val="20"/>
              </w:rPr>
              <w:t>Appeal dismissed</w:t>
            </w:r>
          </w:p>
          <w:p w:rsidR="004F3160" w:rsidRPr="005143FF" w:rsidRDefault="004F3160" w:rsidP="0098614E">
            <w:pPr>
              <w:jc w:val="both"/>
              <w:rPr>
                <w:rFonts w:eastAsia="Calibri"/>
                <w:sz w:val="20"/>
              </w:rPr>
            </w:pPr>
          </w:p>
        </w:tc>
      </w:tr>
    </w:tbl>
    <w:p w:rsidR="002B1AA0" w:rsidRDefault="002B1AA0"/>
    <w:p w:rsidR="002B1AA0" w:rsidRDefault="002B1AA0">
      <w:r>
        <w:br w:type="page"/>
      </w:r>
    </w:p>
    <w:tbl>
      <w:tblPr>
        <w:tblW w:w="4952" w:type="pct"/>
        <w:tblLayout w:type="fixed"/>
        <w:tblCellMar>
          <w:left w:w="0" w:type="dxa"/>
          <w:bottom w:w="99" w:type="dxa"/>
          <w:right w:w="0" w:type="dxa"/>
        </w:tblCellMar>
        <w:tblLook w:val="04A0"/>
      </w:tblPr>
      <w:tblGrid>
        <w:gridCol w:w="4624"/>
        <w:gridCol w:w="463"/>
        <w:gridCol w:w="4440"/>
      </w:tblGrid>
      <w:tr w:rsidR="004F3160" w:rsidRPr="005143FF" w:rsidTr="0098614E">
        <w:tc>
          <w:tcPr>
            <w:tcW w:w="2427" w:type="pct"/>
          </w:tcPr>
          <w:p w:rsidR="004F3160" w:rsidRPr="005143FF" w:rsidRDefault="004F3160" w:rsidP="0098614E">
            <w:pPr>
              <w:jc w:val="both"/>
              <w:rPr>
                <w:rFonts w:eastAsia="Calibri"/>
                <w:sz w:val="20"/>
              </w:rPr>
            </w:pPr>
            <w:r w:rsidRPr="005143FF">
              <w:rPr>
                <w:rFonts w:eastAsia="Calibri"/>
                <w:sz w:val="20"/>
              </w:rPr>
              <w:lastRenderedPageBreak/>
              <w:t>April 11, 2013</w:t>
            </w:r>
          </w:p>
          <w:p w:rsidR="004F3160" w:rsidRPr="005143FF" w:rsidRDefault="004F3160" w:rsidP="0098614E">
            <w:pPr>
              <w:jc w:val="both"/>
              <w:rPr>
                <w:rFonts w:eastAsia="Calibri"/>
                <w:sz w:val="20"/>
              </w:rPr>
            </w:pPr>
            <w:r w:rsidRPr="005143FF">
              <w:rPr>
                <w:rFonts w:eastAsia="Calibri"/>
                <w:sz w:val="20"/>
              </w:rPr>
              <w:t>Supreme Court of Canada</w:t>
            </w:r>
          </w:p>
        </w:tc>
        <w:tc>
          <w:tcPr>
            <w:tcW w:w="243" w:type="pct"/>
          </w:tcPr>
          <w:p w:rsidR="004F3160" w:rsidRPr="005143FF" w:rsidRDefault="004F3160" w:rsidP="0098614E">
            <w:pPr>
              <w:jc w:val="both"/>
              <w:rPr>
                <w:rFonts w:eastAsia="Calibri"/>
                <w:sz w:val="20"/>
              </w:rPr>
            </w:pPr>
          </w:p>
        </w:tc>
        <w:tc>
          <w:tcPr>
            <w:tcW w:w="2330" w:type="pct"/>
          </w:tcPr>
          <w:p w:rsidR="004F3160" w:rsidRPr="005143FF" w:rsidRDefault="004F3160" w:rsidP="0098614E">
            <w:pPr>
              <w:jc w:val="both"/>
              <w:rPr>
                <w:rFonts w:eastAsia="Calibri"/>
                <w:sz w:val="20"/>
              </w:rPr>
            </w:pPr>
            <w:r w:rsidRPr="005143FF">
              <w:rPr>
                <w:rFonts w:eastAsia="Calibri"/>
                <w:sz w:val="20"/>
              </w:rPr>
              <w:t>Motion for an extension of time and Application for leave to appeal filed</w:t>
            </w: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67" style="width:2in;height:1pt" o:hrpct="0" o:hralign="center" o:hrstd="t" o:hrnoshade="t" o:hr="t" fillcolor="black [3213]" stroked="f"/>
        </w:pict>
      </w:r>
    </w:p>
    <w:p w:rsidR="00332827" w:rsidRDefault="00332827" w:rsidP="00332827">
      <w:pPr>
        <w:rPr>
          <w:sz w:val="20"/>
          <w:szCs w:val="20"/>
        </w:rPr>
      </w:pPr>
    </w:p>
    <w:p w:rsidR="00332827" w:rsidRPr="001B157C" w:rsidRDefault="00332827" w:rsidP="00332827">
      <w:pPr>
        <w:rPr>
          <w:sz w:val="20"/>
          <w:szCs w:val="20"/>
          <w:u w:val="single"/>
          <w:lang w:val="fr-CA"/>
        </w:rPr>
      </w:pPr>
      <w:r w:rsidRPr="001B157C">
        <w:rPr>
          <w:sz w:val="20"/>
          <w:szCs w:val="20"/>
          <w:u w:val="single"/>
          <w:lang w:val="fr-CA"/>
        </w:rPr>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F3160" w:rsidRPr="00B86261" w:rsidTr="0098614E">
        <w:tc>
          <w:tcPr>
            <w:tcW w:w="5000" w:type="pct"/>
            <w:gridSpan w:val="3"/>
          </w:tcPr>
          <w:p w:rsidR="004F3160" w:rsidRPr="005143FF" w:rsidRDefault="004F3160" w:rsidP="0098614E">
            <w:pPr>
              <w:jc w:val="both"/>
              <w:rPr>
                <w:rFonts w:eastAsia="Calibri"/>
                <w:smallCaps/>
                <w:sz w:val="20"/>
                <w:lang w:val="fr-CA"/>
              </w:rPr>
            </w:pPr>
            <w:r w:rsidRPr="005143FF">
              <w:rPr>
                <w:rFonts w:eastAsia="Calibri"/>
                <w:smallCaps/>
                <w:sz w:val="20"/>
                <w:lang w:val="fr-CA"/>
              </w:rPr>
              <w:t>(</w:t>
            </w:r>
            <w:r>
              <w:rPr>
                <w:rFonts w:eastAsia="Calibri"/>
                <w:smallCaps/>
                <w:sz w:val="20"/>
                <w:lang w:val="fr-CA"/>
              </w:rPr>
              <w:t>O</w:t>
            </w:r>
            <w:r w:rsidRPr="005143FF">
              <w:rPr>
                <w:rFonts w:eastAsia="Calibri"/>
                <w:smallCaps/>
                <w:sz w:val="20"/>
                <w:lang w:val="fr-CA"/>
              </w:rPr>
              <w:t>rdonnance de non-publication dans le dossier)</w:t>
            </w:r>
          </w:p>
          <w:p w:rsidR="004F3160" w:rsidRPr="005143FF" w:rsidRDefault="004F3160" w:rsidP="0098614E">
            <w:pPr>
              <w:jc w:val="both"/>
              <w:rPr>
                <w:rFonts w:eastAsia="Calibri"/>
                <w:smallCaps/>
                <w:sz w:val="20"/>
                <w:lang w:val="fr-CA"/>
              </w:rPr>
            </w:pPr>
          </w:p>
        </w:tc>
      </w:tr>
      <w:tr w:rsidR="004F3160" w:rsidRPr="00B86261" w:rsidTr="0098614E">
        <w:tc>
          <w:tcPr>
            <w:tcW w:w="5000" w:type="pct"/>
            <w:gridSpan w:val="3"/>
          </w:tcPr>
          <w:p w:rsidR="004F3160" w:rsidRPr="005143FF" w:rsidRDefault="004F3160" w:rsidP="0098614E">
            <w:pPr>
              <w:jc w:val="both"/>
              <w:rPr>
                <w:rFonts w:eastAsia="Calibri"/>
                <w:sz w:val="20"/>
                <w:lang w:val="fr-CA"/>
              </w:rPr>
            </w:pPr>
            <w:r w:rsidRPr="005143FF">
              <w:rPr>
                <w:rFonts w:eastAsia="Calibri"/>
                <w:sz w:val="20"/>
                <w:lang w:val="fr-CA"/>
              </w:rPr>
              <w:t>Droit criminel – Preuve – Agression sexuelle – Une déclaration de culpabilité peut-elle être raisonnable lorsque la preuve d’identification présentée par la plaignante ne permet pas d’identifier l’accusé?</w:t>
            </w:r>
          </w:p>
          <w:p w:rsidR="004F3160" w:rsidRPr="005143FF" w:rsidRDefault="004F3160" w:rsidP="0098614E">
            <w:pPr>
              <w:jc w:val="both"/>
              <w:rPr>
                <w:rFonts w:eastAsia="Calibri"/>
                <w:sz w:val="20"/>
                <w:lang w:val="fr-CA"/>
              </w:rPr>
            </w:pPr>
          </w:p>
        </w:tc>
      </w:tr>
      <w:tr w:rsidR="004F3160" w:rsidRPr="005143FF" w:rsidTr="0098614E">
        <w:tc>
          <w:tcPr>
            <w:tcW w:w="5000" w:type="pct"/>
            <w:gridSpan w:val="3"/>
          </w:tcPr>
          <w:p w:rsidR="004F3160" w:rsidRPr="005143FF" w:rsidRDefault="004F3160" w:rsidP="0098614E">
            <w:pPr>
              <w:jc w:val="both"/>
              <w:rPr>
                <w:rFonts w:eastAsia="Calibri"/>
                <w:sz w:val="20"/>
                <w:lang w:val="fr-CA"/>
              </w:rPr>
            </w:pPr>
            <w:r w:rsidRPr="005143FF">
              <w:rPr>
                <w:rFonts w:eastAsia="Calibri"/>
                <w:sz w:val="20"/>
                <w:lang w:val="fr-CA"/>
              </w:rPr>
              <w:t xml:space="preserve">M. Charbonneau a été déclaré coupable d’agression sexuelle.  Le seul élément de preuve produit au procès qui impliquait directement M. Charbonneau dans l’agression sexuelle était le témoignage de la plaignante.  La question principale à trancher au procès était celle de l’identification.  </w:t>
            </w:r>
          </w:p>
          <w:p w:rsidR="004F3160" w:rsidRPr="005143FF" w:rsidRDefault="004F3160" w:rsidP="0098614E">
            <w:pPr>
              <w:jc w:val="both"/>
              <w:rPr>
                <w:rFonts w:eastAsia="Calibri"/>
                <w:sz w:val="20"/>
                <w:lang w:val="fr-CA"/>
              </w:rPr>
            </w:pPr>
          </w:p>
          <w:p w:rsidR="004F3160" w:rsidRPr="005143FF" w:rsidRDefault="004F3160" w:rsidP="0098614E">
            <w:pPr>
              <w:jc w:val="both"/>
              <w:rPr>
                <w:rFonts w:eastAsia="Calibri"/>
                <w:sz w:val="20"/>
              </w:rPr>
            </w:pPr>
            <w:r w:rsidRPr="005143FF">
              <w:rPr>
                <w:rFonts w:eastAsia="Calibri"/>
                <w:sz w:val="20"/>
                <w:lang w:val="fr-CA"/>
              </w:rPr>
              <w:t>M. Charbonneau a soutenu en appel que la juge du procès avait commis une erreur dans ses directives au jury concernant la preuve d’identification par un témoin oculaire.  Toujours selon lui, la juge du procès a décidé à tort qu’il pourrait être contre-interrogé au sujet de son casier judiciaire s’il choisissait de témoigner.  L’appel a été rejeté</w:t>
            </w:r>
            <w:r w:rsidRPr="005143FF">
              <w:rPr>
                <w:rFonts w:eastAsia="Calibri"/>
                <w:sz w:val="20"/>
              </w:rPr>
              <w:t>.</w:t>
            </w:r>
          </w:p>
          <w:p w:rsidR="004F3160" w:rsidRPr="005143FF" w:rsidRDefault="004F3160" w:rsidP="0098614E">
            <w:pPr>
              <w:jc w:val="both"/>
              <w:rPr>
                <w:rFonts w:eastAsia="Calibri"/>
                <w:sz w:val="20"/>
              </w:rPr>
            </w:pPr>
          </w:p>
        </w:tc>
      </w:tr>
      <w:tr w:rsidR="004F3160" w:rsidRPr="005143FF" w:rsidTr="0098614E">
        <w:tc>
          <w:tcPr>
            <w:tcW w:w="2427" w:type="pct"/>
          </w:tcPr>
          <w:p w:rsidR="004F3160" w:rsidRPr="005143FF" w:rsidRDefault="004F3160" w:rsidP="0098614E">
            <w:pPr>
              <w:jc w:val="both"/>
              <w:rPr>
                <w:rFonts w:eastAsia="Calibri"/>
                <w:sz w:val="20"/>
                <w:lang w:val="fr-CA"/>
              </w:rPr>
            </w:pPr>
            <w:r w:rsidRPr="005143FF">
              <w:rPr>
                <w:rFonts w:eastAsia="Calibri"/>
                <w:sz w:val="20"/>
                <w:lang w:val="fr-CA"/>
              </w:rPr>
              <w:t>3 février 2006</w:t>
            </w:r>
          </w:p>
          <w:p w:rsidR="004F3160" w:rsidRPr="005143FF" w:rsidRDefault="004F3160" w:rsidP="0098614E">
            <w:pPr>
              <w:jc w:val="both"/>
              <w:rPr>
                <w:rFonts w:eastAsia="Calibri"/>
                <w:sz w:val="20"/>
                <w:lang w:val="fr-CA"/>
              </w:rPr>
            </w:pPr>
            <w:r w:rsidRPr="005143FF">
              <w:rPr>
                <w:rFonts w:eastAsia="Calibri"/>
                <w:sz w:val="20"/>
                <w:lang w:val="fr-CA"/>
              </w:rPr>
              <w:t xml:space="preserve">Cour supérieure de justice de l’Ontario </w:t>
            </w:r>
          </w:p>
          <w:p w:rsidR="004F3160" w:rsidRPr="005143FF" w:rsidRDefault="004F3160" w:rsidP="0098614E">
            <w:pPr>
              <w:jc w:val="both"/>
              <w:rPr>
                <w:rFonts w:eastAsia="Calibri"/>
                <w:sz w:val="20"/>
              </w:rPr>
            </w:pPr>
            <w:r w:rsidRPr="005143FF">
              <w:rPr>
                <w:rFonts w:eastAsia="Calibri"/>
                <w:sz w:val="20"/>
              </w:rPr>
              <w:t>(Juge Aitken)</w:t>
            </w:r>
          </w:p>
          <w:p w:rsidR="004F3160" w:rsidRPr="005143FF" w:rsidRDefault="004F3160" w:rsidP="0098614E">
            <w:pPr>
              <w:jc w:val="both"/>
              <w:rPr>
                <w:rFonts w:eastAsia="Calibri"/>
                <w:sz w:val="20"/>
              </w:rPr>
            </w:pPr>
          </w:p>
        </w:tc>
        <w:tc>
          <w:tcPr>
            <w:tcW w:w="243" w:type="pct"/>
          </w:tcPr>
          <w:p w:rsidR="004F3160" w:rsidRPr="005143FF" w:rsidRDefault="004F3160" w:rsidP="0098614E">
            <w:pPr>
              <w:jc w:val="both"/>
              <w:rPr>
                <w:rFonts w:eastAsia="Calibri"/>
                <w:sz w:val="20"/>
              </w:rPr>
            </w:pPr>
          </w:p>
        </w:tc>
        <w:tc>
          <w:tcPr>
            <w:tcW w:w="2330" w:type="pct"/>
          </w:tcPr>
          <w:p w:rsidR="004F3160" w:rsidRPr="005143FF" w:rsidRDefault="004F3160" w:rsidP="0098614E">
            <w:pPr>
              <w:jc w:val="both"/>
              <w:rPr>
                <w:rFonts w:eastAsia="Calibri"/>
                <w:sz w:val="20"/>
              </w:rPr>
            </w:pPr>
            <w:r w:rsidRPr="005143FF">
              <w:rPr>
                <w:rFonts w:eastAsia="Calibri"/>
                <w:sz w:val="20"/>
              </w:rPr>
              <w:t>Demandeur reconnu coupable d’agression sexuelle</w:t>
            </w:r>
          </w:p>
          <w:p w:rsidR="004F3160" w:rsidRPr="005143FF" w:rsidRDefault="004F3160" w:rsidP="0098614E">
            <w:pPr>
              <w:jc w:val="both"/>
              <w:rPr>
                <w:rFonts w:eastAsia="Calibri"/>
                <w:sz w:val="20"/>
              </w:rPr>
            </w:pPr>
          </w:p>
        </w:tc>
      </w:tr>
      <w:tr w:rsidR="004F3160" w:rsidRPr="005143FF" w:rsidTr="0098614E">
        <w:tc>
          <w:tcPr>
            <w:tcW w:w="2427" w:type="pct"/>
          </w:tcPr>
          <w:p w:rsidR="004F3160" w:rsidRPr="005143FF" w:rsidRDefault="004F3160" w:rsidP="0098614E">
            <w:pPr>
              <w:jc w:val="both"/>
              <w:rPr>
                <w:rFonts w:eastAsia="Calibri"/>
                <w:sz w:val="20"/>
                <w:lang w:val="fr-CA"/>
              </w:rPr>
            </w:pPr>
            <w:r w:rsidRPr="005143FF">
              <w:rPr>
                <w:rFonts w:eastAsia="Calibri"/>
                <w:sz w:val="20"/>
                <w:lang w:val="fr-CA"/>
              </w:rPr>
              <w:t>14 mai 2012</w:t>
            </w:r>
          </w:p>
          <w:p w:rsidR="004F3160" w:rsidRPr="005143FF" w:rsidRDefault="004F3160" w:rsidP="0098614E">
            <w:pPr>
              <w:jc w:val="both"/>
              <w:rPr>
                <w:rFonts w:eastAsia="Calibri"/>
                <w:sz w:val="20"/>
                <w:lang w:val="fr-CA"/>
              </w:rPr>
            </w:pPr>
            <w:r w:rsidRPr="005143FF">
              <w:rPr>
                <w:rFonts w:eastAsia="Calibri"/>
                <w:sz w:val="20"/>
                <w:lang w:val="fr-CA"/>
              </w:rPr>
              <w:t>Cour d’appel de l’Ontario</w:t>
            </w:r>
          </w:p>
          <w:p w:rsidR="004F3160" w:rsidRPr="005143FF" w:rsidRDefault="004F3160" w:rsidP="0098614E">
            <w:pPr>
              <w:jc w:val="both"/>
              <w:rPr>
                <w:rFonts w:eastAsia="Calibri"/>
                <w:sz w:val="20"/>
                <w:lang w:val="fr-CA"/>
              </w:rPr>
            </w:pPr>
            <w:r w:rsidRPr="005143FF">
              <w:rPr>
                <w:rFonts w:eastAsia="Calibri"/>
                <w:sz w:val="20"/>
                <w:lang w:val="fr-CA"/>
              </w:rPr>
              <w:t>(Juges Weiler, Simmons et Cronk)</w:t>
            </w:r>
          </w:p>
          <w:p w:rsidR="004F3160" w:rsidRPr="005143FF" w:rsidRDefault="004F3160" w:rsidP="0098614E">
            <w:pPr>
              <w:jc w:val="both"/>
              <w:rPr>
                <w:rFonts w:eastAsia="Calibri"/>
                <w:sz w:val="20"/>
              </w:rPr>
            </w:pPr>
            <w:r w:rsidRPr="005143FF">
              <w:rPr>
                <w:rFonts w:eastAsia="Calibri"/>
                <w:sz w:val="20"/>
              </w:rPr>
              <w:t>2012 ONCA 314; C49981</w:t>
            </w:r>
          </w:p>
          <w:p w:rsidR="004F3160" w:rsidRPr="005143FF" w:rsidRDefault="004F3160" w:rsidP="0098614E">
            <w:pPr>
              <w:jc w:val="both"/>
              <w:rPr>
                <w:rFonts w:eastAsia="Calibri"/>
                <w:sz w:val="20"/>
              </w:rPr>
            </w:pPr>
          </w:p>
        </w:tc>
        <w:tc>
          <w:tcPr>
            <w:tcW w:w="243" w:type="pct"/>
          </w:tcPr>
          <w:p w:rsidR="004F3160" w:rsidRPr="005143FF" w:rsidRDefault="004F3160" w:rsidP="0098614E">
            <w:pPr>
              <w:jc w:val="both"/>
              <w:rPr>
                <w:rFonts w:eastAsia="Calibri"/>
                <w:sz w:val="20"/>
              </w:rPr>
            </w:pPr>
          </w:p>
        </w:tc>
        <w:tc>
          <w:tcPr>
            <w:tcW w:w="2330" w:type="pct"/>
          </w:tcPr>
          <w:p w:rsidR="004F3160" w:rsidRPr="005143FF" w:rsidRDefault="004F3160" w:rsidP="0098614E">
            <w:pPr>
              <w:jc w:val="both"/>
              <w:rPr>
                <w:rFonts w:eastAsia="Calibri"/>
                <w:sz w:val="20"/>
              </w:rPr>
            </w:pPr>
            <w:r w:rsidRPr="005143FF">
              <w:rPr>
                <w:rFonts w:eastAsia="Calibri"/>
                <w:sz w:val="20"/>
              </w:rPr>
              <w:t>Appel rejeté</w:t>
            </w:r>
          </w:p>
          <w:p w:rsidR="004F3160" w:rsidRPr="005143FF" w:rsidRDefault="004F3160" w:rsidP="0098614E">
            <w:pPr>
              <w:jc w:val="both"/>
              <w:rPr>
                <w:rFonts w:eastAsia="Calibri"/>
                <w:sz w:val="20"/>
              </w:rPr>
            </w:pPr>
          </w:p>
        </w:tc>
      </w:tr>
      <w:tr w:rsidR="004F3160" w:rsidRPr="00B86261" w:rsidTr="0098614E">
        <w:tc>
          <w:tcPr>
            <w:tcW w:w="2427" w:type="pct"/>
          </w:tcPr>
          <w:p w:rsidR="004F3160" w:rsidRPr="005143FF" w:rsidRDefault="004F3160" w:rsidP="0098614E">
            <w:pPr>
              <w:jc w:val="both"/>
              <w:rPr>
                <w:rFonts w:eastAsia="Calibri"/>
                <w:sz w:val="20"/>
                <w:lang w:val="fr-CA"/>
              </w:rPr>
            </w:pPr>
            <w:r w:rsidRPr="005143FF">
              <w:rPr>
                <w:rFonts w:eastAsia="Calibri"/>
                <w:sz w:val="20"/>
                <w:lang w:val="fr-CA"/>
              </w:rPr>
              <w:t>11 avril 2013</w:t>
            </w:r>
          </w:p>
          <w:p w:rsidR="004F3160" w:rsidRPr="005143FF" w:rsidRDefault="004F3160" w:rsidP="0098614E">
            <w:pPr>
              <w:jc w:val="both"/>
              <w:rPr>
                <w:rFonts w:eastAsia="Calibri"/>
                <w:sz w:val="20"/>
                <w:lang w:val="fr-CA"/>
              </w:rPr>
            </w:pPr>
            <w:r w:rsidRPr="005143FF">
              <w:rPr>
                <w:rFonts w:eastAsia="Calibri"/>
                <w:sz w:val="20"/>
                <w:lang w:val="fr-CA"/>
              </w:rPr>
              <w:t>Cour suprême du Canada</w:t>
            </w:r>
          </w:p>
        </w:tc>
        <w:tc>
          <w:tcPr>
            <w:tcW w:w="243" w:type="pct"/>
          </w:tcPr>
          <w:p w:rsidR="004F3160" w:rsidRPr="005143FF" w:rsidRDefault="004F3160" w:rsidP="0098614E">
            <w:pPr>
              <w:jc w:val="both"/>
              <w:rPr>
                <w:rFonts w:eastAsia="Calibri"/>
                <w:sz w:val="20"/>
                <w:lang w:val="fr-CA"/>
              </w:rPr>
            </w:pPr>
          </w:p>
        </w:tc>
        <w:tc>
          <w:tcPr>
            <w:tcW w:w="2330" w:type="pct"/>
          </w:tcPr>
          <w:p w:rsidR="004F3160" w:rsidRPr="005143FF" w:rsidRDefault="004F3160" w:rsidP="0098614E">
            <w:pPr>
              <w:jc w:val="both"/>
              <w:rPr>
                <w:rFonts w:eastAsia="Calibri"/>
                <w:sz w:val="20"/>
                <w:lang w:val="fr-CA"/>
              </w:rPr>
            </w:pPr>
            <w:r w:rsidRPr="005143FF">
              <w:rPr>
                <w:rFonts w:eastAsia="Calibri"/>
                <w:sz w:val="20"/>
                <w:lang w:val="fr-CA"/>
              </w:rPr>
              <w:t xml:space="preserve">Requête en prorogation de délai et demande d’autorisation </w:t>
            </w:r>
            <w:proofErr w:type="gramStart"/>
            <w:r w:rsidRPr="005143FF">
              <w:rPr>
                <w:rFonts w:eastAsia="Calibri"/>
                <w:sz w:val="20"/>
                <w:lang w:val="fr-CA"/>
              </w:rPr>
              <w:t>d’appel déposées</w:t>
            </w:r>
            <w:proofErr w:type="gramEnd"/>
            <w:r w:rsidRPr="005143FF">
              <w:rPr>
                <w:rFonts w:eastAsia="Calibri"/>
                <w:sz w:val="20"/>
                <w:lang w:val="fr-CA"/>
              </w:rPr>
              <w:t xml:space="preserve"> </w:t>
            </w:r>
          </w:p>
        </w:tc>
      </w:tr>
    </w:tbl>
    <w:p w:rsidR="00332827" w:rsidRPr="004F3160" w:rsidRDefault="00332827" w:rsidP="00332827">
      <w:pPr>
        <w:rPr>
          <w:sz w:val="20"/>
          <w:szCs w:val="20"/>
          <w:lang w:val="fr-CA"/>
        </w:rPr>
      </w:pPr>
    </w:p>
    <w:p w:rsidR="00332827" w:rsidRDefault="005F2BA7" w:rsidP="00332827">
      <w:pPr>
        <w:rPr>
          <w:sz w:val="20"/>
          <w:szCs w:val="20"/>
        </w:rPr>
      </w:pPr>
      <w:r w:rsidRPr="005F2BA7">
        <w:rPr>
          <w:sz w:val="20"/>
          <w:szCs w:val="20"/>
          <w:lang w:val="fr-CA"/>
        </w:rPr>
        <w:pict>
          <v:rect id="_x0000_i1068" style="width:2in;height:1pt" o:hrpct="0" o:hralign="center" o:hrstd="t" o:hrnoshade="t" o:hr="t" fillcolor="black [3213]" stroked="f"/>
        </w:pict>
      </w:r>
    </w:p>
    <w:p w:rsidR="00332827" w:rsidRPr="00332827" w:rsidRDefault="00332827" w:rsidP="0033282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5457" w:rsidRPr="009B1157" w:rsidTr="00C173EE">
        <w:trPr>
          <w:cantSplit/>
        </w:trPr>
        <w:tc>
          <w:tcPr>
            <w:tcW w:w="1458" w:type="dxa"/>
          </w:tcPr>
          <w:p w:rsidR="00575457" w:rsidRPr="009B1157" w:rsidRDefault="00575457" w:rsidP="00C173EE">
            <w:pPr>
              <w:rPr>
                <w:sz w:val="20"/>
                <w:szCs w:val="20"/>
              </w:rPr>
            </w:pPr>
            <w:r w:rsidRPr="009B1157">
              <w:rPr>
                <w:rStyle w:val="SCCFileNumberChar"/>
                <w:sz w:val="20"/>
                <w:szCs w:val="20"/>
              </w:rPr>
              <w:t>35319</w:t>
            </w:r>
          </w:p>
          <w:p w:rsidR="00575457" w:rsidRPr="009B1157" w:rsidRDefault="00575457" w:rsidP="00C173EE">
            <w:pPr>
              <w:rPr>
                <w:b/>
                <w:sz w:val="20"/>
                <w:szCs w:val="20"/>
                <w:lang w:val="fr-CA"/>
              </w:rPr>
            </w:pPr>
          </w:p>
        </w:tc>
        <w:tc>
          <w:tcPr>
            <w:tcW w:w="8118" w:type="dxa"/>
          </w:tcPr>
          <w:p w:rsidR="00575457" w:rsidRPr="009B1157" w:rsidRDefault="00575457" w:rsidP="00C173EE">
            <w:pPr>
              <w:rPr>
                <w:sz w:val="20"/>
                <w:szCs w:val="20"/>
              </w:rPr>
            </w:pPr>
            <w:r w:rsidRPr="00575457">
              <w:rPr>
                <w:rStyle w:val="SCCLsocChar"/>
                <w:sz w:val="20"/>
                <w:szCs w:val="20"/>
                <w:lang w:val="en-CA"/>
              </w:rPr>
              <w:t>Stephen Fazekas v. Her Majesty the Queen</w:t>
            </w:r>
            <w:r w:rsidRPr="009B1157">
              <w:rPr>
                <w:sz w:val="20"/>
                <w:szCs w:val="20"/>
              </w:rPr>
              <w:t xml:space="preserve"> (Ont.) (Criminal) (By Leave)</w:t>
            </w:r>
          </w:p>
          <w:p w:rsidR="00575457" w:rsidRPr="009B1157" w:rsidRDefault="00575457" w:rsidP="00C173EE">
            <w:pPr>
              <w:rPr>
                <w:sz w:val="20"/>
                <w:szCs w:val="20"/>
              </w:rPr>
            </w:pPr>
          </w:p>
        </w:tc>
      </w:tr>
      <w:tr w:rsidR="00575457" w:rsidRPr="009B1157" w:rsidTr="00C173EE">
        <w:trPr>
          <w:cantSplit/>
        </w:trPr>
        <w:tc>
          <w:tcPr>
            <w:tcW w:w="1458" w:type="dxa"/>
          </w:tcPr>
          <w:p w:rsidR="00575457" w:rsidRPr="009B1157" w:rsidRDefault="00575457" w:rsidP="00C173EE">
            <w:pPr>
              <w:rPr>
                <w:sz w:val="20"/>
                <w:szCs w:val="20"/>
              </w:rPr>
            </w:pPr>
            <w:r w:rsidRPr="009B1157">
              <w:rPr>
                <w:sz w:val="20"/>
                <w:szCs w:val="20"/>
              </w:rPr>
              <w:t>Coram :</w:t>
            </w:r>
          </w:p>
        </w:tc>
        <w:tc>
          <w:tcPr>
            <w:tcW w:w="8118" w:type="dxa"/>
          </w:tcPr>
          <w:p w:rsidR="00575457" w:rsidRPr="009B1157" w:rsidRDefault="00575457" w:rsidP="00C173EE">
            <w:pPr>
              <w:rPr>
                <w:sz w:val="20"/>
                <w:szCs w:val="20"/>
              </w:rPr>
            </w:pPr>
            <w:r w:rsidRPr="00575457">
              <w:rPr>
                <w:rStyle w:val="SCCCoramChar"/>
                <w:sz w:val="20"/>
                <w:szCs w:val="20"/>
                <w:lang w:val="en-CA"/>
              </w:rPr>
              <w:t>Fish, Rothstein and Moldaver JJ.</w:t>
            </w:r>
          </w:p>
          <w:p w:rsidR="00575457" w:rsidRPr="009B1157" w:rsidRDefault="00575457" w:rsidP="00C173EE">
            <w:pPr>
              <w:rPr>
                <w:sz w:val="20"/>
                <w:szCs w:val="20"/>
                <w:u w:val="single"/>
              </w:rPr>
            </w:pPr>
          </w:p>
        </w:tc>
      </w:tr>
      <w:tr w:rsidR="00575457" w:rsidRPr="00B86261" w:rsidTr="00C173EE">
        <w:trPr>
          <w:cantSplit/>
        </w:trPr>
        <w:tc>
          <w:tcPr>
            <w:tcW w:w="9576" w:type="dxa"/>
            <w:gridSpan w:val="2"/>
          </w:tcPr>
          <w:p w:rsidR="00575457" w:rsidRPr="009B1157" w:rsidRDefault="00575457" w:rsidP="00C173EE">
            <w:pPr>
              <w:pStyle w:val="SCCShortJudgment"/>
              <w:rPr>
                <w:szCs w:val="20"/>
              </w:rPr>
            </w:pPr>
            <w:r w:rsidRPr="009B1157">
              <w:rPr>
                <w:szCs w:val="20"/>
              </w:rPr>
              <w:t>The motion for an extension of time to serve and file an application for leave to appeal is granted.  The application for leave to appeal from the judgment of the Court of Appeal for Ontario, Number C54330, dated June 12, 2012, is dismissed without costs.</w:t>
            </w:r>
          </w:p>
          <w:p w:rsidR="00575457" w:rsidRPr="009B1157" w:rsidRDefault="00575457" w:rsidP="00C173EE">
            <w:pPr>
              <w:pStyle w:val="SCCShortJudgment"/>
              <w:ind w:firstLine="0"/>
              <w:rPr>
                <w:szCs w:val="20"/>
              </w:rPr>
            </w:pPr>
          </w:p>
          <w:p w:rsidR="00575457" w:rsidRPr="009B1157" w:rsidRDefault="00575457" w:rsidP="00C173EE">
            <w:pPr>
              <w:pStyle w:val="SCCShortJudgment"/>
              <w:rPr>
                <w:szCs w:val="20"/>
                <w:lang w:val="fr-CA"/>
              </w:rPr>
            </w:pPr>
            <w:r w:rsidRPr="009B1157">
              <w:rPr>
                <w:szCs w:val="20"/>
                <w:lang w:val="fr-CA"/>
              </w:rPr>
              <w:t>La requête en prorogation du délai de signification et de dépôt de la demande d’autorisation d’appel est accueillie.  La demande d’autorisation d’appel de l’arrêt de la Cour d’appel de l’Ontario, numéro C54330, daté du 12 juin 2012, est rejetée sans dépens.</w:t>
            </w:r>
          </w:p>
        </w:tc>
      </w:tr>
    </w:tbl>
    <w:p w:rsidR="00332827" w:rsidRPr="00575457" w:rsidRDefault="00332827" w:rsidP="000E2959">
      <w:pPr>
        <w:rPr>
          <w:sz w:val="20"/>
          <w:szCs w:val="20"/>
          <w:lang w:val="fr-CA"/>
        </w:rPr>
      </w:pPr>
    </w:p>
    <w:p w:rsidR="00560066" w:rsidRPr="007A77F9" w:rsidRDefault="00560066">
      <w:pPr>
        <w:rPr>
          <w:sz w:val="20"/>
          <w:szCs w:val="20"/>
          <w:u w:val="single"/>
          <w:lang w:val="fr-CA"/>
        </w:rPr>
      </w:pPr>
      <w:r w:rsidRPr="007A77F9">
        <w:rPr>
          <w:sz w:val="20"/>
          <w:szCs w:val="20"/>
          <w:u w:val="single"/>
          <w:lang w:val="fr-CA"/>
        </w:rPr>
        <w:br w:type="page"/>
      </w:r>
    </w:p>
    <w:p w:rsidR="00332827" w:rsidRPr="001B157C" w:rsidRDefault="00332827" w:rsidP="00332827">
      <w:pPr>
        <w:rPr>
          <w:sz w:val="20"/>
          <w:szCs w:val="20"/>
          <w:u w:val="single"/>
        </w:rPr>
      </w:pPr>
      <w:r w:rsidRPr="001B157C">
        <w:rPr>
          <w:sz w:val="20"/>
          <w:szCs w:val="20"/>
          <w:u w:val="single"/>
        </w:rPr>
        <w:lastRenderedPageBreak/>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4F3160" w:rsidRPr="005143FF" w:rsidTr="0025352C">
        <w:trPr>
          <w:cantSplit/>
        </w:trPr>
        <w:tc>
          <w:tcPr>
            <w:tcW w:w="5000" w:type="pct"/>
            <w:gridSpan w:val="3"/>
          </w:tcPr>
          <w:p w:rsidR="004F3160" w:rsidRPr="005143FF" w:rsidRDefault="004F3160" w:rsidP="0098614E">
            <w:pPr>
              <w:jc w:val="both"/>
              <w:rPr>
                <w:rFonts w:eastAsia="Calibri"/>
                <w:smallCaps/>
                <w:sz w:val="20"/>
              </w:rPr>
            </w:pPr>
            <w:r w:rsidRPr="005143FF">
              <w:rPr>
                <w:rFonts w:eastAsia="Calibri"/>
                <w:smallCaps/>
                <w:sz w:val="20"/>
              </w:rPr>
              <w:t>(Publication Ban in Case)</w:t>
            </w:r>
          </w:p>
          <w:p w:rsidR="004F3160" w:rsidRPr="005143FF" w:rsidRDefault="004F3160" w:rsidP="0098614E">
            <w:pPr>
              <w:jc w:val="both"/>
              <w:rPr>
                <w:rFonts w:eastAsia="Calibri"/>
                <w:sz w:val="20"/>
              </w:rPr>
            </w:pPr>
          </w:p>
          <w:p w:rsidR="004F3160" w:rsidRPr="005143FF" w:rsidRDefault="004F3160" w:rsidP="0098614E">
            <w:pPr>
              <w:jc w:val="both"/>
              <w:rPr>
                <w:rFonts w:eastAsia="Calibri"/>
                <w:sz w:val="20"/>
              </w:rPr>
            </w:pPr>
            <w:r w:rsidRPr="005143FF">
              <w:rPr>
                <w:rFonts w:eastAsia="Calibri"/>
                <w:i/>
                <w:sz w:val="20"/>
              </w:rPr>
              <w:t>Charter of Rights</w:t>
            </w:r>
            <w:r w:rsidRPr="005143FF">
              <w:rPr>
                <w:rFonts w:eastAsia="Calibri"/>
                <w:sz w:val="20"/>
              </w:rPr>
              <w:t xml:space="preserve"> – Criminal Law – Sentencing – Whether a sentence based on prior convictions is double punishment, double jeopardy or cruel and unusual punishment in breach of s. 11(</w:t>
            </w:r>
            <w:r w:rsidRPr="005143FF">
              <w:rPr>
                <w:rFonts w:eastAsia="Calibri"/>
                <w:i/>
                <w:sz w:val="20"/>
              </w:rPr>
              <w:t>h</w:t>
            </w:r>
            <w:r w:rsidRPr="005143FF">
              <w:rPr>
                <w:rFonts w:eastAsia="Calibri"/>
                <w:sz w:val="20"/>
              </w:rPr>
              <w:t xml:space="preserve">) or s. 12 of the </w:t>
            </w:r>
            <w:r w:rsidRPr="005143FF">
              <w:rPr>
                <w:rFonts w:eastAsia="Calibri"/>
                <w:i/>
                <w:sz w:val="20"/>
              </w:rPr>
              <w:t>Charter</w:t>
            </w:r>
            <w:r w:rsidRPr="005143FF">
              <w:rPr>
                <w:rFonts w:eastAsia="Calibri"/>
                <w:sz w:val="20"/>
              </w:rPr>
              <w:t xml:space="preserve"> – Whether failure to adhere to </w:t>
            </w:r>
            <w:r w:rsidRPr="005143FF">
              <w:rPr>
                <w:rFonts w:eastAsia="Calibri"/>
                <w:i/>
                <w:sz w:val="20"/>
              </w:rPr>
              <w:t xml:space="preserve">Charter </w:t>
            </w:r>
            <w:r w:rsidRPr="005143FF">
              <w:rPr>
                <w:rFonts w:eastAsia="Calibri"/>
                <w:sz w:val="20"/>
              </w:rPr>
              <w:t xml:space="preserve">values during trial made the trial inherently unfair – Whether evidence of prior convictions should have been excluded under s. 24 of the </w:t>
            </w:r>
            <w:r w:rsidRPr="005143FF">
              <w:rPr>
                <w:rFonts w:eastAsia="Calibri"/>
                <w:i/>
                <w:sz w:val="20"/>
              </w:rPr>
              <w:t xml:space="preserve">Charter </w:t>
            </w:r>
            <w:r w:rsidRPr="005143FF">
              <w:rPr>
                <w:rFonts w:eastAsia="Calibri"/>
                <w:sz w:val="20"/>
              </w:rPr>
              <w:t xml:space="preserve">because applicant could prove the </w:t>
            </w:r>
            <w:r w:rsidRPr="005143FF">
              <w:rPr>
                <w:rFonts w:eastAsia="Calibri"/>
                <w:i/>
                <w:sz w:val="20"/>
              </w:rPr>
              <w:t>Charter</w:t>
            </w:r>
            <w:r w:rsidRPr="005143FF">
              <w:rPr>
                <w:rFonts w:eastAsia="Calibri"/>
                <w:sz w:val="20"/>
              </w:rPr>
              <w:t xml:space="preserve"> was infringed at each of the previous trials.</w:t>
            </w:r>
          </w:p>
        </w:tc>
      </w:tr>
      <w:tr w:rsidR="004F3160" w:rsidRPr="005143FF" w:rsidTr="0025352C">
        <w:trPr>
          <w:cantSplit/>
        </w:trPr>
        <w:tc>
          <w:tcPr>
            <w:tcW w:w="5000" w:type="pct"/>
            <w:gridSpan w:val="3"/>
          </w:tcPr>
          <w:p w:rsidR="004F3160" w:rsidRPr="005143FF" w:rsidRDefault="004F3160" w:rsidP="0098614E">
            <w:pPr>
              <w:jc w:val="both"/>
              <w:rPr>
                <w:rFonts w:eastAsia="Calibri"/>
                <w:sz w:val="20"/>
              </w:rPr>
            </w:pPr>
          </w:p>
        </w:tc>
      </w:tr>
      <w:tr w:rsidR="004F3160" w:rsidRPr="005143FF" w:rsidTr="0025352C">
        <w:trPr>
          <w:cantSplit/>
        </w:trPr>
        <w:tc>
          <w:tcPr>
            <w:tcW w:w="5000" w:type="pct"/>
            <w:gridSpan w:val="3"/>
          </w:tcPr>
          <w:p w:rsidR="004F3160" w:rsidRPr="005143FF" w:rsidRDefault="004F3160" w:rsidP="0098614E">
            <w:pPr>
              <w:jc w:val="both"/>
              <w:rPr>
                <w:rFonts w:eastAsia="Calibri"/>
                <w:sz w:val="20"/>
              </w:rPr>
            </w:pPr>
            <w:r w:rsidRPr="005143FF">
              <w:rPr>
                <w:rFonts w:eastAsia="Calibri"/>
                <w:sz w:val="20"/>
              </w:rPr>
              <w:t>The applicant walked into the complainant’s apartment through a partially open door, uninvited and without knocking.  He refused to leave when told to get out.  He grabbed the complainant’s arm.  He left when she picked up the phone to call the police.  Afterwards, he twice telephoned the complainant asking for money.  A jury convicted the applicant on counts of break and enter with intent to commit an indictable offence, assault, and criminal harassment.  The sentencing judge noted</w:t>
            </w:r>
            <w:r w:rsidRPr="005143FF">
              <w:rPr>
                <w:sz w:val="20"/>
                <w:lang w:eastAsia="en-CA"/>
              </w:rPr>
              <w:t xml:space="preserve"> th</w:t>
            </w:r>
            <w:r w:rsidRPr="005143FF">
              <w:rPr>
                <w:rFonts w:eastAsia="Calibri"/>
                <w:sz w:val="20"/>
              </w:rPr>
              <w:t>e applicant’s lengthy criminal record.  The applicant was sentenced to 3 years for criminal harassment, 12 months concurrent for entering a dwelling house with intent, and 6 months concurrent for assault.  The Court of Appeal dismissed an appeal from the convictions and sentences.</w:t>
            </w:r>
          </w:p>
          <w:p w:rsidR="004F3160" w:rsidRPr="005143FF" w:rsidRDefault="004F3160" w:rsidP="0098614E">
            <w:pPr>
              <w:jc w:val="both"/>
              <w:rPr>
                <w:rFonts w:eastAsia="Calibri"/>
                <w:sz w:val="20"/>
              </w:rPr>
            </w:pPr>
          </w:p>
        </w:tc>
      </w:tr>
      <w:tr w:rsidR="004F3160" w:rsidRPr="005143FF" w:rsidTr="0025352C">
        <w:tblPrEx>
          <w:tblCellMar>
            <w:bottom w:w="0" w:type="dxa"/>
          </w:tblCellMar>
        </w:tblPrEx>
        <w:trPr>
          <w:cantSplit/>
        </w:trPr>
        <w:tc>
          <w:tcPr>
            <w:tcW w:w="2390" w:type="pct"/>
          </w:tcPr>
          <w:p w:rsidR="004F3160" w:rsidRPr="005143FF" w:rsidRDefault="004F3160" w:rsidP="0098614E">
            <w:pPr>
              <w:jc w:val="both"/>
              <w:rPr>
                <w:rFonts w:eastAsia="Calibri"/>
                <w:sz w:val="20"/>
              </w:rPr>
            </w:pPr>
            <w:r w:rsidRPr="005143FF">
              <w:rPr>
                <w:rFonts w:eastAsia="Calibri"/>
                <w:sz w:val="20"/>
              </w:rPr>
              <w:t>September 8, 2011</w:t>
            </w:r>
          </w:p>
          <w:p w:rsidR="004F3160" w:rsidRPr="005143FF" w:rsidRDefault="004F3160" w:rsidP="0098614E">
            <w:pPr>
              <w:jc w:val="both"/>
              <w:rPr>
                <w:rFonts w:eastAsia="Calibri"/>
                <w:sz w:val="20"/>
              </w:rPr>
            </w:pPr>
            <w:r w:rsidRPr="005143FF">
              <w:rPr>
                <w:rFonts w:eastAsia="Calibri"/>
                <w:sz w:val="20"/>
              </w:rPr>
              <w:t>Ontario Superior Court of Justice</w:t>
            </w:r>
          </w:p>
          <w:p w:rsidR="004F3160" w:rsidRPr="005143FF" w:rsidRDefault="004F3160" w:rsidP="0098614E">
            <w:pPr>
              <w:jc w:val="both"/>
              <w:rPr>
                <w:rFonts w:eastAsia="Calibri"/>
                <w:sz w:val="20"/>
              </w:rPr>
            </w:pPr>
            <w:r w:rsidRPr="005143FF">
              <w:rPr>
                <w:rFonts w:eastAsia="Calibri"/>
                <w:sz w:val="20"/>
              </w:rPr>
              <w:t xml:space="preserve">(Pourpore J.) </w:t>
            </w:r>
          </w:p>
          <w:p w:rsidR="004F3160" w:rsidRPr="005143FF" w:rsidRDefault="004F3160" w:rsidP="0098614E">
            <w:pPr>
              <w:jc w:val="both"/>
              <w:rPr>
                <w:rFonts w:eastAsia="Calibri"/>
                <w:sz w:val="20"/>
              </w:rPr>
            </w:pPr>
          </w:p>
        </w:tc>
        <w:tc>
          <w:tcPr>
            <w:tcW w:w="270" w:type="pct"/>
          </w:tcPr>
          <w:p w:rsidR="004F3160" w:rsidRPr="005143FF" w:rsidRDefault="004F3160" w:rsidP="0098614E">
            <w:pPr>
              <w:jc w:val="both"/>
              <w:rPr>
                <w:rFonts w:eastAsia="Calibri"/>
                <w:sz w:val="20"/>
              </w:rPr>
            </w:pPr>
          </w:p>
        </w:tc>
        <w:tc>
          <w:tcPr>
            <w:tcW w:w="2340" w:type="pct"/>
          </w:tcPr>
          <w:p w:rsidR="004F3160" w:rsidRPr="005143FF" w:rsidRDefault="004F3160" w:rsidP="0098614E">
            <w:pPr>
              <w:jc w:val="both"/>
              <w:rPr>
                <w:rFonts w:eastAsia="Calibri"/>
                <w:sz w:val="20"/>
              </w:rPr>
            </w:pPr>
            <w:r w:rsidRPr="005143FF">
              <w:rPr>
                <w:rFonts w:eastAsia="Calibri"/>
                <w:sz w:val="20"/>
              </w:rPr>
              <w:t>Convictions by jury for criminal harassment, assault, and break and enter with intent to commit an indictable offence</w:t>
            </w:r>
          </w:p>
        </w:tc>
      </w:tr>
      <w:tr w:rsidR="004F3160" w:rsidRPr="005143FF" w:rsidTr="0025352C">
        <w:tblPrEx>
          <w:tblCellMar>
            <w:bottom w:w="0" w:type="dxa"/>
          </w:tblCellMar>
        </w:tblPrEx>
        <w:trPr>
          <w:cantSplit/>
        </w:trPr>
        <w:tc>
          <w:tcPr>
            <w:tcW w:w="2390" w:type="pct"/>
          </w:tcPr>
          <w:p w:rsidR="004F3160" w:rsidRPr="005143FF" w:rsidRDefault="004F3160" w:rsidP="0098614E">
            <w:pPr>
              <w:jc w:val="both"/>
              <w:rPr>
                <w:rFonts w:eastAsia="Calibri"/>
                <w:sz w:val="20"/>
              </w:rPr>
            </w:pPr>
            <w:r w:rsidRPr="005143FF">
              <w:rPr>
                <w:rFonts w:eastAsia="Calibri"/>
                <w:sz w:val="20"/>
              </w:rPr>
              <w:t>June 12, 2012</w:t>
            </w:r>
          </w:p>
          <w:p w:rsidR="004F3160" w:rsidRPr="005143FF" w:rsidRDefault="004F3160" w:rsidP="0098614E">
            <w:pPr>
              <w:jc w:val="both"/>
              <w:rPr>
                <w:rFonts w:eastAsia="Calibri"/>
                <w:sz w:val="20"/>
              </w:rPr>
            </w:pPr>
            <w:r w:rsidRPr="005143FF">
              <w:rPr>
                <w:rFonts w:eastAsia="Calibri"/>
                <w:sz w:val="20"/>
              </w:rPr>
              <w:t>Court of Appeal for Ontario</w:t>
            </w:r>
          </w:p>
          <w:p w:rsidR="004F3160" w:rsidRPr="005143FF" w:rsidRDefault="004F3160" w:rsidP="0098614E">
            <w:pPr>
              <w:jc w:val="both"/>
              <w:rPr>
                <w:rFonts w:eastAsia="Calibri"/>
                <w:sz w:val="20"/>
              </w:rPr>
            </w:pPr>
            <w:r w:rsidRPr="005143FF">
              <w:rPr>
                <w:rFonts w:eastAsia="Calibri"/>
                <w:sz w:val="20"/>
              </w:rPr>
              <w:t>(Laskin, Blair, Hoy JJ.A.)</w:t>
            </w:r>
          </w:p>
          <w:p w:rsidR="004F3160" w:rsidRPr="005143FF" w:rsidRDefault="004F3160" w:rsidP="0098614E">
            <w:pPr>
              <w:jc w:val="both"/>
              <w:rPr>
                <w:rFonts w:eastAsia="Calibri"/>
                <w:sz w:val="20"/>
              </w:rPr>
            </w:pPr>
            <w:r w:rsidRPr="005143FF">
              <w:rPr>
                <w:rFonts w:eastAsia="Calibri"/>
                <w:sz w:val="20"/>
              </w:rPr>
              <w:t>(By Endorsement of Appeal Book)</w:t>
            </w:r>
          </w:p>
          <w:p w:rsidR="004F3160" w:rsidRPr="005143FF" w:rsidRDefault="004F3160" w:rsidP="0098614E">
            <w:pPr>
              <w:jc w:val="both"/>
              <w:rPr>
                <w:rFonts w:eastAsia="Calibri"/>
                <w:sz w:val="20"/>
              </w:rPr>
            </w:pPr>
          </w:p>
        </w:tc>
        <w:tc>
          <w:tcPr>
            <w:tcW w:w="270" w:type="pct"/>
          </w:tcPr>
          <w:p w:rsidR="004F3160" w:rsidRPr="005143FF" w:rsidRDefault="004F3160" w:rsidP="0098614E">
            <w:pPr>
              <w:jc w:val="both"/>
              <w:rPr>
                <w:rFonts w:eastAsia="Calibri"/>
                <w:sz w:val="20"/>
              </w:rPr>
            </w:pPr>
          </w:p>
        </w:tc>
        <w:tc>
          <w:tcPr>
            <w:tcW w:w="2340" w:type="pct"/>
          </w:tcPr>
          <w:p w:rsidR="004F3160" w:rsidRPr="005143FF" w:rsidRDefault="004F3160" w:rsidP="0098614E">
            <w:pPr>
              <w:jc w:val="both"/>
              <w:rPr>
                <w:rFonts w:eastAsia="Calibri"/>
                <w:sz w:val="20"/>
              </w:rPr>
            </w:pPr>
            <w:r w:rsidRPr="005143FF">
              <w:rPr>
                <w:rFonts w:eastAsia="Calibri"/>
                <w:sz w:val="20"/>
              </w:rPr>
              <w:t>Appeal from conviction and sentences dismissed</w:t>
            </w:r>
          </w:p>
          <w:p w:rsidR="004F3160" w:rsidRPr="005143FF" w:rsidRDefault="004F3160" w:rsidP="0098614E">
            <w:pPr>
              <w:jc w:val="both"/>
              <w:rPr>
                <w:rFonts w:eastAsia="Calibri"/>
                <w:sz w:val="20"/>
              </w:rPr>
            </w:pPr>
          </w:p>
        </w:tc>
      </w:tr>
      <w:tr w:rsidR="004F3160" w:rsidRPr="005143FF" w:rsidTr="0025352C">
        <w:tblPrEx>
          <w:tblCellMar>
            <w:bottom w:w="0" w:type="dxa"/>
          </w:tblCellMar>
        </w:tblPrEx>
        <w:trPr>
          <w:cantSplit/>
        </w:trPr>
        <w:tc>
          <w:tcPr>
            <w:tcW w:w="2390" w:type="pct"/>
          </w:tcPr>
          <w:p w:rsidR="004F3160" w:rsidRPr="005143FF" w:rsidRDefault="004F3160" w:rsidP="0098614E">
            <w:pPr>
              <w:jc w:val="both"/>
              <w:rPr>
                <w:rFonts w:eastAsia="Calibri"/>
                <w:sz w:val="20"/>
              </w:rPr>
            </w:pPr>
            <w:r w:rsidRPr="005143FF">
              <w:rPr>
                <w:rFonts w:eastAsia="Calibri"/>
                <w:sz w:val="20"/>
              </w:rPr>
              <w:t>March 7, 2013</w:t>
            </w:r>
          </w:p>
          <w:p w:rsidR="004F3160" w:rsidRPr="005143FF" w:rsidRDefault="004F3160" w:rsidP="0098614E">
            <w:pPr>
              <w:jc w:val="both"/>
              <w:rPr>
                <w:rFonts w:eastAsia="Calibri"/>
                <w:sz w:val="20"/>
              </w:rPr>
            </w:pPr>
            <w:r w:rsidRPr="005143FF">
              <w:rPr>
                <w:rFonts w:eastAsia="Calibri"/>
                <w:sz w:val="20"/>
              </w:rPr>
              <w:t>Supreme Court of Canada</w:t>
            </w:r>
          </w:p>
        </w:tc>
        <w:tc>
          <w:tcPr>
            <w:tcW w:w="270" w:type="pct"/>
          </w:tcPr>
          <w:p w:rsidR="004F3160" w:rsidRPr="005143FF" w:rsidRDefault="004F3160" w:rsidP="0098614E">
            <w:pPr>
              <w:jc w:val="both"/>
              <w:rPr>
                <w:rFonts w:eastAsia="Calibri"/>
                <w:sz w:val="20"/>
              </w:rPr>
            </w:pPr>
          </w:p>
        </w:tc>
        <w:tc>
          <w:tcPr>
            <w:tcW w:w="2340" w:type="pct"/>
          </w:tcPr>
          <w:p w:rsidR="004F3160" w:rsidRPr="005143FF" w:rsidRDefault="004F3160" w:rsidP="0098614E">
            <w:pPr>
              <w:jc w:val="both"/>
              <w:rPr>
                <w:rFonts w:eastAsia="Calibri"/>
                <w:sz w:val="20"/>
              </w:rPr>
            </w:pPr>
            <w:r w:rsidRPr="005143FF">
              <w:rPr>
                <w:rFonts w:eastAsia="Calibri"/>
                <w:sz w:val="20"/>
              </w:rPr>
              <w:t>Application for extension of time to serve and file application for leave to appeal and Application for leave to appeal filed</w:t>
            </w: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69" style="width:2in;height:1pt" o:hrpct="0" o:hralign="center" o:hrstd="t" o:hrnoshade="t" o:hr="t" fillcolor="black [3213]" stroked="f"/>
        </w:pict>
      </w:r>
    </w:p>
    <w:p w:rsidR="00332827" w:rsidRDefault="00332827" w:rsidP="00332827">
      <w:pPr>
        <w:rPr>
          <w:sz w:val="20"/>
          <w:szCs w:val="20"/>
        </w:rPr>
      </w:pPr>
    </w:p>
    <w:p w:rsidR="00332827" w:rsidRPr="001B157C" w:rsidRDefault="00332827" w:rsidP="00332827">
      <w:pPr>
        <w:rPr>
          <w:sz w:val="20"/>
          <w:szCs w:val="20"/>
          <w:u w:val="single"/>
          <w:lang w:val="fr-CA"/>
        </w:rPr>
      </w:pPr>
      <w:r w:rsidRPr="001B157C">
        <w:rPr>
          <w:sz w:val="20"/>
          <w:szCs w:val="20"/>
          <w:u w:val="single"/>
          <w:lang w:val="fr-CA"/>
        </w:rPr>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4F3160" w:rsidRPr="00B86261" w:rsidTr="0098614E">
        <w:tc>
          <w:tcPr>
            <w:tcW w:w="5000" w:type="pct"/>
            <w:gridSpan w:val="3"/>
          </w:tcPr>
          <w:p w:rsidR="004F3160" w:rsidRPr="005143FF" w:rsidRDefault="004F3160" w:rsidP="0098614E">
            <w:pPr>
              <w:jc w:val="both"/>
              <w:rPr>
                <w:rFonts w:eastAsia="Calibri"/>
                <w:smallCaps/>
                <w:sz w:val="20"/>
                <w:lang w:val="fr-CA"/>
              </w:rPr>
            </w:pPr>
            <w:r w:rsidRPr="005143FF">
              <w:rPr>
                <w:rFonts w:eastAsia="Calibri"/>
                <w:smallCaps/>
                <w:sz w:val="20"/>
                <w:lang w:val="fr-CA"/>
              </w:rPr>
              <w:t>(Ordonnance de non-publication dans le dossier)</w:t>
            </w:r>
          </w:p>
          <w:p w:rsidR="004F3160" w:rsidRPr="005143FF" w:rsidRDefault="004F3160" w:rsidP="0098614E">
            <w:pPr>
              <w:jc w:val="both"/>
              <w:rPr>
                <w:rFonts w:eastAsia="Calibri"/>
                <w:sz w:val="20"/>
                <w:lang w:val="fr-CA"/>
              </w:rPr>
            </w:pPr>
          </w:p>
          <w:p w:rsidR="004F3160" w:rsidRPr="005143FF" w:rsidRDefault="004F3160" w:rsidP="0098614E">
            <w:pPr>
              <w:jc w:val="both"/>
              <w:rPr>
                <w:rFonts w:eastAsia="Calibri"/>
                <w:sz w:val="20"/>
                <w:lang w:val="fr-CA"/>
              </w:rPr>
            </w:pPr>
            <w:r w:rsidRPr="005143FF">
              <w:rPr>
                <w:rFonts w:eastAsia="Calibri"/>
                <w:i/>
                <w:sz w:val="20"/>
                <w:lang w:val="fr-CA"/>
              </w:rPr>
              <w:t xml:space="preserve">Charte des droits </w:t>
            </w:r>
            <w:r w:rsidRPr="005143FF">
              <w:rPr>
                <w:rFonts w:eastAsia="Calibri"/>
                <w:sz w:val="20"/>
                <w:lang w:val="fr-CA"/>
              </w:rPr>
              <w:t>– Droit criminel – Détermination de la peine – Une peine fondée sur des condamnations antérieures constitue-t-elle une double peine, un double péril ou une peine cruelle et inusitée en violation de l'al. 11</w:t>
            </w:r>
            <w:r w:rsidRPr="005143FF">
              <w:rPr>
                <w:rFonts w:eastAsia="Calibri"/>
                <w:i/>
                <w:sz w:val="20"/>
                <w:lang w:val="fr-CA"/>
              </w:rPr>
              <w:t>h)</w:t>
            </w:r>
            <w:r w:rsidRPr="005143FF">
              <w:rPr>
                <w:rFonts w:eastAsia="Calibri"/>
                <w:sz w:val="20"/>
                <w:lang w:val="fr-CA"/>
              </w:rPr>
              <w:t xml:space="preserve"> ou de l'art. 12 de la </w:t>
            </w:r>
            <w:r w:rsidRPr="005143FF">
              <w:rPr>
                <w:rFonts w:eastAsia="Calibri"/>
                <w:i/>
                <w:sz w:val="20"/>
                <w:lang w:val="fr-CA"/>
              </w:rPr>
              <w:t>Charte</w:t>
            </w:r>
            <w:r w:rsidRPr="005143FF">
              <w:rPr>
                <w:rFonts w:eastAsia="Calibri"/>
                <w:sz w:val="20"/>
                <w:lang w:val="fr-CA"/>
              </w:rPr>
              <w:t xml:space="preserve">? – Le non-respect des valeurs de la </w:t>
            </w:r>
            <w:r w:rsidRPr="005143FF">
              <w:rPr>
                <w:rFonts w:eastAsia="Calibri"/>
                <w:i/>
                <w:sz w:val="20"/>
                <w:lang w:val="fr-CA"/>
              </w:rPr>
              <w:t>Charte</w:t>
            </w:r>
            <w:r w:rsidRPr="005143FF">
              <w:rPr>
                <w:rFonts w:eastAsia="Calibri"/>
                <w:sz w:val="20"/>
                <w:lang w:val="fr-CA"/>
              </w:rPr>
              <w:t xml:space="preserve"> pendant le procès rend-il celui-ci inéquitable en soi? – La preuve de condamnations antérieures aurait-elle dû être exclue en application de l'art. 24 de la </w:t>
            </w:r>
            <w:r w:rsidRPr="005143FF">
              <w:rPr>
                <w:rFonts w:eastAsia="Calibri"/>
                <w:i/>
                <w:sz w:val="20"/>
                <w:lang w:val="fr-CA"/>
              </w:rPr>
              <w:t>Charte</w:t>
            </w:r>
            <w:r w:rsidRPr="005143FF">
              <w:rPr>
                <w:rFonts w:eastAsia="Calibri"/>
                <w:sz w:val="20"/>
                <w:lang w:val="fr-CA"/>
              </w:rPr>
              <w:t xml:space="preserve"> parce que le demandeur pouvait prouver que la </w:t>
            </w:r>
            <w:r w:rsidRPr="005143FF">
              <w:rPr>
                <w:rFonts w:eastAsia="Calibri"/>
                <w:i/>
                <w:sz w:val="20"/>
                <w:lang w:val="fr-CA"/>
              </w:rPr>
              <w:t>Charte</w:t>
            </w:r>
            <w:r w:rsidRPr="005143FF">
              <w:rPr>
                <w:rFonts w:eastAsia="Calibri"/>
                <w:sz w:val="20"/>
                <w:lang w:val="fr-CA"/>
              </w:rPr>
              <w:t xml:space="preserve"> avait été violée à chacun des procès antérieurs?</w:t>
            </w:r>
          </w:p>
        </w:tc>
      </w:tr>
      <w:tr w:rsidR="004F3160" w:rsidRPr="00B86261" w:rsidTr="0098614E">
        <w:tc>
          <w:tcPr>
            <w:tcW w:w="5000" w:type="pct"/>
            <w:gridSpan w:val="3"/>
          </w:tcPr>
          <w:p w:rsidR="004F3160" w:rsidRPr="005143FF" w:rsidRDefault="004F3160" w:rsidP="0098614E">
            <w:pPr>
              <w:jc w:val="both"/>
              <w:rPr>
                <w:rFonts w:eastAsia="Calibri"/>
                <w:sz w:val="20"/>
                <w:lang w:val="fr-CA"/>
              </w:rPr>
            </w:pPr>
          </w:p>
        </w:tc>
      </w:tr>
      <w:tr w:rsidR="004F3160" w:rsidRPr="00B86261" w:rsidTr="0098614E">
        <w:tc>
          <w:tcPr>
            <w:tcW w:w="5000" w:type="pct"/>
            <w:gridSpan w:val="3"/>
          </w:tcPr>
          <w:p w:rsidR="004F3160" w:rsidRPr="005143FF" w:rsidRDefault="004F3160" w:rsidP="0098614E">
            <w:pPr>
              <w:jc w:val="both"/>
              <w:rPr>
                <w:rFonts w:eastAsia="Calibri"/>
                <w:sz w:val="20"/>
                <w:lang w:val="fr-CA"/>
              </w:rPr>
            </w:pPr>
            <w:r w:rsidRPr="005143FF">
              <w:rPr>
                <w:rFonts w:eastAsia="Calibri"/>
                <w:sz w:val="20"/>
                <w:lang w:val="fr-CA"/>
              </w:rPr>
              <w:t xml:space="preserve">Le demandeur est entré dans l'appartement de la plaignante par une porte partiellement ouverte, sans invitation et sans frapper.  Il a refusé de partir lorsqu'elle lui a demandé de le faire.  Il a empoigné la plaignante par le bras.  Il a quitté lorsqu'elle a pris le téléphone pour appeler la police.  Par la suite, il a téléphoné à la plaignante à deux reprises pour lui demander de l'argent. Un jury a déclaré le demandeur coupable sous des chefs d'introduction par effraction dans le but de commettre un acte criminel, de voies de fait et de harcèlement criminel.  Le juge qui a imposé la peine a noté les lourds antécédents judiciaires du demandeur.  Le demandeur a été condamné à une peine d’emprisonnement de trois ans pour harcèlement criminel, une peine concurrente de douze mois d’emprisonnement pour introduction par effraction dans une maison d'habitation dans le but de commettre un acte criminel et une peine concurrente de six mois pour voies de fait.  </w:t>
            </w:r>
            <w:bookmarkStart w:id="1" w:name="_GoBack"/>
            <w:bookmarkEnd w:id="1"/>
            <w:r w:rsidRPr="005143FF">
              <w:rPr>
                <w:rFonts w:eastAsia="Calibri"/>
                <w:sz w:val="20"/>
                <w:lang w:val="fr-CA"/>
              </w:rPr>
              <w:t>La Cour d'appel a rejeté un appel des déclarations de culpabilité et des peines.</w:t>
            </w:r>
          </w:p>
          <w:p w:rsidR="004F3160" w:rsidRPr="005143FF" w:rsidRDefault="004F3160" w:rsidP="0098614E">
            <w:pPr>
              <w:jc w:val="both"/>
              <w:rPr>
                <w:rFonts w:eastAsia="Calibri"/>
                <w:sz w:val="20"/>
                <w:lang w:val="fr-CA"/>
              </w:rPr>
            </w:pPr>
          </w:p>
        </w:tc>
      </w:tr>
      <w:tr w:rsidR="004F3160" w:rsidRPr="00B86261" w:rsidTr="0025352C">
        <w:tblPrEx>
          <w:tblCellMar>
            <w:bottom w:w="0" w:type="dxa"/>
          </w:tblCellMar>
        </w:tblPrEx>
        <w:trPr>
          <w:cantSplit/>
        </w:trPr>
        <w:tc>
          <w:tcPr>
            <w:tcW w:w="2390" w:type="pct"/>
          </w:tcPr>
          <w:p w:rsidR="004F3160" w:rsidRPr="005143FF" w:rsidRDefault="004F3160" w:rsidP="0098614E">
            <w:pPr>
              <w:jc w:val="both"/>
              <w:rPr>
                <w:rFonts w:eastAsia="Calibri"/>
                <w:sz w:val="20"/>
                <w:lang w:val="fr-CA"/>
              </w:rPr>
            </w:pPr>
            <w:r w:rsidRPr="005143FF">
              <w:rPr>
                <w:rFonts w:eastAsia="Calibri"/>
                <w:sz w:val="20"/>
                <w:lang w:val="fr-CA"/>
              </w:rPr>
              <w:lastRenderedPageBreak/>
              <w:t>8 septembre 2011</w:t>
            </w:r>
          </w:p>
          <w:p w:rsidR="004F3160" w:rsidRPr="005143FF" w:rsidRDefault="004F3160" w:rsidP="0098614E">
            <w:pPr>
              <w:jc w:val="both"/>
              <w:rPr>
                <w:rFonts w:eastAsia="Calibri"/>
                <w:sz w:val="20"/>
                <w:lang w:val="fr-CA"/>
              </w:rPr>
            </w:pPr>
            <w:r w:rsidRPr="005143FF">
              <w:rPr>
                <w:rFonts w:eastAsia="Calibri"/>
                <w:sz w:val="20"/>
                <w:lang w:val="fr-CA"/>
              </w:rPr>
              <w:t xml:space="preserve">Cour supérieure de justice de l'Ontario </w:t>
            </w:r>
          </w:p>
          <w:p w:rsidR="004F3160" w:rsidRPr="005143FF" w:rsidRDefault="004F3160" w:rsidP="0098614E">
            <w:pPr>
              <w:jc w:val="both"/>
              <w:rPr>
                <w:rFonts w:eastAsia="Calibri"/>
                <w:sz w:val="20"/>
                <w:lang w:val="fr-CA"/>
              </w:rPr>
            </w:pPr>
            <w:r w:rsidRPr="005143FF">
              <w:rPr>
                <w:rFonts w:eastAsia="Calibri"/>
                <w:sz w:val="20"/>
                <w:lang w:val="fr-CA"/>
              </w:rPr>
              <w:t xml:space="preserve">(Juge Pourpore) </w:t>
            </w:r>
          </w:p>
          <w:p w:rsidR="004F3160" w:rsidRPr="005143FF" w:rsidRDefault="004F3160" w:rsidP="0098614E">
            <w:pPr>
              <w:jc w:val="both"/>
              <w:rPr>
                <w:rFonts w:eastAsia="Calibri"/>
                <w:sz w:val="20"/>
                <w:lang w:val="fr-CA"/>
              </w:rPr>
            </w:pPr>
          </w:p>
        </w:tc>
        <w:tc>
          <w:tcPr>
            <w:tcW w:w="270" w:type="pct"/>
          </w:tcPr>
          <w:p w:rsidR="004F3160" w:rsidRPr="005143FF" w:rsidRDefault="004F3160" w:rsidP="0098614E">
            <w:pPr>
              <w:jc w:val="both"/>
              <w:rPr>
                <w:rFonts w:eastAsia="Calibri"/>
                <w:sz w:val="20"/>
                <w:lang w:val="fr-CA"/>
              </w:rPr>
            </w:pPr>
          </w:p>
        </w:tc>
        <w:tc>
          <w:tcPr>
            <w:tcW w:w="2340" w:type="pct"/>
          </w:tcPr>
          <w:p w:rsidR="004F3160" w:rsidRPr="005143FF" w:rsidRDefault="004F3160" w:rsidP="0098614E">
            <w:pPr>
              <w:jc w:val="both"/>
              <w:rPr>
                <w:rFonts w:eastAsia="Calibri"/>
                <w:sz w:val="20"/>
                <w:lang w:val="fr-CA"/>
              </w:rPr>
            </w:pPr>
            <w:r w:rsidRPr="005143FF">
              <w:rPr>
                <w:rFonts w:eastAsia="Calibri"/>
                <w:sz w:val="20"/>
                <w:lang w:val="fr-CA"/>
              </w:rPr>
              <w:t xml:space="preserve">Déclaration de culpabilité par un jury de harcèlement criminel, de voies de fait et d'introduction par effraction dans le but de commettre un acte criminel </w:t>
            </w:r>
          </w:p>
        </w:tc>
      </w:tr>
      <w:tr w:rsidR="004F3160" w:rsidRPr="00B86261" w:rsidTr="0025352C">
        <w:tblPrEx>
          <w:tblCellMar>
            <w:bottom w:w="0" w:type="dxa"/>
          </w:tblCellMar>
        </w:tblPrEx>
        <w:trPr>
          <w:cantSplit/>
        </w:trPr>
        <w:tc>
          <w:tcPr>
            <w:tcW w:w="2390" w:type="pct"/>
          </w:tcPr>
          <w:p w:rsidR="004F3160" w:rsidRPr="005143FF" w:rsidRDefault="004F3160" w:rsidP="0098614E">
            <w:pPr>
              <w:jc w:val="both"/>
              <w:rPr>
                <w:rFonts w:eastAsia="Calibri"/>
                <w:sz w:val="20"/>
                <w:lang w:val="fr-CA"/>
              </w:rPr>
            </w:pPr>
            <w:r w:rsidRPr="005143FF">
              <w:rPr>
                <w:rFonts w:eastAsia="Calibri"/>
                <w:sz w:val="20"/>
                <w:lang w:val="fr-CA"/>
              </w:rPr>
              <w:t>12 juin 2012</w:t>
            </w:r>
          </w:p>
          <w:p w:rsidR="004F3160" w:rsidRPr="005143FF" w:rsidRDefault="004F3160" w:rsidP="0098614E">
            <w:pPr>
              <w:jc w:val="both"/>
              <w:rPr>
                <w:rFonts w:eastAsia="Calibri"/>
                <w:sz w:val="20"/>
                <w:lang w:val="fr-CA"/>
              </w:rPr>
            </w:pPr>
            <w:r w:rsidRPr="005143FF">
              <w:rPr>
                <w:rFonts w:eastAsia="Calibri"/>
                <w:sz w:val="20"/>
                <w:lang w:val="fr-CA"/>
              </w:rPr>
              <w:t xml:space="preserve">Cour d'appel de l'Ontario </w:t>
            </w:r>
          </w:p>
          <w:p w:rsidR="004F3160" w:rsidRPr="005143FF" w:rsidRDefault="004F3160" w:rsidP="0098614E">
            <w:pPr>
              <w:jc w:val="both"/>
              <w:rPr>
                <w:rFonts w:eastAsia="Calibri"/>
                <w:sz w:val="20"/>
                <w:lang w:val="fr-CA"/>
              </w:rPr>
            </w:pPr>
            <w:r w:rsidRPr="005143FF">
              <w:rPr>
                <w:rFonts w:eastAsia="Calibri"/>
                <w:sz w:val="20"/>
                <w:lang w:val="fr-CA"/>
              </w:rPr>
              <w:t>(Juges Laskin, Blair et Hoy)</w:t>
            </w:r>
          </w:p>
          <w:p w:rsidR="004F3160" w:rsidRPr="005143FF" w:rsidRDefault="004F3160" w:rsidP="0098614E">
            <w:pPr>
              <w:jc w:val="both"/>
              <w:rPr>
                <w:rFonts w:eastAsia="Calibri"/>
                <w:sz w:val="20"/>
                <w:lang w:val="fr-CA"/>
              </w:rPr>
            </w:pPr>
            <w:r w:rsidRPr="005143FF">
              <w:rPr>
                <w:rFonts w:eastAsia="Calibri"/>
                <w:sz w:val="20"/>
                <w:lang w:val="fr-CA"/>
              </w:rPr>
              <w:t>(Par inscription au cahier d'appel)</w:t>
            </w:r>
          </w:p>
          <w:p w:rsidR="004F3160" w:rsidRPr="005143FF" w:rsidRDefault="004F3160" w:rsidP="0098614E">
            <w:pPr>
              <w:jc w:val="both"/>
              <w:rPr>
                <w:rFonts w:eastAsia="Calibri"/>
                <w:sz w:val="20"/>
                <w:lang w:val="fr-CA"/>
              </w:rPr>
            </w:pPr>
          </w:p>
        </w:tc>
        <w:tc>
          <w:tcPr>
            <w:tcW w:w="270" w:type="pct"/>
          </w:tcPr>
          <w:p w:rsidR="004F3160" w:rsidRPr="005143FF" w:rsidRDefault="004F3160" w:rsidP="0098614E">
            <w:pPr>
              <w:jc w:val="both"/>
              <w:rPr>
                <w:rFonts w:eastAsia="Calibri"/>
                <w:sz w:val="20"/>
                <w:lang w:val="fr-CA"/>
              </w:rPr>
            </w:pPr>
          </w:p>
        </w:tc>
        <w:tc>
          <w:tcPr>
            <w:tcW w:w="2340" w:type="pct"/>
          </w:tcPr>
          <w:p w:rsidR="004F3160" w:rsidRPr="005143FF" w:rsidRDefault="004F3160" w:rsidP="0098614E">
            <w:pPr>
              <w:jc w:val="both"/>
              <w:rPr>
                <w:rFonts w:eastAsia="Calibri"/>
                <w:sz w:val="20"/>
                <w:lang w:val="fr-CA"/>
              </w:rPr>
            </w:pPr>
            <w:r w:rsidRPr="005143FF">
              <w:rPr>
                <w:rFonts w:eastAsia="Calibri"/>
                <w:sz w:val="20"/>
                <w:lang w:val="fr-CA"/>
              </w:rPr>
              <w:t>Appel de la déclaration de culpabilité et des peines, rejeté</w:t>
            </w:r>
          </w:p>
          <w:p w:rsidR="004F3160" w:rsidRPr="005143FF" w:rsidRDefault="004F3160" w:rsidP="0098614E">
            <w:pPr>
              <w:jc w:val="both"/>
              <w:rPr>
                <w:rFonts w:eastAsia="Calibri"/>
                <w:sz w:val="20"/>
                <w:lang w:val="fr-CA"/>
              </w:rPr>
            </w:pPr>
          </w:p>
        </w:tc>
      </w:tr>
      <w:tr w:rsidR="004F3160" w:rsidRPr="00B86261" w:rsidTr="0025352C">
        <w:tblPrEx>
          <w:tblCellMar>
            <w:bottom w:w="0" w:type="dxa"/>
          </w:tblCellMar>
        </w:tblPrEx>
        <w:trPr>
          <w:cantSplit/>
        </w:trPr>
        <w:tc>
          <w:tcPr>
            <w:tcW w:w="2390" w:type="pct"/>
          </w:tcPr>
          <w:p w:rsidR="004F3160" w:rsidRPr="005143FF" w:rsidRDefault="004F3160" w:rsidP="0098614E">
            <w:pPr>
              <w:jc w:val="both"/>
              <w:rPr>
                <w:rFonts w:eastAsia="Calibri"/>
                <w:sz w:val="20"/>
                <w:lang w:val="fr-CA"/>
              </w:rPr>
            </w:pPr>
            <w:r w:rsidRPr="005143FF">
              <w:rPr>
                <w:rFonts w:eastAsia="Calibri"/>
                <w:sz w:val="20"/>
                <w:lang w:val="fr-CA"/>
              </w:rPr>
              <w:t>7 mars 2013</w:t>
            </w:r>
          </w:p>
          <w:p w:rsidR="004F3160" w:rsidRPr="005143FF" w:rsidRDefault="004F3160" w:rsidP="0098614E">
            <w:pPr>
              <w:jc w:val="both"/>
              <w:rPr>
                <w:rFonts w:eastAsia="Calibri"/>
                <w:sz w:val="20"/>
                <w:lang w:val="fr-CA"/>
              </w:rPr>
            </w:pPr>
            <w:r w:rsidRPr="005143FF">
              <w:rPr>
                <w:rFonts w:eastAsia="Calibri"/>
                <w:sz w:val="20"/>
                <w:lang w:val="fr-CA"/>
              </w:rPr>
              <w:t>Cour suprême du Canada</w:t>
            </w:r>
          </w:p>
        </w:tc>
        <w:tc>
          <w:tcPr>
            <w:tcW w:w="270" w:type="pct"/>
          </w:tcPr>
          <w:p w:rsidR="004F3160" w:rsidRPr="005143FF" w:rsidRDefault="004F3160" w:rsidP="0098614E">
            <w:pPr>
              <w:jc w:val="both"/>
              <w:rPr>
                <w:rFonts w:eastAsia="Calibri"/>
                <w:sz w:val="20"/>
                <w:lang w:val="fr-CA"/>
              </w:rPr>
            </w:pPr>
          </w:p>
        </w:tc>
        <w:tc>
          <w:tcPr>
            <w:tcW w:w="2340" w:type="pct"/>
          </w:tcPr>
          <w:p w:rsidR="004F3160" w:rsidRPr="005143FF" w:rsidRDefault="004F3160" w:rsidP="0098614E">
            <w:pPr>
              <w:jc w:val="both"/>
              <w:rPr>
                <w:rFonts w:eastAsia="Calibri"/>
                <w:sz w:val="20"/>
                <w:lang w:val="fr-CA"/>
              </w:rPr>
            </w:pPr>
            <w:r w:rsidRPr="005143FF">
              <w:rPr>
                <w:rFonts w:eastAsia="Calibri"/>
                <w:sz w:val="20"/>
                <w:lang w:val="fr-CA"/>
              </w:rPr>
              <w:t>Demande de prorogation du délai de signification et de dépôt de la demande d'autorisation d'appel et demande d'autorisation d'appel, déposées</w:t>
            </w:r>
          </w:p>
        </w:tc>
      </w:tr>
    </w:tbl>
    <w:p w:rsidR="00332827" w:rsidRPr="004F3160" w:rsidRDefault="00332827" w:rsidP="00332827">
      <w:pPr>
        <w:rPr>
          <w:sz w:val="20"/>
          <w:szCs w:val="20"/>
          <w:lang w:val="fr-CA"/>
        </w:rPr>
      </w:pPr>
    </w:p>
    <w:p w:rsidR="00332827" w:rsidRDefault="005F2BA7" w:rsidP="00332827">
      <w:pPr>
        <w:rPr>
          <w:sz w:val="20"/>
          <w:szCs w:val="20"/>
        </w:rPr>
      </w:pPr>
      <w:r w:rsidRPr="005F2BA7">
        <w:rPr>
          <w:sz w:val="20"/>
          <w:szCs w:val="20"/>
          <w:lang w:val="fr-CA"/>
        </w:rPr>
        <w:pict>
          <v:rect id="_x0000_i1070" style="width:2in;height:1pt" o:hrpct="0" o:hralign="center" o:hrstd="t" o:hrnoshade="t" o:hr="t" fillcolor="black [3213]" stroked="f"/>
        </w:pict>
      </w:r>
    </w:p>
    <w:p w:rsidR="00332827" w:rsidRPr="00332827" w:rsidRDefault="00332827" w:rsidP="0033282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5457" w:rsidRPr="009B1157" w:rsidTr="00C173EE">
        <w:trPr>
          <w:cantSplit/>
        </w:trPr>
        <w:tc>
          <w:tcPr>
            <w:tcW w:w="1458" w:type="dxa"/>
          </w:tcPr>
          <w:p w:rsidR="00575457" w:rsidRPr="009B1157" w:rsidRDefault="00575457" w:rsidP="00C173EE">
            <w:pPr>
              <w:rPr>
                <w:sz w:val="20"/>
                <w:szCs w:val="20"/>
              </w:rPr>
            </w:pPr>
            <w:r w:rsidRPr="009B1157">
              <w:rPr>
                <w:rStyle w:val="SCCFileNumberChar"/>
                <w:sz w:val="20"/>
                <w:szCs w:val="20"/>
              </w:rPr>
              <w:t>35330</w:t>
            </w:r>
          </w:p>
          <w:p w:rsidR="00575457" w:rsidRPr="009B1157" w:rsidRDefault="00575457" w:rsidP="00C173EE">
            <w:pPr>
              <w:rPr>
                <w:b/>
                <w:sz w:val="20"/>
                <w:szCs w:val="20"/>
                <w:lang w:val="fr-CA"/>
              </w:rPr>
            </w:pPr>
          </w:p>
        </w:tc>
        <w:tc>
          <w:tcPr>
            <w:tcW w:w="8118" w:type="dxa"/>
          </w:tcPr>
          <w:p w:rsidR="00575457" w:rsidRPr="009B1157" w:rsidRDefault="00575457" w:rsidP="00C173EE">
            <w:pPr>
              <w:jc w:val="both"/>
              <w:rPr>
                <w:sz w:val="20"/>
                <w:szCs w:val="20"/>
              </w:rPr>
            </w:pPr>
            <w:r w:rsidRPr="00575457">
              <w:rPr>
                <w:rStyle w:val="SCCLsocChar"/>
                <w:sz w:val="20"/>
                <w:szCs w:val="20"/>
                <w:lang w:val="en-CA"/>
              </w:rPr>
              <w:t>Peggy Charlene Salo</w:t>
            </w:r>
            <w:r w:rsidR="0027123C">
              <w:rPr>
                <w:rStyle w:val="SCCLsocChar"/>
                <w:sz w:val="20"/>
                <w:szCs w:val="20"/>
                <w:lang w:val="en-CA"/>
              </w:rPr>
              <w:t xml:space="preserve"> and</w:t>
            </w:r>
            <w:r w:rsidRPr="00575457">
              <w:rPr>
                <w:rStyle w:val="SCCLsocChar"/>
                <w:sz w:val="20"/>
                <w:szCs w:val="20"/>
                <w:lang w:val="en-CA"/>
              </w:rPr>
              <w:t xml:space="preserve"> Gordon Salo v. S.J. Gossling, D.S. Dorland Limited, Hugh Spencer MacIsaac, Kimberly Ann MacIsaac, Christina Johansen and Karsten Johansen</w:t>
            </w:r>
            <w:r w:rsidRPr="009B1157">
              <w:rPr>
                <w:sz w:val="20"/>
                <w:szCs w:val="20"/>
              </w:rPr>
              <w:t xml:space="preserve"> (Ont.) (Civil) (By Leave)</w:t>
            </w:r>
          </w:p>
          <w:p w:rsidR="00575457" w:rsidRPr="009B1157" w:rsidRDefault="00575457" w:rsidP="00C173EE">
            <w:pPr>
              <w:jc w:val="both"/>
              <w:rPr>
                <w:sz w:val="20"/>
                <w:szCs w:val="20"/>
              </w:rPr>
            </w:pPr>
          </w:p>
        </w:tc>
      </w:tr>
      <w:tr w:rsidR="00575457" w:rsidRPr="009B1157" w:rsidTr="00C173EE">
        <w:trPr>
          <w:cantSplit/>
        </w:trPr>
        <w:tc>
          <w:tcPr>
            <w:tcW w:w="1458" w:type="dxa"/>
          </w:tcPr>
          <w:p w:rsidR="00575457" w:rsidRPr="009B1157" w:rsidRDefault="00575457" w:rsidP="00C173EE">
            <w:pPr>
              <w:rPr>
                <w:sz w:val="20"/>
                <w:szCs w:val="20"/>
              </w:rPr>
            </w:pPr>
            <w:r w:rsidRPr="009B1157">
              <w:rPr>
                <w:sz w:val="20"/>
                <w:szCs w:val="20"/>
              </w:rPr>
              <w:t>Coram :</w:t>
            </w:r>
          </w:p>
        </w:tc>
        <w:tc>
          <w:tcPr>
            <w:tcW w:w="8118" w:type="dxa"/>
          </w:tcPr>
          <w:p w:rsidR="00575457" w:rsidRPr="009B1157" w:rsidRDefault="00575457" w:rsidP="00C173EE">
            <w:pPr>
              <w:rPr>
                <w:sz w:val="20"/>
                <w:szCs w:val="20"/>
              </w:rPr>
            </w:pPr>
            <w:r w:rsidRPr="00575457">
              <w:rPr>
                <w:rStyle w:val="SCCCoramChar"/>
                <w:sz w:val="20"/>
                <w:szCs w:val="20"/>
                <w:lang w:val="en-CA"/>
              </w:rPr>
              <w:t>Fish, Rothstein and Moldaver JJ.</w:t>
            </w:r>
          </w:p>
          <w:p w:rsidR="00575457" w:rsidRPr="009B1157" w:rsidRDefault="00575457" w:rsidP="00C173EE">
            <w:pPr>
              <w:rPr>
                <w:sz w:val="20"/>
                <w:szCs w:val="20"/>
                <w:u w:val="single"/>
              </w:rPr>
            </w:pPr>
          </w:p>
        </w:tc>
      </w:tr>
      <w:tr w:rsidR="00575457" w:rsidRPr="00B86261" w:rsidTr="00C173EE">
        <w:trPr>
          <w:cantSplit/>
        </w:trPr>
        <w:tc>
          <w:tcPr>
            <w:tcW w:w="9576" w:type="dxa"/>
            <w:gridSpan w:val="2"/>
          </w:tcPr>
          <w:p w:rsidR="00575457" w:rsidRPr="009B1157" w:rsidRDefault="00575457" w:rsidP="00C173EE">
            <w:pPr>
              <w:pStyle w:val="SCCShortJudgment"/>
              <w:rPr>
                <w:szCs w:val="20"/>
              </w:rPr>
            </w:pPr>
            <w:r w:rsidRPr="009B1157">
              <w:rPr>
                <w:szCs w:val="20"/>
              </w:rPr>
              <w:t>The motion to strike in part the applicants’ memorandum of argument is granted with costs and the motion to introduce fresh evidence is denied with costs.  The application for leave to appeal from the judgment of the Court of Appeal for Ontario, Number C55050, 2013 ONCA 98, dated February 19, 2013, is dismissed with costs to the respondents S.J. Gossling and D.S. Dorland Limited.</w:t>
            </w:r>
          </w:p>
          <w:p w:rsidR="00575457" w:rsidRPr="009B1157" w:rsidRDefault="00575457" w:rsidP="00C173EE">
            <w:pPr>
              <w:pStyle w:val="SCCShortJudgment"/>
              <w:ind w:firstLine="0"/>
              <w:rPr>
                <w:szCs w:val="20"/>
              </w:rPr>
            </w:pPr>
          </w:p>
          <w:p w:rsidR="00575457" w:rsidRPr="009B1157" w:rsidRDefault="00575457" w:rsidP="00C173EE">
            <w:pPr>
              <w:pStyle w:val="SCCShortJudgment"/>
              <w:rPr>
                <w:szCs w:val="20"/>
                <w:lang w:val="fr-CA"/>
              </w:rPr>
            </w:pPr>
            <w:r w:rsidRPr="009B1157">
              <w:rPr>
                <w:szCs w:val="20"/>
                <w:lang w:val="fr-CA"/>
              </w:rPr>
              <w:t>La requête en radiation d’une partie du mémoire des demandeurs est accueillie avec dépens et la requête pour déposer de nouveaux éléments de preuve est rejetée avec dépens.  La demande d’autorisation d’appel de l’arrêt de la Cour d’appel de l’Ontario, numéro C55050, 2013 ONCA 98, daté du 19 février 2013, est rejetée avec dépens en faveur des intimés S.J. Gossling et D.S. Dorland Limited.</w:t>
            </w:r>
          </w:p>
        </w:tc>
      </w:tr>
    </w:tbl>
    <w:p w:rsidR="00332827" w:rsidRPr="0016547E" w:rsidRDefault="00332827" w:rsidP="00332827">
      <w:pPr>
        <w:rPr>
          <w:sz w:val="20"/>
          <w:szCs w:val="20"/>
          <w:lang w:val="fr-CA"/>
        </w:rPr>
      </w:pPr>
    </w:p>
    <w:p w:rsidR="00332827" w:rsidRPr="001B157C" w:rsidRDefault="00332827" w:rsidP="00332827">
      <w:pPr>
        <w:rPr>
          <w:sz w:val="20"/>
          <w:szCs w:val="20"/>
          <w:u w:val="single"/>
        </w:rPr>
      </w:pPr>
      <w:r w:rsidRPr="001B157C">
        <w:rPr>
          <w:sz w:val="20"/>
          <w:szCs w:val="20"/>
          <w:u w:val="single"/>
        </w:rPr>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C3673D">
        <w:tc>
          <w:tcPr>
            <w:tcW w:w="5000" w:type="pct"/>
            <w:gridSpan w:val="3"/>
          </w:tcPr>
          <w:p w:rsidR="0007151E" w:rsidRPr="005143FF" w:rsidRDefault="0007151E" w:rsidP="00C3673D">
            <w:pPr>
              <w:jc w:val="both"/>
              <w:rPr>
                <w:rFonts w:eastAsia="Calibri"/>
                <w:sz w:val="20"/>
              </w:rPr>
            </w:pPr>
            <w:r w:rsidRPr="005143FF">
              <w:rPr>
                <w:rFonts w:eastAsia="Calibri"/>
                <w:sz w:val="20"/>
              </w:rPr>
              <w:t xml:space="preserve">Property – Real property – Land registration – Rectification – Vendor subdividing property and selling lots to purchasers subject to right-of-way along existing road to be used by all purchasers – Surveyors improperly indicating location of right-of-way on reference plan registered under the </w:t>
            </w:r>
            <w:r w:rsidRPr="005143FF">
              <w:rPr>
                <w:rFonts w:eastAsia="Calibri"/>
                <w:i/>
                <w:sz w:val="20"/>
              </w:rPr>
              <w:t>Land Titles Act</w:t>
            </w:r>
            <w:r w:rsidRPr="005143FF">
              <w:rPr>
                <w:rFonts w:eastAsia="Calibri"/>
                <w:sz w:val="20"/>
              </w:rPr>
              <w:t>, R.S.O 1990, c. L.5 – How can the finding of the Court of Appeal that even in the absence of actual notice the registered description of land is not conclusive of the boundaries and extent of such land, be reconciled with the “indefeasibility of title” that is the essence of the land titles systems? – Whether it is proper for an appellate court to “re-conceptualize” the issues so that they are substantially different from the issues framed in the pleadings</w:t>
            </w:r>
          </w:p>
        </w:tc>
      </w:tr>
      <w:tr w:rsidR="0007151E" w:rsidRPr="005143FF" w:rsidTr="00C3673D">
        <w:tc>
          <w:tcPr>
            <w:tcW w:w="5000" w:type="pct"/>
            <w:gridSpan w:val="3"/>
          </w:tcPr>
          <w:p w:rsidR="0007151E" w:rsidRPr="005143FF" w:rsidRDefault="0007151E" w:rsidP="00C3673D">
            <w:pPr>
              <w:jc w:val="both"/>
              <w:rPr>
                <w:rFonts w:eastAsia="Calibri"/>
                <w:sz w:val="20"/>
              </w:rPr>
            </w:pPr>
          </w:p>
        </w:tc>
      </w:tr>
      <w:tr w:rsidR="0007151E" w:rsidRPr="005143FF" w:rsidTr="00C3673D">
        <w:tc>
          <w:tcPr>
            <w:tcW w:w="5000" w:type="pct"/>
            <w:gridSpan w:val="3"/>
          </w:tcPr>
          <w:p w:rsidR="0007151E" w:rsidRPr="005143FF" w:rsidRDefault="0007151E" w:rsidP="00C3673D">
            <w:pPr>
              <w:jc w:val="both"/>
              <w:rPr>
                <w:color w:val="000000"/>
                <w:sz w:val="20"/>
              </w:rPr>
            </w:pPr>
            <w:r w:rsidRPr="005143FF">
              <w:rPr>
                <w:color w:val="000000"/>
                <w:sz w:val="20"/>
              </w:rPr>
              <w:t xml:space="preserve">In 1985, Mr. Kivikangas instructed the surveyors D.S. Dorland Limited and S.J. Gossling (collectively "Dorland") to prepare a reference plan to sever land that he owned into three separate parcels with access to be provided via a right-of-way over an existing gravel road.  Mr. Kivikangas told Dorland to show the right-of-way as it existed on the ground, curving around a large rock outcrop.  Mr. Kivikangas advised each purchaser that the right-of-way was located over the existing gravel road when each parcel was sold.  Rather than indicating actual location of the road, however, Dorland showed the gravel road defined by two straight lines without showing that it dipped to the south in order to avoid the outcrop.  This meant that part of the existing right-of-way was not located within Part 4, Plan 53R-10717.  For quite a number of years, everyone assumed that the right-of-way was located within Part 4.  The MacIsaacs had a survey prepared in 2005, however, that revealed that the portion of the road on the Salo property that </w:t>
            </w:r>
            <w:r w:rsidRPr="005143FF">
              <w:rPr>
                <w:color w:val="000000"/>
                <w:sz w:val="20"/>
              </w:rPr>
              <w:lastRenderedPageBreak/>
              <w:t>circumvented the rock outcrop was outside the boundaries of Part 4.  The dispute between the parties arose as a result of the intensification of the use of the right</w:t>
            </w:r>
            <w:r w:rsidRPr="005143FF">
              <w:rPr>
                <w:color w:val="000000"/>
                <w:sz w:val="20"/>
              </w:rPr>
              <w:noBreakHyphen/>
              <w:t>of</w:t>
            </w:r>
            <w:r w:rsidRPr="005143FF">
              <w:rPr>
                <w:color w:val="000000"/>
                <w:sz w:val="20"/>
              </w:rPr>
              <w:noBreakHyphen/>
              <w:t xml:space="preserve">way by commercial trucks and heavy construction equipment.  In 2007, after learning of the discrepancy, the Salos barricaded the section of the road that was on their land and outside Part 4 on the R-Plan.  The MacIsaacs and the Johanssens brought an action against the Salos and the surveyors, seeking declaratory relief to secure access to their properties by the existing road and an order to rectify the register for land titles under s. 160 of the </w:t>
            </w:r>
            <w:r w:rsidRPr="005143FF">
              <w:rPr>
                <w:i/>
                <w:color w:val="000000"/>
                <w:sz w:val="20"/>
              </w:rPr>
              <w:t>Land Titles Act</w:t>
            </w:r>
            <w:r w:rsidRPr="005143FF">
              <w:rPr>
                <w:color w:val="000000"/>
                <w:sz w:val="20"/>
              </w:rPr>
              <w:t>.  The Salos counterclaimed against the Plaintiffs and the surveyors cross-claimed against each other.</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lastRenderedPageBreak/>
              <w:t>January 20, 2012</w:t>
            </w:r>
          </w:p>
          <w:p w:rsidR="0007151E" w:rsidRPr="005143FF" w:rsidRDefault="0007151E" w:rsidP="00C3673D">
            <w:pPr>
              <w:jc w:val="both"/>
              <w:rPr>
                <w:rFonts w:eastAsia="Calibri"/>
                <w:sz w:val="20"/>
              </w:rPr>
            </w:pPr>
            <w:r w:rsidRPr="005143FF">
              <w:rPr>
                <w:rFonts w:eastAsia="Calibri"/>
                <w:sz w:val="20"/>
              </w:rPr>
              <w:t>Ontario Superior Court of Justice</w:t>
            </w:r>
          </w:p>
          <w:p w:rsidR="0007151E" w:rsidRPr="005143FF" w:rsidRDefault="0007151E" w:rsidP="00C3673D">
            <w:pPr>
              <w:jc w:val="both"/>
              <w:rPr>
                <w:rFonts w:eastAsia="Calibri"/>
                <w:sz w:val="20"/>
              </w:rPr>
            </w:pPr>
            <w:r w:rsidRPr="005143FF">
              <w:rPr>
                <w:rFonts w:eastAsia="Calibri"/>
                <w:sz w:val="20"/>
              </w:rPr>
              <w:t>(Cornell J.)</w:t>
            </w:r>
          </w:p>
          <w:p w:rsidR="0007151E" w:rsidRPr="005143FF" w:rsidRDefault="0007151E" w:rsidP="00C3673D">
            <w:pPr>
              <w:jc w:val="both"/>
              <w:rPr>
                <w:rFonts w:eastAsia="Calibri"/>
                <w:sz w:val="20"/>
              </w:rPr>
            </w:pPr>
            <w:r w:rsidRPr="005143FF">
              <w:rPr>
                <w:rFonts w:eastAsia="Calibri"/>
                <w:sz w:val="20"/>
              </w:rPr>
              <w:t>2012 ONSC 337</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 xml:space="preserve">Motion for rectification of register under </w:t>
            </w:r>
            <w:r w:rsidRPr="005143FF">
              <w:rPr>
                <w:rFonts w:eastAsia="Calibri"/>
                <w:i/>
                <w:sz w:val="20"/>
              </w:rPr>
              <w:t>Land Titles Act</w:t>
            </w:r>
            <w:r w:rsidRPr="005143FF">
              <w:rPr>
                <w:rFonts w:eastAsia="Calibri"/>
                <w:sz w:val="20"/>
              </w:rPr>
              <w:t>, R.S.O 1990, c. L.5 dismissed</w:t>
            </w:r>
          </w:p>
          <w:p w:rsidR="0007151E" w:rsidRPr="005143FF" w:rsidRDefault="0007151E" w:rsidP="00C3673D">
            <w:pPr>
              <w:jc w:val="both"/>
              <w:rPr>
                <w:rFonts w:eastAsia="Calibri"/>
                <w:sz w:val="20"/>
              </w:rPr>
            </w:pP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February 19, 2013</w:t>
            </w:r>
          </w:p>
          <w:p w:rsidR="0007151E" w:rsidRPr="005143FF" w:rsidRDefault="0007151E" w:rsidP="00C3673D">
            <w:pPr>
              <w:jc w:val="both"/>
              <w:rPr>
                <w:rFonts w:eastAsia="Calibri"/>
                <w:sz w:val="20"/>
              </w:rPr>
            </w:pPr>
            <w:r w:rsidRPr="005143FF">
              <w:rPr>
                <w:rFonts w:eastAsia="Calibri"/>
                <w:sz w:val="20"/>
              </w:rPr>
              <w:t>Court of Appeal for Ontario</w:t>
            </w:r>
          </w:p>
          <w:p w:rsidR="0007151E" w:rsidRPr="005143FF" w:rsidRDefault="0007151E" w:rsidP="00C3673D">
            <w:pPr>
              <w:jc w:val="both"/>
              <w:rPr>
                <w:rFonts w:eastAsia="Calibri"/>
                <w:sz w:val="20"/>
              </w:rPr>
            </w:pPr>
            <w:r w:rsidRPr="005143FF">
              <w:rPr>
                <w:rFonts w:eastAsia="Calibri"/>
                <w:sz w:val="20"/>
              </w:rPr>
              <w:t>(Winkler, LaForme and Cunningham JJ.A.)</w:t>
            </w:r>
          </w:p>
          <w:p w:rsidR="0007151E" w:rsidRPr="005143FF" w:rsidRDefault="0007151E" w:rsidP="00C3673D">
            <w:pPr>
              <w:jc w:val="both"/>
              <w:rPr>
                <w:rFonts w:eastAsia="Calibri"/>
                <w:sz w:val="20"/>
              </w:rPr>
            </w:pPr>
            <w:r w:rsidRPr="005143FF">
              <w:rPr>
                <w:rFonts w:eastAsia="Calibri"/>
                <w:sz w:val="20"/>
              </w:rPr>
              <w:t>2013 ONCA 98</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Appeal allowed; register ordered rectified</w:t>
            </w:r>
          </w:p>
          <w:p w:rsidR="0007151E" w:rsidRPr="005143FF" w:rsidRDefault="0007151E" w:rsidP="00C3673D">
            <w:pPr>
              <w:jc w:val="both"/>
              <w:rPr>
                <w:rFonts w:eastAsia="Calibri"/>
                <w:sz w:val="20"/>
              </w:rPr>
            </w:pPr>
          </w:p>
          <w:p w:rsidR="0007151E" w:rsidRPr="005143FF" w:rsidRDefault="0007151E" w:rsidP="00C3673D">
            <w:pPr>
              <w:jc w:val="both"/>
              <w:rPr>
                <w:rFonts w:eastAsia="Calibri"/>
                <w:sz w:val="20"/>
              </w:rPr>
            </w:pPr>
          </w:p>
        </w:tc>
      </w:tr>
      <w:tr w:rsidR="0007151E" w:rsidRPr="005143FF" w:rsidTr="00C3673D">
        <w:trPr>
          <w:trHeight w:val="80"/>
        </w:trPr>
        <w:tc>
          <w:tcPr>
            <w:tcW w:w="2427" w:type="pct"/>
          </w:tcPr>
          <w:p w:rsidR="0007151E" w:rsidRPr="005143FF" w:rsidRDefault="0007151E" w:rsidP="00C3673D">
            <w:pPr>
              <w:jc w:val="both"/>
              <w:rPr>
                <w:rFonts w:eastAsia="Calibri"/>
                <w:sz w:val="20"/>
              </w:rPr>
            </w:pPr>
            <w:r w:rsidRPr="005143FF">
              <w:rPr>
                <w:rFonts w:eastAsia="Calibri"/>
                <w:sz w:val="20"/>
              </w:rPr>
              <w:t>April 22, 2013</w:t>
            </w:r>
          </w:p>
          <w:p w:rsidR="0007151E" w:rsidRPr="005143FF" w:rsidRDefault="0007151E" w:rsidP="00C3673D">
            <w:pPr>
              <w:jc w:val="both"/>
              <w:rPr>
                <w:rFonts w:eastAsia="Calibri"/>
                <w:sz w:val="20"/>
              </w:rPr>
            </w:pPr>
            <w:r w:rsidRPr="005143FF">
              <w:rPr>
                <w:rFonts w:eastAsia="Calibri"/>
                <w:sz w:val="20"/>
              </w:rPr>
              <w:t>Supreme Court of Canada</w:t>
            </w: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Application for leave to appeal filed</w:t>
            </w:r>
          </w:p>
          <w:p w:rsidR="0007151E" w:rsidRPr="005143FF" w:rsidRDefault="0007151E" w:rsidP="00C3673D">
            <w:pPr>
              <w:jc w:val="both"/>
              <w:rPr>
                <w:rFonts w:eastAsia="Calibri"/>
                <w:sz w:val="20"/>
              </w:rPr>
            </w:pP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71" style="width:2in;height:1pt" o:hrpct="0" o:hralign="center" o:hrstd="t" o:hrnoshade="t" o:hr="t" fillcolor="black [3213]" stroked="f"/>
        </w:pict>
      </w:r>
    </w:p>
    <w:p w:rsidR="00332827" w:rsidRDefault="00332827" w:rsidP="00332827">
      <w:pPr>
        <w:rPr>
          <w:sz w:val="20"/>
          <w:szCs w:val="20"/>
        </w:rPr>
      </w:pPr>
    </w:p>
    <w:p w:rsidR="00332827" w:rsidRPr="001B157C" w:rsidRDefault="00332827" w:rsidP="00332827">
      <w:pPr>
        <w:rPr>
          <w:sz w:val="20"/>
          <w:szCs w:val="20"/>
          <w:u w:val="single"/>
          <w:lang w:val="fr-CA"/>
        </w:rPr>
      </w:pPr>
      <w:r w:rsidRPr="001B157C">
        <w:rPr>
          <w:sz w:val="20"/>
          <w:szCs w:val="20"/>
          <w:u w:val="single"/>
          <w:lang w:val="fr-CA"/>
        </w:rPr>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B86261"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Biens – Biens réels – Enregistrement foncier – Rectification – Le vendeur a loti un bien-fonds et a vendu des lots à des acheteurs sous réserve d'un droit de passage le long d’un chemin existant que devaient utiliser tous les acheteurs – Des arpenteurs-géomètres ont mal indiqué l'emplacement du droit de passage sur le plan de renvoi établi sous le régime de la</w:t>
            </w:r>
            <w:r w:rsidRPr="005143FF">
              <w:rPr>
                <w:rFonts w:eastAsia="Calibri"/>
                <w:i/>
                <w:sz w:val="20"/>
                <w:lang w:val="fr-CA"/>
              </w:rPr>
              <w:t xml:space="preserve"> Loi sur l'enregistrement des droits immobiliers</w:t>
            </w:r>
            <w:r w:rsidRPr="005143FF">
              <w:rPr>
                <w:rFonts w:eastAsia="Calibri"/>
                <w:sz w:val="20"/>
                <w:lang w:val="fr-CA"/>
              </w:rPr>
              <w:t>, L.R.O 1990, ch. L.5 – Comment peut-on concilier la conclusion de la Cour d'appel selon laquelle, même en l'absence de connaissance réelle, la description enregistrée du bien-fonds n'est pas déterminante des limites et de la superficie de ce bien-fonds avec le principe de l’« intangibilité des titres » qui est de l'essence même des systèmes d'enregistrement foncier? – Une cour d'appel peut-elle à bon droit « reconceptualiser » les questions en litige de manière à ce qu'elles diffèrent substantiellement des questions énoncées dans les actes de procédure?</w:t>
            </w:r>
          </w:p>
          <w:p w:rsidR="0007151E" w:rsidRPr="005143FF" w:rsidRDefault="0007151E" w:rsidP="00C3673D">
            <w:pPr>
              <w:jc w:val="both"/>
              <w:rPr>
                <w:rFonts w:eastAsia="Calibri"/>
                <w:sz w:val="20"/>
                <w:lang w:val="fr-CA"/>
              </w:rPr>
            </w:pPr>
          </w:p>
        </w:tc>
      </w:tr>
      <w:tr w:rsidR="0007151E" w:rsidRPr="00B86261" w:rsidTr="00C3673D">
        <w:tc>
          <w:tcPr>
            <w:tcW w:w="5000" w:type="pct"/>
            <w:gridSpan w:val="3"/>
          </w:tcPr>
          <w:p w:rsidR="0007151E" w:rsidRPr="005143FF" w:rsidRDefault="0007151E" w:rsidP="00C3673D">
            <w:pPr>
              <w:jc w:val="both"/>
              <w:rPr>
                <w:color w:val="000000"/>
                <w:sz w:val="20"/>
                <w:lang w:val="fr-CA"/>
              </w:rPr>
            </w:pPr>
            <w:r w:rsidRPr="005143FF">
              <w:rPr>
                <w:color w:val="000000"/>
                <w:sz w:val="20"/>
                <w:lang w:val="fr-CA"/>
              </w:rPr>
              <w:t>En 1985, M. Kivikangas a chargé les arpenteurs-géomètres D.S. Dorland Limited et S.J. Gossling (collectivement « Dorland ») d'établir un plan de renvoi pour lotir le bien-fonds qui lui appartenait en trois parcelles séparées auxquelles on pourrait avoir accès par un droit de passage sur le chemin de gravier existant.  Monsieur Kivikangas a demandé à Dorland de représenter le droit de passage tel qu'il existait sur le bien-fonds, c'est-à-dire en contournant un important affleurement rocheux.  Monsieur Kivikangas a informé chaque acheteur que le droit de passage était situé sur le chemin de gravier existant lorsque chaque parcelle a été vendue.  Toutefois, plutôt que d'indiquer l'emplacement réel du chemin, Dorland a représenté le chemin de gravier comme deux lignes droites, sans montrer qu'il déviait vers le sud pour éviter l'affleurement.  Par conséquent, cette partie du droit passage existant n'était pas située à l'intérieur de la Partie 4, Plan 53R-10717. Pendant de nombreuses années, tout le monde présumait que le droit de passage était situé à l'intérieur de la Partie 4.  Cependant, en 2005, les MacIsaac ont fait établir un levé qui révélait que la partie du chemin située sur le bien-fonds des Salo et qui contournait l'affleurement rocheux se trouvait à l'extérieur des limites de la Partie 4.  Le différend entre les parties a pris naissance à la suite de l'intensification de l'usage du droit passage par des camions commerciaux et du matériel de construction lourd.  En 2007, après avoir pris connaissance de la divergence, les Salo ont barricadé la section du chemin qui se trouvait sur leur bien-fonds et à l'extérieur de la Partie 4 sur le plan de renvoi.  Les MacIsaac et les Johanssen ont intenté une action contre les Salo et les arpenteurs, sollicitant un jugement déclaratoire pour garantir l'accès à leur bien-fonds par le chemin existant et une ordonnance pour rectifier le registre des droits immobiliers en application de l'art. 160 de la</w:t>
            </w:r>
            <w:r w:rsidRPr="005143FF">
              <w:rPr>
                <w:i/>
                <w:color w:val="000000"/>
                <w:sz w:val="20"/>
                <w:lang w:val="fr-CA"/>
              </w:rPr>
              <w:t xml:space="preserve"> Loi sur l'enregistrement des droits immobiliers</w:t>
            </w:r>
            <w:r w:rsidRPr="005143FF">
              <w:rPr>
                <w:color w:val="000000"/>
                <w:sz w:val="20"/>
                <w:lang w:val="fr-CA"/>
              </w:rPr>
              <w:t xml:space="preserve">.  Les </w:t>
            </w:r>
            <w:r w:rsidRPr="005143FF">
              <w:rPr>
                <w:color w:val="000000"/>
                <w:sz w:val="20"/>
                <w:lang w:val="fr-CA"/>
              </w:rPr>
              <w:lastRenderedPageBreak/>
              <w:t>Salo ont intenté une demande reconventionnelle contre les demandeurs en première instance et les géomètres se sont poursuivis entre défendeurs.</w:t>
            </w:r>
          </w:p>
          <w:p w:rsidR="0007151E" w:rsidRPr="005143FF" w:rsidRDefault="0007151E" w:rsidP="00C3673D">
            <w:pPr>
              <w:jc w:val="both"/>
              <w:rPr>
                <w:rFonts w:eastAsia="Calibri"/>
                <w:sz w:val="20"/>
                <w:lang w:val="fr-CA"/>
              </w:rPr>
            </w:pPr>
          </w:p>
        </w:tc>
      </w:tr>
      <w:tr w:rsidR="0007151E" w:rsidRPr="005143FF"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lastRenderedPageBreak/>
              <w:t>20 janvier 2012</w:t>
            </w:r>
          </w:p>
          <w:p w:rsidR="0007151E" w:rsidRPr="005143FF" w:rsidRDefault="0007151E" w:rsidP="00C3673D">
            <w:pPr>
              <w:jc w:val="both"/>
              <w:rPr>
                <w:rFonts w:eastAsia="Calibri"/>
                <w:sz w:val="20"/>
                <w:lang w:val="fr-CA"/>
              </w:rPr>
            </w:pPr>
            <w:r w:rsidRPr="005143FF">
              <w:rPr>
                <w:rFonts w:eastAsia="Calibri"/>
                <w:sz w:val="20"/>
                <w:lang w:val="fr-CA"/>
              </w:rPr>
              <w:t xml:space="preserve">Cour supérieure de justice de l'Ontario </w:t>
            </w:r>
          </w:p>
          <w:p w:rsidR="0007151E" w:rsidRPr="005143FF" w:rsidRDefault="0007151E" w:rsidP="00C3673D">
            <w:pPr>
              <w:jc w:val="both"/>
              <w:rPr>
                <w:rFonts w:eastAsia="Calibri"/>
                <w:sz w:val="20"/>
                <w:lang w:val="fr-CA"/>
              </w:rPr>
            </w:pPr>
            <w:r w:rsidRPr="005143FF">
              <w:rPr>
                <w:rFonts w:eastAsia="Calibri"/>
                <w:sz w:val="20"/>
                <w:lang w:val="fr-CA"/>
              </w:rPr>
              <w:t>(Juge Cornell)</w:t>
            </w:r>
          </w:p>
          <w:p w:rsidR="0007151E" w:rsidRPr="005143FF" w:rsidRDefault="0007151E" w:rsidP="00C3673D">
            <w:pPr>
              <w:jc w:val="both"/>
              <w:rPr>
                <w:rFonts w:eastAsia="Calibri"/>
                <w:sz w:val="20"/>
                <w:lang w:val="fr-CA"/>
              </w:rPr>
            </w:pPr>
            <w:r w:rsidRPr="005143FF">
              <w:rPr>
                <w:rFonts w:eastAsia="Calibri"/>
                <w:sz w:val="20"/>
                <w:lang w:val="fr-CA"/>
              </w:rPr>
              <w:t>2012 ONSC 337</w:t>
            </w:r>
          </w:p>
          <w:p w:rsidR="0007151E" w:rsidRPr="005143FF" w:rsidRDefault="0007151E" w:rsidP="00C3673D">
            <w:pPr>
              <w:jc w:val="both"/>
              <w:rPr>
                <w:rFonts w:eastAsia="Calibri"/>
                <w:sz w:val="20"/>
                <w:lang w:val="fr-CA"/>
              </w:rPr>
            </w:pP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Motion en rectification du registre en vertu de la</w:t>
            </w:r>
            <w:r w:rsidRPr="005143FF">
              <w:rPr>
                <w:rFonts w:eastAsia="Calibri"/>
                <w:i/>
                <w:sz w:val="20"/>
                <w:lang w:val="fr-CA"/>
              </w:rPr>
              <w:t xml:space="preserve"> Loi sur l'enregistrement des droits immobiliers</w:t>
            </w:r>
            <w:r w:rsidRPr="005143FF">
              <w:rPr>
                <w:rFonts w:eastAsia="Calibri"/>
                <w:sz w:val="20"/>
                <w:lang w:val="fr-CA"/>
              </w:rPr>
              <w:t>, L.R.O 1990, ch. L.5, rejetée</w:t>
            </w:r>
          </w:p>
          <w:p w:rsidR="0007151E" w:rsidRPr="005143FF" w:rsidRDefault="0007151E" w:rsidP="00C3673D">
            <w:pPr>
              <w:jc w:val="both"/>
              <w:rPr>
                <w:rFonts w:eastAsia="Calibri"/>
                <w:sz w:val="20"/>
                <w:lang w:val="fr-CA"/>
              </w:rPr>
            </w:pPr>
          </w:p>
          <w:p w:rsidR="0007151E" w:rsidRPr="005143FF" w:rsidRDefault="0007151E" w:rsidP="00C3673D">
            <w:pPr>
              <w:jc w:val="both"/>
              <w:rPr>
                <w:rFonts w:eastAsia="Calibri"/>
                <w:sz w:val="20"/>
                <w:lang w:val="fr-CA"/>
              </w:rPr>
            </w:pPr>
          </w:p>
        </w:tc>
      </w:tr>
      <w:tr w:rsidR="0007151E" w:rsidRPr="00B86261"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19 février 2013</w:t>
            </w:r>
          </w:p>
          <w:p w:rsidR="0007151E" w:rsidRPr="005143FF" w:rsidRDefault="0007151E" w:rsidP="00C3673D">
            <w:pPr>
              <w:jc w:val="both"/>
              <w:rPr>
                <w:rFonts w:eastAsia="Calibri"/>
                <w:sz w:val="20"/>
                <w:lang w:val="fr-CA"/>
              </w:rPr>
            </w:pPr>
            <w:r w:rsidRPr="005143FF">
              <w:rPr>
                <w:rFonts w:eastAsia="Calibri"/>
                <w:sz w:val="20"/>
                <w:lang w:val="fr-CA"/>
              </w:rPr>
              <w:t>Cour d'appel de l'Ontario</w:t>
            </w:r>
          </w:p>
          <w:p w:rsidR="0007151E" w:rsidRPr="005143FF" w:rsidRDefault="0007151E" w:rsidP="00C3673D">
            <w:pPr>
              <w:jc w:val="both"/>
              <w:rPr>
                <w:rFonts w:eastAsia="Calibri"/>
                <w:sz w:val="20"/>
                <w:lang w:val="fr-CA"/>
              </w:rPr>
            </w:pPr>
            <w:r w:rsidRPr="005143FF">
              <w:rPr>
                <w:rFonts w:eastAsia="Calibri"/>
                <w:sz w:val="20"/>
                <w:lang w:val="fr-CA"/>
              </w:rPr>
              <w:t>(Juges Winkler, LaForme et Cunningham)</w:t>
            </w:r>
          </w:p>
          <w:p w:rsidR="0007151E" w:rsidRPr="005143FF" w:rsidRDefault="0007151E" w:rsidP="00C3673D">
            <w:pPr>
              <w:jc w:val="both"/>
              <w:rPr>
                <w:rFonts w:eastAsia="Calibri"/>
                <w:sz w:val="20"/>
                <w:lang w:val="fr-CA"/>
              </w:rPr>
            </w:pPr>
            <w:r w:rsidRPr="005143FF">
              <w:rPr>
                <w:rFonts w:eastAsia="Calibri"/>
                <w:sz w:val="20"/>
                <w:lang w:val="fr-CA"/>
              </w:rPr>
              <w:t>2013 ONCA 98</w:t>
            </w:r>
          </w:p>
          <w:p w:rsidR="0007151E" w:rsidRPr="005143FF" w:rsidRDefault="0007151E" w:rsidP="00C3673D">
            <w:pPr>
              <w:jc w:val="both"/>
              <w:rPr>
                <w:rFonts w:eastAsia="Calibri"/>
                <w:sz w:val="20"/>
                <w:lang w:val="fr-CA"/>
              </w:rPr>
            </w:pP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Appel accueilli, ordonnance de rectification du registre</w:t>
            </w:r>
          </w:p>
          <w:p w:rsidR="0007151E" w:rsidRPr="005143FF" w:rsidRDefault="0007151E" w:rsidP="00C3673D">
            <w:pPr>
              <w:jc w:val="both"/>
              <w:rPr>
                <w:rFonts w:eastAsia="Calibri"/>
                <w:sz w:val="20"/>
                <w:lang w:val="fr-CA"/>
              </w:rPr>
            </w:pPr>
          </w:p>
          <w:p w:rsidR="0007151E" w:rsidRPr="005143FF" w:rsidRDefault="0007151E" w:rsidP="00C3673D">
            <w:pPr>
              <w:jc w:val="both"/>
              <w:rPr>
                <w:rFonts w:eastAsia="Calibri"/>
                <w:sz w:val="20"/>
                <w:lang w:val="fr-CA"/>
              </w:rPr>
            </w:pPr>
          </w:p>
        </w:tc>
      </w:tr>
      <w:tr w:rsidR="0007151E" w:rsidRPr="005143FF" w:rsidTr="00C3673D">
        <w:trPr>
          <w:trHeight w:val="80"/>
        </w:trPr>
        <w:tc>
          <w:tcPr>
            <w:tcW w:w="2427" w:type="pct"/>
          </w:tcPr>
          <w:p w:rsidR="0007151E" w:rsidRPr="005143FF" w:rsidRDefault="0007151E" w:rsidP="00C3673D">
            <w:pPr>
              <w:jc w:val="both"/>
              <w:rPr>
                <w:rFonts w:eastAsia="Calibri"/>
                <w:sz w:val="20"/>
                <w:lang w:val="fr-CA"/>
              </w:rPr>
            </w:pPr>
            <w:r w:rsidRPr="005143FF">
              <w:rPr>
                <w:rFonts w:eastAsia="Calibri"/>
                <w:sz w:val="20"/>
                <w:lang w:val="fr-CA"/>
              </w:rPr>
              <w:t>22 avril 2013</w:t>
            </w:r>
          </w:p>
          <w:p w:rsidR="0007151E" w:rsidRPr="005143FF" w:rsidRDefault="0007151E" w:rsidP="00C3673D">
            <w:pPr>
              <w:jc w:val="both"/>
              <w:rPr>
                <w:rFonts w:eastAsia="Calibri"/>
                <w:sz w:val="20"/>
                <w:lang w:val="fr-CA"/>
              </w:rPr>
            </w:pPr>
            <w:r w:rsidRPr="005143FF">
              <w:rPr>
                <w:rFonts w:eastAsia="Calibri"/>
                <w:sz w:val="20"/>
                <w:lang w:val="fr-CA"/>
              </w:rPr>
              <w:t>Cour suprême du Canada</w:t>
            </w: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Demande d'autorisation d'appel, déposée</w:t>
            </w:r>
          </w:p>
        </w:tc>
      </w:tr>
    </w:tbl>
    <w:p w:rsidR="00332827" w:rsidRDefault="00332827" w:rsidP="00332827">
      <w:pPr>
        <w:rPr>
          <w:sz w:val="20"/>
          <w:szCs w:val="20"/>
        </w:rPr>
      </w:pPr>
    </w:p>
    <w:p w:rsidR="00332827" w:rsidRDefault="005F2BA7" w:rsidP="00332827">
      <w:pPr>
        <w:rPr>
          <w:sz w:val="20"/>
          <w:szCs w:val="20"/>
        </w:rPr>
      </w:pPr>
      <w:r w:rsidRPr="005F2BA7">
        <w:rPr>
          <w:sz w:val="20"/>
          <w:szCs w:val="20"/>
          <w:lang w:val="fr-CA"/>
        </w:rPr>
        <w:pict>
          <v:rect id="_x0000_i1072" style="width:2in;height:1pt" o:hrpct="0" o:hralign="center" o:hrstd="t" o:hrnoshade="t" o:hr="t" fillcolor="black [3213]" stroked="f"/>
        </w:pict>
      </w:r>
    </w:p>
    <w:p w:rsidR="00332827" w:rsidRDefault="00332827" w:rsidP="00332827">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43DCE" w:rsidRPr="00143DCE" w:rsidTr="00143DCE">
        <w:trPr>
          <w:cantSplit/>
        </w:trPr>
        <w:tc>
          <w:tcPr>
            <w:tcW w:w="1458" w:type="dxa"/>
          </w:tcPr>
          <w:p w:rsidR="00143DCE" w:rsidRPr="00143DCE" w:rsidRDefault="00143DCE" w:rsidP="00143DCE">
            <w:pPr>
              <w:rPr>
                <w:sz w:val="20"/>
                <w:szCs w:val="20"/>
              </w:rPr>
            </w:pPr>
            <w:r w:rsidRPr="00143DCE">
              <w:rPr>
                <w:b/>
                <w:sz w:val="20"/>
                <w:lang w:val="fr-CA"/>
              </w:rPr>
              <w:t>35339</w:t>
            </w:r>
          </w:p>
          <w:p w:rsidR="00143DCE" w:rsidRPr="00143DCE" w:rsidRDefault="00143DCE" w:rsidP="00143DCE">
            <w:pPr>
              <w:rPr>
                <w:b/>
                <w:sz w:val="20"/>
                <w:szCs w:val="20"/>
                <w:lang w:val="fr-CA"/>
              </w:rPr>
            </w:pPr>
          </w:p>
        </w:tc>
        <w:tc>
          <w:tcPr>
            <w:tcW w:w="8118" w:type="dxa"/>
          </w:tcPr>
          <w:p w:rsidR="00143DCE" w:rsidRPr="00143DCE" w:rsidRDefault="00143DCE" w:rsidP="00143DCE">
            <w:pPr>
              <w:rPr>
                <w:sz w:val="20"/>
                <w:szCs w:val="20"/>
              </w:rPr>
            </w:pPr>
            <w:r w:rsidRPr="00143DCE">
              <w:rPr>
                <w:b/>
                <w:sz w:val="20"/>
                <w:u w:val="single"/>
              </w:rPr>
              <w:t>Her Majesty the Queen v. Sean Summers</w:t>
            </w:r>
            <w:r w:rsidRPr="00143DCE">
              <w:rPr>
                <w:sz w:val="20"/>
                <w:szCs w:val="20"/>
              </w:rPr>
              <w:t xml:space="preserve"> (Ont.) (Criminal) (By Leave)</w:t>
            </w:r>
          </w:p>
          <w:p w:rsidR="00143DCE" w:rsidRPr="00143DCE" w:rsidRDefault="00143DCE" w:rsidP="00143DCE">
            <w:pPr>
              <w:rPr>
                <w:sz w:val="20"/>
                <w:szCs w:val="20"/>
              </w:rPr>
            </w:pPr>
          </w:p>
        </w:tc>
      </w:tr>
      <w:tr w:rsidR="00143DCE" w:rsidRPr="00143DCE" w:rsidTr="00143DCE">
        <w:trPr>
          <w:cantSplit/>
        </w:trPr>
        <w:tc>
          <w:tcPr>
            <w:tcW w:w="1458" w:type="dxa"/>
          </w:tcPr>
          <w:p w:rsidR="00143DCE" w:rsidRPr="00143DCE" w:rsidRDefault="00143DCE" w:rsidP="00143DCE">
            <w:pPr>
              <w:rPr>
                <w:sz w:val="20"/>
                <w:szCs w:val="20"/>
              </w:rPr>
            </w:pPr>
            <w:r w:rsidRPr="00143DCE">
              <w:rPr>
                <w:sz w:val="20"/>
                <w:szCs w:val="20"/>
              </w:rPr>
              <w:t>Coram :</w:t>
            </w:r>
          </w:p>
        </w:tc>
        <w:tc>
          <w:tcPr>
            <w:tcW w:w="8118" w:type="dxa"/>
          </w:tcPr>
          <w:p w:rsidR="00143DCE" w:rsidRPr="00143DCE" w:rsidRDefault="00143DCE" w:rsidP="00143DCE">
            <w:pPr>
              <w:rPr>
                <w:sz w:val="20"/>
                <w:szCs w:val="20"/>
              </w:rPr>
            </w:pPr>
            <w:r w:rsidRPr="00143DCE">
              <w:rPr>
                <w:sz w:val="20"/>
                <w:u w:val="single"/>
              </w:rPr>
              <w:t>Fish, Rothstein and Moldaver JJ.</w:t>
            </w:r>
          </w:p>
          <w:p w:rsidR="00143DCE" w:rsidRPr="00143DCE" w:rsidRDefault="00143DCE" w:rsidP="00143DCE">
            <w:pPr>
              <w:rPr>
                <w:sz w:val="20"/>
                <w:szCs w:val="20"/>
                <w:u w:val="single"/>
              </w:rPr>
            </w:pPr>
          </w:p>
        </w:tc>
      </w:tr>
      <w:tr w:rsidR="00143DCE" w:rsidRPr="00B86261" w:rsidTr="00143DCE">
        <w:trPr>
          <w:cantSplit/>
        </w:trPr>
        <w:tc>
          <w:tcPr>
            <w:tcW w:w="9576" w:type="dxa"/>
            <w:gridSpan w:val="2"/>
          </w:tcPr>
          <w:p w:rsidR="00143DCE" w:rsidRPr="00143DCE" w:rsidRDefault="00143DCE" w:rsidP="00143DCE">
            <w:pPr>
              <w:ind w:firstLine="720"/>
              <w:jc w:val="both"/>
              <w:rPr>
                <w:sz w:val="20"/>
                <w:szCs w:val="20"/>
              </w:rPr>
            </w:pPr>
            <w:r w:rsidRPr="00143DCE">
              <w:rPr>
                <w:sz w:val="20"/>
                <w:szCs w:val="20"/>
              </w:rPr>
              <w:t>The application for leave to appeal from the judgment of the Court of Appeal for Ontario, Number C53913, 2013 ONCA 147, dated March 12, 2013, is granted and the timelines are abridged to allow this case to be heard with the case Her Majesty the Queen v. Level Aaron Carvery (35115).</w:t>
            </w:r>
          </w:p>
          <w:p w:rsidR="00143DCE" w:rsidRPr="00143DCE" w:rsidRDefault="00143DCE" w:rsidP="00143DCE">
            <w:pPr>
              <w:jc w:val="both"/>
              <w:rPr>
                <w:sz w:val="20"/>
                <w:szCs w:val="20"/>
              </w:rPr>
            </w:pPr>
          </w:p>
          <w:p w:rsidR="00143DCE" w:rsidRPr="00143DCE" w:rsidRDefault="00143DCE" w:rsidP="00143DCE">
            <w:pPr>
              <w:ind w:firstLine="720"/>
              <w:jc w:val="both"/>
              <w:rPr>
                <w:sz w:val="20"/>
                <w:szCs w:val="20"/>
                <w:lang w:val="fr-CA"/>
              </w:rPr>
            </w:pPr>
            <w:r w:rsidRPr="00143DCE">
              <w:rPr>
                <w:sz w:val="20"/>
                <w:szCs w:val="20"/>
                <w:lang w:val="fr-CA"/>
              </w:rPr>
              <w:t>La demande d’autorisation d’appel de l’arrêt de la Cour d’appel de l’Ontario, numéro C53913, 2013 ONCA 147, daté du 12 mars 2013, est accueillie, et les délais sont abrégés pour que cet appel soit entendu avec l’appel Sa Majesté la Reine c. Level Aaron Carvery (35115).</w:t>
            </w:r>
          </w:p>
        </w:tc>
      </w:tr>
    </w:tbl>
    <w:p w:rsidR="00143DCE" w:rsidRPr="00143DCE" w:rsidRDefault="00143DCE" w:rsidP="00332827">
      <w:pPr>
        <w:rPr>
          <w:sz w:val="20"/>
          <w:szCs w:val="20"/>
          <w:lang w:val="fr-CA"/>
        </w:rPr>
      </w:pPr>
    </w:p>
    <w:p w:rsidR="00143DCE" w:rsidRPr="001B157C" w:rsidRDefault="00143DCE" w:rsidP="00143DCE">
      <w:pPr>
        <w:rPr>
          <w:sz w:val="20"/>
          <w:szCs w:val="20"/>
          <w:u w:val="single"/>
        </w:rPr>
      </w:pPr>
      <w:r w:rsidRPr="001B157C">
        <w:rPr>
          <w:sz w:val="20"/>
          <w:szCs w:val="20"/>
          <w:u w:val="single"/>
        </w:rPr>
        <w:t>CASE SUMMARY</w:t>
      </w:r>
    </w:p>
    <w:p w:rsidR="00143DCE" w:rsidRDefault="00143DCE" w:rsidP="00143DC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C3673D">
        <w:tc>
          <w:tcPr>
            <w:tcW w:w="5000" w:type="pct"/>
            <w:gridSpan w:val="3"/>
          </w:tcPr>
          <w:p w:rsidR="0007151E" w:rsidRPr="005143FF" w:rsidRDefault="0007151E" w:rsidP="00C3673D">
            <w:pPr>
              <w:jc w:val="both"/>
              <w:rPr>
                <w:rFonts w:eastAsia="Calibri"/>
                <w:sz w:val="20"/>
              </w:rPr>
            </w:pPr>
            <w:r w:rsidRPr="005143FF">
              <w:rPr>
                <w:rFonts w:eastAsia="Calibri"/>
                <w:sz w:val="20"/>
              </w:rPr>
              <w:t xml:space="preserve">Criminal law – Sentencing – Credit for pre-trial custody – Is the unavailability of earned remission or parole to those in remand custody a “circumstance” that may justify granting enhanced credit for pre-trial custody under s. 719(3.1) of the </w:t>
            </w:r>
            <w:r w:rsidRPr="005143FF">
              <w:rPr>
                <w:rFonts w:eastAsia="Calibri"/>
                <w:i/>
                <w:sz w:val="20"/>
              </w:rPr>
              <w:t>Criminal Code</w:t>
            </w:r>
            <w:r w:rsidRPr="005143FF">
              <w:rPr>
                <w:rFonts w:eastAsia="Calibri"/>
                <w:sz w:val="20"/>
              </w:rPr>
              <w:t>.</w:t>
            </w:r>
          </w:p>
        </w:tc>
      </w:tr>
      <w:tr w:rsidR="0007151E" w:rsidRPr="005143FF" w:rsidTr="00C3673D">
        <w:tc>
          <w:tcPr>
            <w:tcW w:w="5000" w:type="pct"/>
            <w:gridSpan w:val="3"/>
          </w:tcPr>
          <w:p w:rsidR="0007151E" w:rsidRPr="005143FF" w:rsidRDefault="0007151E" w:rsidP="00C3673D">
            <w:pPr>
              <w:jc w:val="both"/>
              <w:rPr>
                <w:rFonts w:eastAsia="Calibri"/>
                <w:sz w:val="20"/>
              </w:rPr>
            </w:pPr>
          </w:p>
        </w:tc>
      </w:tr>
      <w:tr w:rsidR="0007151E" w:rsidRPr="005143FF" w:rsidTr="00C3673D">
        <w:tc>
          <w:tcPr>
            <w:tcW w:w="5000" w:type="pct"/>
            <w:gridSpan w:val="3"/>
          </w:tcPr>
          <w:p w:rsidR="0007151E" w:rsidRPr="005143FF" w:rsidRDefault="0007151E" w:rsidP="00C3673D">
            <w:pPr>
              <w:jc w:val="both"/>
              <w:rPr>
                <w:rFonts w:eastAsia="Calibri"/>
                <w:sz w:val="20"/>
              </w:rPr>
            </w:pPr>
            <w:r w:rsidRPr="005143FF">
              <w:rPr>
                <w:rFonts w:eastAsia="Calibri"/>
                <w:sz w:val="20"/>
              </w:rPr>
              <w:t>The respondent pled guilty to manslaughter of his infant daughter.  The infant sustained substantive severe and devastating head injuries all of which were indicative of shaken baby syndrome.  The sentencing judge determined that the sentence should be 6 years and eight months which included credit of 1.5 to one credit for pre-trial custody.  The Court of Appeal dismissed the sentence appeal.</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May 30, 2011</w:t>
            </w:r>
          </w:p>
          <w:p w:rsidR="0007151E" w:rsidRPr="005143FF" w:rsidRDefault="0007151E" w:rsidP="00C3673D">
            <w:pPr>
              <w:jc w:val="both"/>
              <w:rPr>
                <w:rFonts w:eastAsia="Calibri"/>
                <w:sz w:val="20"/>
              </w:rPr>
            </w:pPr>
            <w:r w:rsidRPr="005143FF">
              <w:rPr>
                <w:rFonts w:eastAsia="Calibri"/>
                <w:sz w:val="20"/>
              </w:rPr>
              <w:t>Ontario Superior Court of Justice</w:t>
            </w:r>
          </w:p>
          <w:p w:rsidR="0007151E" w:rsidRPr="005143FF" w:rsidRDefault="0007151E" w:rsidP="00C3673D">
            <w:pPr>
              <w:jc w:val="both"/>
              <w:rPr>
                <w:rFonts w:eastAsia="Calibri"/>
                <w:sz w:val="20"/>
              </w:rPr>
            </w:pPr>
            <w:r w:rsidRPr="005143FF">
              <w:rPr>
                <w:rFonts w:eastAsia="Calibri"/>
                <w:sz w:val="20"/>
              </w:rPr>
              <w:t>(Glithero J.)</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Sentence imposed: 6 years and eight months which included credit of 1.5 to 1 for pre-trial custody</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March 12, 2013</w:t>
            </w:r>
          </w:p>
          <w:p w:rsidR="0007151E" w:rsidRPr="005143FF" w:rsidRDefault="0007151E" w:rsidP="00C3673D">
            <w:pPr>
              <w:jc w:val="both"/>
              <w:rPr>
                <w:rFonts w:eastAsia="Calibri"/>
                <w:sz w:val="20"/>
              </w:rPr>
            </w:pPr>
            <w:r w:rsidRPr="005143FF">
              <w:rPr>
                <w:rFonts w:eastAsia="Calibri"/>
                <w:sz w:val="20"/>
              </w:rPr>
              <w:t>Court of Appeal for Ontario</w:t>
            </w:r>
          </w:p>
          <w:p w:rsidR="0007151E" w:rsidRPr="005143FF" w:rsidRDefault="0007151E" w:rsidP="00C3673D">
            <w:pPr>
              <w:jc w:val="both"/>
              <w:rPr>
                <w:rFonts w:eastAsia="Calibri"/>
                <w:sz w:val="20"/>
              </w:rPr>
            </w:pPr>
            <w:r w:rsidRPr="005143FF">
              <w:rPr>
                <w:rFonts w:eastAsia="Calibri"/>
                <w:sz w:val="20"/>
              </w:rPr>
              <w:t>(Cronk, Pepall, Tulloch JJ.A.)</w:t>
            </w:r>
          </w:p>
          <w:p w:rsidR="0007151E" w:rsidRPr="005143FF" w:rsidRDefault="0007151E" w:rsidP="00C3673D">
            <w:pPr>
              <w:jc w:val="both"/>
              <w:rPr>
                <w:rFonts w:eastAsia="Calibri"/>
                <w:sz w:val="20"/>
              </w:rPr>
            </w:pPr>
            <w:r w:rsidRPr="005143FF">
              <w:rPr>
                <w:rFonts w:eastAsia="Calibri"/>
                <w:sz w:val="20"/>
              </w:rPr>
              <w:t>2013 ONCA 147</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Sentence appeal dismissed</w:t>
            </w:r>
          </w:p>
          <w:p w:rsidR="0007151E" w:rsidRPr="005143FF" w:rsidRDefault="0007151E" w:rsidP="00C3673D">
            <w:pPr>
              <w:jc w:val="both"/>
              <w:rPr>
                <w:rFonts w:eastAsia="Calibri"/>
                <w:sz w:val="20"/>
              </w:rPr>
            </w:pPr>
          </w:p>
          <w:p w:rsidR="0007151E" w:rsidRPr="005143FF" w:rsidRDefault="0007151E" w:rsidP="00C3673D">
            <w:pPr>
              <w:jc w:val="both"/>
              <w:rPr>
                <w:rFonts w:eastAsia="Calibri"/>
                <w:sz w:val="20"/>
              </w:rPr>
            </w:pPr>
          </w:p>
        </w:tc>
      </w:tr>
      <w:tr w:rsidR="0007151E" w:rsidRPr="005143FF" w:rsidTr="00C3673D">
        <w:trPr>
          <w:cantSplit/>
        </w:trPr>
        <w:tc>
          <w:tcPr>
            <w:tcW w:w="2427" w:type="pct"/>
          </w:tcPr>
          <w:p w:rsidR="0007151E" w:rsidRPr="005143FF" w:rsidRDefault="0007151E" w:rsidP="00C3673D">
            <w:pPr>
              <w:jc w:val="both"/>
              <w:rPr>
                <w:rFonts w:eastAsia="Calibri"/>
                <w:sz w:val="20"/>
              </w:rPr>
            </w:pPr>
            <w:r w:rsidRPr="005143FF">
              <w:rPr>
                <w:rFonts w:eastAsia="Calibri"/>
                <w:sz w:val="20"/>
              </w:rPr>
              <w:lastRenderedPageBreak/>
              <w:t>April 29, 2013</w:t>
            </w:r>
          </w:p>
          <w:p w:rsidR="0007151E" w:rsidRPr="005143FF" w:rsidRDefault="0007151E" w:rsidP="00C3673D">
            <w:pPr>
              <w:jc w:val="both"/>
              <w:rPr>
                <w:rFonts w:eastAsia="Calibri"/>
                <w:sz w:val="20"/>
              </w:rPr>
            </w:pPr>
            <w:r w:rsidRPr="005143FF">
              <w:rPr>
                <w:rFonts w:eastAsia="Calibri"/>
                <w:sz w:val="20"/>
              </w:rPr>
              <w:t>Supreme Court of Canada</w:t>
            </w: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Application for leave to appeal filed</w:t>
            </w:r>
          </w:p>
          <w:p w:rsidR="0007151E" w:rsidRPr="005143FF" w:rsidRDefault="0007151E" w:rsidP="00C3673D">
            <w:pPr>
              <w:jc w:val="both"/>
              <w:rPr>
                <w:rFonts w:eastAsia="Calibri"/>
                <w:sz w:val="20"/>
              </w:rPr>
            </w:pPr>
          </w:p>
        </w:tc>
      </w:tr>
    </w:tbl>
    <w:p w:rsidR="00143DCE" w:rsidRDefault="00143DCE" w:rsidP="00143DCE">
      <w:pPr>
        <w:rPr>
          <w:sz w:val="20"/>
          <w:szCs w:val="20"/>
        </w:rPr>
      </w:pPr>
    </w:p>
    <w:p w:rsidR="00143DCE" w:rsidRPr="00C50A5C" w:rsidRDefault="005F2BA7" w:rsidP="00143DCE">
      <w:pPr>
        <w:rPr>
          <w:sz w:val="20"/>
          <w:szCs w:val="20"/>
        </w:rPr>
      </w:pPr>
      <w:r w:rsidRPr="005F2BA7">
        <w:rPr>
          <w:sz w:val="20"/>
          <w:szCs w:val="20"/>
          <w:lang w:val="fr-CA"/>
        </w:rPr>
        <w:pict>
          <v:rect id="_x0000_i1073" style="width:2in;height:1pt" o:hrpct="0" o:hralign="center" o:hrstd="t" o:hrnoshade="t" o:hr="t" fillcolor="black [3213]" stroked="f"/>
        </w:pict>
      </w:r>
    </w:p>
    <w:p w:rsidR="00143DCE" w:rsidRDefault="00143DCE" w:rsidP="00143DCE">
      <w:pPr>
        <w:rPr>
          <w:sz w:val="20"/>
          <w:szCs w:val="20"/>
        </w:rPr>
      </w:pPr>
    </w:p>
    <w:p w:rsidR="00143DCE" w:rsidRPr="001B157C" w:rsidRDefault="00143DCE" w:rsidP="00143DCE">
      <w:pPr>
        <w:rPr>
          <w:sz w:val="20"/>
          <w:szCs w:val="20"/>
          <w:u w:val="single"/>
          <w:lang w:val="fr-CA"/>
        </w:rPr>
      </w:pPr>
      <w:r w:rsidRPr="001B157C">
        <w:rPr>
          <w:sz w:val="20"/>
          <w:szCs w:val="20"/>
          <w:u w:val="single"/>
          <w:lang w:val="fr-CA"/>
        </w:rPr>
        <w:t>RÉSUMÉ DE L’AFFAIRE</w:t>
      </w:r>
    </w:p>
    <w:p w:rsidR="00143DCE" w:rsidRDefault="00143DCE" w:rsidP="00143DC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B86261"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 xml:space="preserve">Droit criminel – Détermination de la peine – Réduction de peine pour tenir compte de la période passée sous garde avant le procès – L'impossibilité pour ceux qui sont en détention provisoire avant le prononcé de la sentence d'obtenir une réduction de peine méritée ou une libération conditionnelle constitue-t-elle une « circonstance » qui peut justifier l’allocation d’une réduction plus importante de la peine pour tenir compte de la période passée sous garde avant le procès en application du par. 719(3.1) du </w:t>
            </w:r>
            <w:r w:rsidRPr="005143FF">
              <w:rPr>
                <w:rFonts w:eastAsia="Calibri"/>
                <w:i/>
                <w:sz w:val="20"/>
                <w:lang w:val="fr-CA"/>
              </w:rPr>
              <w:t>Code criminel</w:t>
            </w:r>
            <w:r w:rsidRPr="005143FF">
              <w:rPr>
                <w:rFonts w:eastAsia="Calibri"/>
                <w:sz w:val="20"/>
                <w:lang w:val="fr-CA"/>
              </w:rPr>
              <w:t>?</w:t>
            </w:r>
          </w:p>
        </w:tc>
      </w:tr>
      <w:tr w:rsidR="0007151E" w:rsidRPr="00B86261" w:rsidTr="00C3673D">
        <w:tc>
          <w:tcPr>
            <w:tcW w:w="5000" w:type="pct"/>
            <w:gridSpan w:val="3"/>
          </w:tcPr>
          <w:p w:rsidR="0007151E" w:rsidRPr="005143FF" w:rsidRDefault="0007151E" w:rsidP="00C3673D">
            <w:pPr>
              <w:jc w:val="both"/>
              <w:rPr>
                <w:rFonts w:eastAsia="Calibri"/>
                <w:sz w:val="20"/>
                <w:lang w:val="fr-CA"/>
              </w:rPr>
            </w:pPr>
          </w:p>
        </w:tc>
      </w:tr>
      <w:tr w:rsidR="0007151E" w:rsidRPr="005143FF"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L'intimé a plaidé coupable d'homicide involontaire coupable de sa fille en bas âge.  L’enfant a subi d’importantes blessures graves et dévastatrices à la tête, toutes indicatives du syndrome du bébé secoué.  Le juge chargé de prononcer la peine a imposé une peine de six ans et huit mois qui comprenait une réduction de peine pour tenir compte de la période passée sous garde avant le procès, c’est-à-dire un jour et demi de réduction pour chaque jour passé sous garde.  La Cour d'appel a rejeté l'appel de la peine.</w:t>
            </w:r>
          </w:p>
          <w:p w:rsidR="0007151E" w:rsidRPr="005143FF" w:rsidRDefault="0007151E" w:rsidP="00C3673D">
            <w:pPr>
              <w:jc w:val="both"/>
              <w:rPr>
                <w:rFonts w:eastAsia="Calibri"/>
                <w:sz w:val="20"/>
                <w:lang w:val="fr-CA"/>
              </w:rPr>
            </w:pPr>
          </w:p>
        </w:tc>
      </w:tr>
      <w:tr w:rsidR="0007151E" w:rsidRPr="00B86261"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30 mai 2011</w:t>
            </w:r>
          </w:p>
          <w:p w:rsidR="0007151E" w:rsidRPr="005143FF" w:rsidRDefault="0007151E" w:rsidP="00C3673D">
            <w:pPr>
              <w:jc w:val="both"/>
              <w:rPr>
                <w:rFonts w:eastAsia="Calibri"/>
                <w:sz w:val="20"/>
                <w:lang w:val="fr-CA"/>
              </w:rPr>
            </w:pPr>
            <w:r w:rsidRPr="005143FF">
              <w:rPr>
                <w:rFonts w:eastAsia="Calibri"/>
                <w:sz w:val="20"/>
                <w:lang w:val="fr-CA"/>
              </w:rPr>
              <w:t>Cour supérieure de justice de l'Ontario</w:t>
            </w:r>
          </w:p>
          <w:p w:rsidR="0007151E" w:rsidRPr="005143FF" w:rsidRDefault="0007151E" w:rsidP="00C3673D">
            <w:pPr>
              <w:jc w:val="both"/>
              <w:rPr>
                <w:rFonts w:eastAsia="Calibri"/>
                <w:sz w:val="20"/>
                <w:lang w:val="fr-CA"/>
              </w:rPr>
            </w:pPr>
            <w:r w:rsidRPr="005143FF">
              <w:rPr>
                <w:rFonts w:eastAsia="Calibri"/>
                <w:sz w:val="20"/>
                <w:lang w:val="fr-CA"/>
              </w:rPr>
              <w:t>(Juge Glithero)</w:t>
            </w:r>
          </w:p>
          <w:p w:rsidR="0007151E" w:rsidRPr="005143FF" w:rsidRDefault="0007151E" w:rsidP="00C3673D">
            <w:pPr>
              <w:jc w:val="both"/>
              <w:rPr>
                <w:rFonts w:eastAsia="Calibri"/>
                <w:sz w:val="20"/>
                <w:lang w:val="fr-CA"/>
              </w:rPr>
            </w:pP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Peine imposée : six ans et huit mois qui comprenait une réduction de peine pour tenir compte de la période passée sous garde avant le procès, c’est-à-dire un jour et demi de réduction pour chaque jour passé sous garde</w:t>
            </w:r>
          </w:p>
          <w:p w:rsidR="0007151E" w:rsidRPr="005143FF" w:rsidRDefault="0007151E" w:rsidP="00C3673D">
            <w:pPr>
              <w:jc w:val="both"/>
              <w:rPr>
                <w:rFonts w:eastAsia="Calibri"/>
                <w:sz w:val="20"/>
                <w:lang w:val="fr-CA"/>
              </w:rPr>
            </w:pPr>
          </w:p>
        </w:tc>
      </w:tr>
      <w:tr w:rsidR="0007151E" w:rsidRPr="005143FF"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12 mars 2013</w:t>
            </w:r>
          </w:p>
          <w:p w:rsidR="0007151E" w:rsidRPr="005143FF" w:rsidRDefault="0007151E" w:rsidP="00C3673D">
            <w:pPr>
              <w:jc w:val="both"/>
              <w:rPr>
                <w:rFonts w:eastAsia="Calibri"/>
                <w:sz w:val="20"/>
                <w:lang w:val="fr-CA"/>
              </w:rPr>
            </w:pPr>
            <w:r w:rsidRPr="005143FF">
              <w:rPr>
                <w:rFonts w:eastAsia="Calibri"/>
                <w:sz w:val="20"/>
                <w:lang w:val="fr-CA"/>
              </w:rPr>
              <w:t>Cour d'appel de l'Ontario</w:t>
            </w:r>
          </w:p>
          <w:p w:rsidR="0007151E" w:rsidRPr="005143FF" w:rsidRDefault="0007151E" w:rsidP="00C3673D">
            <w:pPr>
              <w:jc w:val="both"/>
              <w:rPr>
                <w:rFonts w:eastAsia="Calibri"/>
                <w:sz w:val="20"/>
                <w:lang w:val="fr-CA"/>
              </w:rPr>
            </w:pPr>
            <w:r w:rsidRPr="005143FF">
              <w:rPr>
                <w:rFonts w:eastAsia="Calibri"/>
                <w:sz w:val="20"/>
                <w:lang w:val="fr-CA"/>
              </w:rPr>
              <w:t>(Juges Cronk, Pepall et Tulloch)</w:t>
            </w:r>
          </w:p>
          <w:p w:rsidR="0007151E" w:rsidRPr="005143FF" w:rsidRDefault="0007151E" w:rsidP="00C3673D">
            <w:pPr>
              <w:jc w:val="both"/>
              <w:rPr>
                <w:rFonts w:eastAsia="Calibri"/>
                <w:sz w:val="20"/>
                <w:lang w:val="fr-CA"/>
              </w:rPr>
            </w:pPr>
            <w:r w:rsidRPr="005143FF">
              <w:rPr>
                <w:rFonts w:eastAsia="Calibri"/>
                <w:sz w:val="20"/>
                <w:lang w:val="fr-CA"/>
              </w:rPr>
              <w:t>2013 ONCA 147</w:t>
            </w:r>
          </w:p>
          <w:p w:rsidR="0007151E" w:rsidRPr="005143FF" w:rsidRDefault="0007151E" w:rsidP="00C3673D">
            <w:pPr>
              <w:jc w:val="both"/>
              <w:rPr>
                <w:rFonts w:eastAsia="Calibri"/>
                <w:sz w:val="20"/>
                <w:lang w:val="fr-CA"/>
              </w:rPr>
            </w:pP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Appel de la peine rejeté</w:t>
            </w:r>
          </w:p>
          <w:p w:rsidR="0007151E" w:rsidRPr="005143FF" w:rsidRDefault="0007151E" w:rsidP="00C3673D">
            <w:pPr>
              <w:jc w:val="both"/>
              <w:rPr>
                <w:rFonts w:eastAsia="Calibri"/>
                <w:sz w:val="20"/>
                <w:lang w:val="fr-CA"/>
              </w:rPr>
            </w:pPr>
          </w:p>
        </w:tc>
      </w:tr>
      <w:tr w:rsidR="0007151E" w:rsidRPr="005143FF"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29 avril 2013</w:t>
            </w:r>
          </w:p>
          <w:p w:rsidR="0007151E" w:rsidRPr="005143FF" w:rsidRDefault="0007151E" w:rsidP="00C3673D">
            <w:pPr>
              <w:jc w:val="both"/>
              <w:rPr>
                <w:rFonts w:eastAsia="Calibri"/>
                <w:sz w:val="20"/>
                <w:lang w:val="fr-CA"/>
              </w:rPr>
            </w:pPr>
            <w:r w:rsidRPr="005143FF">
              <w:rPr>
                <w:rFonts w:eastAsia="Calibri"/>
                <w:sz w:val="20"/>
                <w:lang w:val="fr-CA"/>
              </w:rPr>
              <w:t>Cour suprême du Canada</w:t>
            </w: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Demande d'autorisation d'appel, déposée</w:t>
            </w:r>
          </w:p>
          <w:p w:rsidR="0007151E" w:rsidRPr="005143FF" w:rsidRDefault="0007151E" w:rsidP="00C3673D">
            <w:pPr>
              <w:jc w:val="both"/>
              <w:rPr>
                <w:rFonts w:eastAsia="Calibri"/>
                <w:sz w:val="20"/>
                <w:lang w:val="fr-CA"/>
              </w:rPr>
            </w:pPr>
          </w:p>
        </w:tc>
      </w:tr>
    </w:tbl>
    <w:p w:rsidR="00143DCE" w:rsidRDefault="00143DCE" w:rsidP="00143DCE">
      <w:pPr>
        <w:rPr>
          <w:sz w:val="20"/>
          <w:szCs w:val="20"/>
        </w:rPr>
      </w:pPr>
    </w:p>
    <w:p w:rsidR="00143DCE" w:rsidRDefault="005F2BA7" w:rsidP="00143DCE">
      <w:pPr>
        <w:rPr>
          <w:sz w:val="20"/>
          <w:szCs w:val="20"/>
        </w:rPr>
      </w:pPr>
      <w:r w:rsidRPr="005F2BA7">
        <w:rPr>
          <w:sz w:val="20"/>
          <w:szCs w:val="20"/>
          <w:lang w:val="fr-CA"/>
        </w:rPr>
        <w:pict>
          <v:rect id="_x0000_i1074" style="width:2in;height:1pt" o:hrpct="0" o:hralign="center" o:hrstd="t" o:hrnoshade="t" o:hr="t" fillcolor="black [3213]" stroked="f"/>
        </w:pict>
      </w:r>
    </w:p>
    <w:p w:rsidR="00143DCE" w:rsidRPr="00332827" w:rsidRDefault="00143DCE" w:rsidP="0033282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5457" w:rsidRPr="009B1157" w:rsidTr="00C173EE">
        <w:trPr>
          <w:cantSplit/>
        </w:trPr>
        <w:tc>
          <w:tcPr>
            <w:tcW w:w="1458" w:type="dxa"/>
          </w:tcPr>
          <w:p w:rsidR="00575457" w:rsidRPr="009B1157" w:rsidRDefault="00575457" w:rsidP="00C173EE">
            <w:pPr>
              <w:rPr>
                <w:sz w:val="20"/>
                <w:szCs w:val="20"/>
              </w:rPr>
            </w:pPr>
            <w:r w:rsidRPr="009B1157">
              <w:rPr>
                <w:rStyle w:val="SCCFileNumberChar"/>
                <w:sz w:val="20"/>
                <w:szCs w:val="20"/>
              </w:rPr>
              <w:t>35343</w:t>
            </w:r>
          </w:p>
          <w:p w:rsidR="00575457" w:rsidRPr="009B1157" w:rsidRDefault="00575457" w:rsidP="00C173EE">
            <w:pPr>
              <w:rPr>
                <w:b/>
                <w:sz w:val="20"/>
                <w:szCs w:val="20"/>
                <w:lang w:val="fr-CA"/>
              </w:rPr>
            </w:pPr>
          </w:p>
        </w:tc>
        <w:tc>
          <w:tcPr>
            <w:tcW w:w="8118" w:type="dxa"/>
          </w:tcPr>
          <w:p w:rsidR="00575457" w:rsidRPr="009B1157" w:rsidRDefault="00575457" w:rsidP="00C173EE">
            <w:pPr>
              <w:jc w:val="both"/>
              <w:rPr>
                <w:sz w:val="20"/>
                <w:szCs w:val="20"/>
              </w:rPr>
            </w:pPr>
            <w:r w:rsidRPr="00575457">
              <w:rPr>
                <w:rStyle w:val="SCCLsocChar"/>
                <w:sz w:val="20"/>
                <w:szCs w:val="20"/>
                <w:lang w:val="en-CA"/>
              </w:rPr>
              <w:t>Glenn Ross, Sam Nowaselski</w:t>
            </w:r>
            <w:r w:rsidR="0027123C">
              <w:rPr>
                <w:rStyle w:val="SCCLsocChar"/>
                <w:sz w:val="20"/>
                <w:szCs w:val="20"/>
                <w:lang w:val="en-CA"/>
              </w:rPr>
              <w:t xml:space="preserve"> and</w:t>
            </w:r>
            <w:r w:rsidRPr="00575457">
              <w:rPr>
                <w:rStyle w:val="SCCLsocChar"/>
                <w:sz w:val="20"/>
                <w:szCs w:val="20"/>
                <w:lang w:val="en-CA"/>
              </w:rPr>
              <w:t xml:space="preserve"> Canadian Union of Public Employees, Local 1975 v. Stan Rubin</w:t>
            </w:r>
            <w:r w:rsidRPr="009B1157">
              <w:rPr>
                <w:sz w:val="20"/>
                <w:szCs w:val="20"/>
              </w:rPr>
              <w:t xml:space="preserve"> (Sask.) (Civil) (By Leave)</w:t>
            </w:r>
          </w:p>
          <w:p w:rsidR="00575457" w:rsidRPr="009B1157" w:rsidRDefault="00575457" w:rsidP="00C173EE">
            <w:pPr>
              <w:jc w:val="both"/>
              <w:rPr>
                <w:sz w:val="20"/>
                <w:szCs w:val="20"/>
              </w:rPr>
            </w:pPr>
          </w:p>
        </w:tc>
      </w:tr>
      <w:tr w:rsidR="00575457" w:rsidRPr="009B1157" w:rsidTr="00C173EE">
        <w:trPr>
          <w:cantSplit/>
        </w:trPr>
        <w:tc>
          <w:tcPr>
            <w:tcW w:w="1458" w:type="dxa"/>
          </w:tcPr>
          <w:p w:rsidR="00575457" w:rsidRPr="009B1157" w:rsidRDefault="00575457" w:rsidP="00C173EE">
            <w:pPr>
              <w:rPr>
                <w:sz w:val="20"/>
                <w:szCs w:val="20"/>
              </w:rPr>
            </w:pPr>
            <w:r w:rsidRPr="009B1157">
              <w:rPr>
                <w:sz w:val="20"/>
                <w:szCs w:val="20"/>
              </w:rPr>
              <w:t>Coram :</w:t>
            </w:r>
          </w:p>
        </w:tc>
        <w:tc>
          <w:tcPr>
            <w:tcW w:w="8118" w:type="dxa"/>
          </w:tcPr>
          <w:p w:rsidR="00575457" w:rsidRPr="009B1157" w:rsidRDefault="00575457" w:rsidP="00C173EE">
            <w:pPr>
              <w:rPr>
                <w:sz w:val="20"/>
                <w:szCs w:val="20"/>
              </w:rPr>
            </w:pPr>
            <w:r w:rsidRPr="00575457">
              <w:rPr>
                <w:rStyle w:val="SCCCoramChar"/>
                <w:sz w:val="20"/>
                <w:szCs w:val="20"/>
                <w:lang w:val="en-CA"/>
              </w:rPr>
              <w:t>Fish, Rothstein and Moldaver JJ.</w:t>
            </w:r>
          </w:p>
          <w:p w:rsidR="00575457" w:rsidRPr="009B1157" w:rsidRDefault="00575457" w:rsidP="00C173EE">
            <w:pPr>
              <w:rPr>
                <w:sz w:val="20"/>
                <w:szCs w:val="20"/>
                <w:u w:val="single"/>
              </w:rPr>
            </w:pPr>
          </w:p>
        </w:tc>
      </w:tr>
      <w:tr w:rsidR="00575457" w:rsidRPr="00B86261" w:rsidTr="00C173EE">
        <w:trPr>
          <w:cantSplit/>
        </w:trPr>
        <w:tc>
          <w:tcPr>
            <w:tcW w:w="9576" w:type="dxa"/>
            <w:gridSpan w:val="2"/>
          </w:tcPr>
          <w:p w:rsidR="00575457" w:rsidRPr="009B1157" w:rsidRDefault="00575457" w:rsidP="00C173EE">
            <w:pPr>
              <w:pStyle w:val="SCCShortJudgment"/>
              <w:rPr>
                <w:szCs w:val="20"/>
              </w:rPr>
            </w:pPr>
            <w:r w:rsidRPr="009B1157">
              <w:rPr>
                <w:szCs w:val="20"/>
              </w:rPr>
              <w:t>The application for leave to appeal from the judgment of the Court of Appeal for Saskatchewan, Number CACV 1973, 2013 SKCA 21, dated March 1, 2013, is dismissed with costs.</w:t>
            </w:r>
          </w:p>
          <w:p w:rsidR="00575457" w:rsidRPr="009B1157" w:rsidRDefault="00575457" w:rsidP="00C173EE">
            <w:pPr>
              <w:pStyle w:val="SCCShortJudgment"/>
              <w:ind w:firstLine="0"/>
              <w:rPr>
                <w:szCs w:val="20"/>
              </w:rPr>
            </w:pPr>
          </w:p>
          <w:p w:rsidR="00575457" w:rsidRPr="009B1157" w:rsidRDefault="00575457" w:rsidP="00C173EE">
            <w:pPr>
              <w:pStyle w:val="SCCShortJudgment"/>
              <w:rPr>
                <w:szCs w:val="20"/>
                <w:lang w:val="fr-CA"/>
              </w:rPr>
            </w:pPr>
            <w:r w:rsidRPr="009B1157">
              <w:rPr>
                <w:szCs w:val="20"/>
                <w:lang w:val="fr-CA"/>
              </w:rPr>
              <w:t>La demande d’autorisation d’appel de l’arrêt de la Cour d’appel de la Saskatchewan, numéro CACV 1973, 2013 SKCA 21, daté du 1</w:t>
            </w:r>
            <w:r w:rsidRPr="0027123C">
              <w:rPr>
                <w:szCs w:val="20"/>
                <w:vertAlign w:val="superscript"/>
                <w:lang w:val="fr-CA"/>
              </w:rPr>
              <w:t>er</w:t>
            </w:r>
            <w:r w:rsidRPr="009B1157">
              <w:rPr>
                <w:szCs w:val="20"/>
                <w:lang w:val="fr-CA"/>
              </w:rPr>
              <w:t xml:space="preserve"> mars 2013, est rejetée avec dépens.</w:t>
            </w:r>
          </w:p>
        </w:tc>
      </w:tr>
    </w:tbl>
    <w:p w:rsidR="00332827" w:rsidRPr="0016547E" w:rsidRDefault="00332827" w:rsidP="00332827">
      <w:pPr>
        <w:rPr>
          <w:sz w:val="20"/>
          <w:szCs w:val="20"/>
          <w:lang w:val="fr-CA"/>
        </w:rPr>
      </w:pPr>
    </w:p>
    <w:p w:rsidR="00332827" w:rsidRPr="001B157C" w:rsidRDefault="00332827" w:rsidP="00332827">
      <w:pPr>
        <w:rPr>
          <w:sz w:val="20"/>
          <w:szCs w:val="20"/>
          <w:u w:val="single"/>
        </w:rPr>
      </w:pPr>
      <w:r w:rsidRPr="001B157C">
        <w:rPr>
          <w:sz w:val="20"/>
          <w:szCs w:val="20"/>
          <w:u w:val="single"/>
        </w:rPr>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DE6" w:rsidRPr="005143FF" w:rsidTr="00C3673D">
        <w:tc>
          <w:tcPr>
            <w:tcW w:w="5000" w:type="pct"/>
            <w:gridSpan w:val="3"/>
          </w:tcPr>
          <w:p w:rsidR="00D44DE6" w:rsidRPr="005143FF" w:rsidRDefault="00D44DE6" w:rsidP="00C3673D">
            <w:pPr>
              <w:jc w:val="both"/>
              <w:rPr>
                <w:rFonts w:eastAsia="Calibri"/>
                <w:sz w:val="20"/>
              </w:rPr>
            </w:pPr>
            <w:r w:rsidRPr="005143FF">
              <w:rPr>
                <w:rFonts w:eastAsia="Calibri"/>
                <w:sz w:val="20"/>
              </w:rPr>
              <w:t xml:space="preserve">Torts – Defamation – Defences – Absolute privilege </w:t>
            </w:r>
            <m:oMath>
              <m:r>
                <w:rPr>
                  <w:rFonts w:ascii="Cambria Math" w:eastAsia="Calibri" w:hAnsi="Cambria Math"/>
                  <w:sz w:val="20"/>
                </w:rPr>
                <m:t xml:space="preserve">– </m:t>
              </m:r>
            </m:oMath>
            <w:r w:rsidRPr="005143FF">
              <w:rPr>
                <w:rFonts w:eastAsia="Calibri"/>
                <w:sz w:val="20"/>
              </w:rPr>
              <w:t xml:space="preserve">Qualified privilege – Trial judge finding that respondent had </w:t>
            </w:r>
            <w:r w:rsidRPr="005143FF">
              <w:rPr>
                <w:rFonts w:eastAsia="Calibri"/>
                <w:sz w:val="20"/>
              </w:rPr>
              <w:lastRenderedPageBreak/>
              <w:t>been defamed but concluding that applicants could rely on defence of qualified privilege – Whether Court of Appeal erred in law in rejecting defence of absolute privilege – Whether Court of Appeal erred in law in rejecting defence of qualified privilege.</w:t>
            </w:r>
          </w:p>
        </w:tc>
      </w:tr>
      <w:tr w:rsidR="00D44DE6" w:rsidRPr="005143FF" w:rsidTr="00C3673D">
        <w:tc>
          <w:tcPr>
            <w:tcW w:w="5000" w:type="pct"/>
            <w:gridSpan w:val="3"/>
          </w:tcPr>
          <w:p w:rsidR="00D44DE6" w:rsidRPr="005143FF" w:rsidRDefault="00D44DE6" w:rsidP="00C3673D">
            <w:pPr>
              <w:jc w:val="both"/>
              <w:rPr>
                <w:rFonts w:eastAsia="Calibri"/>
                <w:sz w:val="20"/>
              </w:rPr>
            </w:pPr>
          </w:p>
        </w:tc>
      </w:tr>
      <w:tr w:rsidR="00D44DE6" w:rsidRPr="005143FF" w:rsidTr="00C3673D">
        <w:tc>
          <w:tcPr>
            <w:tcW w:w="5000" w:type="pct"/>
            <w:gridSpan w:val="3"/>
          </w:tcPr>
          <w:p w:rsidR="00D44DE6" w:rsidRPr="005143FF" w:rsidRDefault="00D44DE6" w:rsidP="00C3673D">
            <w:pPr>
              <w:jc w:val="both"/>
              <w:rPr>
                <w:rFonts w:eastAsia="Calibri"/>
                <w:sz w:val="20"/>
              </w:rPr>
            </w:pPr>
            <w:r w:rsidRPr="005143FF">
              <w:rPr>
                <w:rFonts w:eastAsia="Calibri"/>
                <w:sz w:val="20"/>
              </w:rPr>
              <w:t xml:space="preserve">The respondent is the former director of a veterinary teaching hospital.  A member of the applicant union believed that she was being harassed by some members of the faculty and some fellow union members at the hospital and filed a grievance that was resolved in her favour.  She later filed a second grievance report alleging harassment at her workplace.  The second report accused the respondent not only of having refused to prevent the harassment, but of being an active part of it himself.  At the second step of the grievance procedure, the complaint was found to have had no merit.  The union decided to refer the matter to arbitration.  A “Notice Re: Harassment Grievance” was prepared, which attached the grievance report.  The combined document was placed on eight public bulletin boards at the hospital.  The union also mailed a mini bulletin enclosing the grievance report and notice to its 1400 members and later published it with its attachments on the union's website.  </w:t>
            </w:r>
          </w:p>
          <w:p w:rsidR="00D44DE6" w:rsidRPr="005143FF" w:rsidRDefault="00D44DE6" w:rsidP="00C3673D">
            <w:pPr>
              <w:jc w:val="both"/>
              <w:rPr>
                <w:rFonts w:eastAsia="Calibri"/>
                <w:sz w:val="20"/>
              </w:rPr>
            </w:pPr>
          </w:p>
          <w:p w:rsidR="00D44DE6" w:rsidRPr="005143FF" w:rsidRDefault="00D44DE6" w:rsidP="00C3673D">
            <w:pPr>
              <w:jc w:val="both"/>
              <w:rPr>
                <w:rFonts w:eastAsia="Calibri"/>
                <w:sz w:val="20"/>
              </w:rPr>
            </w:pPr>
            <w:r w:rsidRPr="005143FF">
              <w:rPr>
                <w:rFonts w:eastAsia="Calibri"/>
                <w:sz w:val="20"/>
              </w:rPr>
              <w:t>The respondent commenced an action in defamation against the applicants.  The trial judge found that the respondent had been defamed, but dismissed his claim, concluding that the applicants could rely on the defence of qualified privilege.  The respondent’s appeal was allowed by the Court of Appeal.</w:t>
            </w:r>
          </w:p>
          <w:p w:rsidR="00D44DE6" w:rsidRPr="005143FF" w:rsidRDefault="00D44DE6" w:rsidP="00C3673D">
            <w:pPr>
              <w:jc w:val="both"/>
              <w:rPr>
                <w:rFonts w:eastAsia="Calibri"/>
                <w:sz w:val="20"/>
              </w:rPr>
            </w:pPr>
          </w:p>
        </w:tc>
      </w:tr>
      <w:tr w:rsidR="00D44DE6" w:rsidRPr="005143FF" w:rsidTr="00C3673D">
        <w:tc>
          <w:tcPr>
            <w:tcW w:w="2427" w:type="pct"/>
          </w:tcPr>
          <w:p w:rsidR="00D44DE6" w:rsidRPr="005143FF" w:rsidRDefault="00D44DE6" w:rsidP="00C3673D">
            <w:pPr>
              <w:jc w:val="both"/>
              <w:rPr>
                <w:rFonts w:eastAsia="Calibri"/>
                <w:sz w:val="20"/>
              </w:rPr>
            </w:pPr>
            <w:r w:rsidRPr="005143FF">
              <w:rPr>
                <w:rFonts w:eastAsia="Calibri"/>
                <w:sz w:val="20"/>
              </w:rPr>
              <w:t>July 14, 2010</w:t>
            </w:r>
          </w:p>
          <w:p w:rsidR="00D44DE6" w:rsidRPr="005143FF" w:rsidRDefault="00D44DE6" w:rsidP="00C3673D">
            <w:pPr>
              <w:jc w:val="both"/>
              <w:rPr>
                <w:rFonts w:eastAsia="Calibri"/>
                <w:sz w:val="20"/>
              </w:rPr>
            </w:pPr>
            <w:r w:rsidRPr="005143FF">
              <w:rPr>
                <w:rFonts w:eastAsia="Calibri"/>
                <w:sz w:val="20"/>
              </w:rPr>
              <w:t>Court of Queen’s Bench for Saskatchewan</w:t>
            </w:r>
          </w:p>
          <w:p w:rsidR="00D44DE6" w:rsidRPr="005143FF" w:rsidRDefault="00D44DE6" w:rsidP="00C3673D">
            <w:pPr>
              <w:jc w:val="both"/>
              <w:rPr>
                <w:rFonts w:eastAsia="Calibri"/>
                <w:sz w:val="20"/>
              </w:rPr>
            </w:pPr>
            <w:r w:rsidRPr="005143FF">
              <w:rPr>
                <w:rFonts w:eastAsia="Calibri"/>
                <w:sz w:val="20"/>
              </w:rPr>
              <w:t>(Keene T.J.)</w:t>
            </w:r>
          </w:p>
          <w:p w:rsidR="00D44DE6" w:rsidRPr="005143FF" w:rsidRDefault="00D44DE6" w:rsidP="00C3673D">
            <w:pPr>
              <w:jc w:val="both"/>
              <w:rPr>
                <w:rFonts w:eastAsia="Calibri"/>
                <w:sz w:val="20"/>
              </w:rPr>
            </w:pPr>
            <w:r w:rsidRPr="005143FF">
              <w:rPr>
                <w:rFonts w:eastAsia="Calibri"/>
                <w:sz w:val="20"/>
              </w:rPr>
              <w:t>2010 SKQB 249</w:t>
            </w:r>
          </w:p>
          <w:p w:rsidR="00D44DE6" w:rsidRPr="005143FF" w:rsidRDefault="00D44DE6" w:rsidP="00C3673D">
            <w:pPr>
              <w:jc w:val="both"/>
              <w:rPr>
                <w:rFonts w:eastAsia="Calibri"/>
                <w:sz w:val="20"/>
              </w:rPr>
            </w:pPr>
          </w:p>
        </w:tc>
        <w:tc>
          <w:tcPr>
            <w:tcW w:w="243" w:type="pct"/>
          </w:tcPr>
          <w:p w:rsidR="00D44DE6" w:rsidRPr="005143FF" w:rsidRDefault="00D44DE6" w:rsidP="00C3673D">
            <w:pPr>
              <w:jc w:val="both"/>
              <w:rPr>
                <w:rFonts w:eastAsia="Calibri"/>
                <w:sz w:val="20"/>
              </w:rPr>
            </w:pPr>
          </w:p>
        </w:tc>
        <w:tc>
          <w:tcPr>
            <w:tcW w:w="2330" w:type="pct"/>
          </w:tcPr>
          <w:p w:rsidR="00D44DE6" w:rsidRPr="005143FF" w:rsidRDefault="00D44DE6" w:rsidP="00C3673D">
            <w:pPr>
              <w:jc w:val="both"/>
              <w:rPr>
                <w:rFonts w:eastAsia="Calibri"/>
                <w:sz w:val="20"/>
              </w:rPr>
            </w:pPr>
            <w:r w:rsidRPr="005143FF">
              <w:rPr>
                <w:rFonts w:eastAsia="Calibri"/>
                <w:sz w:val="20"/>
              </w:rPr>
              <w:t>Respondent’s claim dismissed</w:t>
            </w:r>
          </w:p>
          <w:p w:rsidR="00D44DE6" w:rsidRPr="005143FF" w:rsidRDefault="00D44DE6" w:rsidP="00C3673D">
            <w:pPr>
              <w:jc w:val="both"/>
              <w:rPr>
                <w:rFonts w:eastAsia="Calibri"/>
                <w:sz w:val="20"/>
              </w:rPr>
            </w:pPr>
          </w:p>
        </w:tc>
      </w:tr>
      <w:tr w:rsidR="00D44DE6" w:rsidRPr="005143FF" w:rsidTr="00C3673D">
        <w:tc>
          <w:tcPr>
            <w:tcW w:w="2427" w:type="pct"/>
          </w:tcPr>
          <w:p w:rsidR="00D44DE6" w:rsidRPr="005143FF" w:rsidRDefault="00D44DE6" w:rsidP="00C3673D">
            <w:pPr>
              <w:jc w:val="both"/>
              <w:rPr>
                <w:rFonts w:eastAsia="Calibri"/>
                <w:sz w:val="20"/>
              </w:rPr>
            </w:pPr>
            <w:r w:rsidRPr="005143FF">
              <w:rPr>
                <w:rFonts w:eastAsia="Calibri"/>
                <w:sz w:val="20"/>
              </w:rPr>
              <w:t>March 1, 2013</w:t>
            </w:r>
          </w:p>
          <w:p w:rsidR="00D44DE6" w:rsidRPr="005143FF" w:rsidRDefault="00D44DE6" w:rsidP="00C3673D">
            <w:pPr>
              <w:jc w:val="both"/>
              <w:rPr>
                <w:rFonts w:eastAsia="Calibri"/>
                <w:sz w:val="20"/>
              </w:rPr>
            </w:pPr>
            <w:r w:rsidRPr="005143FF">
              <w:rPr>
                <w:rFonts w:eastAsia="Calibri"/>
                <w:sz w:val="20"/>
              </w:rPr>
              <w:t>Court of Appeal for Saskatchewan</w:t>
            </w:r>
          </w:p>
          <w:p w:rsidR="00D44DE6" w:rsidRPr="005143FF" w:rsidRDefault="00D44DE6" w:rsidP="00C3673D">
            <w:pPr>
              <w:jc w:val="both"/>
              <w:rPr>
                <w:rFonts w:eastAsia="Calibri"/>
                <w:sz w:val="20"/>
              </w:rPr>
            </w:pPr>
            <w:r w:rsidRPr="005143FF">
              <w:rPr>
                <w:rFonts w:eastAsia="Calibri"/>
                <w:sz w:val="20"/>
              </w:rPr>
              <w:t>(Klebuc C.J.S., Lane and Jackson JJ.A.)</w:t>
            </w:r>
          </w:p>
          <w:p w:rsidR="00D44DE6" w:rsidRPr="005143FF" w:rsidRDefault="00D44DE6" w:rsidP="00C3673D">
            <w:pPr>
              <w:jc w:val="both"/>
              <w:rPr>
                <w:rFonts w:eastAsia="Calibri"/>
                <w:sz w:val="20"/>
              </w:rPr>
            </w:pPr>
            <w:r w:rsidRPr="005143FF">
              <w:rPr>
                <w:rFonts w:eastAsia="Calibri"/>
                <w:sz w:val="20"/>
              </w:rPr>
              <w:t>2013 SKCA 21</w:t>
            </w:r>
          </w:p>
          <w:p w:rsidR="00D44DE6" w:rsidRPr="005143FF" w:rsidRDefault="00D44DE6" w:rsidP="00C3673D">
            <w:pPr>
              <w:jc w:val="both"/>
              <w:rPr>
                <w:rFonts w:eastAsia="Calibri"/>
                <w:sz w:val="20"/>
              </w:rPr>
            </w:pPr>
          </w:p>
        </w:tc>
        <w:tc>
          <w:tcPr>
            <w:tcW w:w="243" w:type="pct"/>
          </w:tcPr>
          <w:p w:rsidR="00D44DE6" w:rsidRPr="005143FF" w:rsidRDefault="00D44DE6" w:rsidP="00C3673D">
            <w:pPr>
              <w:jc w:val="both"/>
              <w:rPr>
                <w:rFonts w:eastAsia="Calibri"/>
                <w:sz w:val="20"/>
              </w:rPr>
            </w:pPr>
          </w:p>
        </w:tc>
        <w:tc>
          <w:tcPr>
            <w:tcW w:w="2330" w:type="pct"/>
          </w:tcPr>
          <w:p w:rsidR="00D44DE6" w:rsidRPr="005143FF" w:rsidRDefault="00D44DE6" w:rsidP="00C3673D">
            <w:pPr>
              <w:jc w:val="both"/>
              <w:rPr>
                <w:rFonts w:eastAsia="Calibri"/>
                <w:sz w:val="20"/>
              </w:rPr>
            </w:pPr>
            <w:r w:rsidRPr="005143FF">
              <w:rPr>
                <w:rFonts w:eastAsia="Calibri"/>
                <w:sz w:val="20"/>
              </w:rPr>
              <w:t>Appeal allowed; cross-appeal dismissed</w:t>
            </w:r>
          </w:p>
          <w:p w:rsidR="00D44DE6" w:rsidRPr="005143FF" w:rsidRDefault="00D44DE6" w:rsidP="00C3673D">
            <w:pPr>
              <w:jc w:val="both"/>
              <w:rPr>
                <w:rFonts w:eastAsia="Calibri"/>
                <w:sz w:val="20"/>
              </w:rPr>
            </w:pPr>
          </w:p>
        </w:tc>
      </w:tr>
      <w:tr w:rsidR="00D44DE6" w:rsidRPr="005143FF" w:rsidTr="00C3673D">
        <w:tc>
          <w:tcPr>
            <w:tcW w:w="2427" w:type="pct"/>
          </w:tcPr>
          <w:p w:rsidR="00D44DE6" w:rsidRPr="005143FF" w:rsidRDefault="00D44DE6" w:rsidP="00C3673D">
            <w:pPr>
              <w:jc w:val="both"/>
              <w:rPr>
                <w:rFonts w:eastAsia="Calibri"/>
                <w:sz w:val="20"/>
              </w:rPr>
            </w:pPr>
            <w:r w:rsidRPr="005143FF">
              <w:rPr>
                <w:rFonts w:eastAsia="Calibri"/>
                <w:sz w:val="20"/>
              </w:rPr>
              <w:t>April 26, 2013</w:t>
            </w:r>
          </w:p>
          <w:p w:rsidR="00D44DE6" w:rsidRPr="005143FF" w:rsidRDefault="00D44DE6" w:rsidP="00C3673D">
            <w:pPr>
              <w:jc w:val="both"/>
              <w:rPr>
                <w:rFonts w:eastAsia="Calibri"/>
                <w:sz w:val="20"/>
              </w:rPr>
            </w:pPr>
            <w:r w:rsidRPr="005143FF">
              <w:rPr>
                <w:rFonts w:eastAsia="Calibri"/>
                <w:sz w:val="20"/>
              </w:rPr>
              <w:t>Supreme Court of Canada</w:t>
            </w:r>
          </w:p>
        </w:tc>
        <w:tc>
          <w:tcPr>
            <w:tcW w:w="243" w:type="pct"/>
          </w:tcPr>
          <w:p w:rsidR="00D44DE6" w:rsidRPr="005143FF" w:rsidRDefault="00D44DE6" w:rsidP="00C3673D">
            <w:pPr>
              <w:jc w:val="both"/>
              <w:rPr>
                <w:rFonts w:eastAsia="Calibri"/>
                <w:sz w:val="20"/>
              </w:rPr>
            </w:pPr>
          </w:p>
        </w:tc>
        <w:tc>
          <w:tcPr>
            <w:tcW w:w="2330" w:type="pct"/>
          </w:tcPr>
          <w:p w:rsidR="00D44DE6" w:rsidRPr="005143FF" w:rsidRDefault="00D44DE6" w:rsidP="00C3673D">
            <w:pPr>
              <w:jc w:val="both"/>
              <w:rPr>
                <w:rFonts w:eastAsia="Calibri"/>
                <w:sz w:val="20"/>
              </w:rPr>
            </w:pPr>
            <w:r w:rsidRPr="005143FF">
              <w:rPr>
                <w:rFonts w:eastAsia="Calibri"/>
                <w:sz w:val="20"/>
              </w:rPr>
              <w:t>Application for leave to appeal filed</w:t>
            </w: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75" style="width:2in;height:1pt" o:hrpct="0" o:hralign="center" o:hrstd="t" o:hrnoshade="t" o:hr="t" fillcolor="black [3213]" stroked="f"/>
        </w:pict>
      </w:r>
    </w:p>
    <w:p w:rsidR="00332827" w:rsidRDefault="00332827" w:rsidP="00332827">
      <w:pPr>
        <w:rPr>
          <w:sz w:val="20"/>
          <w:szCs w:val="20"/>
        </w:rPr>
      </w:pPr>
    </w:p>
    <w:p w:rsidR="00332827" w:rsidRPr="001B157C" w:rsidRDefault="00332827" w:rsidP="00332827">
      <w:pPr>
        <w:rPr>
          <w:sz w:val="20"/>
          <w:szCs w:val="20"/>
          <w:u w:val="single"/>
          <w:lang w:val="fr-CA"/>
        </w:rPr>
      </w:pPr>
      <w:r w:rsidRPr="001B157C">
        <w:rPr>
          <w:sz w:val="20"/>
          <w:szCs w:val="20"/>
          <w:u w:val="single"/>
          <w:lang w:val="fr-CA"/>
        </w:rPr>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DE6" w:rsidRPr="00B86261" w:rsidTr="00C3673D">
        <w:trPr>
          <w:trHeight w:val="576"/>
        </w:trPr>
        <w:tc>
          <w:tcPr>
            <w:tcW w:w="5000" w:type="pct"/>
            <w:gridSpan w:val="3"/>
          </w:tcPr>
          <w:p w:rsidR="00D44DE6" w:rsidRPr="005143FF" w:rsidRDefault="00D44DE6" w:rsidP="00C3673D">
            <w:pPr>
              <w:jc w:val="both"/>
              <w:rPr>
                <w:rFonts w:eastAsia="Calibri"/>
                <w:sz w:val="20"/>
                <w:lang w:val="fr-CA"/>
              </w:rPr>
            </w:pPr>
            <w:r w:rsidRPr="005143FF">
              <w:rPr>
                <w:rFonts w:eastAsia="Calibri"/>
                <w:sz w:val="20"/>
                <w:lang w:val="fr-CA"/>
              </w:rPr>
              <w:t xml:space="preserve">Responsabilité délictuelle – Diffamation – Moyens de défense – Immunité absolue </w:t>
            </w:r>
            <m:oMath>
              <m:r>
                <w:rPr>
                  <w:rFonts w:ascii="Cambria Math" w:eastAsia="Calibri" w:hAnsi="Cambria Math" w:cs="Times New Roman"/>
                  <w:lang w:val="fr-CA"/>
                </w:rPr>
                <m:t>–</m:t>
              </m:r>
            </m:oMath>
            <w:r w:rsidRPr="005143FF">
              <w:rPr>
                <w:rFonts w:eastAsia="Calibri"/>
                <w:sz w:val="20"/>
                <w:lang w:val="fr-CA"/>
              </w:rPr>
              <w:t xml:space="preserve"> Immunité relative – Le juge de première instance a conclu que l'intimé avait été l'objet de diffamation, mais a conclu que les demandeurs pouvaient invoquer la défense d'immunité relative – La Cour d'appel a-t-elle commis une erreur de droit en rejetant la défense d'immunité absolue? – La Cour d'appel a-t-elle commis une erreur de droit en rejetant la défense d'immunité relative?</w:t>
            </w:r>
          </w:p>
        </w:tc>
      </w:tr>
      <w:tr w:rsidR="00D44DE6" w:rsidRPr="00B86261" w:rsidTr="00C3673D">
        <w:tc>
          <w:tcPr>
            <w:tcW w:w="5000" w:type="pct"/>
            <w:gridSpan w:val="3"/>
          </w:tcPr>
          <w:p w:rsidR="00D44DE6" w:rsidRPr="005143FF" w:rsidRDefault="00D44DE6" w:rsidP="00C3673D">
            <w:pPr>
              <w:jc w:val="both"/>
              <w:rPr>
                <w:rFonts w:eastAsia="Calibri"/>
                <w:sz w:val="20"/>
                <w:lang w:val="fr-CA"/>
              </w:rPr>
            </w:pPr>
          </w:p>
        </w:tc>
      </w:tr>
      <w:tr w:rsidR="00D44DE6" w:rsidRPr="005143FF" w:rsidTr="00C3673D">
        <w:tc>
          <w:tcPr>
            <w:tcW w:w="5000" w:type="pct"/>
            <w:gridSpan w:val="3"/>
          </w:tcPr>
          <w:p w:rsidR="00D44DE6" w:rsidRPr="005143FF" w:rsidRDefault="00D44DE6" w:rsidP="00C3673D">
            <w:pPr>
              <w:jc w:val="both"/>
              <w:rPr>
                <w:rFonts w:eastAsia="Calibri"/>
                <w:sz w:val="20"/>
                <w:lang w:val="fr-CA"/>
              </w:rPr>
            </w:pPr>
            <w:r w:rsidRPr="005143FF">
              <w:rPr>
                <w:rFonts w:eastAsia="Calibri"/>
                <w:sz w:val="20"/>
                <w:lang w:val="fr-CA"/>
              </w:rPr>
              <w:t>L'intimé est l'ancien directeur d'un hôpital d'enseignement de médecine vétérinaire.  Une membre du syndicat demandeur estimait avoir été l'objet de harcèlement par des membres du corps professoral et quelques collègues syndiqués de l'hôpital et a déposé un grief qui a été réglé en sa faveur.  Elle a subséquemment déposé un second rapport de grief pour harcèlement à son lieu de travail.  Dans le second rapport de grief, l'intimé était accusé non seulement d'avoir refusé d'empêcher le harcèlement, mais d'y avoir lui-même pris part activement.  À la deuxième étape de la procédure de grief, la plainte a été jugée non fondée.  Le syndicat a décidé de renvoyer l'affaire à l'arbitrage.  Un [</w:t>
            </w:r>
            <w:r w:rsidRPr="005143FF">
              <w:rPr>
                <w:rFonts w:eastAsia="Calibri"/>
                <w:smallCaps/>
                <w:sz w:val="20"/>
                <w:lang w:val="fr-CA"/>
              </w:rPr>
              <w:t>traduction</w:t>
            </w:r>
            <w:r w:rsidRPr="005143FF">
              <w:rPr>
                <w:rFonts w:eastAsia="Calibri"/>
                <w:sz w:val="20"/>
                <w:lang w:val="fr-CA"/>
              </w:rPr>
              <w:t xml:space="preserve">] « avis de grief pour harcèlement » a été rédigé et annexé au rapport de grief.  Le document en entier a été affiché sur huit babillards publics à l'hôpital.  Le syndicat a également envoyé par la poste à ses 1 400 membres un mini bulletin auquel étaient joints le rapport de grief et l'avis et qui a été publié plus tard avec ses pièces jointes sur le site Web du syndicat.  </w:t>
            </w:r>
          </w:p>
          <w:p w:rsidR="00D44DE6" w:rsidRPr="005143FF" w:rsidRDefault="00D44DE6" w:rsidP="00C3673D">
            <w:pPr>
              <w:jc w:val="both"/>
              <w:rPr>
                <w:rFonts w:eastAsia="Calibri"/>
                <w:sz w:val="20"/>
                <w:lang w:val="fr-CA"/>
              </w:rPr>
            </w:pPr>
          </w:p>
          <w:p w:rsidR="00D44DE6" w:rsidRPr="005143FF" w:rsidRDefault="00D44DE6" w:rsidP="00C3673D">
            <w:pPr>
              <w:jc w:val="both"/>
              <w:rPr>
                <w:rFonts w:eastAsia="Calibri"/>
                <w:sz w:val="20"/>
                <w:lang w:val="fr-CA"/>
              </w:rPr>
            </w:pPr>
            <w:r w:rsidRPr="005143FF">
              <w:rPr>
                <w:rFonts w:eastAsia="Calibri"/>
                <w:sz w:val="20"/>
                <w:lang w:val="fr-CA"/>
              </w:rPr>
              <w:t>L'intimé a intenté une action en diffamation contre les demandeurs.  Le juge de première instance a conclu que l'intimé avait été l'objet de diffamation, mais il a rejeté la demande, concluant que les demandeurs pouvaient invoquer la défense de l'immunité relative.  La Cour d'appel a accueilli l'appel de l'intimé.</w:t>
            </w:r>
          </w:p>
          <w:p w:rsidR="00D44DE6" w:rsidRPr="005143FF" w:rsidRDefault="00D44DE6" w:rsidP="00C3673D">
            <w:pPr>
              <w:jc w:val="both"/>
              <w:rPr>
                <w:rFonts w:eastAsia="Calibri"/>
                <w:sz w:val="20"/>
                <w:lang w:val="fr-CA"/>
              </w:rPr>
            </w:pPr>
          </w:p>
        </w:tc>
      </w:tr>
      <w:tr w:rsidR="00D44DE6" w:rsidRPr="005143FF" w:rsidTr="00C3673D">
        <w:tc>
          <w:tcPr>
            <w:tcW w:w="2427" w:type="pct"/>
          </w:tcPr>
          <w:p w:rsidR="00D44DE6" w:rsidRPr="005143FF" w:rsidRDefault="00D44DE6" w:rsidP="00C3673D">
            <w:pPr>
              <w:jc w:val="both"/>
              <w:rPr>
                <w:rFonts w:eastAsia="Calibri"/>
                <w:sz w:val="20"/>
                <w:lang w:val="fr-CA"/>
              </w:rPr>
            </w:pPr>
            <w:r w:rsidRPr="005143FF">
              <w:rPr>
                <w:rFonts w:eastAsia="Calibri"/>
                <w:sz w:val="20"/>
                <w:lang w:val="fr-CA"/>
              </w:rPr>
              <w:lastRenderedPageBreak/>
              <w:t>14 juillet 2010</w:t>
            </w:r>
          </w:p>
          <w:p w:rsidR="00D44DE6" w:rsidRPr="005143FF" w:rsidRDefault="00D44DE6" w:rsidP="00C3673D">
            <w:pPr>
              <w:jc w:val="both"/>
              <w:rPr>
                <w:rFonts w:eastAsia="Calibri"/>
                <w:sz w:val="20"/>
                <w:lang w:val="fr-CA"/>
              </w:rPr>
            </w:pPr>
            <w:r w:rsidRPr="005143FF">
              <w:rPr>
                <w:rFonts w:eastAsia="Calibri"/>
                <w:sz w:val="20"/>
                <w:lang w:val="fr-CA"/>
              </w:rPr>
              <w:t>Cour du Banc de la Reine de la Saskatchewan</w:t>
            </w:r>
          </w:p>
          <w:p w:rsidR="00D44DE6" w:rsidRPr="005143FF" w:rsidRDefault="00D44DE6" w:rsidP="00C3673D">
            <w:pPr>
              <w:jc w:val="both"/>
              <w:rPr>
                <w:rFonts w:eastAsia="Calibri"/>
                <w:sz w:val="20"/>
                <w:lang w:val="fr-CA"/>
              </w:rPr>
            </w:pPr>
            <w:r w:rsidRPr="005143FF">
              <w:rPr>
                <w:rFonts w:eastAsia="Calibri"/>
                <w:sz w:val="20"/>
                <w:lang w:val="fr-CA"/>
              </w:rPr>
              <w:t>(Juge Keene.)</w:t>
            </w:r>
          </w:p>
          <w:p w:rsidR="00D44DE6" w:rsidRPr="005143FF" w:rsidRDefault="00D44DE6" w:rsidP="00C3673D">
            <w:pPr>
              <w:jc w:val="both"/>
              <w:rPr>
                <w:rFonts w:eastAsia="Calibri"/>
                <w:sz w:val="20"/>
                <w:lang w:val="fr-CA"/>
              </w:rPr>
            </w:pPr>
            <w:r w:rsidRPr="005143FF">
              <w:rPr>
                <w:rFonts w:eastAsia="Calibri"/>
                <w:sz w:val="20"/>
                <w:lang w:val="fr-CA"/>
              </w:rPr>
              <w:t>2010 SKQB 249</w:t>
            </w:r>
          </w:p>
          <w:p w:rsidR="00D44DE6" w:rsidRPr="005143FF" w:rsidRDefault="00D44DE6" w:rsidP="00C3673D">
            <w:pPr>
              <w:jc w:val="both"/>
              <w:rPr>
                <w:rFonts w:eastAsia="Calibri"/>
                <w:sz w:val="20"/>
                <w:lang w:val="fr-CA"/>
              </w:rPr>
            </w:pPr>
          </w:p>
        </w:tc>
        <w:tc>
          <w:tcPr>
            <w:tcW w:w="243" w:type="pct"/>
          </w:tcPr>
          <w:p w:rsidR="00D44DE6" w:rsidRPr="005143FF" w:rsidRDefault="00D44DE6" w:rsidP="00C3673D">
            <w:pPr>
              <w:jc w:val="both"/>
              <w:rPr>
                <w:rFonts w:eastAsia="Calibri"/>
                <w:sz w:val="20"/>
                <w:lang w:val="fr-CA"/>
              </w:rPr>
            </w:pPr>
          </w:p>
        </w:tc>
        <w:tc>
          <w:tcPr>
            <w:tcW w:w="2330" w:type="pct"/>
          </w:tcPr>
          <w:p w:rsidR="00D44DE6" w:rsidRPr="005143FF" w:rsidRDefault="00D44DE6" w:rsidP="00C3673D">
            <w:pPr>
              <w:jc w:val="both"/>
              <w:rPr>
                <w:rFonts w:eastAsia="Calibri"/>
                <w:sz w:val="20"/>
                <w:lang w:val="fr-CA"/>
              </w:rPr>
            </w:pPr>
            <w:r w:rsidRPr="005143FF">
              <w:rPr>
                <w:rFonts w:eastAsia="Calibri"/>
                <w:sz w:val="20"/>
                <w:lang w:val="fr-CA"/>
              </w:rPr>
              <w:t>Demande de l'intimé, rejetée</w:t>
            </w:r>
          </w:p>
          <w:p w:rsidR="00D44DE6" w:rsidRPr="005143FF" w:rsidRDefault="00D44DE6" w:rsidP="00C3673D">
            <w:pPr>
              <w:jc w:val="both"/>
              <w:rPr>
                <w:rFonts w:eastAsia="Calibri"/>
                <w:sz w:val="20"/>
                <w:lang w:val="fr-CA"/>
              </w:rPr>
            </w:pPr>
          </w:p>
        </w:tc>
      </w:tr>
      <w:tr w:rsidR="00D44DE6" w:rsidRPr="005143FF" w:rsidTr="00C3673D">
        <w:tc>
          <w:tcPr>
            <w:tcW w:w="2427" w:type="pct"/>
          </w:tcPr>
          <w:p w:rsidR="00D44DE6" w:rsidRPr="005143FF" w:rsidRDefault="00D44DE6" w:rsidP="00C3673D">
            <w:pPr>
              <w:jc w:val="both"/>
              <w:rPr>
                <w:rFonts w:eastAsia="Calibri"/>
                <w:sz w:val="20"/>
                <w:lang w:val="fr-CA"/>
              </w:rPr>
            </w:pPr>
            <w:r w:rsidRPr="005143FF">
              <w:rPr>
                <w:rFonts w:eastAsia="Calibri"/>
                <w:sz w:val="20"/>
                <w:lang w:val="fr-CA"/>
              </w:rPr>
              <w:t>1</w:t>
            </w:r>
            <w:r w:rsidRPr="005143FF">
              <w:rPr>
                <w:rFonts w:eastAsia="Calibri"/>
                <w:sz w:val="20"/>
                <w:vertAlign w:val="superscript"/>
                <w:lang w:val="fr-CA"/>
              </w:rPr>
              <w:t>er</w:t>
            </w:r>
            <w:r w:rsidRPr="005143FF">
              <w:rPr>
                <w:rFonts w:eastAsia="Calibri"/>
                <w:sz w:val="20"/>
                <w:lang w:val="fr-CA"/>
              </w:rPr>
              <w:t xml:space="preserve"> mars 2013</w:t>
            </w:r>
          </w:p>
          <w:p w:rsidR="00D44DE6" w:rsidRPr="005143FF" w:rsidRDefault="00D44DE6" w:rsidP="00C3673D">
            <w:pPr>
              <w:jc w:val="both"/>
              <w:rPr>
                <w:rFonts w:eastAsia="Calibri"/>
                <w:sz w:val="20"/>
                <w:lang w:val="fr-CA"/>
              </w:rPr>
            </w:pPr>
            <w:r w:rsidRPr="005143FF">
              <w:rPr>
                <w:rFonts w:eastAsia="Calibri"/>
                <w:sz w:val="20"/>
                <w:lang w:val="fr-CA"/>
              </w:rPr>
              <w:t>Cour d'appel de la Saskatchewan</w:t>
            </w:r>
          </w:p>
          <w:p w:rsidR="00D44DE6" w:rsidRPr="005143FF" w:rsidRDefault="00D44DE6" w:rsidP="00C3673D">
            <w:pPr>
              <w:jc w:val="both"/>
              <w:rPr>
                <w:rFonts w:eastAsia="Calibri"/>
                <w:sz w:val="20"/>
                <w:lang w:val="fr-CA"/>
              </w:rPr>
            </w:pPr>
            <w:r w:rsidRPr="005143FF">
              <w:rPr>
                <w:rFonts w:eastAsia="Calibri"/>
                <w:sz w:val="20"/>
                <w:lang w:val="fr-CA"/>
              </w:rPr>
              <w:t>(Juge en chef Klebuc, juges Lane et Jackson)</w:t>
            </w:r>
          </w:p>
          <w:p w:rsidR="00D44DE6" w:rsidRPr="005143FF" w:rsidRDefault="00D44DE6" w:rsidP="00C3673D">
            <w:pPr>
              <w:jc w:val="both"/>
              <w:rPr>
                <w:rFonts w:eastAsia="Calibri"/>
                <w:sz w:val="20"/>
                <w:lang w:val="fr-CA"/>
              </w:rPr>
            </w:pPr>
            <w:r w:rsidRPr="005143FF">
              <w:rPr>
                <w:rFonts w:eastAsia="Calibri"/>
                <w:sz w:val="20"/>
                <w:lang w:val="fr-CA"/>
              </w:rPr>
              <w:t>2013 SKCA 21</w:t>
            </w:r>
          </w:p>
          <w:p w:rsidR="00D44DE6" w:rsidRPr="005143FF" w:rsidRDefault="00D44DE6" w:rsidP="00C3673D">
            <w:pPr>
              <w:jc w:val="both"/>
              <w:rPr>
                <w:rFonts w:eastAsia="Calibri"/>
                <w:sz w:val="20"/>
                <w:lang w:val="fr-CA"/>
              </w:rPr>
            </w:pPr>
          </w:p>
        </w:tc>
        <w:tc>
          <w:tcPr>
            <w:tcW w:w="243" w:type="pct"/>
          </w:tcPr>
          <w:p w:rsidR="00D44DE6" w:rsidRPr="005143FF" w:rsidRDefault="00D44DE6" w:rsidP="00C3673D">
            <w:pPr>
              <w:jc w:val="both"/>
              <w:rPr>
                <w:rFonts w:eastAsia="Calibri"/>
                <w:sz w:val="20"/>
                <w:lang w:val="fr-CA"/>
              </w:rPr>
            </w:pPr>
          </w:p>
        </w:tc>
        <w:tc>
          <w:tcPr>
            <w:tcW w:w="2330" w:type="pct"/>
          </w:tcPr>
          <w:p w:rsidR="00D44DE6" w:rsidRPr="005143FF" w:rsidRDefault="00D44DE6" w:rsidP="00C3673D">
            <w:pPr>
              <w:jc w:val="both"/>
              <w:rPr>
                <w:rFonts w:eastAsia="Calibri"/>
                <w:sz w:val="20"/>
                <w:lang w:val="fr-CA"/>
              </w:rPr>
            </w:pPr>
            <w:r w:rsidRPr="005143FF">
              <w:rPr>
                <w:rFonts w:eastAsia="Calibri"/>
                <w:sz w:val="20"/>
                <w:lang w:val="fr-CA"/>
              </w:rPr>
              <w:t xml:space="preserve">Appel accueilli; appel incident rejeté </w:t>
            </w:r>
          </w:p>
          <w:p w:rsidR="00D44DE6" w:rsidRPr="005143FF" w:rsidRDefault="00D44DE6" w:rsidP="00C3673D">
            <w:pPr>
              <w:jc w:val="both"/>
              <w:rPr>
                <w:rFonts w:eastAsia="Calibri"/>
                <w:sz w:val="20"/>
                <w:lang w:val="fr-CA"/>
              </w:rPr>
            </w:pPr>
          </w:p>
        </w:tc>
      </w:tr>
      <w:tr w:rsidR="00D44DE6" w:rsidRPr="005143FF" w:rsidTr="00C3673D">
        <w:tc>
          <w:tcPr>
            <w:tcW w:w="2427" w:type="pct"/>
          </w:tcPr>
          <w:p w:rsidR="00D44DE6" w:rsidRPr="005143FF" w:rsidRDefault="00D44DE6" w:rsidP="00C3673D">
            <w:pPr>
              <w:jc w:val="both"/>
              <w:rPr>
                <w:rFonts w:eastAsia="Calibri"/>
                <w:sz w:val="20"/>
                <w:lang w:val="fr-CA"/>
              </w:rPr>
            </w:pPr>
            <w:r w:rsidRPr="005143FF">
              <w:rPr>
                <w:rFonts w:eastAsia="Calibri"/>
                <w:sz w:val="20"/>
                <w:lang w:val="fr-CA"/>
              </w:rPr>
              <w:t>26 avril 2013</w:t>
            </w:r>
          </w:p>
          <w:p w:rsidR="00D44DE6" w:rsidRPr="005143FF" w:rsidRDefault="00D44DE6" w:rsidP="00C3673D">
            <w:pPr>
              <w:jc w:val="both"/>
              <w:rPr>
                <w:rFonts w:eastAsia="Calibri"/>
                <w:sz w:val="20"/>
                <w:lang w:val="fr-CA"/>
              </w:rPr>
            </w:pPr>
            <w:r w:rsidRPr="005143FF">
              <w:rPr>
                <w:rFonts w:eastAsia="Calibri"/>
                <w:sz w:val="20"/>
                <w:lang w:val="fr-CA"/>
              </w:rPr>
              <w:t>Cour suprême du Canada</w:t>
            </w:r>
          </w:p>
        </w:tc>
        <w:tc>
          <w:tcPr>
            <w:tcW w:w="243" w:type="pct"/>
          </w:tcPr>
          <w:p w:rsidR="00D44DE6" w:rsidRPr="005143FF" w:rsidRDefault="00D44DE6" w:rsidP="00C3673D">
            <w:pPr>
              <w:jc w:val="both"/>
              <w:rPr>
                <w:rFonts w:eastAsia="Calibri"/>
                <w:sz w:val="20"/>
                <w:lang w:val="fr-CA"/>
              </w:rPr>
            </w:pPr>
          </w:p>
        </w:tc>
        <w:tc>
          <w:tcPr>
            <w:tcW w:w="2330" w:type="pct"/>
          </w:tcPr>
          <w:p w:rsidR="00D44DE6" w:rsidRPr="005143FF" w:rsidRDefault="00D44DE6" w:rsidP="00C3673D">
            <w:pPr>
              <w:jc w:val="both"/>
              <w:rPr>
                <w:rFonts w:eastAsia="Calibri"/>
                <w:sz w:val="20"/>
                <w:lang w:val="fr-CA"/>
              </w:rPr>
            </w:pPr>
            <w:r w:rsidRPr="005143FF">
              <w:rPr>
                <w:rFonts w:eastAsia="Calibri"/>
                <w:sz w:val="20"/>
                <w:lang w:val="fr-CA"/>
              </w:rPr>
              <w:t>Demande d'autorisation d'appel, déposée</w:t>
            </w:r>
          </w:p>
        </w:tc>
      </w:tr>
    </w:tbl>
    <w:p w:rsidR="00332827" w:rsidRDefault="00332827" w:rsidP="00332827">
      <w:pPr>
        <w:rPr>
          <w:sz w:val="20"/>
          <w:szCs w:val="20"/>
        </w:rPr>
      </w:pPr>
    </w:p>
    <w:p w:rsidR="00332827" w:rsidRDefault="005F2BA7" w:rsidP="00332827">
      <w:pPr>
        <w:rPr>
          <w:sz w:val="20"/>
          <w:szCs w:val="20"/>
        </w:rPr>
      </w:pPr>
      <w:r w:rsidRPr="005F2BA7">
        <w:rPr>
          <w:sz w:val="20"/>
          <w:szCs w:val="20"/>
          <w:lang w:val="fr-CA"/>
        </w:rPr>
        <w:pict>
          <v:rect id="_x0000_i1076" style="width:2in;height:1pt" o:hrpct="0" o:hralign="center" o:hrstd="t" o:hrnoshade="t" o:hr="t" fillcolor="black [3213]" stroked="f"/>
        </w:pict>
      </w:r>
    </w:p>
    <w:p w:rsidR="00332827" w:rsidRPr="00332827" w:rsidRDefault="00332827" w:rsidP="0033282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5457" w:rsidRPr="009B1157" w:rsidTr="00C173EE">
        <w:trPr>
          <w:cantSplit/>
        </w:trPr>
        <w:tc>
          <w:tcPr>
            <w:tcW w:w="1458" w:type="dxa"/>
          </w:tcPr>
          <w:p w:rsidR="00575457" w:rsidRPr="009B1157" w:rsidRDefault="00575457" w:rsidP="00C173EE">
            <w:pPr>
              <w:rPr>
                <w:sz w:val="20"/>
                <w:szCs w:val="20"/>
              </w:rPr>
            </w:pPr>
            <w:r w:rsidRPr="009B1157">
              <w:rPr>
                <w:rStyle w:val="SCCFileNumberChar"/>
                <w:sz w:val="20"/>
                <w:szCs w:val="20"/>
              </w:rPr>
              <w:t>35344</w:t>
            </w:r>
          </w:p>
          <w:p w:rsidR="00575457" w:rsidRPr="009B1157" w:rsidRDefault="00575457" w:rsidP="00C173EE">
            <w:pPr>
              <w:rPr>
                <w:b/>
                <w:sz w:val="20"/>
                <w:szCs w:val="20"/>
                <w:lang w:val="fr-CA"/>
              </w:rPr>
            </w:pPr>
          </w:p>
        </w:tc>
        <w:tc>
          <w:tcPr>
            <w:tcW w:w="8118" w:type="dxa"/>
          </w:tcPr>
          <w:p w:rsidR="00575457" w:rsidRPr="009B1157" w:rsidRDefault="00575457" w:rsidP="00C173EE">
            <w:pPr>
              <w:jc w:val="both"/>
              <w:rPr>
                <w:sz w:val="20"/>
                <w:szCs w:val="20"/>
              </w:rPr>
            </w:pPr>
            <w:r w:rsidRPr="00575457">
              <w:rPr>
                <w:rStyle w:val="SCCLsocChar"/>
                <w:sz w:val="20"/>
                <w:szCs w:val="20"/>
                <w:lang w:val="en-CA"/>
              </w:rPr>
              <w:t>Joaquim Moreira, Moshe Bernstein</w:t>
            </w:r>
            <w:r w:rsidR="00C173EE">
              <w:rPr>
                <w:rStyle w:val="SCCLsocChar"/>
                <w:sz w:val="20"/>
                <w:szCs w:val="20"/>
                <w:lang w:val="en-CA"/>
              </w:rPr>
              <w:t xml:space="preserve"> and</w:t>
            </w:r>
            <w:r w:rsidRPr="00575457">
              <w:rPr>
                <w:rStyle w:val="SCCLsocChar"/>
                <w:sz w:val="20"/>
                <w:szCs w:val="20"/>
                <w:lang w:val="en-CA"/>
              </w:rPr>
              <w:t xml:space="preserve"> Remo Gigliotti v. Ontario Lottery and Gaming Corporation, Falls Management Company, Falls Management Group, L.P., John Doe #1, John Doe #2, John Doe #3</w:t>
            </w:r>
            <w:r w:rsidR="00C173EE">
              <w:rPr>
                <w:rStyle w:val="SCCLsocChar"/>
                <w:sz w:val="20"/>
                <w:szCs w:val="20"/>
                <w:lang w:val="en-CA"/>
              </w:rPr>
              <w:t xml:space="preserve"> and</w:t>
            </w:r>
            <w:r w:rsidRPr="00575457">
              <w:rPr>
                <w:rStyle w:val="SCCLsocChar"/>
                <w:sz w:val="20"/>
                <w:szCs w:val="20"/>
                <w:lang w:val="en-CA"/>
              </w:rPr>
              <w:t xml:space="preserve"> Alcohol and Gaming Commission of Ontario</w:t>
            </w:r>
            <w:r w:rsidRPr="009B1157">
              <w:rPr>
                <w:sz w:val="20"/>
                <w:szCs w:val="20"/>
              </w:rPr>
              <w:t xml:space="preserve"> (Ont.) (Civil) (By</w:t>
            </w:r>
            <w:r w:rsidR="00C173EE">
              <w:rPr>
                <w:sz w:val="20"/>
                <w:szCs w:val="20"/>
              </w:rPr>
              <w:t> </w:t>
            </w:r>
            <w:r w:rsidRPr="009B1157">
              <w:rPr>
                <w:sz w:val="20"/>
                <w:szCs w:val="20"/>
              </w:rPr>
              <w:t>Leave)</w:t>
            </w:r>
          </w:p>
          <w:p w:rsidR="00575457" w:rsidRPr="009B1157" w:rsidRDefault="00575457" w:rsidP="00C173EE">
            <w:pPr>
              <w:jc w:val="both"/>
              <w:rPr>
                <w:sz w:val="20"/>
                <w:szCs w:val="20"/>
              </w:rPr>
            </w:pPr>
          </w:p>
        </w:tc>
      </w:tr>
      <w:tr w:rsidR="00575457" w:rsidRPr="009B1157" w:rsidTr="00C173EE">
        <w:trPr>
          <w:cantSplit/>
        </w:trPr>
        <w:tc>
          <w:tcPr>
            <w:tcW w:w="1458" w:type="dxa"/>
          </w:tcPr>
          <w:p w:rsidR="00575457" w:rsidRPr="009B1157" w:rsidRDefault="00575457" w:rsidP="00C173EE">
            <w:pPr>
              <w:rPr>
                <w:sz w:val="20"/>
                <w:szCs w:val="20"/>
              </w:rPr>
            </w:pPr>
            <w:r w:rsidRPr="009B1157">
              <w:rPr>
                <w:sz w:val="20"/>
                <w:szCs w:val="20"/>
              </w:rPr>
              <w:t>Coram :</w:t>
            </w:r>
          </w:p>
        </w:tc>
        <w:tc>
          <w:tcPr>
            <w:tcW w:w="8118" w:type="dxa"/>
          </w:tcPr>
          <w:p w:rsidR="00575457" w:rsidRPr="009B1157" w:rsidRDefault="00575457" w:rsidP="00C173EE">
            <w:pPr>
              <w:rPr>
                <w:sz w:val="20"/>
                <w:szCs w:val="20"/>
              </w:rPr>
            </w:pPr>
            <w:r w:rsidRPr="00575457">
              <w:rPr>
                <w:rStyle w:val="SCCCoramChar"/>
                <w:sz w:val="20"/>
                <w:szCs w:val="20"/>
                <w:lang w:val="en-CA"/>
              </w:rPr>
              <w:t>Fish, Rothstein and Moldaver JJ.</w:t>
            </w:r>
          </w:p>
          <w:p w:rsidR="00575457" w:rsidRPr="009B1157" w:rsidRDefault="00575457" w:rsidP="00C173EE">
            <w:pPr>
              <w:rPr>
                <w:sz w:val="20"/>
                <w:szCs w:val="20"/>
                <w:u w:val="single"/>
              </w:rPr>
            </w:pPr>
          </w:p>
        </w:tc>
      </w:tr>
      <w:tr w:rsidR="00575457" w:rsidRPr="00B86261" w:rsidTr="00C173EE">
        <w:trPr>
          <w:cantSplit/>
        </w:trPr>
        <w:tc>
          <w:tcPr>
            <w:tcW w:w="9576" w:type="dxa"/>
            <w:gridSpan w:val="2"/>
          </w:tcPr>
          <w:p w:rsidR="00575457" w:rsidRPr="009B1157" w:rsidRDefault="00575457" w:rsidP="00C173EE">
            <w:pPr>
              <w:pStyle w:val="SCCShortJudgment"/>
              <w:rPr>
                <w:szCs w:val="20"/>
              </w:rPr>
            </w:pPr>
            <w:r w:rsidRPr="009B1157">
              <w:rPr>
                <w:szCs w:val="20"/>
              </w:rPr>
              <w:t>The application for leave to appeal from the judgment of the Court of Appeal for Ontario, Number C55521, 2013 ONCA 121, dated February 26, 2013, is dismissed with costs.</w:t>
            </w:r>
          </w:p>
          <w:p w:rsidR="00575457" w:rsidRPr="009B1157" w:rsidRDefault="00575457" w:rsidP="00C173EE">
            <w:pPr>
              <w:pStyle w:val="SCCShortJudgment"/>
              <w:ind w:firstLine="0"/>
              <w:rPr>
                <w:szCs w:val="20"/>
              </w:rPr>
            </w:pPr>
          </w:p>
          <w:p w:rsidR="00575457" w:rsidRPr="009B1157" w:rsidRDefault="00575457" w:rsidP="00C173EE">
            <w:pPr>
              <w:pStyle w:val="SCCShortJudgment"/>
              <w:rPr>
                <w:szCs w:val="20"/>
                <w:lang w:val="fr-CA"/>
              </w:rPr>
            </w:pPr>
            <w:r w:rsidRPr="009B1157">
              <w:rPr>
                <w:szCs w:val="20"/>
                <w:lang w:val="fr-CA"/>
              </w:rPr>
              <w:t>La demande d’autorisation d’appel de l’arrêt de la Cour d’appel de l’Ontario, numéro C55521, 2013 ONCA 121, daté du 26 février 2013, est rejetée avec dépens.</w:t>
            </w:r>
          </w:p>
        </w:tc>
      </w:tr>
    </w:tbl>
    <w:p w:rsidR="00332827" w:rsidRPr="0016547E" w:rsidRDefault="00332827" w:rsidP="00332827">
      <w:pPr>
        <w:rPr>
          <w:sz w:val="20"/>
          <w:szCs w:val="20"/>
          <w:lang w:val="fr-CA"/>
        </w:rPr>
      </w:pPr>
    </w:p>
    <w:p w:rsidR="00332827" w:rsidRPr="001B157C" w:rsidRDefault="00332827" w:rsidP="00332827">
      <w:pPr>
        <w:rPr>
          <w:sz w:val="20"/>
          <w:szCs w:val="20"/>
          <w:u w:val="single"/>
        </w:rPr>
      </w:pPr>
      <w:r w:rsidRPr="001B157C">
        <w:rPr>
          <w:sz w:val="20"/>
          <w:szCs w:val="20"/>
          <w:u w:val="single"/>
        </w:rPr>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DE6" w:rsidRPr="005143FF" w:rsidTr="00C3673D">
        <w:tc>
          <w:tcPr>
            <w:tcW w:w="5000" w:type="pct"/>
            <w:gridSpan w:val="3"/>
          </w:tcPr>
          <w:p w:rsidR="00D44DE6" w:rsidRPr="005143FF" w:rsidRDefault="00D44DE6" w:rsidP="00C3673D">
            <w:pPr>
              <w:jc w:val="both"/>
              <w:rPr>
                <w:sz w:val="20"/>
              </w:rPr>
            </w:pPr>
            <w:r w:rsidRPr="005143FF">
              <w:rPr>
                <w:sz w:val="20"/>
              </w:rPr>
              <w:t xml:space="preserve">Unjust enrichment – Summary judgment – Whether a judge on a summary judgment motion can adjudicate on the merits of the claim on the basis of double or triple hearsay or whether, in light of the need for </w:t>
            </w:r>
            <w:r w:rsidRPr="005143FF">
              <w:rPr>
                <w:i/>
                <w:sz w:val="20"/>
              </w:rPr>
              <w:t>viva voce</w:t>
            </w:r>
            <w:r w:rsidRPr="005143FF">
              <w:rPr>
                <w:sz w:val="20"/>
              </w:rPr>
              <w:t xml:space="preserve"> evidence, an action must proceed to trial – Whether government funded casinos are entitled, at their discretion, to determine the “rules of play” for the purposes of remaining exempt from criminal prosecution in s. 207 of the </w:t>
            </w:r>
            <w:r w:rsidRPr="005143FF">
              <w:rPr>
                <w:i/>
                <w:sz w:val="20"/>
              </w:rPr>
              <w:t>Criminal Code</w:t>
            </w:r>
            <w:r w:rsidRPr="005143FF">
              <w:rPr>
                <w:sz w:val="20"/>
              </w:rPr>
              <w:t xml:space="preserve"> – What are the factors that courts must consider in analyzing the third element of the unjust enrichment test established by the Supreme Court of Canada in </w:t>
            </w:r>
            <w:r w:rsidRPr="005143FF">
              <w:rPr>
                <w:i/>
                <w:sz w:val="20"/>
              </w:rPr>
              <w:t>Garland v. Consumers Gas</w:t>
            </w:r>
          </w:p>
        </w:tc>
      </w:tr>
      <w:tr w:rsidR="00D44DE6" w:rsidRPr="005143FF" w:rsidTr="00C3673D">
        <w:tc>
          <w:tcPr>
            <w:tcW w:w="5000" w:type="pct"/>
            <w:gridSpan w:val="3"/>
          </w:tcPr>
          <w:p w:rsidR="00D44DE6" w:rsidRPr="005143FF" w:rsidRDefault="00D44DE6" w:rsidP="00C3673D">
            <w:pPr>
              <w:rPr>
                <w:sz w:val="20"/>
              </w:rPr>
            </w:pPr>
          </w:p>
        </w:tc>
      </w:tr>
      <w:tr w:rsidR="00D44DE6" w:rsidRPr="005143FF" w:rsidTr="00C3673D">
        <w:tc>
          <w:tcPr>
            <w:tcW w:w="5000" w:type="pct"/>
            <w:gridSpan w:val="3"/>
          </w:tcPr>
          <w:p w:rsidR="00D44DE6" w:rsidRPr="005143FF" w:rsidRDefault="00D44DE6" w:rsidP="00C3673D">
            <w:pPr>
              <w:jc w:val="both"/>
              <w:rPr>
                <w:sz w:val="20"/>
              </w:rPr>
            </w:pPr>
            <w:r w:rsidRPr="005143FF">
              <w:rPr>
                <w:sz w:val="20"/>
              </w:rPr>
              <w:t xml:space="preserve">The Applicants are high stakes gamblers who lost approximately $2.1 million while playing roulette at the Niagara Fallsview Casino Resort over a period of three-and-a-half years.  The Applicants claim that the casino operators had in place a “floating ball rule” which permitted roulette dealers to remove a “floating ball” from a spinning roulette wheel and to call a “no-spin”, ending the particular game and making all wagers </w:t>
            </w:r>
            <w:proofErr w:type="gramStart"/>
            <w:r w:rsidRPr="005143FF">
              <w:rPr>
                <w:sz w:val="20"/>
              </w:rPr>
              <w:t>void</w:t>
            </w:r>
            <w:proofErr w:type="gramEnd"/>
            <w:r w:rsidRPr="005143FF">
              <w:rPr>
                <w:sz w:val="20"/>
              </w:rPr>
              <w:t xml:space="preserve">.  Because the casino operators failed to obtain the approval of the Alcohol and Gaming Commission of Ontario (“AGCO”) of their floating ball rule, the Applicants say that the roulette games they played at the Fallsview Casino did not qualify for the </w:t>
            </w:r>
            <w:r w:rsidRPr="005143FF">
              <w:rPr>
                <w:i/>
                <w:sz w:val="20"/>
              </w:rPr>
              <w:t>Criminal Code</w:t>
            </w:r>
            <w:r w:rsidRPr="005143FF">
              <w:rPr>
                <w:sz w:val="20"/>
              </w:rPr>
              <w:t xml:space="preserve"> exemption from the prohibition against gambling and were therefore illegal.  Accordingly, the Applicants sued the casino operators and the AGCO in two separate actions claiming damages as well as the return of their gambling </w:t>
            </w:r>
            <w:r w:rsidRPr="005143FF">
              <w:rPr>
                <w:sz w:val="20"/>
              </w:rPr>
              <w:lastRenderedPageBreak/>
              <w:t>losses.  On a summary judgment motion to dismiss the Applicants’ actions, it was concluded that, even if the roulette games were illegal, the Applicants would not be entitled to a remedy in this case.  The motions judge relied significantly on the fact that the Applicants’ wagers were returned whenever the floating ball practice was invoked.  The motions judge therefore dismissed the Applicants’ actions and also granted summary judgment to the Ontario Lottery and Gaming Corporation (the “OLGC”) with respect to two actions by the OLGC for recovery of the amount owing on gambling loans made to two of the Applicants.  The Court of Appeal dismissed the appeals.</w:t>
            </w:r>
          </w:p>
          <w:p w:rsidR="00D44DE6" w:rsidRPr="005143FF" w:rsidRDefault="00D44DE6" w:rsidP="00C3673D">
            <w:pPr>
              <w:rPr>
                <w:sz w:val="20"/>
              </w:rPr>
            </w:pPr>
          </w:p>
        </w:tc>
      </w:tr>
      <w:tr w:rsidR="00D44DE6" w:rsidRPr="005143FF" w:rsidTr="00C3673D">
        <w:tc>
          <w:tcPr>
            <w:tcW w:w="2427" w:type="pct"/>
          </w:tcPr>
          <w:p w:rsidR="00D44DE6" w:rsidRPr="005143FF" w:rsidRDefault="00D44DE6" w:rsidP="00C3673D">
            <w:pPr>
              <w:rPr>
                <w:sz w:val="20"/>
              </w:rPr>
            </w:pPr>
            <w:r w:rsidRPr="005143FF">
              <w:rPr>
                <w:sz w:val="20"/>
              </w:rPr>
              <w:lastRenderedPageBreak/>
              <w:t>April 30, 2012</w:t>
            </w:r>
          </w:p>
          <w:p w:rsidR="00D44DE6" w:rsidRPr="005143FF" w:rsidRDefault="00D44DE6" w:rsidP="00C3673D">
            <w:pPr>
              <w:rPr>
                <w:sz w:val="20"/>
              </w:rPr>
            </w:pPr>
            <w:r w:rsidRPr="005143FF">
              <w:rPr>
                <w:sz w:val="20"/>
              </w:rPr>
              <w:t>Ontario Superior Court of Justice</w:t>
            </w:r>
          </w:p>
          <w:p w:rsidR="00D44DE6" w:rsidRPr="005143FF" w:rsidRDefault="00D44DE6" w:rsidP="00C3673D">
            <w:pPr>
              <w:rPr>
                <w:sz w:val="20"/>
              </w:rPr>
            </w:pPr>
            <w:r w:rsidRPr="005143FF">
              <w:rPr>
                <w:sz w:val="20"/>
              </w:rPr>
              <w:t>(Belobaba J.)</w:t>
            </w:r>
          </w:p>
          <w:p w:rsidR="00D44DE6" w:rsidRPr="005143FF" w:rsidRDefault="00D44DE6" w:rsidP="00C3673D">
            <w:pPr>
              <w:rPr>
                <w:sz w:val="20"/>
              </w:rPr>
            </w:pPr>
            <w:r w:rsidRPr="005143FF">
              <w:rPr>
                <w:sz w:val="20"/>
              </w:rPr>
              <w:t>2012 ONSC 2304; CV-08-352327;</w:t>
            </w:r>
          </w:p>
          <w:p w:rsidR="00D44DE6" w:rsidRPr="005143FF" w:rsidRDefault="00D44DE6" w:rsidP="00C3673D">
            <w:pPr>
              <w:rPr>
                <w:sz w:val="20"/>
              </w:rPr>
            </w:pPr>
            <w:r w:rsidRPr="005143FF">
              <w:rPr>
                <w:sz w:val="20"/>
              </w:rPr>
              <w:t>CV-08-356748</w:t>
            </w:r>
          </w:p>
          <w:p w:rsidR="00D44DE6" w:rsidRPr="005143FF" w:rsidRDefault="00D44DE6" w:rsidP="00C3673D">
            <w:pPr>
              <w:rPr>
                <w:sz w:val="20"/>
              </w:rPr>
            </w:pPr>
          </w:p>
        </w:tc>
        <w:tc>
          <w:tcPr>
            <w:tcW w:w="243" w:type="pct"/>
          </w:tcPr>
          <w:p w:rsidR="00D44DE6" w:rsidRPr="005143FF" w:rsidRDefault="00D44DE6" w:rsidP="00C3673D">
            <w:pPr>
              <w:rPr>
                <w:sz w:val="20"/>
              </w:rPr>
            </w:pPr>
          </w:p>
        </w:tc>
        <w:tc>
          <w:tcPr>
            <w:tcW w:w="2330" w:type="pct"/>
          </w:tcPr>
          <w:p w:rsidR="00D44DE6" w:rsidRPr="005143FF" w:rsidRDefault="00D44DE6" w:rsidP="00C3673D">
            <w:pPr>
              <w:jc w:val="both"/>
              <w:rPr>
                <w:sz w:val="20"/>
              </w:rPr>
            </w:pPr>
            <w:r w:rsidRPr="005143FF">
              <w:rPr>
                <w:sz w:val="20"/>
              </w:rPr>
              <w:t>Respondents’ motion for summary judgment granted; Applicants’ actions dismissed</w:t>
            </w:r>
          </w:p>
          <w:p w:rsidR="00D44DE6" w:rsidRPr="005143FF" w:rsidRDefault="00D44DE6" w:rsidP="00C3673D">
            <w:pPr>
              <w:jc w:val="both"/>
              <w:rPr>
                <w:sz w:val="20"/>
              </w:rPr>
            </w:pPr>
          </w:p>
        </w:tc>
      </w:tr>
      <w:tr w:rsidR="00D44DE6" w:rsidRPr="005143FF" w:rsidTr="00C3673D">
        <w:tc>
          <w:tcPr>
            <w:tcW w:w="2427" w:type="pct"/>
          </w:tcPr>
          <w:p w:rsidR="00D44DE6" w:rsidRPr="005143FF" w:rsidRDefault="00D44DE6" w:rsidP="00C3673D">
            <w:pPr>
              <w:rPr>
                <w:sz w:val="20"/>
              </w:rPr>
            </w:pPr>
            <w:r w:rsidRPr="005143FF">
              <w:rPr>
                <w:sz w:val="20"/>
              </w:rPr>
              <w:t>February 26, 2013</w:t>
            </w:r>
          </w:p>
          <w:p w:rsidR="00D44DE6" w:rsidRPr="005143FF" w:rsidRDefault="00D44DE6" w:rsidP="00C3673D">
            <w:pPr>
              <w:rPr>
                <w:sz w:val="20"/>
              </w:rPr>
            </w:pPr>
            <w:r w:rsidRPr="005143FF">
              <w:rPr>
                <w:sz w:val="20"/>
              </w:rPr>
              <w:t>Court of Appeal for Ontario</w:t>
            </w:r>
          </w:p>
          <w:p w:rsidR="00D44DE6" w:rsidRPr="005143FF" w:rsidRDefault="00D44DE6" w:rsidP="00C3673D">
            <w:pPr>
              <w:rPr>
                <w:sz w:val="20"/>
              </w:rPr>
            </w:pPr>
            <w:r w:rsidRPr="005143FF">
              <w:rPr>
                <w:sz w:val="20"/>
              </w:rPr>
              <w:t>(Simmons, Armstrong and Watt JJ.A.)</w:t>
            </w:r>
          </w:p>
          <w:p w:rsidR="00D44DE6" w:rsidRPr="005143FF" w:rsidRDefault="00D44DE6" w:rsidP="00C3673D">
            <w:pPr>
              <w:rPr>
                <w:sz w:val="20"/>
              </w:rPr>
            </w:pPr>
            <w:r w:rsidRPr="005143FF">
              <w:rPr>
                <w:sz w:val="20"/>
              </w:rPr>
              <w:t>2013 ONCA 121; C55521 &amp; C55527</w:t>
            </w:r>
          </w:p>
          <w:p w:rsidR="00D44DE6" w:rsidRPr="005143FF" w:rsidRDefault="00D44DE6" w:rsidP="00C3673D">
            <w:pPr>
              <w:rPr>
                <w:sz w:val="20"/>
              </w:rPr>
            </w:pPr>
          </w:p>
        </w:tc>
        <w:tc>
          <w:tcPr>
            <w:tcW w:w="243" w:type="pct"/>
          </w:tcPr>
          <w:p w:rsidR="00D44DE6" w:rsidRPr="005143FF" w:rsidRDefault="00D44DE6" w:rsidP="00C3673D">
            <w:pPr>
              <w:rPr>
                <w:sz w:val="20"/>
              </w:rPr>
            </w:pPr>
          </w:p>
        </w:tc>
        <w:tc>
          <w:tcPr>
            <w:tcW w:w="2330" w:type="pct"/>
          </w:tcPr>
          <w:p w:rsidR="00D44DE6" w:rsidRPr="005143FF" w:rsidRDefault="00D44DE6" w:rsidP="00C3673D">
            <w:pPr>
              <w:jc w:val="both"/>
              <w:rPr>
                <w:sz w:val="20"/>
              </w:rPr>
            </w:pPr>
            <w:r w:rsidRPr="005143FF">
              <w:rPr>
                <w:sz w:val="20"/>
              </w:rPr>
              <w:t>Appeals dismissed</w:t>
            </w:r>
          </w:p>
          <w:p w:rsidR="00D44DE6" w:rsidRPr="005143FF" w:rsidRDefault="00D44DE6" w:rsidP="00C3673D">
            <w:pPr>
              <w:jc w:val="both"/>
              <w:rPr>
                <w:sz w:val="20"/>
              </w:rPr>
            </w:pPr>
          </w:p>
        </w:tc>
      </w:tr>
      <w:tr w:rsidR="00D44DE6" w:rsidRPr="005143FF" w:rsidTr="00C3673D">
        <w:tc>
          <w:tcPr>
            <w:tcW w:w="2427" w:type="pct"/>
          </w:tcPr>
          <w:p w:rsidR="00D44DE6" w:rsidRPr="005143FF" w:rsidRDefault="00D44DE6" w:rsidP="00C3673D">
            <w:pPr>
              <w:rPr>
                <w:sz w:val="20"/>
              </w:rPr>
            </w:pPr>
            <w:r w:rsidRPr="005143FF">
              <w:rPr>
                <w:sz w:val="20"/>
              </w:rPr>
              <w:t>April 29, 2013</w:t>
            </w:r>
          </w:p>
          <w:p w:rsidR="00D44DE6" w:rsidRPr="005143FF" w:rsidRDefault="00D44DE6" w:rsidP="00C3673D">
            <w:pPr>
              <w:rPr>
                <w:sz w:val="20"/>
              </w:rPr>
            </w:pPr>
            <w:r w:rsidRPr="005143FF">
              <w:rPr>
                <w:sz w:val="20"/>
              </w:rPr>
              <w:t>Supreme Court of Canada</w:t>
            </w:r>
          </w:p>
        </w:tc>
        <w:tc>
          <w:tcPr>
            <w:tcW w:w="243" w:type="pct"/>
          </w:tcPr>
          <w:p w:rsidR="00D44DE6" w:rsidRPr="005143FF" w:rsidRDefault="00D44DE6" w:rsidP="00C3673D">
            <w:pPr>
              <w:rPr>
                <w:sz w:val="20"/>
              </w:rPr>
            </w:pPr>
          </w:p>
        </w:tc>
        <w:tc>
          <w:tcPr>
            <w:tcW w:w="2330" w:type="pct"/>
          </w:tcPr>
          <w:p w:rsidR="00D44DE6" w:rsidRPr="005143FF" w:rsidRDefault="00D44DE6" w:rsidP="00C3673D">
            <w:pPr>
              <w:jc w:val="both"/>
              <w:rPr>
                <w:sz w:val="20"/>
              </w:rPr>
            </w:pPr>
            <w:r w:rsidRPr="005143FF">
              <w:rPr>
                <w:sz w:val="20"/>
              </w:rPr>
              <w:t>Applications for leave to appeal filed</w:t>
            </w:r>
          </w:p>
          <w:p w:rsidR="00D44DE6" w:rsidRPr="005143FF" w:rsidRDefault="00D44DE6" w:rsidP="00C3673D">
            <w:pPr>
              <w:jc w:val="both"/>
              <w:rPr>
                <w:sz w:val="20"/>
              </w:rPr>
            </w:pP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77" style="width:2in;height:1pt" o:hrpct="0" o:hralign="center" o:hrstd="t" o:hrnoshade="t" o:hr="t" fillcolor="black [3213]" stroked="f"/>
        </w:pict>
      </w:r>
    </w:p>
    <w:p w:rsidR="00332827" w:rsidRDefault="00332827" w:rsidP="00332827">
      <w:pPr>
        <w:rPr>
          <w:sz w:val="20"/>
          <w:szCs w:val="20"/>
        </w:rPr>
      </w:pPr>
    </w:p>
    <w:p w:rsidR="00332827" w:rsidRPr="001B157C" w:rsidRDefault="00332827" w:rsidP="00332827">
      <w:pPr>
        <w:rPr>
          <w:sz w:val="20"/>
          <w:szCs w:val="20"/>
          <w:u w:val="single"/>
          <w:lang w:val="fr-CA"/>
        </w:rPr>
      </w:pPr>
      <w:r w:rsidRPr="001B157C">
        <w:rPr>
          <w:sz w:val="20"/>
          <w:szCs w:val="20"/>
          <w:u w:val="single"/>
          <w:lang w:val="fr-CA"/>
        </w:rPr>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DE6" w:rsidRPr="00B86261" w:rsidTr="00C3673D">
        <w:tc>
          <w:tcPr>
            <w:tcW w:w="5000" w:type="pct"/>
            <w:gridSpan w:val="3"/>
          </w:tcPr>
          <w:p w:rsidR="00D44DE6" w:rsidRPr="005143FF" w:rsidRDefault="00D44DE6" w:rsidP="00C3673D">
            <w:pPr>
              <w:jc w:val="both"/>
              <w:rPr>
                <w:sz w:val="20"/>
                <w:lang w:val="fr-CA"/>
              </w:rPr>
            </w:pPr>
            <w:r w:rsidRPr="005143FF">
              <w:rPr>
                <w:sz w:val="20"/>
                <w:lang w:val="fr-CA"/>
              </w:rPr>
              <w:t>Enrichissement injustifié – Jugement sommaire – Le juge saisi d’une requête en jugement sommaire peut</w:t>
            </w:r>
            <w:r w:rsidRPr="005143FF">
              <w:rPr>
                <w:sz w:val="20"/>
                <w:lang w:val="fr-CA"/>
              </w:rPr>
              <w:noBreakHyphen/>
              <w:t>il statuer sur le bien</w:t>
            </w:r>
            <w:r w:rsidRPr="005143FF">
              <w:rPr>
                <w:sz w:val="20"/>
                <w:lang w:val="fr-CA"/>
              </w:rPr>
              <w:noBreakHyphen/>
              <w:t>fondé de la réclamation compte tenu du double ou triple ouï</w:t>
            </w:r>
            <w:r w:rsidRPr="005143FF">
              <w:rPr>
                <w:sz w:val="20"/>
                <w:lang w:val="fr-CA"/>
              </w:rPr>
              <w:noBreakHyphen/>
              <w:t>dire ou faut</w:t>
            </w:r>
            <w:r w:rsidRPr="005143FF">
              <w:rPr>
                <w:sz w:val="20"/>
                <w:lang w:val="fr-CA"/>
              </w:rPr>
              <w:noBreakHyphen/>
              <w:t>il instruire l’action en raison de la nécessité d’entendre les témoins? – Les casinos financés par l’État ont</w:t>
            </w:r>
            <w:r w:rsidRPr="005143FF">
              <w:rPr>
                <w:sz w:val="20"/>
                <w:lang w:val="fr-CA"/>
              </w:rPr>
              <w:noBreakHyphen/>
              <w:t>ils le droit de fixer à leur gré les [</w:t>
            </w:r>
            <w:r w:rsidRPr="005143FF">
              <w:rPr>
                <w:smallCaps/>
                <w:sz w:val="20"/>
                <w:lang w:val="fr-CA"/>
              </w:rPr>
              <w:t>traduction</w:t>
            </w:r>
            <w:r w:rsidRPr="005143FF">
              <w:rPr>
                <w:sz w:val="20"/>
                <w:lang w:val="fr-CA"/>
              </w:rPr>
              <w:t xml:space="preserve">] « règles du jeu » pour continuer de se prévaloir de la protection offerte à l’art. 207 du </w:t>
            </w:r>
            <w:r w:rsidRPr="005143FF">
              <w:rPr>
                <w:i/>
                <w:sz w:val="20"/>
                <w:lang w:val="fr-CA"/>
              </w:rPr>
              <w:t xml:space="preserve">Code criminel </w:t>
            </w:r>
            <w:r w:rsidRPr="005143FF">
              <w:rPr>
                <w:sz w:val="20"/>
                <w:lang w:val="fr-CA"/>
              </w:rPr>
              <w:t xml:space="preserve">contre les poursuites criminelles? – Quels sont les facteurs dont doivent tenir compte les tribunaux lorsqu’ils analysent le troisième élément du critère d’enrichissement injustifié établi par la Cour suprême du Canada dans </w:t>
            </w:r>
            <w:r w:rsidRPr="005143FF">
              <w:rPr>
                <w:i/>
                <w:sz w:val="20"/>
                <w:lang w:val="fr-CA"/>
              </w:rPr>
              <w:t>Garland c. Consumers Gas</w:t>
            </w:r>
            <w:r w:rsidRPr="005143FF">
              <w:rPr>
                <w:sz w:val="20"/>
                <w:lang w:val="fr-CA"/>
              </w:rPr>
              <w:t>?</w:t>
            </w:r>
          </w:p>
        </w:tc>
      </w:tr>
      <w:tr w:rsidR="00D44DE6" w:rsidRPr="00B86261" w:rsidTr="00C3673D">
        <w:tc>
          <w:tcPr>
            <w:tcW w:w="5000" w:type="pct"/>
            <w:gridSpan w:val="3"/>
          </w:tcPr>
          <w:p w:rsidR="00D44DE6" w:rsidRPr="005143FF" w:rsidRDefault="00D44DE6" w:rsidP="00C3673D">
            <w:pPr>
              <w:rPr>
                <w:sz w:val="20"/>
                <w:lang w:val="fr-CA"/>
              </w:rPr>
            </w:pPr>
          </w:p>
        </w:tc>
      </w:tr>
      <w:tr w:rsidR="00D44DE6" w:rsidRPr="005143FF" w:rsidTr="00C3673D">
        <w:tc>
          <w:tcPr>
            <w:tcW w:w="5000" w:type="pct"/>
            <w:gridSpan w:val="3"/>
          </w:tcPr>
          <w:p w:rsidR="00D44DE6" w:rsidRPr="005143FF" w:rsidRDefault="00D44DE6" w:rsidP="00C3673D">
            <w:pPr>
              <w:jc w:val="both"/>
              <w:rPr>
                <w:sz w:val="20"/>
                <w:lang w:val="fr-CA"/>
              </w:rPr>
            </w:pPr>
            <w:r w:rsidRPr="005143FF">
              <w:rPr>
                <w:sz w:val="20"/>
                <w:lang w:val="fr-CA"/>
              </w:rPr>
              <w:t>Les demandeurs sont de grands parieurs qui ont perdu environ 2,1 millions de dollars en jouant à la roulette au Niagara Fallsview Casino Resort pendant trois ans et demi.  Selon eux, les exploitants du  casino ont établi une [</w:t>
            </w:r>
            <w:r w:rsidRPr="005143FF">
              <w:rPr>
                <w:smallCaps/>
                <w:sz w:val="20"/>
                <w:lang w:val="fr-CA"/>
              </w:rPr>
              <w:t>traduction</w:t>
            </w:r>
            <w:r w:rsidRPr="005143FF">
              <w:rPr>
                <w:sz w:val="20"/>
                <w:lang w:val="fr-CA"/>
              </w:rPr>
              <w:t>] « règle de la bille flottante » qui permet aux croupiers d’enlever une « bille flottante » d’une roulette qui tourne et de déclarer [</w:t>
            </w:r>
            <w:r w:rsidRPr="005143FF">
              <w:rPr>
                <w:smallCaps/>
                <w:sz w:val="20"/>
                <w:lang w:val="fr-CA"/>
              </w:rPr>
              <w:t>traduction</w:t>
            </w:r>
            <w:r w:rsidRPr="005143FF">
              <w:rPr>
                <w:sz w:val="20"/>
                <w:lang w:val="fr-CA"/>
              </w:rPr>
              <w:t xml:space="preserve">] « partie annulée », ce qui met fin à la partie en question et annule toutes les mises.  Puisque les exploitants du casino n’ont pas fait approuver leur règle de la bille flottante par la Commission des alcools et des jeux de l’Ontario (« CAJO »), les demandeurs affirment que les parties de roulette qu’ils ont jouées au casino Fallsview ne répondaient pas aux conditions de l’exemption prévue au </w:t>
            </w:r>
            <w:r w:rsidRPr="005143FF">
              <w:rPr>
                <w:i/>
                <w:sz w:val="20"/>
                <w:lang w:val="fr-CA"/>
              </w:rPr>
              <w:t>Code criminel</w:t>
            </w:r>
            <w:r w:rsidRPr="005143FF">
              <w:rPr>
                <w:sz w:val="20"/>
                <w:lang w:val="fr-CA"/>
              </w:rPr>
              <w:t xml:space="preserve"> concernant l’interdiction des paris et qu’elles étaient donc illégales.  Par conséquent, les demandeurs ont intenté contre les exploitants du casino et la CAJO deux actions distinctes dans lesquelles ils leur réclament des dommages</w:t>
            </w:r>
            <w:r w:rsidRPr="005143FF">
              <w:rPr>
                <w:sz w:val="20"/>
                <w:lang w:val="fr-CA"/>
              </w:rPr>
              <w:noBreakHyphen/>
              <w:t>intérêts et le remboursement de leurs pertes en paris.  Dans la décision sur la requête en jugement sommaire rejetant les actions des demandeurs, il est conclu que les demandeurs n’auraient pas droit à une réparation en l’espèce même si les parties de roulette étaient illégales.  Le juge des requêtes a accordé une grande importance au fait que les mises avaient été remboursées aux demandeurs chaque fois que la règle de la bille flottante avait été appliquée.  Le juge des requêtes a donc rejeté les actions des demandeurs et rendu un jugement sommaire en faveur de la Société des loteries et des jeux de l’Ontario (« SLJO ») relativement aux deux actions intentées par cette dernière pour obtenir le remboursement du solde des prêts pour paris consentis à deux des demandeurs.  La Cour d’appel a rejeté les appels.</w:t>
            </w:r>
          </w:p>
          <w:p w:rsidR="00D44DE6" w:rsidRPr="005143FF" w:rsidRDefault="00D44DE6" w:rsidP="00C3673D">
            <w:pPr>
              <w:rPr>
                <w:sz w:val="20"/>
                <w:lang w:val="fr-CA"/>
              </w:rPr>
            </w:pPr>
          </w:p>
        </w:tc>
      </w:tr>
      <w:tr w:rsidR="00D44DE6" w:rsidRPr="00B86261" w:rsidTr="007353D2">
        <w:trPr>
          <w:cantSplit/>
        </w:trPr>
        <w:tc>
          <w:tcPr>
            <w:tcW w:w="2427" w:type="pct"/>
          </w:tcPr>
          <w:p w:rsidR="00D44DE6" w:rsidRPr="005143FF" w:rsidRDefault="00D44DE6" w:rsidP="00C3673D">
            <w:pPr>
              <w:rPr>
                <w:sz w:val="20"/>
                <w:lang w:val="fr-CA"/>
              </w:rPr>
            </w:pPr>
            <w:r w:rsidRPr="005143FF">
              <w:rPr>
                <w:sz w:val="20"/>
                <w:lang w:val="fr-CA"/>
              </w:rPr>
              <w:lastRenderedPageBreak/>
              <w:t>30 avril 2012</w:t>
            </w:r>
          </w:p>
          <w:p w:rsidR="00D44DE6" w:rsidRPr="005143FF" w:rsidRDefault="00D44DE6" w:rsidP="00C3673D">
            <w:pPr>
              <w:rPr>
                <w:sz w:val="20"/>
                <w:lang w:val="fr-CA"/>
              </w:rPr>
            </w:pPr>
            <w:r w:rsidRPr="005143FF">
              <w:rPr>
                <w:sz w:val="20"/>
                <w:lang w:val="fr-CA"/>
              </w:rPr>
              <w:t>Cour supérieure de justice de l’Ontario</w:t>
            </w:r>
          </w:p>
          <w:p w:rsidR="00D44DE6" w:rsidRPr="005143FF" w:rsidRDefault="00D44DE6" w:rsidP="00C3673D">
            <w:pPr>
              <w:rPr>
                <w:sz w:val="20"/>
              </w:rPr>
            </w:pPr>
            <w:r w:rsidRPr="005143FF">
              <w:rPr>
                <w:sz w:val="20"/>
              </w:rPr>
              <w:t>(Juge Belobaba)</w:t>
            </w:r>
          </w:p>
          <w:p w:rsidR="00D44DE6" w:rsidRPr="005143FF" w:rsidRDefault="00D44DE6" w:rsidP="00C3673D">
            <w:pPr>
              <w:rPr>
                <w:sz w:val="20"/>
              </w:rPr>
            </w:pPr>
            <w:r w:rsidRPr="005143FF">
              <w:rPr>
                <w:sz w:val="20"/>
              </w:rPr>
              <w:t>2012 ONSC 2304; CV</w:t>
            </w:r>
            <w:r w:rsidRPr="005143FF">
              <w:rPr>
                <w:sz w:val="20"/>
              </w:rPr>
              <w:noBreakHyphen/>
              <w:t>08</w:t>
            </w:r>
            <w:r w:rsidRPr="005143FF">
              <w:rPr>
                <w:sz w:val="20"/>
              </w:rPr>
              <w:noBreakHyphen/>
              <w:t>352327;</w:t>
            </w:r>
          </w:p>
          <w:p w:rsidR="00D44DE6" w:rsidRPr="005143FF" w:rsidRDefault="00D44DE6" w:rsidP="00C3673D">
            <w:pPr>
              <w:rPr>
                <w:sz w:val="20"/>
              </w:rPr>
            </w:pPr>
            <w:r w:rsidRPr="005143FF">
              <w:rPr>
                <w:sz w:val="20"/>
              </w:rPr>
              <w:t>CV</w:t>
            </w:r>
            <w:r w:rsidRPr="005143FF">
              <w:rPr>
                <w:sz w:val="20"/>
              </w:rPr>
              <w:noBreakHyphen/>
              <w:t>08</w:t>
            </w:r>
            <w:r w:rsidRPr="005143FF">
              <w:rPr>
                <w:sz w:val="20"/>
              </w:rPr>
              <w:noBreakHyphen/>
              <w:t>356748</w:t>
            </w:r>
          </w:p>
          <w:p w:rsidR="00D44DE6" w:rsidRPr="005143FF" w:rsidRDefault="00D44DE6" w:rsidP="00C3673D">
            <w:pPr>
              <w:rPr>
                <w:sz w:val="20"/>
              </w:rPr>
            </w:pPr>
          </w:p>
        </w:tc>
        <w:tc>
          <w:tcPr>
            <w:tcW w:w="243" w:type="pct"/>
          </w:tcPr>
          <w:p w:rsidR="00D44DE6" w:rsidRPr="005143FF" w:rsidRDefault="00D44DE6" w:rsidP="00C3673D">
            <w:pPr>
              <w:rPr>
                <w:sz w:val="20"/>
              </w:rPr>
            </w:pPr>
          </w:p>
        </w:tc>
        <w:tc>
          <w:tcPr>
            <w:tcW w:w="2330" w:type="pct"/>
          </w:tcPr>
          <w:p w:rsidR="00D44DE6" w:rsidRPr="005143FF" w:rsidRDefault="00D44DE6" w:rsidP="00C3673D">
            <w:pPr>
              <w:jc w:val="both"/>
              <w:rPr>
                <w:sz w:val="20"/>
                <w:lang w:val="fr-CA"/>
              </w:rPr>
            </w:pPr>
            <w:r w:rsidRPr="005143FF">
              <w:rPr>
                <w:sz w:val="20"/>
                <w:lang w:val="fr-CA"/>
              </w:rPr>
              <w:t>Requête des intimés en jugement sommaire accueillie; action des demandeurs rejetée</w:t>
            </w:r>
          </w:p>
          <w:p w:rsidR="00D44DE6" w:rsidRPr="005143FF" w:rsidRDefault="00D44DE6" w:rsidP="00C3673D">
            <w:pPr>
              <w:jc w:val="both"/>
              <w:rPr>
                <w:sz w:val="20"/>
                <w:lang w:val="fr-CA"/>
              </w:rPr>
            </w:pPr>
          </w:p>
        </w:tc>
      </w:tr>
      <w:tr w:rsidR="00D44DE6" w:rsidRPr="005143FF" w:rsidTr="007353D2">
        <w:trPr>
          <w:cantSplit/>
        </w:trPr>
        <w:tc>
          <w:tcPr>
            <w:tcW w:w="2427" w:type="pct"/>
          </w:tcPr>
          <w:p w:rsidR="00D44DE6" w:rsidRPr="005143FF" w:rsidRDefault="00D44DE6" w:rsidP="00C3673D">
            <w:pPr>
              <w:rPr>
                <w:sz w:val="20"/>
                <w:lang w:val="fr-CA"/>
              </w:rPr>
            </w:pPr>
            <w:r w:rsidRPr="005143FF">
              <w:rPr>
                <w:sz w:val="20"/>
                <w:lang w:val="fr-CA"/>
              </w:rPr>
              <w:t>26 février 2013</w:t>
            </w:r>
          </w:p>
          <w:p w:rsidR="00D44DE6" w:rsidRPr="005143FF" w:rsidRDefault="00D44DE6" w:rsidP="00C3673D">
            <w:pPr>
              <w:rPr>
                <w:sz w:val="20"/>
                <w:lang w:val="fr-CA"/>
              </w:rPr>
            </w:pPr>
            <w:r w:rsidRPr="005143FF">
              <w:rPr>
                <w:sz w:val="20"/>
                <w:lang w:val="fr-CA"/>
              </w:rPr>
              <w:t>Cour d’appel de l’Ontario</w:t>
            </w:r>
          </w:p>
          <w:p w:rsidR="00D44DE6" w:rsidRPr="005143FF" w:rsidRDefault="00D44DE6" w:rsidP="00C3673D">
            <w:pPr>
              <w:rPr>
                <w:sz w:val="20"/>
                <w:lang w:val="fr-CA"/>
              </w:rPr>
            </w:pPr>
            <w:r w:rsidRPr="005143FF">
              <w:rPr>
                <w:sz w:val="20"/>
                <w:lang w:val="fr-CA"/>
              </w:rPr>
              <w:t>(Juges Simmons, Armstrong et Watt)</w:t>
            </w:r>
          </w:p>
          <w:p w:rsidR="00D44DE6" w:rsidRPr="005143FF" w:rsidRDefault="00D44DE6" w:rsidP="00C3673D">
            <w:pPr>
              <w:rPr>
                <w:sz w:val="20"/>
              </w:rPr>
            </w:pPr>
            <w:r w:rsidRPr="005143FF">
              <w:rPr>
                <w:sz w:val="20"/>
              </w:rPr>
              <w:t>2013 ONCA 121; C55521 &amp; C55527</w:t>
            </w:r>
          </w:p>
          <w:p w:rsidR="00D44DE6" w:rsidRPr="005143FF" w:rsidRDefault="00D44DE6" w:rsidP="00C3673D">
            <w:pPr>
              <w:rPr>
                <w:sz w:val="20"/>
              </w:rPr>
            </w:pPr>
          </w:p>
        </w:tc>
        <w:tc>
          <w:tcPr>
            <w:tcW w:w="243" w:type="pct"/>
          </w:tcPr>
          <w:p w:rsidR="00D44DE6" w:rsidRPr="005143FF" w:rsidRDefault="00D44DE6" w:rsidP="00C3673D">
            <w:pPr>
              <w:rPr>
                <w:sz w:val="20"/>
              </w:rPr>
            </w:pPr>
          </w:p>
        </w:tc>
        <w:tc>
          <w:tcPr>
            <w:tcW w:w="2330" w:type="pct"/>
          </w:tcPr>
          <w:p w:rsidR="00D44DE6" w:rsidRPr="005143FF" w:rsidRDefault="00D44DE6" w:rsidP="00C3673D">
            <w:pPr>
              <w:jc w:val="both"/>
              <w:rPr>
                <w:sz w:val="20"/>
              </w:rPr>
            </w:pPr>
            <w:r w:rsidRPr="005143FF">
              <w:rPr>
                <w:sz w:val="20"/>
              </w:rPr>
              <w:t>Appels rejetés</w:t>
            </w:r>
          </w:p>
          <w:p w:rsidR="00D44DE6" w:rsidRPr="005143FF" w:rsidRDefault="00D44DE6" w:rsidP="00C3673D">
            <w:pPr>
              <w:jc w:val="both"/>
              <w:rPr>
                <w:sz w:val="20"/>
              </w:rPr>
            </w:pPr>
          </w:p>
        </w:tc>
      </w:tr>
      <w:tr w:rsidR="00D44DE6" w:rsidRPr="005143FF" w:rsidTr="007353D2">
        <w:trPr>
          <w:cantSplit/>
        </w:trPr>
        <w:tc>
          <w:tcPr>
            <w:tcW w:w="2427" w:type="pct"/>
          </w:tcPr>
          <w:p w:rsidR="00D44DE6" w:rsidRPr="005143FF" w:rsidRDefault="00D44DE6" w:rsidP="00C3673D">
            <w:pPr>
              <w:rPr>
                <w:sz w:val="20"/>
                <w:lang w:val="fr-CA"/>
              </w:rPr>
            </w:pPr>
            <w:r w:rsidRPr="005143FF">
              <w:rPr>
                <w:sz w:val="20"/>
                <w:lang w:val="fr-CA"/>
              </w:rPr>
              <w:t>29 avril 2013</w:t>
            </w:r>
          </w:p>
          <w:p w:rsidR="00D44DE6" w:rsidRPr="005143FF" w:rsidRDefault="00D44DE6" w:rsidP="00C3673D">
            <w:pPr>
              <w:rPr>
                <w:sz w:val="20"/>
                <w:lang w:val="fr-CA"/>
              </w:rPr>
            </w:pPr>
            <w:r w:rsidRPr="005143FF">
              <w:rPr>
                <w:sz w:val="20"/>
                <w:lang w:val="fr-CA"/>
              </w:rPr>
              <w:t>Cour suprême du Canada</w:t>
            </w:r>
          </w:p>
        </w:tc>
        <w:tc>
          <w:tcPr>
            <w:tcW w:w="243" w:type="pct"/>
          </w:tcPr>
          <w:p w:rsidR="00D44DE6" w:rsidRPr="005143FF" w:rsidRDefault="00D44DE6" w:rsidP="00C3673D">
            <w:pPr>
              <w:rPr>
                <w:sz w:val="20"/>
                <w:lang w:val="fr-CA"/>
              </w:rPr>
            </w:pPr>
          </w:p>
        </w:tc>
        <w:tc>
          <w:tcPr>
            <w:tcW w:w="2330" w:type="pct"/>
          </w:tcPr>
          <w:p w:rsidR="00D44DE6" w:rsidRPr="005143FF" w:rsidRDefault="00D44DE6" w:rsidP="00C3673D">
            <w:pPr>
              <w:jc w:val="both"/>
              <w:rPr>
                <w:sz w:val="20"/>
              </w:rPr>
            </w:pPr>
            <w:r w:rsidRPr="005143FF">
              <w:rPr>
                <w:sz w:val="20"/>
              </w:rPr>
              <w:t xml:space="preserve">Demandes d’autorisation d’appel déposées </w:t>
            </w:r>
          </w:p>
          <w:p w:rsidR="00D44DE6" w:rsidRPr="005143FF" w:rsidRDefault="00D44DE6" w:rsidP="00C3673D">
            <w:pPr>
              <w:jc w:val="both"/>
              <w:rPr>
                <w:sz w:val="20"/>
              </w:rPr>
            </w:pPr>
          </w:p>
        </w:tc>
      </w:tr>
    </w:tbl>
    <w:p w:rsidR="00332827" w:rsidRDefault="00332827" w:rsidP="00332827">
      <w:pPr>
        <w:rPr>
          <w:sz w:val="20"/>
          <w:szCs w:val="20"/>
        </w:rPr>
      </w:pPr>
    </w:p>
    <w:p w:rsidR="00332827" w:rsidRDefault="005F2BA7" w:rsidP="00332827">
      <w:pPr>
        <w:rPr>
          <w:sz w:val="20"/>
          <w:szCs w:val="20"/>
        </w:rPr>
      </w:pPr>
      <w:r w:rsidRPr="005F2BA7">
        <w:rPr>
          <w:sz w:val="20"/>
          <w:szCs w:val="20"/>
          <w:lang w:val="fr-CA"/>
        </w:rPr>
        <w:pict>
          <v:rect id="_x0000_i1078" style="width:2in;height:1pt" o:hrpct="0" o:hralign="center" o:hrstd="t" o:hrnoshade="t" o:hr="t" fillcolor="black [3213]" stroked="f"/>
        </w:pict>
      </w:r>
    </w:p>
    <w:p w:rsidR="00332827" w:rsidRPr="00332827" w:rsidRDefault="00332827" w:rsidP="0033282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5457" w:rsidRPr="009B1157" w:rsidTr="00C173EE">
        <w:trPr>
          <w:cantSplit/>
        </w:trPr>
        <w:tc>
          <w:tcPr>
            <w:tcW w:w="1458" w:type="dxa"/>
          </w:tcPr>
          <w:p w:rsidR="00575457" w:rsidRPr="009B1157" w:rsidRDefault="00575457" w:rsidP="00C173EE">
            <w:pPr>
              <w:rPr>
                <w:sz w:val="20"/>
                <w:szCs w:val="20"/>
              </w:rPr>
            </w:pPr>
            <w:r w:rsidRPr="009B1157">
              <w:rPr>
                <w:rStyle w:val="SCCFileNumberChar"/>
                <w:sz w:val="20"/>
                <w:szCs w:val="20"/>
              </w:rPr>
              <w:t>35345</w:t>
            </w:r>
          </w:p>
          <w:p w:rsidR="00575457" w:rsidRPr="009B1157" w:rsidRDefault="00575457" w:rsidP="00C173EE">
            <w:pPr>
              <w:rPr>
                <w:b/>
                <w:sz w:val="20"/>
                <w:szCs w:val="20"/>
                <w:lang w:val="fr-CA"/>
              </w:rPr>
            </w:pPr>
          </w:p>
        </w:tc>
        <w:tc>
          <w:tcPr>
            <w:tcW w:w="8118" w:type="dxa"/>
          </w:tcPr>
          <w:p w:rsidR="00575457" w:rsidRPr="009B1157" w:rsidRDefault="00575457" w:rsidP="00C173EE">
            <w:pPr>
              <w:jc w:val="both"/>
              <w:rPr>
                <w:sz w:val="20"/>
                <w:szCs w:val="20"/>
              </w:rPr>
            </w:pPr>
            <w:r w:rsidRPr="00575457">
              <w:rPr>
                <w:rStyle w:val="SCCLsocChar"/>
                <w:sz w:val="20"/>
                <w:szCs w:val="20"/>
                <w:lang w:val="en-CA"/>
              </w:rPr>
              <w:t>C-Map USA Inc.</w:t>
            </w:r>
            <w:r w:rsidR="00070750">
              <w:rPr>
                <w:rStyle w:val="SCCLsocChar"/>
                <w:sz w:val="20"/>
                <w:szCs w:val="20"/>
                <w:lang w:val="en-CA"/>
              </w:rPr>
              <w:t xml:space="preserve"> and</w:t>
            </w:r>
            <w:r w:rsidRPr="00575457">
              <w:rPr>
                <w:rStyle w:val="SCCLsocChar"/>
                <w:sz w:val="20"/>
                <w:szCs w:val="20"/>
                <w:lang w:val="en-CA"/>
              </w:rPr>
              <w:t xml:space="preserve"> Doe Co. v. Nautical Data International, Inc.</w:t>
            </w:r>
            <w:r w:rsidR="00070750">
              <w:rPr>
                <w:rStyle w:val="SCCLsocChar"/>
                <w:sz w:val="20"/>
                <w:szCs w:val="20"/>
                <w:lang w:val="en-CA"/>
              </w:rPr>
              <w:t xml:space="preserve"> and</w:t>
            </w:r>
            <w:r w:rsidRPr="00575457">
              <w:rPr>
                <w:rStyle w:val="SCCLsocChar"/>
                <w:sz w:val="20"/>
                <w:szCs w:val="20"/>
                <w:lang w:val="en-CA"/>
              </w:rPr>
              <w:t xml:space="preserve"> Her Majesty in Right of Canada AND BETWEEN Navionics Inc.</w:t>
            </w:r>
            <w:r w:rsidR="00070750">
              <w:rPr>
                <w:rStyle w:val="SCCLsocChar"/>
                <w:sz w:val="20"/>
                <w:szCs w:val="20"/>
                <w:lang w:val="en-CA"/>
              </w:rPr>
              <w:t xml:space="preserve"> and</w:t>
            </w:r>
            <w:r w:rsidRPr="00575457">
              <w:rPr>
                <w:rStyle w:val="SCCLsocChar"/>
                <w:sz w:val="20"/>
                <w:szCs w:val="20"/>
                <w:lang w:val="en-CA"/>
              </w:rPr>
              <w:t xml:space="preserve"> Doe Co. v. Nautical Data International, Inc.</w:t>
            </w:r>
            <w:r w:rsidR="00070750">
              <w:rPr>
                <w:rStyle w:val="SCCLsocChar"/>
                <w:sz w:val="20"/>
                <w:szCs w:val="20"/>
                <w:lang w:val="en-CA"/>
              </w:rPr>
              <w:t xml:space="preserve"> and</w:t>
            </w:r>
            <w:r w:rsidRPr="00575457">
              <w:rPr>
                <w:rStyle w:val="SCCLsocChar"/>
                <w:sz w:val="20"/>
                <w:szCs w:val="20"/>
                <w:lang w:val="en-CA"/>
              </w:rPr>
              <w:t xml:space="preserve"> Her Majesty in Right of Canada</w:t>
            </w:r>
            <w:r w:rsidRPr="009B1157">
              <w:rPr>
                <w:sz w:val="20"/>
                <w:szCs w:val="20"/>
              </w:rPr>
              <w:t xml:space="preserve"> (F.C.) (Civil) (By Leave)</w:t>
            </w:r>
          </w:p>
          <w:p w:rsidR="00575457" w:rsidRPr="009B1157" w:rsidRDefault="00575457" w:rsidP="00C173EE">
            <w:pPr>
              <w:jc w:val="both"/>
              <w:rPr>
                <w:sz w:val="20"/>
                <w:szCs w:val="20"/>
              </w:rPr>
            </w:pPr>
          </w:p>
        </w:tc>
      </w:tr>
      <w:tr w:rsidR="00575457" w:rsidRPr="009B1157" w:rsidTr="00C173EE">
        <w:trPr>
          <w:cantSplit/>
        </w:trPr>
        <w:tc>
          <w:tcPr>
            <w:tcW w:w="1458" w:type="dxa"/>
          </w:tcPr>
          <w:p w:rsidR="00575457" w:rsidRPr="009B1157" w:rsidRDefault="00575457" w:rsidP="00C173EE">
            <w:pPr>
              <w:rPr>
                <w:sz w:val="20"/>
                <w:szCs w:val="20"/>
              </w:rPr>
            </w:pPr>
            <w:r w:rsidRPr="009B1157">
              <w:rPr>
                <w:sz w:val="20"/>
                <w:szCs w:val="20"/>
              </w:rPr>
              <w:t>Coram :</w:t>
            </w:r>
          </w:p>
        </w:tc>
        <w:tc>
          <w:tcPr>
            <w:tcW w:w="8118" w:type="dxa"/>
          </w:tcPr>
          <w:p w:rsidR="00575457" w:rsidRPr="009B1157" w:rsidRDefault="00575457" w:rsidP="00C173EE">
            <w:pPr>
              <w:rPr>
                <w:sz w:val="20"/>
                <w:szCs w:val="20"/>
              </w:rPr>
            </w:pPr>
            <w:r w:rsidRPr="00575457">
              <w:rPr>
                <w:rStyle w:val="SCCCoramChar"/>
                <w:sz w:val="20"/>
                <w:szCs w:val="20"/>
                <w:lang w:val="en-CA"/>
              </w:rPr>
              <w:t>Fish, Rothstein and Moldaver JJ.</w:t>
            </w:r>
          </w:p>
          <w:p w:rsidR="00575457" w:rsidRPr="009B1157" w:rsidRDefault="00575457" w:rsidP="00C173EE">
            <w:pPr>
              <w:rPr>
                <w:sz w:val="20"/>
                <w:szCs w:val="20"/>
                <w:u w:val="single"/>
              </w:rPr>
            </w:pPr>
          </w:p>
        </w:tc>
      </w:tr>
      <w:tr w:rsidR="00575457" w:rsidRPr="00B86261" w:rsidTr="00C173EE">
        <w:trPr>
          <w:cantSplit/>
        </w:trPr>
        <w:tc>
          <w:tcPr>
            <w:tcW w:w="9576" w:type="dxa"/>
            <w:gridSpan w:val="2"/>
          </w:tcPr>
          <w:p w:rsidR="00575457" w:rsidRPr="009B1157" w:rsidRDefault="00575457" w:rsidP="00C173EE">
            <w:pPr>
              <w:pStyle w:val="SCCShortJudgment"/>
              <w:rPr>
                <w:szCs w:val="20"/>
              </w:rPr>
            </w:pPr>
            <w:r w:rsidRPr="009B1157">
              <w:rPr>
                <w:szCs w:val="20"/>
              </w:rPr>
              <w:t>The application for leave to appeal from the judgment of the Federal Court of Appeal, Numbers A-115-12 and A-116-12, 2013 FCA 63, dated March 1, 2013, is dismissed with costs.</w:t>
            </w:r>
          </w:p>
          <w:p w:rsidR="00575457" w:rsidRPr="009B1157" w:rsidRDefault="00575457" w:rsidP="00C173EE">
            <w:pPr>
              <w:pStyle w:val="SCCShortJudgment"/>
              <w:ind w:firstLine="0"/>
              <w:rPr>
                <w:szCs w:val="20"/>
              </w:rPr>
            </w:pPr>
          </w:p>
          <w:p w:rsidR="00575457" w:rsidRPr="009B1157" w:rsidRDefault="00575457" w:rsidP="00C173EE">
            <w:pPr>
              <w:pStyle w:val="SCCShortJudgment"/>
              <w:rPr>
                <w:szCs w:val="20"/>
                <w:lang w:val="fr-CA"/>
              </w:rPr>
            </w:pPr>
            <w:r w:rsidRPr="009B1157">
              <w:rPr>
                <w:szCs w:val="20"/>
                <w:lang w:val="fr-CA"/>
              </w:rPr>
              <w:t>La demande d’autorisation d’appel de l’arrêt de la Cour d’appel fédérale, numéros A-115-12 et A-116-12, 2013 CAF 63, daté du 1</w:t>
            </w:r>
            <w:r w:rsidRPr="00070750">
              <w:rPr>
                <w:szCs w:val="20"/>
                <w:vertAlign w:val="superscript"/>
                <w:lang w:val="fr-CA"/>
              </w:rPr>
              <w:t>er</w:t>
            </w:r>
            <w:r w:rsidRPr="009B1157">
              <w:rPr>
                <w:szCs w:val="20"/>
                <w:lang w:val="fr-CA"/>
              </w:rPr>
              <w:t xml:space="preserve"> mars 2013, est rejetée avec dépens.</w:t>
            </w:r>
          </w:p>
        </w:tc>
      </w:tr>
    </w:tbl>
    <w:p w:rsidR="00332827" w:rsidRPr="0016547E" w:rsidRDefault="00332827" w:rsidP="00332827">
      <w:pPr>
        <w:rPr>
          <w:sz w:val="20"/>
          <w:szCs w:val="20"/>
          <w:lang w:val="fr-CA"/>
        </w:rPr>
      </w:pPr>
    </w:p>
    <w:p w:rsidR="00332827" w:rsidRPr="001B157C" w:rsidRDefault="00332827" w:rsidP="00332827">
      <w:pPr>
        <w:rPr>
          <w:sz w:val="20"/>
          <w:szCs w:val="20"/>
          <w:u w:val="single"/>
        </w:rPr>
      </w:pPr>
      <w:r w:rsidRPr="001B157C">
        <w:rPr>
          <w:sz w:val="20"/>
          <w:szCs w:val="20"/>
          <w:u w:val="single"/>
        </w:rPr>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C3673D">
        <w:tc>
          <w:tcPr>
            <w:tcW w:w="5000" w:type="pct"/>
            <w:gridSpan w:val="3"/>
          </w:tcPr>
          <w:p w:rsidR="0007151E" w:rsidRPr="005143FF" w:rsidRDefault="0007151E" w:rsidP="00C3673D">
            <w:pPr>
              <w:jc w:val="both"/>
              <w:rPr>
                <w:rFonts w:eastAsia="Calibri"/>
                <w:smallCaps/>
                <w:sz w:val="20"/>
              </w:rPr>
            </w:pPr>
            <w:r w:rsidRPr="005143FF">
              <w:rPr>
                <w:rFonts w:eastAsia="Calibri"/>
                <w:smallCaps/>
                <w:sz w:val="20"/>
              </w:rPr>
              <w:t xml:space="preserve">(Sealing </w:t>
            </w:r>
            <w:r>
              <w:rPr>
                <w:rFonts w:eastAsia="Calibri"/>
                <w:smallCaps/>
                <w:sz w:val="20"/>
              </w:rPr>
              <w:t>O</w:t>
            </w:r>
            <w:r w:rsidRPr="005143FF">
              <w:rPr>
                <w:rFonts w:eastAsia="Calibri"/>
                <w:smallCaps/>
                <w:sz w:val="20"/>
              </w:rPr>
              <w:t>rder)</w:t>
            </w:r>
          </w:p>
          <w:p w:rsidR="0007151E" w:rsidRPr="005143FF" w:rsidRDefault="0007151E" w:rsidP="00C3673D">
            <w:pPr>
              <w:jc w:val="both"/>
              <w:rPr>
                <w:rFonts w:eastAsia="Calibri"/>
                <w:sz w:val="20"/>
              </w:rPr>
            </w:pPr>
          </w:p>
          <w:p w:rsidR="0007151E" w:rsidRPr="005143FF" w:rsidRDefault="0007151E" w:rsidP="00C3673D">
            <w:pPr>
              <w:jc w:val="both"/>
              <w:rPr>
                <w:rFonts w:eastAsia="Calibri"/>
                <w:sz w:val="20"/>
              </w:rPr>
            </w:pPr>
            <w:r w:rsidRPr="005143FF">
              <w:rPr>
                <w:rFonts w:eastAsia="Calibri"/>
                <w:sz w:val="20"/>
              </w:rPr>
              <w:t xml:space="preserve">Judgments and orders </w:t>
            </w:r>
            <w:r w:rsidRPr="005143FF">
              <w:rPr>
                <w:rFonts w:eastAsia="Calibri"/>
                <w:iCs/>
                <w:color w:val="000000"/>
                <w:sz w:val="20"/>
              </w:rPr>
              <w:t xml:space="preserve">— </w:t>
            </w:r>
            <w:r w:rsidRPr="005143FF">
              <w:rPr>
                <w:rFonts w:eastAsia="Calibri"/>
                <w:sz w:val="20"/>
              </w:rPr>
              <w:t xml:space="preserve">Summary judgment </w:t>
            </w:r>
            <w:r w:rsidRPr="005143FF">
              <w:rPr>
                <w:rFonts w:eastAsia="Calibri"/>
                <w:iCs/>
                <w:color w:val="000000"/>
                <w:sz w:val="20"/>
              </w:rPr>
              <w:t xml:space="preserve">— </w:t>
            </w:r>
            <w:r w:rsidRPr="005143FF">
              <w:rPr>
                <w:rFonts w:eastAsia="Calibri"/>
                <w:sz w:val="20"/>
              </w:rPr>
              <w:t xml:space="preserve">Intellectual property </w:t>
            </w:r>
            <w:r w:rsidRPr="005143FF">
              <w:rPr>
                <w:rFonts w:eastAsia="Calibri"/>
                <w:iCs/>
                <w:color w:val="000000"/>
                <w:sz w:val="20"/>
              </w:rPr>
              <w:t xml:space="preserve">— </w:t>
            </w:r>
            <w:r w:rsidRPr="005143FF">
              <w:rPr>
                <w:rFonts w:eastAsia="Calibri"/>
                <w:sz w:val="20"/>
              </w:rPr>
              <w:t xml:space="preserve">Copyright </w:t>
            </w:r>
            <w:r w:rsidRPr="005143FF">
              <w:rPr>
                <w:rFonts w:eastAsia="Calibri"/>
                <w:iCs/>
                <w:color w:val="000000"/>
                <w:sz w:val="20"/>
              </w:rPr>
              <w:t xml:space="preserve">— Infringement — Appeal by plaintiff from summary judgment dismissing actions for copyright infringement allowed — Whether </w:t>
            </w:r>
            <w:r w:rsidRPr="005143FF">
              <w:rPr>
                <w:rFonts w:eastAsia="Calibri"/>
                <w:sz w:val="20"/>
              </w:rPr>
              <w:t>express use of the word “sole” in licence agreement was indicative of an exclusive licence, rather than a sole licence.</w:t>
            </w:r>
          </w:p>
        </w:tc>
      </w:tr>
      <w:tr w:rsidR="0007151E" w:rsidRPr="005143FF" w:rsidTr="00C3673D">
        <w:tc>
          <w:tcPr>
            <w:tcW w:w="5000" w:type="pct"/>
            <w:gridSpan w:val="3"/>
          </w:tcPr>
          <w:p w:rsidR="0007151E" w:rsidRPr="005143FF" w:rsidRDefault="0007151E" w:rsidP="00C3673D">
            <w:pPr>
              <w:jc w:val="both"/>
              <w:rPr>
                <w:rFonts w:eastAsia="Calibri"/>
                <w:sz w:val="20"/>
              </w:rPr>
            </w:pPr>
          </w:p>
        </w:tc>
      </w:tr>
      <w:tr w:rsidR="0007151E" w:rsidRPr="005143FF" w:rsidTr="00C3673D">
        <w:tc>
          <w:tcPr>
            <w:tcW w:w="5000" w:type="pct"/>
            <w:gridSpan w:val="3"/>
          </w:tcPr>
          <w:p w:rsidR="0007151E" w:rsidRPr="005143FF" w:rsidRDefault="0007151E" w:rsidP="00C3673D">
            <w:pPr>
              <w:jc w:val="both"/>
              <w:rPr>
                <w:color w:val="000000"/>
                <w:sz w:val="20"/>
              </w:rPr>
            </w:pPr>
            <w:r w:rsidRPr="005143FF">
              <w:rPr>
                <w:color w:val="000000"/>
                <w:sz w:val="20"/>
              </w:rPr>
              <w:t xml:space="preserve">In 1993, Nautical Data International Inc. (“NDI”), entered into a licence agreement with Canadian Hydrographic Service (CHS), a federal government agency that produced hydrographic navigation charts, with respect to the data used to produce the charts.  Under the terms of the agreement, CHS provided the raw data and data source materials used in the preparation of the CHS paper charts (“CHS Works”) for conversion into electronic charts and updates.  After CHS verified the accuracy of its electronic charts, NDI reproduced them in a variety of digital formats which it licensed to various others.  The copyright in the CHS paper charts belonged to the Crown.  C-Map USA Inc. and Navionics Inc. produced electronic vector charts and charting systems for use in marine, aeronautical and land navigation.  Both companies also used CHS charts to produce their digital charts.  NDI brought copyright infringement actions against C-Map USA Inc. and Navionics Inc. C-Map USA Inc. and Navionics Inc. brought motions for summary judgment to dismiss the actions on the basis that NDI did not have standing to sue for damages for copyright infringement as it was not an exclusive licensee of the CHS Works. </w:t>
            </w:r>
          </w:p>
          <w:p w:rsidR="0007151E" w:rsidRPr="005143FF" w:rsidRDefault="0007151E" w:rsidP="00C3673D">
            <w:pPr>
              <w:jc w:val="both"/>
              <w:rPr>
                <w:rFonts w:eastAsia="Calibri"/>
                <w:sz w:val="20"/>
              </w:rPr>
            </w:pPr>
          </w:p>
        </w:tc>
      </w:tr>
      <w:tr w:rsidR="0007151E" w:rsidRPr="005143FF" w:rsidTr="007353D2">
        <w:trPr>
          <w:cantSplit/>
        </w:trPr>
        <w:tc>
          <w:tcPr>
            <w:tcW w:w="2427" w:type="pct"/>
          </w:tcPr>
          <w:p w:rsidR="0007151E" w:rsidRPr="005143FF" w:rsidRDefault="0007151E" w:rsidP="00C3673D">
            <w:pPr>
              <w:jc w:val="both"/>
              <w:rPr>
                <w:rFonts w:eastAsia="Calibri"/>
                <w:sz w:val="20"/>
              </w:rPr>
            </w:pPr>
            <w:r w:rsidRPr="005143FF">
              <w:rPr>
                <w:rFonts w:eastAsia="Calibri"/>
                <w:sz w:val="20"/>
              </w:rPr>
              <w:lastRenderedPageBreak/>
              <w:t>March 13, 2012</w:t>
            </w:r>
          </w:p>
          <w:p w:rsidR="0007151E" w:rsidRPr="005143FF" w:rsidRDefault="0007151E" w:rsidP="00C3673D">
            <w:pPr>
              <w:jc w:val="both"/>
              <w:rPr>
                <w:rFonts w:eastAsia="Calibri"/>
                <w:sz w:val="20"/>
              </w:rPr>
            </w:pPr>
            <w:r w:rsidRPr="005143FF">
              <w:rPr>
                <w:rFonts w:eastAsia="Calibri"/>
                <w:sz w:val="20"/>
              </w:rPr>
              <w:t>Federal Court</w:t>
            </w:r>
          </w:p>
          <w:p w:rsidR="0007151E" w:rsidRPr="005143FF" w:rsidRDefault="0007151E" w:rsidP="00C3673D">
            <w:pPr>
              <w:jc w:val="both"/>
              <w:rPr>
                <w:rFonts w:eastAsia="Calibri"/>
                <w:sz w:val="20"/>
              </w:rPr>
            </w:pPr>
            <w:r w:rsidRPr="005143FF">
              <w:rPr>
                <w:rFonts w:eastAsia="Calibri"/>
                <w:sz w:val="20"/>
              </w:rPr>
              <w:t>(Zinn J.)</w:t>
            </w:r>
          </w:p>
          <w:p w:rsidR="0007151E" w:rsidRPr="005143FF" w:rsidRDefault="0007151E" w:rsidP="00C3673D">
            <w:pPr>
              <w:jc w:val="both"/>
              <w:rPr>
                <w:rFonts w:eastAsia="Calibri"/>
                <w:sz w:val="20"/>
              </w:rPr>
            </w:pPr>
            <w:r w:rsidRPr="005143FF">
              <w:rPr>
                <w:rFonts w:eastAsia="Calibri"/>
                <w:sz w:val="20"/>
              </w:rPr>
              <w:t>2012 FC 300</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Applicants’ motions for summary judgment</w:t>
            </w:r>
          </w:p>
          <w:p w:rsidR="0007151E" w:rsidRPr="005143FF" w:rsidRDefault="0007151E" w:rsidP="00C3673D">
            <w:pPr>
              <w:jc w:val="both"/>
              <w:rPr>
                <w:rFonts w:eastAsia="Calibri"/>
                <w:sz w:val="20"/>
              </w:rPr>
            </w:pPr>
            <w:r w:rsidRPr="005143FF">
              <w:rPr>
                <w:rFonts w:eastAsia="Calibri"/>
                <w:sz w:val="20"/>
              </w:rPr>
              <w:t>granted</w:t>
            </w:r>
          </w:p>
          <w:p w:rsidR="0007151E" w:rsidRPr="005143FF" w:rsidRDefault="0007151E" w:rsidP="00C3673D">
            <w:pPr>
              <w:jc w:val="both"/>
              <w:rPr>
                <w:rFonts w:eastAsia="Calibri"/>
                <w:sz w:val="20"/>
              </w:rPr>
            </w:pPr>
          </w:p>
        </w:tc>
      </w:tr>
      <w:tr w:rsidR="0007151E" w:rsidRPr="005143FF" w:rsidTr="007353D2">
        <w:trPr>
          <w:cantSplit/>
        </w:trPr>
        <w:tc>
          <w:tcPr>
            <w:tcW w:w="2427" w:type="pct"/>
          </w:tcPr>
          <w:p w:rsidR="0007151E" w:rsidRPr="005143FF" w:rsidRDefault="0007151E" w:rsidP="00C3673D">
            <w:pPr>
              <w:jc w:val="both"/>
              <w:rPr>
                <w:rFonts w:eastAsia="Calibri"/>
                <w:sz w:val="20"/>
              </w:rPr>
            </w:pPr>
            <w:r w:rsidRPr="005143FF">
              <w:rPr>
                <w:rFonts w:eastAsia="Calibri"/>
                <w:sz w:val="20"/>
              </w:rPr>
              <w:t>March 1, 2013</w:t>
            </w:r>
          </w:p>
          <w:p w:rsidR="0007151E" w:rsidRPr="005143FF" w:rsidRDefault="0007151E" w:rsidP="00C3673D">
            <w:pPr>
              <w:jc w:val="both"/>
              <w:rPr>
                <w:rFonts w:eastAsia="Calibri"/>
                <w:sz w:val="20"/>
              </w:rPr>
            </w:pPr>
            <w:r w:rsidRPr="005143FF">
              <w:rPr>
                <w:rFonts w:eastAsia="Calibri"/>
                <w:sz w:val="20"/>
              </w:rPr>
              <w:t>Federal Court of Appeal</w:t>
            </w:r>
          </w:p>
          <w:p w:rsidR="0007151E" w:rsidRPr="005143FF" w:rsidRDefault="0007151E" w:rsidP="00C3673D">
            <w:pPr>
              <w:jc w:val="both"/>
              <w:rPr>
                <w:rFonts w:eastAsia="Calibri"/>
                <w:sz w:val="20"/>
              </w:rPr>
            </w:pPr>
            <w:r w:rsidRPr="005143FF">
              <w:rPr>
                <w:rFonts w:eastAsia="Calibri"/>
                <w:sz w:val="20"/>
              </w:rPr>
              <w:t>(Nadon, Sharlow and Dawson JJ.A.)</w:t>
            </w:r>
          </w:p>
          <w:p w:rsidR="0007151E" w:rsidRPr="005143FF" w:rsidRDefault="0007151E" w:rsidP="00C3673D">
            <w:pPr>
              <w:jc w:val="both"/>
              <w:rPr>
                <w:rFonts w:eastAsia="Calibri"/>
                <w:sz w:val="20"/>
              </w:rPr>
            </w:pPr>
            <w:r w:rsidRPr="005143FF">
              <w:rPr>
                <w:rFonts w:eastAsia="Calibri"/>
                <w:sz w:val="20"/>
              </w:rPr>
              <w:t>2013 FCA 63</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Appeals allowed</w:t>
            </w:r>
          </w:p>
          <w:p w:rsidR="0007151E" w:rsidRPr="005143FF" w:rsidRDefault="0007151E" w:rsidP="00C3673D">
            <w:pPr>
              <w:jc w:val="both"/>
              <w:rPr>
                <w:rFonts w:eastAsia="Calibri"/>
                <w:sz w:val="20"/>
              </w:rPr>
            </w:pPr>
          </w:p>
        </w:tc>
      </w:tr>
      <w:tr w:rsidR="0007151E" w:rsidRPr="005143FF" w:rsidTr="007353D2">
        <w:trPr>
          <w:cantSplit/>
        </w:trPr>
        <w:tc>
          <w:tcPr>
            <w:tcW w:w="2427" w:type="pct"/>
          </w:tcPr>
          <w:p w:rsidR="0007151E" w:rsidRPr="005143FF" w:rsidRDefault="0007151E" w:rsidP="00C3673D">
            <w:pPr>
              <w:jc w:val="both"/>
              <w:rPr>
                <w:rFonts w:eastAsia="Calibri"/>
                <w:sz w:val="20"/>
              </w:rPr>
            </w:pPr>
            <w:r w:rsidRPr="005143FF">
              <w:rPr>
                <w:rFonts w:eastAsia="Calibri"/>
                <w:sz w:val="20"/>
              </w:rPr>
              <w:t>April 30, 2013</w:t>
            </w:r>
          </w:p>
          <w:p w:rsidR="0007151E" w:rsidRPr="005143FF" w:rsidRDefault="0007151E" w:rsidP="00C3673D">
            <w:pPr>
              <w:jc w:val="both"/>
              <w:rPr>
                <w:rFonts w:eastAsia="Calibri"/>
                <w:sz w:val="20"/>
              </w:rPr>
            </w:pPr>
            <w:r w:rsidRPr="005143FF">
              <w:rPr>
                <w:rFonts w:eastAsia="Calibri"/>
                <w:sz w:val="20"/>
              </w:rPr>
              <w:t>Supreme Court of Canada</w:t>
            </w: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Application for leave to appeal filed</w:t>
            </w:r>
          </w:p>
          <w:p w:rsidR="0007151E" w:rsidRPr="005143FF" w:rsidRDefault="0007151E" w:rsidP="00C3673D">
            <w:pPr>
              <w:jc w:val="both"/>
              <w:rPr>
                <w:rFonts w:eastAsia="Calibri"/>
                <w:sz w:val="20"/>
              </w:rPr>
            </w:pP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79" style="width:2in;height:1pt" o:hrpct="0" o:hralign="center" o:hrstd="t" o:hrnoshade="t" o:hr="t" fillcolor="black [3213]" stroked="f"/>
        </w:pict>
      </w:r>
    </w:p>
    <w:p w:rsidR="00332827" w:rsidRDefault="00332827" w:rsidP="00332827">
      <w:pPr>
        <w:rPr>
          <w:sz w:val="20"/>
          <w:szCs w:val="20"/>
        </w:rPr>
      </w:pPr>
    </w:p>
    <w:p w:rsidR="00332827" w:rsidRPr="001B157C" w:rsidRDefault="00332827" w:rsidP="00332827">
      <w:pPr>
        <w:rPr>
          <w:sz w:val="20"/>
          <w:szCs w:val="20"/>
          <w:u w:val="single"/>
          <w:lang w:val="fr-CA"/>
        </w:rPr>
      </w:pPr>
      <w:r w:rsidRPr="001B157C">
        <w:rPr>
          <w:sz w:val="20"/>
          <w:szCs w:val="20"/>
          <w:u w:val="single"/>
          <w:lang w:val="fr-CA"/>
        </w:rPr>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B86261" w:rsidTr="00C3673D">
        <w:tc>
          <w:tcPr>
            <w:tcW w:w="5000" w:type="pct"/>
            <w:gridSpan w:val="3"/>
          </w:tcPr>
          <w:p w:rsidR="0007151E" w:rsidRPr="005143FF" w:rsidRDefault="0007151E" w:rsidP="00C3673D">
            <w:pPr>
              <w:jc w:val="both"/>
              <w:rPr>
                <w:rFonts w:eastAsia="Calibri"/>
                <w:smallCaps/>
                <w:sz w:val="20"/>
                <w:lang w:val="fr-CA"/>
              </w:rPr>
            </w:pPr>
            <w:r w:rsidRPr="005143FF">
              <w:rPr>
                <w:rFonts w:eastAsia="Calibri"/>
                <w:smallCaps/>
                <w:sz w:val="20"/>
                <w:lang w:val="fr-CA"/>
              </w:rPr>
              <w:t>(Ordonnance de mise sous scellés)</w:t>
            </w:r>
          </w:p>
          <w:p w:rsidR="0007151E" w:rsidRPr="005143FF" w:rsidRDefault="0007151E" w:rsidP="00C3673D">
            <w:pPr>
              <w:jc w:val="both"/>
              <w:rPr>
                <w:rFonts w:eastAsia="Calibri"/>
                <w:sz w:val="20"/>
                <w:lang w:val="fr-CA"/>
              </w:rPr>
            </w:pPr>
          </w:p>
          <w:p w:rsidR="0007151E" w:rsidRPr="005143FF" w:rsidRDefault="0007151E" w:rsidP="00C3673D">
            <w:pPr>
              <w:jc w:val="both"/>
              <w:rPr>
                <w:rFonts w:eastAsia="Calibri"/>
                <w:sz w:val="20"/>
                <w:lang w:val="fr-CA"/>
              </w:rPr>
            </w:pPr>
            <w:r w:rsidRPr="005143FF">
              <w:rPr>
                <w:rFonts w:eastAsia="Calibri"/>
                <w:sz w:val="20"/>
                <w:lang w:val="fr-CA"/>
              </w:rPr>
              <w:t xml:space="preserve">Jugements et ordonnances </w:t>
            </w:r>
            <w:r w:rsidRPr="005143FF">
              <w:rPr>
                <w:rFonts w:eastAsia="Calibri"/>
                <w:iCs/>
                <w:color w:val="000000"/>
                <w:sz w:val="20"/>
                <w:lang w:val="fr-CA"/>
              </w:rPr>
              <w:t>—</w:t>
            </w:r>
            <w:r w:rsidRPr="005143FF">
              <w:rPr>
                <w:rFonts w:eastAsia="Calibri"/>
                <w:sz w:val="20"/>
                <w:lang w:val="fr-CA"/>
              </w:rPr>
              <w:t xml:space="preserve"> Jugement sommaire </w:t>
            </w:r>
            <w:r w:rsidRPr="005143FF">
              <w:rPr>
                <w:rFonts w:eastAsia="Calibri"/>
                <w:iCs/>
                <w:color w:val="000000"/>
                <w:sz w:val="20"/>
                <w:lang w:val="fr-CA"/>
              </w:rPr>
              <w:t>—</w:t>
            </w:r>
            <w:r w:rsidRPr="005143FF">
              <w:rPr>
                <w:rFonts w:eastAsia="Calibri"/>
                <w:sz w:val="20"/>
                <w:lang w:val="fr-CA"/>
              </w:rPr>
              <w:t xml:space="preserve"> Propriété intellectuelle </w:t>
            </w:r>
            <w:r w:rsidRPr="005143FF">
              <w:rPr>
                <w:rFonts w:eastAsia="Calibri"/>
                <w:iCs/>
                <w:color w:val="000000"/>
                <w:sz w:val="20"/>
                <w:lang w:val="fr-CA"/>
              </w:rPr>
              <w:t>—</w:t>
            </w:r>
            <w:r w:rsidRPr="005143FF">
              <w:rPr>
                <w:rFonts w:eastAsia="Calibri"/>
                <w:sz w:val="20"/>
                <w:lang w:val="fr-CA"/>
              </w:rPr>
              <w:t xml:space="preserve"> Droit d'auteur </w:t>
            </w:r>
            <w:r w:rsidRPr="005143FF">
              <w:rPr>
                <w:rFonts w:eastAsia="Calibri"/>
                <w:iCs/>
                <w:color w:val="000000"/>
                <w:sz w:val="20"/>
                <w:lang w:val="fr-CA"/>
              </w:rPr>
              <w:t>— Contrefaçon — Appel interjeté par la demanderesse en première instance d'un jugement sommaire rejetant des actions en contrefaçon de droit d'auteur, accueilli — L'utilisation expresse du mot « unique » (</w:t>
            </w:r>
            <w:r w:rsidRPr="005143FF">
              <w:rPr>
                <w:rFonts w:eastAsia="Calibri"/>
                <w:i/>
                <w:sz w:val="20"/>
                <w:lang w:val="fr-CA"/>
              </w:rPr>
              <w:t>sole</w:t>
            </w:r>
            <w:r w:rsidRPr="005143FF">
              <w:rPr>
                <w:rFonts w:eastAsia="Calibri"/>
                <w:sz w:val="20"/>
                <w:lang w:val="fr-CA"/>
              </w:rPr>
              <w:t>) dans un accord de licence était-elle indicative d'une licence exclusive, plutôt qu'une licence unique?</w:t>
            </w:r>
          </w:p>
        </w:tc>
      </w:tr>
      <w:tr w:rsidR="0007151E" w:rsidRPr="00B86261" w:rsidTr="00C3673D">
        <w:tc>
          <w:tcPr>
            <w:tcW w:w="5000" w:type="pct"/>
            <w:gridSpan w:val="3"/>
          </w:tcPr>
          <w:p w:rsidR="0007151E" w:rsidRPr="005143FF" w:rsidRDefault="0007151E" w:rsidP="00C3673D">
            <w:pPr>
              <w:jc w:val="both"/>
              <w:rPr>
                <w:rFonts w:eastAsia="Calibri"/>
                <w:sz w:val="20"/>
                <w:lang w:val="fr-CA"/>
              </w:rPr>
            </w:pPr>
          </w:p>
        </w:tc>
      </w:tr>
      <w:tr w:rsidR="0007151E" w:rsidRPr="00B86261" w:rsidTr="00C3673D">
        <w:tc>
          <w:tcPr>
            <w:tcW w:w="5000" w:type="pct"/>
            <w:gridSpan w:val="3"/>
          </w:tcPr>
          <w:p w:rsidR="0007151E" w:rsidRPr="005143FF" w:rsidRDefault="0007151E" w:rsidP="00C3673D">
            <w:pPr>
              <w:jc w:val="both"/>
              <w:rPr>
                <w:color w:val="000000"/>
                <w:sz w:val="20"/>
                <w:lang w:val="fr-CA"/>
              </w:rPr>
            </w:pPr>
            <w:r w:rsidRPr="005143FF">
              <w:rPr>
                <w:color w:val="000000"/>
                <w:sz w:val="20"/>
                <w:lang w:val="fr-CA"/>
              </w:rPr>
              <w:t xml:space="preserve">En 1993, Nautical Data International Inc. (« NDI »), a conclu un accord de licence avec le Service hydrographique du Canada (SHC), un organisme gouvernemental fédéral qui produisait des cartes hydrographiques de navigation, portant sur les données utilisées pour produire les cartes.  Aux termes de l'accord, le SHC fournissait les données brutes et les sources de données servant à l’élaboration des cartes papier du SHC (« les œuvres du SHC ») pour conversion en cartes électroniques et mises à jour électroniques.  Après que le SHC avait vérifié l’exactitude de ses cartes électroniques, NDI les reproduisait dans une diversité de supports numériques pour lesquels NDI concédait une licence à des tiers.  La Couronne est titulaire du droit d'auteur à l'égard des cartes papier du SHC.  C-Map USA Inc. et Navionics Inc. produisent des cartes vectorielles électroniques et des systèmes d’établissement de cartes pour utilisation dans la navigation maritime, aéronautique et terrestre.  Les deux compagnies utilisaient aussi des cartes du SHC pour produire leurs cartes numériques.  NDI a intenté des actions en contrefaçon de droit d'auteur contre C-Map USA Inc. et Navionics Inc. C-Map USA Inc. et Navionics Inc. ont présenté des requêtes en jugement sommaire en vue de rejeter les actions au motif que NDI n'avait pas qualité pour intenter une poursuite en dommages-intérêts pour contrefaçon de droit d'auteur, puisqu'elle n'était pas titulaire d'une licence exclusive à l'égard des œuvres du SHC. </w:t>
            </w:r>
          </w:p>
          <w:p w:rsidR="0007151E" w:rsidRPr="005143FF" w:rsidRDefault="0007151E" w:rsidP="00C3673D">
            <w:pPr>
              <w:jc w:val="both"/>
              <w:rPr>
                <w:rFonts w:eastAsia="Calibri"/>
                <w:sz w:val="20"/>
                <w:lang w:val="fr-CA"/>
              </w:rPr>
            </w:pPr>
          </w:p>
        </w:tc>
      </w:tr>
      <w:tr w:rsidR="0007151E" w:rsidRPr="00B86261"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13 mars 2012</w:t>
            </w:r>
          </w:p>
          <w:p w:rsidR="0007151E" w:rsidRPr="005143FF" w:rsidRDefault="0007151E" w:rsidP="00C3673D">
            <w:pPr>
              <w:jc w:val="both"/>
              <w:rPr>
                <w:rFonts w:eastAsia="Calibri"/>
                <w:sz w:val="20"/>
                <w:lang w:val="fr-CA"/>
              </w:rPr>
            </w:pPr>
            <w:r w:rsidRPr="005143FF">
              <w:rPr>
                <w:rFonts w:eastAsia="Calibri"/>
                <w:sz w:val="20"/>
                <w:lang w:val="fr-CA"/>
              </w:rPr>
              <w:t xml:space="preserve">Cour fédérale </w:t>
            </w:r>
          </w:p>
          <w:p w:rsidR="0007151E" w:rsidRPr="005143FF" w:rsidRDefault="0007151E" w:rsidP="00C3673D">
            <w:pPr>
              <w:jc w:val="both"/>
              <w:rPr>
                <w:rFonts w:eastAsia="Calibri"/>
                <w:sz w:val="20"/>
                <w:lang w:val="fr-CA"/>
              </w:rPr>
            </w:pPr>
            <w:r w:rsidRPr="005143FF">
              <w:rPr>
                <w:rFonts w:eastAsia="Calibri"/>
                <w:sz w:val="20"/>
                <w:lang w:val="fr-CA"/>
              </w:rPr>
              <w:t>(Juge Zinn)</w:t>
            </w:r>
          </w:p>
          <w:p w:rsidR="0007151E" w:rsidRPr="005143FF" w:rsidRDefault="0007151E" w:rsidP="00C3673D">
            <w:pPr>
              <w:jc w:val="both"/>
              <w:rPr>
                <w:rFonts w:eastAsia="Calibri"/>
                <w:sz w:val="20"/>
                <w:lang w:val="fr-CA"/>
              </w:rPr>
            </w:pPr>
            <w:r w:rsidRPr="005143FF">
              <w:rPr>
                <w:rFonts w:eastAsia="Calibri"/>
                <w:sz w:val="20"/>
                <w:lang w:val="fr-CA"/>
              </w:rPr>
              <w:t>2012 FC 300</w:t>
            </w:r>
          </w:p>
          <w:p w:rsidR="0007151E" w:rsidRPr="005143FF" w:rsidRDefault="0007151E" w:rsidP="00C3673D">
            <w:pPr>
              <w:jc w:val="both"/>
              <w:rPr>
                <w:rFonts w:eastAsia="Calibri"/>
                <w:sz w:val="20"/>
                <w:lang w:val="fr-CA"/>
              </w:rPr>
            </w:pP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Requête des demanderesses en jugement sommaire, accueillie</w:t>
            </w:r>
          </w:p>
          <w:p w:rsidR="0007151E" w:rsidRPr="005143FF" w:rsidRDefault="0007151E" w:rsidP="00C3673D">
            <w:pPr>
              <w:jc w:val="both"/>
              <w:rPr>
                <w:rFonts w:eastAsia="Calibri"/>
                <w:sz w:val="20"/>
                <w:lang w:val="fr-CA"/>
              </w:rPr>
            </w:pPr>
          </w:p>
        </w:tc>
      </w:tr>
      <w:tr w:rsidR="0007151E" w:rsidRPr="005143FF"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1</w:t>
            </w:r>
            <w:r w:rsidRPr="005143FF">
              <w:rPr>
                <w:rFonts w:eastAsia="Calibri"/>
                <w:sz w:val="20"/>
                <w:vertAlign w:val="superscript"/>
                <w:lang w:val="fr-CA"/>
              </w:rPr>
              <w:t>er</w:t>
            </w:r>
            <w:r w:rsidRPr="005143FF">
              <w:rPr>
                <w:rFonts w:eastAsia="Calibri"/>
                <w:sz w:val="20"/>
                <w:lang w:val="fr-CA"/>
              </w:rPr>
              <w:t xml:space="preserve"> mars 2013</w:t>
            </w:r>
          </w:p>
          <w:p w:rsidR="0007151E" w:rsidRPr="005143FF" w:rsidRDefault="0007151E" w:rsidP="00C3673D">
            <w:pPr>
              <w:jc w:val="both"/>
              <w:rPr>
                <w:rFonts w:eastAsia="Calibri"/>
                <w:sz w:val="20"/>
                <w:lang w:val="fr-CA"/>
              </w:rPr>
            </w:pPr>
            <w:r w:rsidRPr="005143FF">
              <w:rPr>
                <w:rFonts w:eastAsia="Calibri"/>
                <w:sz w:val="20"/>
                <w:lang w:val="fr-CA"/>
              </w:rPr>
              <w:t xml:space="preserve">Cour d'appel fédérale </w:t>
            </w:r>
          </w:p>
          <w:p w:rsidR="0007151E" w:rsidRPr="005143FF" w:rsidRDefault="0007151E" w:rsidP="00C3673D">
            <w:pPr>
              <w:jc w:val="both"/>
              <w:rPr>
                <w:rFonts w:eastAsia="Calibri"/>
                <w:sz w:val="20"/>
                <w:lang w:val="fr-CA"/>
              </w:rPr>
            </w:pPr>
            <w:r w:rsidRPr="005143FF">
              <w:rPr>
                <w:rFonts w:eastAsia="Calibri"/>
                <w:sz w:val="20"/>
                <w:lang w:val="fr-CA"/>
              </w:rPr>
              <w:t>(Juges Nadon, Sharlow et Dawson)</w:t>
            </w:r>
          </w:p>
          <w:p w:rsidR="0007151E" w:rsidRPr="005143FF" w:rsidRDefault="0007151E" w:rsidP="007353D2">
            <w:pPr>
              <w:jc w:val="both"/>
              <w:rPr>
                <w:rFonts w:eastAsia="Calibri"/>
                <w:sz w:val="20"/>
                <w:lang w:val="fr-CA"/>
              </w:rPr>
            </w:pPr>
            <w:r w:rsidRPr="005143FF">
              <w:rPr>
                <w:rFonts w:eastAsia="Calibri"/>
                <w:sz w:val="20"/>
                <w:lang w:val="fr-CA"/>
              </w:rPr>
              <w:t>2013 FCA 63</w:t>
            </w: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Appels accueillis</w:t>
            </w:r>
          </w:p>
          <w:p w:rsidR="0007151E" w:rsidRPr="005143FF" w:rsidRDefault="0007151E" w:rsidP="00C3673D">
            <w:pPr>
              <w:jc w:val="both"/>
              <w:rPr>
                <w:rFonts w:eastAsia="Calibri"/>
                <w:sz w:val="20"/>
                <w:lang w:val="fr-CA"/>
              </w:rPr>
            </w:pPr>
          </w:p>
        </w:tc>
      </w:tr>
    </w:tbl>
    <w:p w:rsidR="007353D2" w:rsidRDefault="007353D2"/>
    <w:p w:rsidR="007353D2" w:rsidRDefault="007353D2">
      <w:r>
        <w:br w:type="page"/>
      </w: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7353D2">
        <w:trPr>
          <w:cantSplit/>
        </w:trPr>
        <w:tc>
          <w:tcPr>
            <w:tcW w:w="2427" w:type="pct"/>
          </w:tcPr>
          <w:p w:rsidR="0007151E" w:rsidRPr="005143FF" w:rsidRDefault="0007151E" w:rsidP="00C3673D">
            <w:pPr>
              <w:jc w:val="both"/>
              <w:rPr>
                <w:rFonts w:eastAsia="Calibri"/>
                <w:sz w:val="20"/>
                <w:lang w:val="fr-CA"/>
              </w:rPr>
            </w:pPr>
            <w:r w:rsidRPr="005143FF">
              <w:rPr>
                <w:rFonts w:eastAsia="Calibri"/>
                <w:sz w:val="20"/>
                <w:lang w:val="fr-CA"/>
              </w:rPr>
              <w:lastRenderedPageBreak/>
              <w:t>30 avril 2013</w:t>
            </w:r>
          </w:p>
          <w:p w:rsidR="0007151E" w:rsidRPr="005143FF" w:rsidRDefault="0007151E" w:rsidP="00C3673D">
            <w:pPr>
              <w:jc w:val="both"/>
              <w:rPr>
                <w:rFonts w:eastAsia="Calibri"/>
                <w:sz w:val="20"/>
                <w:lang w:val="fr-CA"/>
              </w:rPr>
            </w:pPr>
            <w:r w:rsidRPr="005143FF">
              <w:rPr>
                <w:rFonts w:eastAsia="Calibri"/>
                <w:sz w:val="20"/>
                <w:lang w:val="fr-CA"/>
              </w:rPr>
              <w:t>Cour suprême du Canada</w:t>
            </w: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Demande d'autorisation d'appel, déposée</w:t>
            </w:r>
          </w:p>
        </w:tc>
      </w:tr>
    </w:tbl>
    <w:p w:rsidR="00332827" w:rsidRDefault="00332827" w:rsidP="00332827">
      <w:pPr>
        <w:rPr>
          <w:sz w:val="20"/>
          <w:szCs w:val="20"/>
        </w:rPr>
      </w:pPr>
    </w:p>
    <w:p w:rsidR="00332827" w:rsidRDefault="005F2BA7" w:rsidP="00332827">
      <w:pPr>
        <w:rPr>
          <w:sz w:val="20"/>
          <w:szCs w:val="20"/>
        </w:rPr>
      </w:pPr>
      <w:r w:rsidRPr="005F2BA7">
        <w:rPr>
          <w:sz w:val="20"/>
          <w:szCs w:val="20"/>
          <w:lang w:val="fr-CA"/>
        </w:rPr>
        <w:pict>
          <v:rect id="_x0000_i1080" style="width:2in;height:1pt" o:hrpct="0" o:hralign="center" o:hrstd="t" o:hrnoshade="t" o:hr="t" fillcolor="black [3213]" stroked="f"/>
        </w:pict>
      </w:r>
    </w:p>
    <w:p w:rsidR="00332827" w:rsidRPr="00332827" w:rsidRDefault="00332827" w:rsidP="0033282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5457" w:rsidRPr="009B1157" w:rsidTr="00C173EE">
        <w:trPr>
          <w:cantSplit/>
        </w:trPr>
        <w:tc>
          <w:tcPr>
            <w:tcW w:w="1458" w:type="dxa"/>
          </w:tcPr>
          <w:p w:rsidR="00575457" w:rsidRPr="009B1157" w:rsidRDefault="00575457" w:rsidP="00C173EE">
            <w:pPr>
              <w:rPr>
                <w:sz w:val="20"/>
                <w:szCs w:val="20"/>
              </w:rPr>
            </w:pPr>
            <w:r w:rsidRPr="009B1157">
              <w:rPr>
                <w:rStyle w:val="SCCFileNumberChar"/>
                <w:sz w:val="20"/>
                <w:szCs w:val="20"/>
              </w:rPr>
              <w:t>35346</w:t>
            </w:r>
          </w:p>
          <w:p w:rsidR="00575457" w:rsidRPr="009B1157" w:rsidRDefault="00575457" w:rsidP="00C173EE">
            <w:pPr>
              <w:rPr>
                <w:b/>
                <w:sz w:val="20"/>
                <w:szCs w:val="20"/>
                <w:lang w:val="fr-CA"/>
              </w:rPr>
            </w:pPr>
          </w:p>
        </w:tc>
        <w:tc>
          <w:tcPr>
            <w:tcW w:w="8118" w:type="dxa"/>
          </w:tcPr>
          <w:p w:rsidR="00575457" w:rsidRPr="009B1157" w:rsidRDefault="00575457" w:rsidP="00C173EE">
            <w:pPr>
              <w:jc w:val="both"/>
              <w:rPr>
                <w:sz w:val="20"/>
                <w:szCs w:val="20"/>
              </w:rPr>
            </w:pPr>
            <w:r w:rsidRPr="00575457">
              <w:rPr>
                <w:rStyle w:val="SCCLsocChar"/>
                <w:sz w:val="20"/>
                <w:szCs w:val="20"/>
                <w:lang w:val="en-CA"/>
              </w:rPr>
              <w:t>Tebaldo Barbuscio v. Ontario Lottery and Gaming Corporation, Falls Managment Company, Falls Management Group, L.P., John Doe #1, John Doe #2, John Doe #3</w:t>
            </w:r>
            <w:r w:rsidR="00070750">
              <w:rPr>
                <w:rStyle w:val="SCCLsocChar"/>
                <w:sz w:val="20"/>
                <w:szCs w:val="20"/>
                <w:lang w:val="en-CA"/>
              </w:rPr>
              <w:t xml:space="preserve"> and</w:t>
            </w:r>
            <w:r w:rsidRPr="00575457">
              <w:rPr>
                <w:rStyle w:val="SCCLsocChar"/>
                <w:sz w:val="20"/>
                <w:szCs w:val="20"/>
                <w:lang w:val="en-CA"/>
              </w:rPr>
              <w:t xml:space="preserve"> Alcohol and Gaming Commission of Ontario</w:t>
            </w:r>
            <w:r w:rsidRPr="009B1157">
              <w:rPr>
                <w:sz w:val="20"/>
                <w:szCs w:val="20"/>
              </w:rPr>
              <w:t xml:space="preserve"> (Ont.) (Civil) (By Leave)</w:t>
            </w:r>
          </w:p>
          <w:p w:rsidR="00575457" w:rsidRPr="009B1157" w:rsidRDefault="00575457" w:rsidP="00C173EE">
            <w:pPr>
              <w:jc w:val="both"/>
              <w:rPr>
                <w:sz w:val="20"/>
                <w:szCs w:val="20"/>
              </w:rPr>
            </w:pPr>
          </w:p>
        </w:tc>
      </w:tr>
      <w:tr w:rsidR="00575457" w:rsidRPr="009B1157" w:rsidTr="00C173EE">
        <w:trPr>
          <w:cantSplit/>
        </w:trPr>
        <w:tc>
          <w:tcPr>
            <w:tcW w:w="1458" w:type="dxa"/>
          </w:tcPr>
          <w:p w:rsidR="00575457" w:rsidRPr="009B1157" w:rsidRDefault="00575457" w:rsidP="00C173EE">
            <w:pPr>
              <w:rPr>
                <w:sz w:val="20"/>
                <w:szCs w:val="20"/>
              </w:rPr>
            </w:pPr>
            <w:r w:rsidRPr="009B1157">
              <w:rPr>
                <w:sz w:val="20"/>
                <w:szCs w:val="20"/>
              </w:rPr>
              <w:t>Coram :</w:t>
            </w:r>
          </w:p>
        </w:tc>
        <w:tc>
          <w:tcPr>
            <w:tcW w:w="8118" w:type="dxa"/>
          </w:tcPr>
          <w:p w:rsidR="00575457" w:rsidRPr="009B1157" w:rsidRDefault="00575457" w:rsidP="00C173EE">
            <w:pPr>
              <w:rPr>
                <w:sz w:val="20"/>
                <w:szCs w:val="20"/>
              </w:rPr>
            </w:pPr>
            <w:r w:rsidRPr="00575457">
              <w:rPr>
                <w:rStyle w:val="SCCCoramChar"/>
                <w:sz w:val="20"/>
                <w:szCs w:val="20"/>
                <w:lang w:val="en-CA"/>
              </w:rPr>
              <w:t>Fish, Rothstein and Moldaver JJ.</w:t>
            </w:r>
          </w:p>
          <w:p w:rsidR="00575457" w:rsidRPr="009B1157" w:rsidRDefault="00575457" w:rsidP="00C173EE">
            <w:pPr>
              <w:rPr>
                <w:sz w:val="20"/>
                <w:szCs w:val="20"/>
                <w:u w:val="single"/>
              </w:rPr>
            </w:pPr>
          </w:p>
        </w:tc>
      </w:tr>
      <w:tr w:rsidR="00575457" w:rsidRPr="00B86261" w:rsidTr="00C173EE">
        <w:trPr>
          <w:cantSplit/>
        </w:trPr>
        <w:tc>
          <w:tcPr>
            <w:tcW w:w="9576" w:type="dxa"/>
            <w:gridSpan w:val="2"/>
          </w:tcPr>
          <w:p w:rsidR="00575457" w:rsidRPr="009B1157" w:rsidRDefault="00575457" w:rsidP="00C173EE">
            <w:pPr>
              <w:pStyle w:val="SCCShortJudgment"/>
              <w:rPr>
                <w:szCs w:val="20"/>
              </w:rPr>
            </w:pPr>
            <w:r w:rsidRPr="009B1157">
              <w:rPr>
                <w:szCs w:val="20"/>
              </w:rPr>
              <w:t>The application for leave to appeal from the judgment of the Court of Appeal for Ontario, Number C55527, 2013 ONCA 121, dated February 26, 2013, is dismissed with costs.</w:t>
            </w:r>
          </w:p>
          <w:p w:rsidR="00575457" w:rsidRPr="009B1157" w:rsidRDefault="00575457" w:rsidP="00C173EE">
            <w:pPr>
              <w:pStyle w:val="SCCShortJudgment"/>
              <w:ind w:firstLine="0"/>
              <w:rPr>
                <w:szCs w:val="20"/>
              </w:rPr>
            </w:pPr>
          </w:p>
          <w:p w:rsidR="00575457" w:rsidRPr="009B1157" w:rsidRDefault="00575457" w:rsidP="00C173EE">
            <w:pPr>
              <w:pStyle w:val="SCCShortJudgment"/>
              <w:rPr>
                <w:szCs w:val="20"/>
                <w:lang w:val="fr-CA"/>
              </w:rPr>
            </w:pPr>
            <w:r w:rsidRPr="009B1157">
              <w:rPr>
                <w:szCs w:val="20"/>
                <w:lang w:val="fr-CA"/>
              </w:rPr>
              <w:t>La demande d’autorisation d’appel de l’arrêt de la Cour d’appel de l’Ontario, numéro C55527, 2013 ONCA 121, daté du 26 février 2013, est rejetée avec dépens.</w:t>
            </w:r>
          </w:p>
        </w:tc>
      </w:tr>
    </w:tbl>
    <w:p w:rsidR="00332827" w:rsidRPr="0016547E" w:rsidRDefault="00332827" w:rsidP="00332827">
      <w:pPr>
        <w:rPr>
          <w:sz w:val="20"/>
          <w:szCs w:val="20"/>
          <w:lang w:val="fr-CA"/>
        </w:rPr>
      </w:pPr>
    </w:p>
    <w:p w:rsidR="00332827" w:rsidRPr="001B157C" w:rsidRDefault="00332827" w:rsidP="00332827">
      <w:pPr>
        <w:rPr>
          <w:sz w:val="20"/>
          <w:szCs w:val="20"/>
          <w:u w:val="single"/>
        </w:rPr>
      </w:pPr>
      <w:r w:rsidRPr="001B157C">
        <w:rPr>
          <w:sz w:val="20"/>
          <w:szCs w:val="20"/>
          <w:u w:val="single"/>
        </w:rPr>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DE6" w:rsidRPr="005143FF" w:rsidTr="00C3673D">
        <w:tc>
          <w:tcPr>
            <w:tcW w:w="5000" w:type="pct"/>
            <w:gridSpan w:val="3"/>
          </w:tcPr>
          <w:p w:rsidR="00D44DE6" w:rsidRPr="005143FF" w:rsidRDefault="00D44DE6" w:rsidP="00C3673D">
            <w:pPr>
              <w:jc w:val="both"/>
              <w:rPr>
                <w:rFonts w:eastAsia="Calibri"/>
                <w:sz w:val="20"/>
              </w:rPr>
            </w:pPr>
            <w:r w:rsidRPr="005143FF">
              <w:rPr>
                <w:rFonts w:eastAsia="Calibri"/>
                <w:sz w:val="20"/>
              </w:rPr>
              <w:t xml:space="preserve">Unjust enrichment – Summary judgment – Whether a judge on a summary judgment motion can adjudicate on the merits of the claim on the basis of double or triple hearsay or whether, in light of the need for </w:t>
            </w:r>
            <w:r w:rsidRPr="005143FF">
              <w:rPr>
                <w:rFonts w:eastAsia="Calibri"/>
                <w:i/>
                <w:sz w:val="20"/>
              </w:rPr>
              <w:t>viva voce</w:t>
            </w:r>
            <w:r w:rsidRPr="005143FF">
              <w:rPr>
                <w:rFonts w:eastAsia="Calibri"/>
                <w:sz w:val="20"/>
              </w:rPr>
              <w:t xml:space="preserve"> evidence, an action must proceed to trial – Whether government funded casinos are entitled, at their discretion, to determine the “rules of play” for the purposes of remaining exempt from criminal prosecution in s. 207 of the </w:t>
            </w:r>
            <w:r w:rsidRPr="005143FF">
              <w:rPr>
                <w:rFonts w:eastAsia="Calibri"/>
                <w:i/>
                <w:sz w:val="20"/>
              </w:rPr>
              <w:t>Criminal Code</w:t>
            </w:r>
            <w:r w:rsidRPr="005143FF">
              <w:rPr>
                <w:rFonts w:eastAsia="Calibri"/>
                <w:sz w:val="20"/>
              </w:rPr>
              <w:t xml:space="preserve"> – What are the factors that courts must consider in analyzing the third element of the unjust enrichment test established by the Supreme Court of Canada in </w:t>
            </w:r>
            <w:r w:rsidRPr="005143FF">
              <w:rPr>
                <w:rFonts w:eastAsia="Calibri"/>
                <w:i/>
                <w:sz w:val="20"/>
              </w:rPr>
              <w:t>Garland v. Consumers Gas</w:t>
            </w:r>
          </w:p>
        </w:tc>
      </w:tr>
      <w:tr w:rsidR="00D44DE6" w:rsidRPr="005143FF" w:rsidTr="00C3673D">
        <w:tc>
          <w:tcPr>
            <w:tcW w:w="5000" w:type="pct"/>
            <w:gridSpan w:val="3"/>
          </w:tcPr>
          <w:p w:rsidR="00D44DE6" w:rsidRPr="005143FF" w:rsidRDefault="00D44DE6" w:rsidP="00C3673D">
            <w:pPr>
              <w:jc w:val="both"/>
              <w:rPr>
                <w:rFonts w:eastAsia="Calibri"/>
                <w:sz w:val="20"/>
              </w:rPr>
            </w:pPr>
          </w:p>
        </w:tc>
      </w:tr>
      <w:tr w:rsidR="00D44DE6" w:rsidRPr="005143FF" w:rsidTr="00C3673D">
        <w:tc>
          <w:tcPr>
            <w:tcW w:w="5000" w:type="pct"/>
            <w:gridSpan w:val="3"/>
          </w:tcPr>
          <w:p w:rsidR="00D44DE6" w:rsidRPr="005143FF" w:rsidRDefault="00D44DE6" w:rsidP="00C3673D">
            <w:pPr>
              <w:jc w:val="both"/>
              <w:rPr>
                <w:rFonts w:eastAsia="Calibri"/>
                <w:sz w:val="20"/>
              </w:rPr>
            </w:pPr>
            <w:r w:rsidRPr="005143FF">
              <w:rPr>
                <w:rFonts w:eastAsia="Calibri"/>
                <w:sz w:val="20"/>
              </w:rPr>
              <w:t xml:space="preserve">The Applicants are high stakes gamblers who lost approximately $2.1 million while playing roulette at the Niagara Fallsview Casino Resort over a period of three-and-a-half years.  The Applicants claim that the casino operators had in place a “floating ball rule” which permitted roulette dealers to remove a “floating ball” from a spinning roulette wheel and to call a “no-spin”, ending the particular game and making all wagers </w:t>
            </w:r>
            <w:proofErr w:type="gramStart"/>
            <w:r w:rsidRPr="005143FF">
              <w:rPr>
                <w:rFonts w:eastAsia="Calibri"/>
                <w:sz w:val="20"/>
              </w:rPr>
              <w:t>void</w:t>
            </w:r>
            <w:proofErr w:type="gramEnd"/>
            <w:r w:rsidRPr="005143FF">
              <w:rPr>
                <w:rFonts w:eastAsia="Calibri"/>
                <w:sz w:val="20"/>
              </w:rPr>
              <w:t xml:space="preserve">.  Because the casino operators failed to obtain the approval of the Alcohol and Gaming Commission of Ontario (“AGCO”) of their floating ball rule, the Applicants say that the roulette games they played at the Fallsview Casino did not qualify for the </w:t>
            </w:r>
            <w:r w:rsidRPr="005143FF">
              <w:rPr>
                <w:rFonts w:eastAsia="Calibri"/>
                <w:i/>
                <w:sz w:val="20"/>
              </w:rPr>
              <w:t>Criminal Code</w:t>
            </w:r>
            <w:r w:rsidRPr="005143FF">
              <w:rPr>
                <w:rFonts w:eastAsia="Calibri"/>
                <w:sz w:val="20"/>
              </w:rPr>
              <w:t xml:space="preserve"> exemption from the prohibition against gambling and were therefore illegal.  Accordingly, the Applicants sued the casino operators and the AGCO in two separate actions claiming damages as well as the return of their gambling losses.  On a summary judgment motion to dismiss the Applicants’ actions, it was concluded that, even if the roulette games were illegal, the Applicants would not be entitled to a remedy in this case.  The motions judge relied significantly on the fact that the Applicants’ wagers were returned whenever the floating ball practice was invoked.  The motions judge therefore dismissed the Applicants’ actions and also granted summary judgment to the Ontario Lottery and Gaming Corporation (the “OLGC”) with respect to two actions by the OLGC for recovery of the amount owing on gambling loans made to two of the Applicants.  The Court of Appeal dismissed the appeals.</w:t>
            </w:r>
          </w:p>
          <w:p w:rsidR="00D44DE6" w:rsidRPr="005143FF" w:rsidRDefault="00D44DE6" w:rsidP="00C3673D">
            <w:pPr>
              <w:jc w:val="both"/>
              <w:rPr>
                <w:rFonts w:eastAsia="Calibri"/>
                <w:sz w:val="20"/>
              </w:rPr>
            </w:pPr>
          </w:p>
        </w:tc>
      </w:tr>
      <w:tr w:rsidR="00D44DE6" w:rsidRPr="005143FF" w:rsidTr="00C3673D">
        <w:tc>
          <w:tcPr>
            <w:tcW w:w="2427" w:type="pct"/>
          </w:tcPr>
          <w:p w:rsidR="00D44DE6" w:rsidRPr="005143FF" w:rsidRDefault="00D44DE6" w:rsidP="00C3673D">
            <w:pPr>
              <w:jc w:val="both"/>
              <w:rPr>
                <w:rFonts w:eastAsia="Calibri"/>
                <w:sz w:val="20"/>
              </w:rPr>
            </w:pPr>
            <w:r w:rsidRPr="005143FF">
              <w:rPr>
                <w:rFonts w:eastAsia="Calibri"/>
                <w:sz w:val="20"/>
              </w:rPr>
              <w:t>April 30, 2012</w:t>
            </w:r>
          </w:p>
          <w:p w:rsidR="00D44DE6" w:rsidRPr="005143FF" w:rsidRDefault="00D44DE6" w:rsidP="00C3673D">
            <w:pPr>
              <w:jc w:val="both"/>
              <w:rPr>
                <w:rFonts w:eastAsia="Calibri"/>
                <w:sz w:val="20"/>
              </w:rPr>
            </w:pPr>
            <w:r w:rsidRPr="005143FF">
              <w:rPr>
                <w:rFonts w:eastAsia="Calibri"/>
                <w:sz w:val="20"/>
              </w:rPr>
              <w:t>Ontario Superior Court of Justice</w:t>
            </w:r>
          </w:p>
          <w:p w:rsidR="00D44DE6" w:rsidRPr="005143FF" w:rsidRDefault="00D44DE6" w:rsidP="00C3673D">
            <w:pPr>
              <w:jc w:val="both"/>
              <w:rPr>
                <w:rFonts w:eastAsia="Calibri"/>
                <w:sz w:val="20"/>
              </w:rPr>
            </w:pPr>
            <w:r w:rsidRPr="005143FF">
              <w:rPr>
                <w:rFonts w:eastAsia="Calibri"/>
                <w:sz w:val="20"/>
              </w:rPr>
              <w:t>(Belobaba J.)</w:t>
            </w:r>
          </w:p>
          <w:p w:rsidR="00D44DE6" w:rsidRPr="005143FF" w:rsidRDefault="00D44DE6" w:rsidP="00C3673D">
            <w:pPr>
              <w:jc w:val="both"/>
              <w:rPr>
                <w:rFonts w:eastAsia="Calibri"/>
                <w:sz w:val="20"/>
              </w:rPr>
            </w:pPr>
            <w:r w:rsidRPr="005143FF">
              <w:rPr>
                <w:rFonts w:eastAsia="Calibri"/>
                <w:sz w:val="20"/>
              </w:rPr>
              <w:t>2012 ONSC 2304; CV-08-352327;</w:t>
            </w:r>
          </w:p>
          <w:p w:rsidR="00D44DE6" w:rsidRPr="005143FF" w:rsidRDefault="00D44DE6" w:rsidP="00C3673D">
            <w:pPr>
              <w:jc w:val="both"/>
              <w:rPr>
                <w:rFonts w:eastAsia="Calibri"/>
                <w:sz w:val="20"/>
              </w:rPr>
            </w:pPr>
            <w:r w:rsidRPr="005143FF">
              <w:rPr>
                <w:rFonts w:eastAsia="Calibri"/>
                <w:sz w:val="20"/>
              </w:rPr>
              <w:t>CV-08-356748</w:t>
            </w:r>
          </w:p>
          <w:p w:rsidR="00D44DE6" w:rsidRPr="005143FF" w:rsidRDefault="00D44DE6" w:rsidP="00C3673D">
            <w:pPr>
              <w:jc w:val="both"/>
              <w:rPr>
                <w:rFonts w:eastAsia="Calibri"/>
                <w:sz w:val="20"/>
              </w:rPr>
            </w:pPr>
          </w:p>
        </w:tc>
        <w:tc>
          <w:tcPr>
            <w:tcW w:w="243" w:type="pct"/>
          </w:tcPr>
          <w:p w:rsidR="00D44DE6" w:rsidRPr="005143FF" w:rsidRDefault="00D44DE6" w:rsidP="00C3673D">
            <w:pPr>
              <w:jc w:val="both"/>
              <w:rPr>
                <w:rFonts w:eastAsia="Calibri"/>
                <w:sz w:val="20"/>
              </w:rPr>
            </w:pPr>
          </w:p>
        </w:tc>
        <w:tc>
          <w:tcPr>
            <w:tcW w:w="2330" w:type="pct"/>
          </w:tcPr>
          <w:p w:rsidR="00D44DE6" w:rsidRPr="005143FF" w:rsidRDefault="00D44DE6" w:rsidP="00C3673D">
            <w:pPr>
              <w:jc w:val="both"/>
              <w:rPr>
                <w:rFonts w:eastAsia="Calibri"/>
                <w:sz w:val="20"/>
              </w:rPr>
            </w:pPr>
            <w:r w:rsidRPr="005143FF">
              <w:rPr>
                <w:rFonts w:eastAsia="Calibri"/>
                <w:sz w:val="20"/>
              </w:rPr>
              <w:t>Respondents’ motion for summary judgment granted; Applicants’ actions dismissed</w:t>
            </w:r>
          </w:p>
          <w:p w:rsidR="00D44DE6" w:rsidRPr="005143FF" w:rsidRDefault="00D44DE6" w:rsidP="00C3673D">
            <w:pPr>
              <w:jc w:val="both"/>
              <w:rPr>
                <w:rFonts w:eastAsia="Calibri"/>
                <w:sz w:val="20"/>
              </w:rPr>
            </w:pPr>
          </w:p>
        </w:tc>
      </w:tr>
      <w:tr w:rsidR="00D44DE6" w:rsidRPr="005143FF" w:rsidTr="00912980">
        <w:trPr>
          <w:cantSplit/>
        </w:trPr>
        <w:tc>
          <w:tcPr>
            <w:tcW w:w="2427" w:type="pct"/>
          </w:tcPr>
          <w:p w:rsidR="00D44DE6" w:rsidRPr="005143FF" w:rsidRDefault="00D44DE6" w:rsidP="00C3673D">
            <w:pPr>
              <w:jc w:val="both"/>
              <w:rPr>
                <w:rFonts w:eastAsia="Calibri"/>
                <w:sz w:val="20"/>
              </w:rPr>
            </w:pPr>
            <w:r w:rsidRPr="005143FF">
              <w:rPr>
                <w:rFonts w:eastAsia="Calibri"/>
                <w:sz w:val="20"/>
              </w:rPr>
              <w:lastRenderedPageBreak/>
              <w:t>February 26, 2013</w:t>
            </w:r>
          </w:p>
          <w:p w:rsidR="00D44DE6" w:rsidRPr="005143FF" w:rsidRDefault="00D44DE6" w:rsidP="00C3673D">
            <w:pPr>
              <w:jc w:val="both"/>
              <w:rPr>
                <w:rFonts w:eastAsia="Calibri"/>
                <w:sz w:val="20"/>
              </w:rPr>
            </w:pPr>
            <w:r w:rsidRPr="005143FF">
              <w:rPr>
                <w:rFonts w:eastAsia="Calibri"/>
                <w:sz w:val="20"/>
              </w:rPr>
              <w:t>Court of Appeal for Ontario</w:t>
            </w:r>
          </w:p>
          <w:p w:rsidR="00D44DE6" w:rsidRPr="005143FF" w:rsidRDefault="00D44DE6" w:rsidP="00C3673D">
            <w:pPr>
              <w:jc w:val="both"/>
              <w:rPr>
                <w:rFonts w:eastAsia="Calibri"/>
                <w:sz w:val="20"/>
              </w:rPr>
            </w:pPr>
            <w:r w:rsidRPr="005143FF">
              <w:rPr>
                <w:rFonts w:eastAsia="Calibri"/>
                <w:sz w:val="20"/>
              </w:rPr>
              <w:t>(Simmons, Armstrong and Watt JJ.A.)</w:t>
            </w:r>
          </w:p>
          <w:p w:rsidR="00D44DE6" w:rsidRPr="005143FF" w:rsidRDefault="00D44DE6" w:rsidP="00C3673D">
            <w:pPr>
              <w:jc w:val="both"/>
              <w:rPr>
                <w:rFonts w:eastAsia="Calibri"/>
                <w:sz w:val="20"/>
              </w:rPr>
            </w:pPr>
            <w:r w:rsidRPr="005143FF">
              <w:rPr>
                <w:rFonts w:eastAsia="Calibri"/>
                <w:sz w:val="20"/>
              </w:rPr>
              <w:t>2013 ONCA 121; C55521 &amp; C55527</w:t>
            </w:r>
          </w:p>
          <w:p w:rsidR="00D44DE6" w:rsidRPr="005143FF" w:rsidRDefault="00D44DE6" w:rsidP="00C3673D">
            <w:pPr>
              <w:jc w:val="both"/>
              <w:rPr>
                <w:rFonts w:eastAsia="Calibri"/>
                <w:sz w:val="20"/>
              </w:rPr>
            </w:pPr>
          </w:p>
        </w:tc>
        <w:tc>
          <w:tcPr>
            <w:tcW w:w="243" w:type="pct"/>
          </w:tcPr>
          <w:p w:rsidR="00D44DE6" w:rsidRPr="005143FF" w:rsidRDefault="00D44DE6" w:rsidP="00C3673D">
            <w:pPr>
              <w:jc w:val="both"/>
              <w:rPr>
                <w:rFonts w:eastAsia="Calibri"/>
                <w:sz w:val="20"/>
              </w:rPr>
            </w:pPr>
          </w:p>
        </w:tc>
        <w:tc>
          <w:tcPr>
            <w:tcW w:w="2330" w:type="pct"/>
          </w:tcPr>
          <w:p w:rsidR="00D44DE6" w:rsidRPr="005143FF" w:rsidRDefault="00D44DE6" w:rsidP="00C3673D">
            <w:pPr>
              <w:jc w:val="both"/>
              <w:rPr>
                <w:rFonts w:eastAsia="Calibri"/>
                <w:sz w:val="20"/>
              </w:rPr>
            </w:pPr>
            <w:r w:rsidRPr="005143FF">
              <w:rPr>
                <w:rFonts w:eastAsia="Calibri"/>
                <w:sz w:val="20"/>
              </w:rPr>
              <w:t>Appeals dismissed</w:t>
            </w:r>
          </w:p>
          <w:p w:rsidR="00D44DE6" w:rsidRPr="005143FF" w:rsidRDefault="00D44DE6" w:rsidP="00C3673D">
            <w:pPr>
              <w:jc w:val="both"/>
              <w:rPr>
                <w:rFonts w:eastAsia="Calibri"/>
                <w:sz w:val="20"/>
              </w:rPr>
            </w:pPr>
          </w:p>
        </w:tc>
      </w:tr>
      <w:tr w:rsidR="00D44DE6" w:rsidRPr="005143FF" w:rsidTr="00912980">
        <w:trPr>
          <w:cantSplit/>
        </w:trPr>
        <w:tc>
          <w:tcPr>
            <w:tcW w:w="2427" w:type="pct"/>
          </w:tcPr>
          <w:p w:rsidR="00D44DE6" w:rsidRPr="005143FF" w:rsidRDefault="00D44DE6" w:rsidP="00C3673D">
            <w:pPr>
              <w:jc w:val="both"/>
              <w:rPr>
                <w:rFonts w:eastAsia="Calibri"/>
                <w:sz w:val="20"/>
              </w:rPr>
            </w:pPr>
            <w:r w:rsidRPr="005143FF">
              <w:rPr>
                <w:rFonts w:eastAsia="Calibri"/>
                <w:sz w:val="20"/>
              </w:rPr>
              <w:t>April 29, 2013</w:t>
            </w:r>
          </w:p>
          <w:p w:rsidR="00D44DE6" w:rsidRPr="005143FF" w:rsidRDefault="00D44DE6" w:rsidP="00C3673D">
            <w:pPr>
              <w:jc w:val="both"/>
              <w:rPr>
                <w:rFonts w:eastAsia="Calibri"/>
                <w:sz w:val="20"/>
              </w:rPr>
            </w:pPr>
            <w:r w:rsidRPr="005143FF">
              <w:rPr>
                <w:rFonts w:eastAsia="Calibri"/>
                <w:sz w:val="20"/>
              </w:rPr>
              <w:t>Supreme Court of Canada</w:t>
            </w:r>
          </w:p>
        </w:tc>
        <w:tc>
          <w:tcPr>
            <w:tcW w:w="243" w:type="pct"/>
          </w:tcPr>
          <w:p w:rsidR="00D44DE6" w:rsidRPr="005143FF" w:rsidRDefault="00D44DE6" w:rsidP="00C3673D">
            <w:pPr>
              <w:jc w:val="both"/>
              <w:rPr>
                <w:rFonts w:eastAsia="Calibri"/>
                <w:sz w:val="20"/>
              </w:rPr>
            </w:pPr>
          </w:p>
        </w:tc>
        <w:tc>
          <w:tcPr>
            <w:tcW w:w="2330" w:type="pct"/>
          </w:tcPr>
          <w:p w:rsidR="00D44DE6" w:rsidRPr="005143FF" w:rsidRDefault="00D44DE6" w:rsidP="00C3673D">
            <w:pPr>
              <w:jc w:val="both"/>
              <w:rPr>
                <w:rFonts w:eastAsia="Calibri"/>
                <w:sz w:val="20"/>
              </w:rPr>
            </w:pPr>
            <w:r w:rsidRPr="005143FF">
              <w:rPr>
                <w:rFonts w:eastAsia="Calibri"/>
                <w:sz w:val="20"/>
              </w:rPr>
              <w:t>Applications for leave to appeal filed</w:t>
            </w:r>
          </w:p>
          <w:p w:rsidR="00D44DE6" w:rsidRPr="005143FF" w:rsidRDefault="00D44DE6" w:rsidP="00C3673D">
            <w:pPr>
              <w:jc w:val="both"/>
              <w:rPr>
                <w:rFonts w:eastAsia="Calibri"/>
                <w:sz w:val="20"/>
              </w:rPr>
            </w:pP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81" style="width:2in;height:1pt" o:hrpct="0" o:hralign="center" o:hrstd="t" o:hrnoshade="t" o:hr="t" fillcolor="black [3213]" stroked="f"/>
        </w:pict>
      </w:r>
    </w:p>
    <w:p w:rsidR="00332827" w:rsidRDefault="00332827" w:rsidP="00332827">
      <w:pPr>
        <w:rPr>
          <w:sz w:val="20"/>
          <w:szCs w:val="20"/>
        </w:rPr>
      </w:pPr>
    </w:p>
    <w:p w:rsidR="00332827" w:rsidRPr="001B157C" w:rsidRDefault="00332827" w:rsidP="00332827">
      <w:pPr>
        <w:rPr>
          <w:sz w:val="20"/>
          <w:szCs w:val="20"/>
          <w:u w:val="single"/>
          <w:lang w:val="fr-CA"/>
        </w:rPr>
      </w:pPr>
      <w:r w:rsidRPr="001B157C">
        <w:rPr>
          <w:sz w:val="20"/>
          <w:szCs w:val="20"/>
          <w:u w:val="single"/>
          <w:lang w:val="fr-CA"/>
        </w:rPr>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B86261"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Enrichissement injustifié – Jugement sommaire – Le juge saisi d’une requête en jugement sommaire peut</w:t>
            </w:r>
            <w:r w:rsidRPr="005143FF">
              <w:rPr>
                <w:rFonts w:eastAsia="Calibri"/>
                <w:sz w:val="20"/>
                <w:lang w:val="fr-CA"/>
              </w:rPr>
              <w:noBreakHyphen/>
              <w:t>il statuer sur le bien</w:t>
            </w:r>
            <w:r w:rsidRPr="005143FF">
              <w:rPr>
                <w:rFonts w:eastAsia="Calibri"/>
                <w:sz w:val="20"/>
                <w:lang w:val="fr-CA"/>
              </w:rPr>
              <w:noBreakHyphen/>
              <w:t>fondé de la réclamation compte tenu du double ou triple ouï</w:t>
            </w:r>
            <w:r w:rsidRPr="005143FF">
              <w:rPr>
                <w:rFonts w:eastAsia="Calibri"/>
                <w:sz w:val="20"/>
                <w:lang w:val="fr-CA"/>
              </w:rPr>
              <w:noBreakHyphen/>
              <w:t>dire ou faut</w:t>
            </w:r>
            <w:r w:rsidRPr="005143FF">
              <w:rPr>
                <w:rFonts w:eastAsia="Calibri"/>
                <w:sz w:val="20"/>
                <w:lang w:val="fr-CA"/>
              </w:rPr>
              <w:noBreakHyphen/>
              <w:t>il instruire l’action en raison de la nécessité d’entendre les témoins? – Les casinos financés par l’État ont</w:t>
            </w:r>
            <w:r w:rsidRPr="005143FF">
              <w:rPr>
                <w:rFonts w:eastAsia="Calibri"/>
                <w:sz w:val="20"/>
                <w:lang w:val="fr-CA"/>
              </w:rPr>
              <w:noBreakHyphen/>
              <w:t>ils le droit de fixer à leur gré les [</w:t>
            </w:r>
            <w:r w:rsidRPr="005143FF">
              <w:rPr>
                <w:rFonts w:eastAsia="Calibri"/>
                <w:smallCaps/>
                <w:sz w:val="20"/>
                <w:lang w:val="fr-CA"/>
              </w:rPr>
              <w:t>traduction</w:t>
            </w:r>
            <w:r w:rsidRPr="005143FF">
              <w:rPr>
                <w:rFonts w:eastAsia="Calibri"/>
                <w:sz w:val="20"/>
                <w:lang w:val="fr-CA"/>
              </w:rPr>
              <w:t xml:space="preserve">] « règles du jeu » pour continuer de se prévaloir de la protection offerte à l’art. 207 du </w:t>
            </w:r>
            <w:r w:rsidRPr="005143FF">
              <w:rPr>
                <w:rFonts w:eastAsia="Calibri"/>
                <w:i/>
                <w:sz w:val="20"/>
                <w:lang w:val="fr-CA"/>
              </w:rPr>
              <w:t xml:space="preserve">Code criminel </w:t>
            </w:r>
            <w:r w:rsidRPr="005143FF">
              <w:rPr>
                <w:rFonts w:eastAsia="Calibri"/>
                <w:sz w:val="20"/>
                <w:lang w:val="fr-CA"/>
              </w:rPr>
              <w:t xml:space="preserve">contre les poursuites criminelles? – Quels sont les facteurs dont doivent tenir compte les tribunaux lorsqu’ils analysent le troisième élément du critère d’enrichissement injustifié établi par la Cour suprême du Canada dans </w:t>
            </w:r>
            <w:r w:rsidRPr="005143FF">
              <w:rPr>
                <w:rFonts w:eastAsia="Calibri"/>
                <w:i/>
                <w:sz w:val="20"/>
                <w:lang w:val="fr-CA"/>
              </w:rPr>
              <w:t>Garland c. Consumers Gas</w:t>
            </w:r>
            <w:r w:rsidRPr="005143FF">
              <w:rPr>
                <w:rFonts w:eastAsia="Calibri"/>
                <w:sz w:val="20"/>
                <w:lang w:val="fr-CA"/>
              </w:rPr>
              <w:t xml:space="preserve">? </w:t>
            </w:r>
          </w:p>
        </w:tc>
      </w:tr>
      <w:tr w:rsidR="0007151E" w:rsidRPr="00B86261" w:rsidTr="00C3673D">
        <w:tc>
          <w:tcPr>
            <w:tcW w:w="5000" w:type="pct"/>
            <w:gridSpan w:val="3"/>
          </w:tcPr>
          <w:p w:rsidR="0007151E" w:rsidRPr="005143FF" w:rsidRDefault="0007151E" w:rsidP="00C3673D">
            <w:pPr>
              <w:jc w:val="both"/>
              <w:rPr>
                <w:rFonts w:eastAsia="Calibri"/>
                <w:sz w:val="20"/>
                <w:lang w:val="fr-CA"/>
              </w:rPr>
            </w:pPr>
          </w:p>
        </w:tc>
      </w:tr>
      <w:tr w:rsidR="0007151E" w:rsidRPr="005143FF"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Les demandeurs sont de grands parieurs qui ont perdu environ 2,1 millions de dollars en jouant à la roulette au Niagara Fallsview Casino Resort pendant trois ans et demi.  Selon eux, les exploitants du  casino ont établi une [</w:t>
            </w:r>
            <w:r w:rsidRPr="005143FF">
              <w:rPr>
                <w:rFonts w:eastAsia="Calibri"/>
                <w:smallCaps/>
                <w:sz w:val="20"/>
                <w:lang w:val="fr-CA"/>
              </w:rPr>
              <w:t>traduction</w:t>
            </w:r>
            <w:r w:rsidRPr="005143FF">
              <w:rPr>
                <w:rFonts w:eastAsia="Calibri"/>
                <w:sz w:val="20"/>
                <w:lang w:val="fr-CA"/>
              </w:rPr>
              <w:t>] « règle de la bille flottante » qui permet aux croupiers d’enlever une « bille flottante » d’une roulette qui tourne et de déclarer [</w:t>
            </w:r>
            <w:r w:rsidRPr="005143FF">
              <w:rPr>
                <w:rFonts w:eastAsia="Calibri"/>
                <w:smallCaps/>
                <w:sz w:val="20"/>
                <w:lang w:val="fr-CA"/>
              </w:rPr>
              <w:t>traduction</w:t>
            </w:r>
            <w:r w:rsidRPr="005143FF">
              <w:rPr>
                <w:rFonts w:eastAsia="Calibri"/>
                <w:sz w:val="20"/>
                <w:lang w:val="fr-CA"/>
              </w:rPr>
              <w:t xml:space="preserve">] « partie annulée », ce qui met fin à la partie en question et annule toutes les mises.  Puisque les exploitants du casino n’ont pas fait approuver leur règle de la bille flottante par la Commission des alcools et des jeux de l’Ontario (« CAJO »), les demandeurs affirment que les parties de roulette qu’ils ont jouées au casino Fallsview ne répondaient pas aux conditions de l’exemption prévue au </w:t>
            </w:r>
            <w:r w:rsidRPr="005143FF">
              <w:rPr>
                <w:rFonts w:eastAsia="Calibri"/>
                <w:i/>
                <w:sz w:val="20"/>
                <w:lang w:val="fr-CA"/>
              </w:rPr>
              <w:t>Code criminel</w:t>
            </w:r>
            <w:r w:rsidRPr="005143FF">
              <w:rPr>
                <w:rFonts w:eastAsia="Calibri"/>
                <w:sz w:val="20"/>
                <w:lang w:val="fr-CA"/>
              </w:rPr>
              <w:t xml:space="preserve"> concernant l’interdiction des paris et qu’elles étaient donc illégales.  Par conséquent, les demandeurs ont intenté contre les exploitants du casino et la CAJO deux actions distinctes dans lesquelles ils leur réclament des dommages</w:t>
            </w:r>
            <w:r w:rsidRPr="005143FF">
              <w:rPr>
                <w:rFonts w:eastAsia="Calibri"/>
                <w:sz w:val="20"/>
                <w:lang w:val="fr-CA"/>
              </w:rPr>
              <w:noBreakHyphen/>
              <w:t>intérêts et le remboursement de leurs pertes en paris.  Dans la décision sur la requête en jugement sommaire rejetant les actions des demandeurs, il est conclu que les demandeurs n’auraient pas droit à une réparation en l’espèce même si les parties de roulette étaient illégales.  Le juge des requêtes a accordé une grande importance au fait que les mises avaient été remboursées aux demandeurs chaque fois que la règle de la bille flottante avait été appliquée.  Le juge des requêtes a donc rejeté les actions des demandeurs et rendu un jugement sommaire en faveur de la Société des loteries et des jeux de l’Ontario (« SLJO ») relativement aux deux actions intentées par cette dernière pour obtenir le remboursement du solde des prêts pour paris consentis à deux des demandeurs.  La Cour d’appel a rejeté les appels.</w:t>
            </w:r>
          </w:p>
          <w:p w:rsidR="0007151E" w:rsidRPr="005143FF" w:rsidRDefault="0007151E" w:rsidP="00C3673D">
            <w:pPr>
              <w:jc w:val="both"/>
              <w:rPr>
                <w:rFonts w:eastAsia="Calibri"/>
                <w:sz w:val="20"/>
                <w:lang w:val="fr-CA"/>
              </w:rPr>
            </w:pPr>
          </w:p>
        </w:tc>
      </w:tr>
      <w:tr w:rsidR="0007151E" w:rsidRPr="00B86261"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30 avril 2012</w:t>
            </w:r>
          </w:p>
          <w:p w:rsidR="0007151E" w:rsidRPr="005143FF" w:rsidRDefault="0007151E" w:rsidP="00C3673D">
            <w:pPr>
              <w:jc w:val="both"/>
              <w:rPr>
                <w:rFonts w:eastAsia="Calibri"/>
                <w:sz w:val="20"/>
                <w:lang w:val="fr-CA"/>
              </w:rPr>
            </w:pPr>
            <w:r w:rsidRPr="005143FF">
              <w:rPr>
                <w:rFonts w:eastAsia="Calibri"/>
                <w:sz w:val="20"/>
                <w:lang w:val="fr-CA"/>
              </w:rPr>
              <w:t>Cour supérieure de justice de l’Ontario</w:t>
            </w:r>
          </w:p>
          <w:p w:rsidR="0007151E" w:rsidRPr="005143FF" w:rsidRDefault="0007151E" w:rsidP="00C3673D">
            <w:pPr>
              <w:jc w:val="both"/>
              <w:rPr>
                <w:rFonts w:eastAsia="Calibri"/>
                <w:sz w:val="20"/>
              </w:rPr>
            </w:pPr>
            <w:r w:rsidRPr="005143FF">
              <w:rPr>
                <w:rFonts w:eastAsia="Calibri"/>
                <w:sz w:val="20"/>
              </w:rPr>
              <w:t>(Juge Belobaba)</w:t>
            </w:r>
          </w:p>
          <w:p w:rsidR="0007151E" w:rsidRPr="005143FF" w:rsidRDefault="0007151E" w:rsidP="00C3673D">
            <w:pPr>
              <w:jc w:val="both"/>
              <w:rPr>
                <w:rFonts w:eastAsia="Calibri"/>
                <w:sz w:val="20"/>
              </w:rPr>
            </w:pPr>
            <w:r w:rsidRPr="005143FF">
              <w:rPr>
                <w:rFonts w:eastAsia="Calibri"/>
                <w:sz w:val="20"/>
              </w:rPr>
              <w:t>2012 ONSC 2304; CV</w:t>
            </w:r>
            <w:r w:rsidRPr="005143FF">
              <w:rPr>
                <w:rFonts w:eastAsia="Calibri"/>
                <w:sz w:val="20"/>
              </w:rPr>
              <w:noBreakHyphen/>
              <w:t>08</w:t>
            </w:r>
            <w:r w:rsidRPr="005143FF">
              <w:rPr>
                <w:rFonts w:eastAsia="Calibri"/>
                <w:sz w:val="20"/>
              </w:rPr>
              <w:noBreakHyphen/>
              <w:t>352327;</w:t>
            </w:r>
          </w:p>
          <w:p w:rsidR="0007151E" w:rsidRPr="005143FF" w:rsidRDefault="0007151E" w:rsidP="00C3673D">
            <w:pPr>
              <w:jc w:val="both"/>
              <w:rPr>
                <w:rFonts w:eastAsia="Calibri"/>
                <w:sz w:val="20"/>
              </w:rPr>
            </w:pPr>
            <w:r w:rsidRPr="005143FF">
              <w:rPr>
                <w:rFonts w:eastAsia="Calibri"/>
                <w:sz w:val="20"/>
              </w:rPr>
              <w:t>CV</w:t>
            </w:r>
            <w:r w:rsidRPr="005143FF">
              <w:rPr>
                <w:rFonts w:eastAsia="Calibri"/>
                <w:sz w:val="20"/>
              </w:rPr>
              <w:noBreakHyphen/>
              <w:t>08</w:t>
            </w:r>
            <w:r w:rsidRPr="005143FF">
              <w:rPr>
                <w:rFonts w:eastAsia="Calibri"/>
                <w:sz w:val="20"/>
              </w:rPr>
              <w:noBreakHyphen/>
              <w:t>356748</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Requête des intimés en jugement sommaire accueillie; action des demandeurs rejetée</w:t>
            </w:r>
          </w:p>
          <w:p w:rsidR="0007151E" w:rsidRPr="005143FF" w:rsidRDefault="0007151E" w:rsidP="00C3673D">
            <w:pPr>
              <w:jc w:val="both"/>
              <w:rPr>
                <w:rFonts w:eastAsia="Calibri"/>
                <w:sz w:val="20"/>
                <w:lang w:val="fr-CA"/>
              </w:rPr>
            </w:pPr>
          </w:p>
        </w:tc>
      </w:tr>
      <w:tr w:rsidR="0007151E" w:rsidRPr="005143FF"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26 février 2013</w:t>
            </w:r>
          </w:p>
          <w:p w:rsidR="0007151E" w:rsidRPr="005143FF" w:rsidRDefault="0007151E" w:rsidP="00C3673D">
            <w:pPr>
              <w:jc w:val="both"/>
              <w:rPr>
                <w:rFonts w:eastAsia="Calibri"/>
                <w:sz w:val="20"/>
                <w:lang w:val="fr-CA"/>
              </w:rPr>
            </w:pPr>
            <w:r w:rsidRPr="005143FF">
              <w:rPr>
                <w:rFonts w:eastAsia="Calibri"/>
                <w:sz w:val="20"/>
                <w:lang w:val="fr-CA"/>
              </w:rPr>
              <w:t>Cour d’appel de l’Ontario</w:t>
            </w:r>
          </w:p>
          <w:p w:rsidR="0007151E" w:rsidRPr="005143FF" w:rsidRDefault="0007151E" w:rsidP="00C3673D">
            <w:pPr>
              <w:jc w:val="both"/>
              <w:rPr>
                <w:rFonts w:eastAsia="Calibri"/>
                <w:sz w:val="20"/>
                <w:lang w:val="fr-CA"/>
              </w:rPr>
            </w:pPr>
            <w:r w:rsidRPr="005143FF">
              <w:rPr>
                <w:rFonts w:eastAsia="Calibri"/>
                <w:sz w:val="20"/>
                <w:lang w:val="fr-CA"/>
              </w:rPr>
              <w:t>(Juges Simmons, Armstrong et Watt)</w:t>
            </w:r>
          </w:p>
          <w:p w:rsidR="0007151E" w:rsidRPr="005143FF" w:rsidRDefault="0007151E" w:rsidP="00912980">
            <w:pPr>
              <w:jc w:val="both"/>
              <w:rPr>
                <w:rFonts w:eastAsia="Calibri"/>
                <w:sz w:val="20"/>
              </w:rPr>
            </w:pPr>
            <w:r w:rsidRPr="005143FF">
              <w:rPr>
                <w:rFonts w:eastAsia="Calibri"/>
                <w:sz w:val="20"/>
              </w:rPr>
              <w:t>2013 ONCA 121; C55521 &amp; C55527</w:t>
            </w: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Appels rejetés</w:t>
            </w:r>
          </w:p>
          <w:p w:rsidR="0007151E" w:rsidRPr="005143FF" w:rsidRDefault="0007151E" w:rsidP="00C3673D">
            <w:pPr>
              <w:jc w:val="both"/>
              <w:rPr>
                <w:rFonts w:eastAsia="Calibri"/>
                <w:sz w:val="20"/>
              </w:rPr>
            </w:pPr>
          </w:p>
        </w:tc>
      </w:tr>
    </w:tbl>
    <w:p w:rsidR="00912980" w:rsidRDefault="00912980"/>
    <w:p w:rsidR="00912980" w:rsidRDefault="00912980">
      <w:r>
        <w:br w:type="page"/>
      </w: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912980">
        <w:trPr>
          <w:cantSplit/>
        </w:trPr>
        <w:tc>
          <w:tcPr>
            <w:tcW w:w="2427" w:type="pct"/>
          </w:tcPr>
          <w:p w:rsidR="0007151E" w:rsidRPr="005143FF" w:rsidRDefault="0007151E" w:rsidP="00C3673D">
            <w:pPr>
              <w:jc w:val="both"/>
              <w:rPr>
                <w:rFonts w:eastAsia="Calibri"/>
                <w:sz w:val="20"/>
                <w:lang w:val="fr-CA"/>
              </w:rPr>
            </w:pPr>
            <w:r w:rsidRPr="005143FF">
              <w:rPr>
                <w:rFonts w:eastAsia="Calibri"/>
                <w:sz w:val="20"/>
                <w:lang w:val="fr-CA"/>
              </w:rPr>
              <w:lastRenderedPageBreak/>
              <w:t>29 avril 2013</w:t>
            </w:r>
          </w:p>
          <w:p w:rsidR="0007151E" w:rsidRPr="005143FF" w:rsidRDefault="0007151E" w:rsidP="00C3673D">
            <w:pPr>
              <w:jc w:val="both"/>
              <w:rPr>
                <w:rFonts w:eastAsia="Calibri"/>
                <w:sz w:val="20"/>
                <w:lang w:val="fr-CA"/>
              </w:rPr>
            </w:pPr>
            <w:r w:rsidRPr="005143FF">
              <w:rPr>
                <w:rFonts w:eastAsia="Calibri"/>
                <w:sz w:val="20"/>
                <w:lang w:val="fr-CA"/>
              </w:rPr>
              <w:t>Cour suprême du Canada</w:t>
            </w: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rPr>
            </w:pPr>
            <w:r w:rsidRPr="005143FF">
              <w:rPr>
                <w:rFonts w:eastAsia="Calibri"/>
                <w:sz w:val="20"/>
              </w:rPr>
              <w:t xml:space="preserve">Demandes d’autorisation d’appel déposées </w:t>
            </w:r>
          </w:p>
          <w:p w:rsidR="0007151E" w:rsidRPr="005143FF" w:rsidRDefault="0007151E" w:rsidP="00C3673D">
            <w:pPr>
              <w:jc w:val="both"/>
              <w:rPr>
                <w:rFonts w:eastAsia="Calibri"/>
                <w:sz w:val="20"/>
              </w:rPr>
            </w:pPr>
          </w:p>
        </w:tc>
      </w:tr>
    </w:tbl>
    <w:p w:rsidR="00332827" w:rsidRDefault="00332827" w:rsidP="00332827">
      <w:pPr>
        <w:rPr>
          <w:sz w:val="20"/>
          <w:szCs w:val="20"/>
        </w:rPr>
      </w:pPr>
    </w:p>
    <w:p w:rsidR="00332827" w:rsidRDefault="005F2BA7" w:rsidP="00332827">
      <w:pPr>
        <w:rPr>
          <w:sz w:val="20"/>
          <w:szCs w:val="20"/>
        </w:rPr>
      </w:pPr>
      <w:r w:rsidRPr="005F2BA7">
        <w:rPr>
          <w:sz w:val="20"/>
          <w:szCs w:val="20"/>
          <w:lang w:val="fr-CA"/>
        </w:rPr>
        <w:pict>
          <v:rect id="_x0000_i1082" style="width:2in;height:1pt" o:hrpct="0" o:hralign="center" o:hrstd="t" o:hrnoshade="t" o:hr="t" fillcolor="black [3213]" stroked="f"/>
        </w:pict>
      </w:r>
    </w:p>
    <w:p w:rsidR="00332827" w:rsidRPr="00332827" w:rsidRDefault="00332827" w:rsidP="0033282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5457" w:rsidRPr="00070750" w:rsidTr="00C173EE">
        <w:trPr>
          <w:cantSplit/>
        </w:trPr>
        <w:tc>
          <w:tcPr>
            <w:tcW w:w="1458" w:type="dxa"/>
          </w:tcPr>
          <w:p w:rsidR="00575457" w:rsidRPr="009B1157" w:rsidRDefault="00575457" w:rsidP="00C173EE">
            <w:pPr>
              <w:rPr>
                <w:sz w:val="20"/>
                <w:szCs w:val="20"/>
              </w:rPr>
            </w:pPr>
            <w:r w:rsidRPr="009B1157">
              <w:rPr>
                <w:rStyle w:val="SCCFileNumberChar"/>
                <w:sz w:val="20"/>
                <w:szCs w:val="20"/>
              </w:rPr>
              <w:t>35353</w:t>
            </w:r>
          </w:p>
          <w:p w:rsidR="00575457" w:rsidRPr="009B1157" w:rsidRDefault="00575457" w:rsidP="00C173EE">
            <w:pPr>
              <w:rPr>
                <w:b/>
                <w:sz w:val="20"/>
                <w:szCs w:val="20"/>
                <w:lang w:val="fr-CA"/>
              </w:rPr>
            </w:pPr>
          </w:p>
        </w:tc>
        <w:tc>
          <w:tcPr>
            <w:tcW w:w="8118" w:type="dxa"/>
          </w:tcPr>
          <w:p w:rsidR="00575457" w:rsidRPr="00070750" w:rsidRDefault="00575457" w:rsidP="00C173EE">
            <w:pPr>
              <w:jc w:val="both"/>
              <w:rPr>
                <w:sz w:val="20"/>
                <w:szCs w:val="20"/>
                <w:lang w:val="fr-CA"/>
              </w:rPr>
            </w:pPr>
            <w:r w:rsidRPr="00575457">
              <w:rPr>
                <w:rStyle w:val="SCCLsocChar"/>
                <w:sz w:val="20"/>
                <w:szCs w:val="20"/>
              </w:rPr>
              <w:t>Canadian Artists</w:t>
            </w:r>
            <w:r w:rsidR="00070750">
              <w:rPr>
                <w:rStyle w:val="SCCLsocChar"/>
                <w:sz w:val="20"/>
                <w:szCs w:val="20"/>
              </w:rPr>
              <w:t>’</w:t>
            </w:r>
            <w:r w:rsidRPr="00575457">
              <w:rPr>
                <w:rStyle w:val="SCCLsocChar"/>
                <w:sz w:val="20"/>
                <w:szCs w:val="20"/>
              </w:rPr>
              <w:t xml:space="preserve"> Representation/Front des artistes canadiens</w:t>
            </w:r>
            <w:r w:rsidR="00070750">
              <w:rPr>
                <w:rStyle w:val="SCCLsocChar"/>
                <w:sz w:val="20"/>
                <w:szCs w:val="20"/>
              </w:rPr>
              <w:t xml:space="preserve"> and</w:t>
            </w:r>
            <w:r w:rsidRPr="00575457">
              <w:rPr>
                <w:rStyle w:val="SCCLsocChar"/>
                <w:sz w:val="20"/>
                <w:szCs w:val="20"/>
              </w:rPr>
              <w:t xml:space="preserve"> Regroupement des artistes en arts visuels du Québec v. National Gallery of Canada</w:t>
            </w:r>
            <w:r w:rsidRPr="00575457">
              <w:rPr>
                <w:sz w:val="20"/>
                <w:szCs w:val="20"/>
                <w:lang w:val="fr-CA"/>
              </w:rPr>
              <w:t xml:space="preserve"> (F.C.) </w:t>
            </w:r>
            <w:r w:rsidRPr="00070750">
              <w:rPr>
                <w:sz w:val="20"/>
                <w:szCs w:val="20"/>
                <w:lang w:val="fr-CA"/>
              </w:rPr>
              <w:t>(Civil) (By Leave)</w:t>
            </w:r>
          </w:p>
          <w:p w:rsidR="00575457" w:rsidRPr="00070750" w:rsidRDefault="00575457" w:rsidP="00C173EE">
            <w:pPr>
              <w:jc w:val="both"/>
              <w:rPr>
                <w:sz w:val="20"/>
                <w:szCs w:val="20"/>
                <w:lang w:val="fr-CA"/>
              </w:rPr>
            </w:pPr>
          </w:p>
        </w:tc>
      </w:tr>
      <w:tr w:rsidR="00575457" w:rsidRPr="009B1157" w:rsidTr="00C173EE">
        <w:trPr>
          <w:cantSplit/>
        </w:trPr>
        <w:tc>
          <w:tcPr>
            <w:tcW w:w="1458" w:type="dxa"/>
          </w:tcPr>
          <w:p w:rsidR="00575457" w:rsidRPr="009B1157" w:rsidRDefault="00575457" w:rsidP="00C173EE">
            <w:pPr>
              <w:rPr>
                <w:sz w:val="20"/>
                <w:szCs w:val="20"/>
              </w:rPr>
            </w:pPr>
            <w:r w:rsidRPr="009B1157">
              <w:rPr>
                <w:sz w:val="20"/>
                <w:szCs w:val="20"/>
              </w:rPr>
              <w:t>Coram :</w:t>
            </w:r>
          </w:p>
        </w:tc>
        <w:tc>
          <w:tcPr>
            <w:tcW w:w="8118" w:type="dxa"/>
          </w:tcPr>
          <w:p w:rsidR="00575457" w:rsidRPr="009B1157" w:rsidRDefault="00575457" w:rsidP="00C173EE">
            <w:pPr>
              <w:rPr>
                <w:sz w:val="20"/>
                <w:szCs w:val="20"/>
              </w:rPr>
            </w:pPr>
            <w:r w:rsidRPr="00575457">
              <w:rPr>
                <w:rStyle w:val="SCCCoramChar"/>
                <w:sz w:val="20"/>
                <w:szCs w:val="20"/>
                <w:lang w:val="en-CA"/>
              </w:rPr>
              <w:t>Fish, Rothstein and Moldaver JJ.</w:t>
            </w:r>
          </w:p>
          <w:p w:rsidR="00575457" w:rsidRPr="009B1157" w:rsidRDefault="00575457" w:rsidP="00C173EE">
            <w:pPr>
              <w:rPr>
                <w:sz w:val="20"/>
                <w:szCs w:val="20"/>
                <w:u w:val="single"/>
              </w:rPr>
            </w:pPr>
          </w:p>
        </w:tc>
      </w:tr>
      <w:tr w:rsidR="00575457" w:rsidRPr="00B86261" w:rsidTr="00C173EE">
        <w:trPr>
          <w:cantSplit/>
        </w:trPr>
        <w:tc>
          <w:tcPr>
            <w:tcW w:w="9576" w:type="dxa"/>
            <w:gridSpan w:val="2"/>
          </w:tcPr>
          <w:p w:rsidR="00575457" w:rsidRPr="009B1157" w:rsidRDefault="00575457" w:rsidP="00C173EE">
            <w:pPr>
              <w:pStyle w:val="SCCShortJudgment"/>
              <w:rPr>
                <w:szCs w:val="20"/>
              </w:rPr>
            </w:pPr>
            <w:r w:rsidRPr="009B1157">
              <w:rPr>
                <w:szCs w:val="20"/>
              </w:rPr>
              <w:t>The application for leave to appeal from the judgment of the Federal Court of Appeal, Number A-84-12, 2013 FCA 64, dated March 4, 2013, is granted with costs in the cause.</w:t>
            </w:r>
          </w:p>
          <w:p w:rsidR="00575457" w:rsidRPr="009B1157" w:rsidRDefault="00575457" w:rsidP="00C173EE">
            <w:pPr>
              <w:pStyle w:val="SCCShortJudgment"/>
              <w:ind w:firstLine="0"/>
              <w:rPr>
                <w:szCs w:val="20"/>
              </w:rPr>
            </w:pPr>
          </w:p>
          <w:p w:rsidR="00575457" w:rsidRPr="009B1157" w:rsidRDefault="00575457" w:rsidP="00C173EE">
            <w:pPr>
              <w:pStyle w:val="SCCShortJudgment"/>
              <w:rPr>
                <w:szCs w:val="20"/>
                <w:lang w:val="fr-CA"/>
              </w:rPr>
            </w:pPr>
            <w:r w:rsidRPr="009B1157">
              <w:rPr>
                <w:szCs w:val="20"/>
                <w:lang w:val="fr-CA"/>
              </w:rPr>
              <w:t>La demande d’autorisation d’appel de l’arrêt de la Cour d’appel fédérale, numéro A-84-12, 2013 CAF 64, daté du 4 mars 2013, est accueillie avec dépens suivant l’issue de la cause.</w:t>
            </w:r>
          </w:p>
        </w:tc>
      </w:tr>
    </w:tbl>
    <w:p w:rsidR="00332827" w:rsidRPr="0016547E" w:rsidRDefault="00332827" w:rsidP="00332827">
      <w:pPr>
        <w:rPr>
          <w:sz w:val="20"/>
          <w:szCs w:val="20"/>
          <w:lang w:val="fr-CA"/>
        </w:rPr>
      </w:pPr>
    </w:p>
    <w:p w:rsidR="00332827" w:rsidRPr="001B157C" w:rsidRDefault="00332827" w:rsidP="00332827">
      <w:pPr>
        <w:rPr>
          <w:sz w:val="20"/>
          <w:szCs w:val="20"/>
          <w:u w:val="single"/>
        </w:rPr>
      </w:pPr>
      <w:r w:rsidRPr="001B157C">
        <w:rPr>
          <w:sz w:val="20"/>
          <w:szCs w:val="20"/>
          <w:u w:val="single"/>
        </w:rPr>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C3673D">
        <w:tc>
          <w:tcPr>
            <w:tcW w:w="5000" w:type="pct"/>
            <w:gridSpan w:val="3"/>
          </w:tcPr>
          <w:p w:rsidR="0007151E" w:rsidRPr="005143FF" w:rsidRDefault="0007151E" w:rsidP="00C3673D">
            <w:pPr>
              <w:jc w:val="both"/>
              <w:rPr>
                <w:rFonts w:eastAsia="Calibri"/>
                <w:sz w:val="20"/>
              </w:rPr>
            </w:pPr>
            <w:r w:rsidRPr="005143FF">
              <w:rPr>
                <w:rFonts w:eastAsia="Calibri"/>
                <w:sz w:val="20"/>
              </w:rPr>
              <w:t xml:space="preserve">Labour relations – Collective bargaining – Duty to bargain in good faith – Administrative law – Judicial review – Copyright – Canadian Artists and Producers Professional Relations Tribunal finding that National Gallery failed to bargain in good faith when it reversed its bargaining position and refused to negotiate minimum fees for right to use existing works – Whether </w:t>
            </w:r>
            <w:r w:rsidRPr="005143FF">
              <w:rPr>
                <w:rFonts w:eastAsia="Calibri"/>
                <w:i/>
                <w:sz w:val="20"/>
              </w:rPr>
              <w:t>Copyright Act</w:t>
            </w:r>
            <w:r w:rsidRPr="005143FF">
              <w:rPr>
                <w:rFonts w:eastAsia="Calibri"/>
                <w:sz w:val="20"/>
              </w:rPr>
              <w:t xml:space="preserve"> precludes artists’ associations from bargaining minimum fees in scale agreements, pursuant to </w:t>
            </w:r>
            <w:r w:rsidRPr="005143FF">
              <w:rPr>
                <w:rFonts w:eastAsia="Calibri"/>
                <w:i/>
                <w:sz w:val="20"/>
              </w:rPr>
              <w:t>Status of the Artist Act</w:t>
            </w:r>
            <w:r w:rsidRPr="005143FF">
              <w:rPr>
                <w:rFonts w:eastAsia="Calibri"/>
                <w:sz w:val="20"/>
              </w:rPr>
              <w:t xml:space="preserve">, for pre-existing works – Whether appellate court can set aside labour tribunal’s finding that party breached its duty to bargain in good faith solely on basis that tribunal misinterpreted legislative scope of collective bargaining – </w:t>
            </w:r>
            <w:r w:rsidRPr="005143FF">
              <w:rPr>
                <w:rFonts w:eastAsia="Calibri"/>
                <w:i/>
                <w:sz w:val="20"/>
              </w:rPr>
              <w:t>Status of the Artist Act</w:t>
            </w:r>
            <w:r w:rsidRPr="005143FF">
              <w:rPr>
                <w:rFonts w:eastAsia="Calibri"/>
                <w:sz w:val="20"/>
              </w:rPr>
              <w:t xml:space="preserve">, S.C. 1992, c. 33 – </w:t>
            </w:r>
            <w:r w:rsidRPr="005143FF">
              <w:rPr>
                <w:rFonts w:eastAsia="Calibri"/>
                <w:i/>
                <w:sz w:val="20"/>
              </w:rPr>
              <w:t>Copyright Act</w:t>
            </w:r>
            <w:r w:rsidRPr="005143FF">
              <w:rPr>
                <w:rFonts w:eastAsia="Calibri"/>
                <w:sz w:val="20"/>
              </w:rPr>
              <w:t>, R.S.C. 1985, c. C-42.</w:t>
            </w:r>
          </w:p>
        </w:tc>
      </w:tr>
      <w:tr w:rsidR="0007151E" w:rsidRPr="005143FF" w:rsidTr="00C3673D">
        <w:tc>
          <w:tcPr>
            <w:tcW w:w="5000" w:type="pct"/>
            <w:gridSpan w:val="3"/>
          </w:tcPr>
          <w:p w:rsidR="0007151E" w:rsidRPr="005143FF" w:rsidRDefault="0007151E" w:rsidP="00C3673D">
            <w:pPr>
              <w:jc w:val="both"/>
              <w:rPr>
                <w:rFonts w:eastAsia="Calibri"/>
                <w:sz w:val="20"/>
              </w:rPr>
            </w:pPr>
          </w:p>
        </w:tc>
      </w:tr>
      <w:tr w:rsidR="0007151E" w:rsidRPr="005143FF" w:rsidTr="00C3673D">
        <w:tc>
          <w:tcPr>
            <w:tcW w:w="5000" w:type="pct"/>
            <w:gridSpan w:val="3"/>
          </w:tcPr>
          <w:p w:rsidR="0007151E" w:rsidRPr="005143FF" w:rsidRDefault="0007151E" w:rsidP="00C3673D">
            <w:pPr>
              <w:jc w:val="both"/>
              <w:rPr>
                <w:rFonts w:eastAsia="Calibri"/>
                <w:sz w:val="20"/>
              </w:rPr>
            </w:pPr>
            <w:r w:rsidRPr="005143FF">
              <w:rPr>
                <w:rFonts w:eastAsia="Calibri"/>
                <w:sz w:val="20"/>
              </w:rPr>
              <w:t xml:space="preserve">The Canadian Artists and Producers Professional Relations Tribunal certified the applicants as the representative organizations for visual artists in Canada.  In 2003, the applicants began negotiating with the National Gallery, and those negotiations covered the issue of minimum fees for the use of existing works.  In 2007 the National Gallery was provided with a legal opinion whose ultimate conclusion was that it could legitimately refuse to discuss copyright issues with the applicants.  It later presented a revised draft scale agreement to the applicants in which all references to the minimum fees for the use of existing works had been removed.  </w:t>
            </w:r>
          </w:p>
          <w:p w:rsidR="0007151E" w:rsidRPr="005143FF" w:rsidRDefault="0007151E" w:rsidP="00C3673D">
            <w:pPr>
              <w:jc w:val="both"/>
              <w:rPr>
                <w:rFonts w:eastAsia="Calibri"/>
                <w:sz w:val="20"/>
              </w:rPr>
            </w:pPr>
          </w:p>
          <w:p w:rsidR="0007151E" w:rsidRPr="005143FF" w:rsidRDefault="0007151E" w:rsidP="00C3673D">
            <w:pPr>
              <w:jc w:val="both"/>
              <w:rPr>
                <w:rFonts w:eastAsia="Calibri"/>
                <w:sz w:val="20"/>
              </w:rPr>
            </w:pPr>
            <w:r w:rsidRPr="005143FF">
              <w:rPr>
                <w:rFonts w:eastAsia="Calibri"/>
                <w:sz w:val="20"/>
              </w:rPr>
              <w:t>The applicants filed a complaint with the Tribunal, which found that the National Gallery failed to bargain in good faith when it reversed its bargaining position and refused to bargain minimum fees for the right to use existing works with the applicants after having done so for many months.  The Federal Court of Appeal, in a majority judgment, allowed the National Gallery’s application for judicial review and set aside the Tribunal’s decision.</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March 4, 2013</w:t>
            </w:r>
          </w:p>
          <w:p w:rsidR="0007151E" w:rsidRPr="005143FF" w:rsidRDefault="0007151E" w:rsidP="00C3673D">
            <w:pPr>
              <w:jc w:val="both"/>
              <w:rPr>
                <w:rFonts w:eastAsia="Calibri"/>
                <w:sz w:val="20"/>
              </w:rPr>
            </w:pPr>
            <w:r w:rsidRPr="005143FF">
              <w:rPr>
                <w:rFonts w:eastAsia="Calibri"/>
                <w:sz w:val="20"/>
              </w:rPr>
              <w:t>Federal Court of Appeal</w:t>
            </w:r>
          </w:p>
          <w:p w:rsidR="0007151E" w:rsidRPr="005143FF" w:rsidRDefault="0007151E" w:rsidP="00C3673D">
            <w:pPr>
              <w:jc w:val="both"/>
              <w:rPr>
                <w:rFonts w:eastAsia="Calibri"/>
                <w:sz w:val="20"/>
              </w:rPr>
            </w:pPr>
            <w:r w:rsidRPr="005143FF">
              <w:rPr>
                <w:rFonts w:eastAsia="Calibri"/>
                <w:sz w:val="20"/>
              </w:rPr>
              <w:t>(Noël, Pelletier (dissenting) and Trudel JJ.A.)</w:t>
            </w:r>
          </w:p>
          <w:p w:rsidR="0007151E" w:rsidRPr="005143FF" w:rsidRDefault="0007151E" w:rsidP="00C3673D">
            <w:pPr>
              <w:jc w:val="both"/>
              <w:rPr>
                <w:rFonts w:eastAsia="Calibri"/>
                <w:sz w:val="20"/>
              </w:rPr>
            </w:pPr>
            <w:r w:rsidRPr="005143FF">
              <w:rPr>
                <w:rFonts w:eastAsia="Calibri"/>
                <w:sz w:val="20"/>
              </w:rPr>
              <w:t>2013 FCA 64</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Application for judicial review allowed</w:t>
            </w: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May 3, 2013</w:t>
            </w:r>
          </w:p>
          <w:p w:rsidR="0007151E" w:rsidRPr="005143FF" w:rsidRDefault="0007151E" w:rsidP="00C3673D">
            <w:pPr>
              <w:jc w:val="both"/>
              <w:rPr>
                <w:rFonts w:eastAsia="Calibri"/>
                <w:sz w:val="20"/>
              </w:rPr>
            </w:pPr>
            <w:r w:rsidRPr="005143FF">
              <w:rPr>
                <w:rFonts w:eastAsia="Calibri"/>
                <w:sz w:val="20"/>
              </w:rPr>
              <w:t>Supreme Court of Canada</w:t>
            </w: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Application for leave to appeal filed</w:t>
            </w:r>
          </w:p>
          <w:p w:rsidR="0007151E" w:rsidRPr="005143FF" w:rsidRDefault="0007151E" w:rsidP="00C3673D">
            <w:pPr>
              <w:jc w:val="both"/>
              <w:rPr>
                <w:rFonts w:eastAsia="Calibri"/>
                <w:sz w:val="20"/>
              </w:rPr>
            </w:pP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83" style="width:2in;height:1pt" o:hrpct="0" o:hralign="center" o:hrstd="t" o:hrnoshade="t" o:hr="t" fillcolor="black [3213]" stroked="f"/>
        </w:pict>
      </w:r>
    </w:p>
    <w:p w:rsidR="00332827" w:rsidRDefault="00332827" w:rsidP="00332827">
      <w:pPr>
        <w:rPr>
          <w:sz w:val="20"/>
          <w:szCs w:val="20"/>
        </w:rPr>
      </w:pPr>
    </w:p>
    <w:p w:rsidR="00912980" w:rsidRDefault="00912980">
      <w:pPr>
        <w:rPr>
          <w:sz w:val="20"/>
          <w:szCs w:val="20"/>
          <w:u w:val="single"/>
          <w:lang w:val="fr-CA"/>
        </w:rPr>
      </w:pPr>
      <w:r>
        <w:rPr>
          <w:sz w:val="20"/>
          <w:szCs w:val="20"/>
          <w:u w:val="single"/>
          <w:lang w:val="fr-CA"/>
        </w:rPr>
        <w:br w:type="page"/>
      </w:r>
    </w:p>
    <w:p w:rsidR="00332827" w:rsidRPr="001B157C" w:rsidRDefault="00332827" w:rsidP="00332827">
      <w:pPr>
        <w:rPr>
          <w:sz w:val="20"/>
          <w:szCs w:val="20"/>
          <w:u w:val="single"/>
          <w:lang w:val="fr-CA"/>
        </w:rPr>
      </w:pPr>
      <w:r w:rsidRPr="001B157C">
        <w:rPr>
          <w:sz w:val="20"/>
          <w:szCs w:val="20"/>
          <w:u w:val="single"/>
          <w:lang w:val="fr-CA"/>
        </w:rPr>
        <w:lastRenderedPageBreak/>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 xml:space="preserve">Relations du travail – Négociations collectives – Obligation de négocier de bonne foi – Droit administratif – Contrôle judiciaire – Droit d’auteur – Conclusion du </w:t>
            </w:r>
            <w:r w:rsidRPr="005143FF">
              <w:rPr>
                <w:rFonts w:eastAsia="Calibri"/>
                <w:color w:val="000000"/>
                <w:sz w:val="20"/>
                <w:lang w:val="fr-CA"/>
              </w:rPr>
              <w:t xml:space="preserve">Tribunal canadien des relations professionnelles artistes-producteurs que le Musée des Beaux-Arts n’a pas négocié de bonne foi lorsqu’il est revenu sur sa </w:t>
            </w:r>
            <w:r w:rsidRPr="005143FF">
              <w:rPr>
                <w:rFonts w:eastAsia="Calibri"/>
                <w:sz w:val="20"/>
                <w:lang w:val="fr-CA"/>
              </w:rPr>
              <w:t xml:space="preserve">position de négociation et a refusé de négocier les tarifs minimums pour l’utilisation d’œuvres existantes – La </w:t>
            </w:r>
            <w:r w:rsidRPr="005143FF">
              <w:rPr>
                <w:rFonts w:eastAsia="Calibri"/>
                <w:i/>
                <w:sz w:val="20"/>
                <w:lang w:val="fr-CA"/>
              </w:rPr>
              <w:t>Loi sur le droit d’auteur</w:t>
            </w:r>
            <w:r w:rsidRPr="005143FF">
              <w:rPr>
                <w:rFonts w:eastAsia="Calibri"/>
                <w:sz w:val="20"/>
                <w:lang w:val="fr-CA"/>
              </w:rPr>
              <w:t xml:space="preserve"> empêche-t-elle les associations d’artistes de négocier les tarifs minimums fixés dans les accords-cadres en application de la </w:t>
            </w:r>
            <w:r w:rsidRPr="005143FF">
              <w:rPr>
                <w:rFonts w:eastAsia="Calibri"/>
                <w:i/>
                <w:sz w:val="20"/>
                <w:lang w:val="fr-CA"/>
              </w:rPr>
              <w:t>Loi sur le statut de l’artiste</w:t>
            </w:r>
            <w:r w:rsidRPr="005143FF">
              <w:rPr>
                <w:rFonts w:eastAsia="Calibri"/>
                <w:sz w:val="20"/>
                <w:lang w:val="fr-CA"/>
              </w:rPr>
              <w:t xml:space="preserve"> pour l’utilisation d’œuvres préexistantes? – Une cour d’appel peut-elle annuler la conclusion du tribunal du travail qu’une partie a manqué à son obligation de négocier de bonne foi uniquement pour le motif que le tribunal a mal interprété la portée légale de la négociation collective? – </w:t>
            </w:r>
            <w:r w:rsidRPr="005143FF">
              <w:rPr>
                <w:rFonts w:eastAsia="Calibri"/>
                <w:i/>
                <w:sz w:val="20"/>
                <w:lang w:val="fr-CA"/>
              </w:rPr>
              <w:t>Loi sur le statut de l’artiste</w:t>
            </w:r>
            <w:r w:rsidRPr="005143FF">
              <w:rPr>
                <w:rFonts w:eastAsia="Calibri"/>
                <w:sz w:val="20"/>
                <w:lang w:val="fr-CA"/>
              </w:rPr>
              <w:t xml:space="preserve">, L.C. 1992, ch. 33 – </w:t>
            </w:r>
            <w:r w:rsidRPr="005143FF">
              <w:rPr>
                <w:rFonts w:eastAsia="Calibri"/>
                <w:i/>
                <w:sz w:val="20"/>
                <w:lang w:val="fr-CA"/>
              </w:rPr>
              <w:t>Loi sur le droit d’auteur</w:t>
            </w:r>
            <w:r w:rsidRPr="005143FF">
              <w:rPr>
                <w:rFonts w:eastAsia="Calibri"/>
                <w:sz w:val="20"/>
                <w:lang w:val="fr-CA"/>
              </w:rPr>
              <w:t>, L.R.C. 1985, ch. C-42.</w:t>
            </w:r>
          </w:p>
        </w:tc>
      </w:tr>
      <w:tr w:rsidR="0007151E" w:rsidRPr="005143FF" w:rsidTr="00C3673D">
        <w:tc>
          <w:tcPr>
            <w:tcW w:w="5000" w:type="pct"/>
            <w:gridSpan w:val="3"/>
          </w:tcPr>
          <w:p w:rsidR="0007151E" w:rsidRPr="005143FF" w:rsidRDefault="0007151E" w:rsidP="00C3673D">
            <w:pPr>
              <w:jc w:val="both"/>
              <w:rPr>
                <w:rFonts w:eastAsia="Calibri"/>
                <w:sz w:val="20"/>
                <w:lang w:val="fr-CA"/>
              </w:rPr>
            </w:pPr>
          </w:p>
        </w:tc>
      </w:tr>
      <w:tr w:rsidR="0007151E" w:rsidRPr="007C5A5B"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 xml:space="preserve">Le </w:t>
            </w:r>
            <w:r w:rsidRPr="005143FF">
              <w:rPr>
                <w:rFonts w:eastAsia="Calibri"/>
                <w:color w:val="000000"/>
                <w:sz w:val="20"/>
                <w:lang w:val="fr-CA"/>
              </w:rPr>
              <w:t>Tribunal canadien des relations professionnelles artistes-producteurs</w:t>
            </w:r>
            <w:r w:rsidRPr="005143FF">
              <w:rPr>
                <w:rFonts w:eastAsia="Calibri"/>
                <w:sz w:val="20"/>
                <w:lang w:val="fr-CA"/>
              </w:rPr>
              <w:t xml:space="preserve"> a accrédité les demandeurs en tant qu’organisations représentatives des artistes canadiens en arts visuels.  En 2003, les demandeurs ont commencé à négocier avec le Musée des Beaux-Arts, notamment à propos des tarifs minimums pour l’utilisation d’œuvres existantes.  En 2007, le Musée des Beaux-Arts a reçu un avis juridique dont l’ultime conclusion était que le Musée des Beaux-Arts pouvait légitimement refuser de discuter avec les demandeurs des questions de droit d’auteur.  Il a par la suite présenté une version révisée de l’accord-cadre, dans laquelle toutes les mentions des tarifs minimums pour l’utilisation des œuvres existantes avaient été supprimées.  </w:t>
            </w:r>
          </w:p>
          <w:p w:rsidR="0007151E" w:rsidRPr="005143FF" w:rsidRDefault="0007151E" w:rsidP="00C3673D">
            <w:pPr>
              <w:jc w:val="both"/>
              <w:rPr>
                <w:rFonts w:eastAsia="Calibri"/>
                <w:sz w:val="20"/>
                <w:lang w:val="fr-CA"/>
              </w:rPr>
            </w:pPr>
          </w:p>
          <w:p w:rsidR="0007151E" w:rsidRPr="005143FF" w:rsidRDefault="0007151E" w:rsidP="00C3673D">
            <w:pPr>
              <w:jc w:val="both"/>
              <w:rPr>
                <w:rFonts w:eastAsia="Calibri"/>
                <w:sz w:val="20"/>
                <w:lang w:val="fr-CA"/>
              </w:rPr>
            </w:pPr>
            <w:r w:rsidRPr="005143FF">
              <w:rPr>
                <w:rFonts w:eastAsia="Calibri"/>
                <w:sz w:val="20"/>
                <w:lang w:val="fr-CA"/>
              </w:rPr>
              <w:t xml:space="preserve">Les demandeurs ont déposé une plainte au Tribunal, qui a conclu que le Musée des Beaux-Arts n’avait pas négocié de bonne foi lorsqu’il était revenu sur sa position de négociation et avait refusé de négocier les tarifs minimums pour l’utilisation d’œuvres existantes avec les demandeurs après l’avoir fait pendant plusieurs mois.  Les juges majoritaires de la Cour d’appel fédérale ont accueilli la demande de contrôle judiciaire présentée par le Musée des Beaux-Arts et annulé la décision du Tribunal. </w:t>
            </w:r>
          </w:p>
          <w:p w:rsidR="0007151E" w:rsidRPr="005143FF" w:rsidRDefault="0007151E" w:rsidP="00C3673D">
            <w:pPr>
              <w:jc w:val="both"/>
              <w:rPr>
                <w:rFonts w:eastAsia="Calibri"/>
                <w:sz w:val="20"/>
                <w:lang w:val="fr-CA"/>
              </w:rPr>
            </w:pPr>
          </w:p>
        </w:tc>
      </w:tr>
      <w:tr w:rsidR="0007151E" w:rsidRPr="007C5A5B"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4 mars 2013</w:t>
            </w:r>
          </w:p>
          <w:p w:rsidR="0007151E" w:rsidRPr="005143FF" w:rsidRDefault="0007151E" w:rsidP="00C3673D">
            <w:pPr>
              <w:jc w:val="both"/>
              <w:rPr>
                <w:rFonts w:eastAsia="Calibri"/>
                <w:sz w:val="20"/>
                <w:lang w:val="fr-CA"/>
              </w:rPr>
            </w:pPr>
            <w:r w:rsidRPr="005143FF">
              <w:rPr>
                <w:rFonts w:eastAsia="Calibri"/>
                <w:sz w:val="20"/>
                <w:lang w:val="fr-CA"/>
              </w:rPr>
              <w:t>Cour d’appel fédérale</w:t>
            </w:r>
          </w:p>
          <w:p w:rsidR="0007151E" w:rsidRPr="005143FF" w:rsidRDefault="0007151E" w:rsidP="00C3673D">
            <w:pPr>
              <w:jc w:val="both"/>
              <w:rPr>
                <w:rFonts w:eastAsia="Calibri"/>
                <w:sz w:val="20"/>
                <w:lang w:val="fr-CA"/>
              </w:rPr>
            </w:pPr>
            <w:r w:rsidRPr="005143FF">
              <w:rPr>
                <w:rFonts w:eastAsia="Calibri"/>
                <w:sz w:val="20"/>
                <w:lang w:val="fr-CA"/>
              </w:rPr>
              <w:t>(Juges Noël, Pelletier (dissident) et Trudel)</w:t>
            </w:r>
          </w:p>
          <w:p w:rsidR="0007151E" w:rsidRPr="005143FF" w:rsidRDefault="0007151E" w:rsidP="00C3673D">
            <w:pPr>
              <w:jc w:val="both"/>
              <w:rPr>
                <w:rFonts w:eastAsia="Calibri"/>
                <w:sz w:val="20"/>
              </w:rPr>
            </w:pPr>
            <w:r w:rsidRPr="005143FF">
              <w:rPr>
                <w:rFonts w:eastAsia="Calibri"/>
                <w:sz w:val="20"/>
              </w:rPr>
              <w:t>2013 CAF 64</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Demande de contrôle judiciaire accueillie</w:t>
            </w:r>
          </w:p>
        </w:tc>
      </w:tr>
      <w:tr w:rsidR="0007151E" w:rsidRPr="005143FF" w:rsidTr="00C3673D">
        <w:tc>
          <w:tcPr>
            <w:tcW w:w="2427" w:type="pct"/>
          </w:tcPr>
          <w:p w:rsidR="0007151E" w:rsidRPr="00BC45BB" w:rsidRDefault="0007151E" w:rsidP="00C3673D">
            <w:pPr>
              <w:jc w:val="both"/>
              <w:rPr>
                <w:rFonts w:eastAsia="Calibri"/>
                <w:sz w:val="20"/>
                <w:lang w:val="fr-CA"/>
              </w:rPr>
            </w:pPr>
            <w:r w:rsidRPr="00BC45BB">
              <w:rPr>
                <w:rFonts w:eastAsia="Calibri"/>
                <w:sz w:val="20"/>
                <w:lang w:val="fr-CA"/>
              </w:rPr>
              <w:t>3 mai 2013</w:t>
            </w:r>
          </w:p>
          <w:p w:rsidR="0007151E" w:rsidRPr="00BC45BB" w:rsidRDefault="0007151E" w:rsidP="00C3673D">
            <w:pPr>
              <w:jc w:val="both"/>
              <w:rPr>
                <w:rFonts w:eastAsia="Calibri"/>
                <w:sz w:val="20"/>
                <w:lang w:val="fr-CA"/>
              </w:rPr>
            </w:pPr>
            <w:r w:rsidRPr="00BC45BB">
              <w:rPr>
                <w:rFonts w:eastAsia="Calibri"/>
                <w:sz w:val="20"/>
                <w:lang w:val="fr-CA"/>
              </w:rPr>
              <w:t>Cour suprême du Canada</w:t>
            </w:r>
          </w:p>
        </w:tc>
        <w:tc>
          <w:tcPr>
            <w:tcW w:w="243" w:type="pct"/>
          </w:tcPr>
          <w:p w:rsidR="0007151E" w:rsidRPr="00BC45BB"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rPr>
            </w:pPr>
            <w:r w:rsidRPr="005143FF">
              <w:rPr>
                <w:rFonts w:eastAsia="Calibri"/>
                <w:sz w:val="20"/>
              </w:rPr>
              <w:t xml:space="preserve">Demande d’autorisation d’appel déposée </w:t>
            </w:r>
          </w:p>
          <w:p w:rsidR="0007151E" w:rsidRPr="005143FF" w:rsidRDefault="0007151E" w:rsidP="00C3673D">
            <w:pPr>
              <w:jc w:val="both"/>
              <w:rPr>
                <w:rFonts w:eastAsia="Calibri"/>
                <w:sz w:val="20"/>
              </w:rPr>
            </w:pPr>
          </w:p>
        </w:tc>
      </w:tr>
    </w:tbl>
    <w:p w:rsidR="00332827" w:rsidRDefault="00332827" w:rsidP="00332827">
      <w:pPr>
        <w:rPr>
          <w:sz w:val="20"/>
          <w:szCs w:val="20"/>
        </w:rPr>
      </w:pPr>
    </w:p>
    <w:p w:rsidR="00332827" w:rsidRDefault="005F2BA7" w:rsidP="00332827">
      <w:pPr>
        <w:rPr>
          <w:sz w:val="20"/>
          <w:szCs w:val="20"/>
        </w:rPr>
      </w:pPr>
      <w:r w:rsidRPr="005F2BA7">
        <w:rPr>
          <w:sz w:val="20"/>
          <w:szCs w:val="20"/>
          <w:lang w:val="fr-CA"/>
        </w:rPr>
        <w:pict>
          <v:rect id="_x0000_i1084" style="width:2in;height:1pt" o:hrpct="0" o:hralign="center" o:hrstd="t" o:hrnoshade="t" o:hr="t" fillcolor="black [3213]" stroked="f"/>
        </w:pict>
      </w:r>
    </w:p>
    <w:p w:rsidR="00332827" w:rsidRPr="00332827" w:rsidRDefault="00332827" w:rsidP="0033282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5457" w:rsidRPr="009B1157" w:rsidTr="00C173EE">
        <w:trPr>
          <w:cantSplit/>
        </w:trPr>
        <w:tc>
          <w:tcPr>
            <w:tcW w:w="1458" w:type="dxa"/>
          </w:tcPr>
          <w:p w:rsidR="00575457" w:rsidRPr="009B1157" w:rsidRDefault="00575457" w:rsidP="00C173EE">
            <w:pPr>
              <w:rPr>
                <w:sz w:val="20"/>
                <w:szCs w:val="20"/>
              </w:rPr>
            </w:pPr>
            <w:r w:rsidRPr="009B1157">
              <w:rPr>
                <w:rStyle w:val="SCCFileNumberChar"/>
                <w:sz w:val="20"/>
                <w:szCs w:val="20"/>
              </w:rPr>
              <w:t>35358</w:t>
            </w:r>
          </w:p>
          <w:p w:rsidR="00575457" w:rsidRPr="009B1157" w:rsidRDefault="00575457" w:rsidP="00C173EE">
            <w:pPr>
              <w:rPr>
                <w:b/>
                <w:sz w:val="20"/>
                <w:szCs w:val="20"/>
                <w:lang w:val="fr-CA"/>
              </w:rPr>
            </w:pPr>
          </w:p>
        </w:tc>
        <w:tc>
          <w:tcPr>
            <w:tcW w:w="8118" w:type="dxa"/>
          </w:tcPr>
          <w:p w:rsidR="00575457" w:rsidRPr="009B1157" w:rsidRDefault="00575457" w:rsidP="00C173EE">
            <w:pPr>
              <w:jc w:val="both"/>
              <w:rPr>
                <w:sz w:val="20"/>
                <w:szCs w:val="20"/>
              </w:rPr>
            </w:pPr>
            <w:r w:rsidRPr="00575457">
              <w:rPr>
                <w:rStyle w:val="SCCLsocChar"/>
                <w:sz w:val="20"/>
                <w:szCs w:val="20"/>
                <w:lang w:val="en-CA"/>
              </w:rPr>
              <w:t>Enterprise Cape Breton Corporation (formerly Cape Breton Development Corporation) v. Peter Hogan, Nova Scotia Workers</w:t>
            </w:r>
            <w:r w:rsidR="00070750">
              <w:rPr>
                <w:rStyle w:val="SCCLsocChar"/>
                <w:sz w:val="20"/>
                <w:szCs w:val="20"/>
                <w:lang w:val="en-CA"/>
              </w:rPr>
              <w:t>’</w:t>
            </w:r>
            <w:r w:rsidRPr="00575457">
              <w:rPr>
                <w:rStyle w:val="SCCLsocChar"/>
                <w:sz w:val="20"/>
                <w:szCs w:val="20"/>
                <w:lang w:val="en-CA"/>
              </w:rPr>
              <w:t xml:space="preserve"> Compensation Appeals Tribunal, Workers</w:t>
            </w:r>
            <w:r w:rsidR="00070750">
              <w:rPr>
                <w:rStyle w:val="SCCLsocChar"/>
                <w:sz w:val="20"/>
                <w:szCs w:val="20"/>
                <w:lang w:val="en-CA"/>
              </w:rPr>
              <w:t>’</w:t>
            </w:r>
            <w:r w:rsidRPr="00575457">
              <w:rPr>
                <w:rStyle w:val="SCCLsocChar"/>
                <w:sz w:val="20"/>
                <w:szCs w:val="20"/>
                <w:lang w:val="en-CA"/>
              </w:rPr>
              <w:t xml:space="preserve"> Compensation Board</w:t>
            </w:r>
            <w:r w:rsidR="00070750">
              <w:rPr>
                <w:rStyle w:val="SCCLsocChar"/>
                <w:sz w:val="20"/>
                <w:szCs w:val="20"/>
                <w:lang w:val="en-CA"/>
              </w:rPr>
              <w:t xml:space="preserve"> and</w:t>
            </w:r>
            <w:r w:rsidRPr="00575457">
              <w:rPr>
                <w:rStyle w:val="SCCLsocChar"/>
                <w:sz w:val="20"/>
                <w:szCs w:val="20"/>
                <w:lang w:val="en-CA"/>
              </w:rPr>
              <w:t xml:space="preserve"> Attorney General of Nova Scotia</w:t>
            </w:r>
            <w:r w:rsidRPr="009B1157">
              <w:rPr>
                <w:sz w:val="20"/>
                <w:szCs w:val="20"/>
              </w:rPr>
              <w:t xml:space="preserve"> (N.S.) (Civil) (By Leave)</w:t>
            </w:r>
          </w:p>
          <w:p w:rsidR="00575457" w:rsidRPr="009B1157" w:rsidRDefault="00575457" w:rsidP="00C173EE">
            <w:pPr>
              <w:jc w:val="both"/>
              <w:rPr>
                <w:sz w:val="20"/>
                <w:szCs w:val="20"/>
              </w:rPr>
            </w:pPr>
          </w:p>
        </w:tc>
      </w:tr>
      <w:tr w:rsidR="00575457" w:rsidRPr="009B1157" w:rsidTr="00C173EE">
        <w:trPr>
          <w:cantSplit/>
        </w:trPr>
        <w:tc>
          <w:tcPr>
            <w:tcW w:w="1458" w:type="dxa"/>
          </w:tcPr>
          <w:p w:rsidR="00575457" w:rsidRPr="009B1157" w:rsidRDefault="00575457" w:rsidP="00C173EE">
            <w:pPr>
              <w:rPr>
                <w:sz w:val="20"/>
                <w:szCs w:val="20"/>
              </w:rPr>
            </w:pPr>
            <w:r w:rsidRPr="009B1157">
              <w:rPr>
                <w:sz w:val="20"/>
                <w:szCs w:val="20"/>
              </w:rPr>
              <w:t>Coram :</w:t>
            </w:r>
          </w:p>
        </w:tc>
        <w:tc>
          <w:tcPr>
            <w:tcW w:w="8118" w:type="dxa"/>
          </w:tcPr>
          <w:p w:rsidR="00575457" w:rsidRPr="009B1157" w:rsidRDefault="00575457" w:rsidP="00C173EE">
            <w:pPr>
              <w:rPr>
                <w:sz w:val="20"/>
                <w:szCs w:val="20"/>
              </w:rPr>
            </w:pPr>
            <w:r w:rsidRPr="00575457">
              <w:rPr>
                <w:rStyle w:val="SCCCoramChar"/>
                <w:sz w:val="20"/>
                <w:szCs w:val="20"/>
                <w:lang w:val="en-CA"/>
              </w:rPr>
              <w:t>Fish, Rothstein and Moldaver JJ.</w:t>
            </w:r>
          </w:p>
          <w:p w:rsidR="00575457" w:rsidRPr="009B1157" w:rsidRDefault="00575457" w:rsidP="00C173EE">
            <w:pPr>
              <w:rPr>
                <w:sz w:val="20"/>
                <w:szCs w:val="20"/>
                <w:u w:val="single"/>
              </w:rPr>
            </w:pPr>
          </w:p>
        </w:tc>
      </w:tr>
      <w:tr w:rsidR="00575457" w:rsidRPr="007C5A5B" w:rsidTr="00C173EE">
        <w:trPr>
          <w:cantSplit/>
        </w:trPr>
        <w:tc>
          <w:tcPr>
            <w:tcW w:w="9576" w:type="dxa"/>
            <w:gridSpan w:val="2"/>
          </w:tcPr>
          <w:p w:rsidR="00575457" w:rsidRPr="009B1157" w:rsidRDefault="00575457" w:rsidP="00C173EE">
            <w:pPr>
              <w:pStyle w:val="SCCShortJudgment"/>
              <w:rPr>
                <w:szCs w:val="20"/>
              </w:rPr>
            </w:pPr>
            <w:r w:rsidRPr="009B1157">
              <w:rPr>
                <w:szCs w:val="20"/>
              </w:rPr>
              <w:t>The application for leave to appeal from the judgment of the Nova Scotia Court of Appeal, Number CA 385259, 2013 NSCA 33, dated March 7, 2013, is dismissed with no order as to costs</w:t>
            </w:r>
            <w:r w:rsidR="00D00292">
              <w:rPr>
                <w:szCs w:val="20"/>
              </w:rPr>
              <w:t>.</w:t>
            </w:r>
          </w:p>
          <w:p w:rsidR="00575457" w:rsidRPr="009B1157" w:rsidRDefault="00575457" w:rsidP="00C173EE">
            <w:pPr>
              <w:pStyle w:val="SCCShortJudgment"/>
              <w:ind w:firstLine="0"/>
              <w:rPr>
                <w:szCs w:val="20"/>
              </w:rPr>
            </w:pPr>
          </w:p>
          <w:p w:rsidR="00575457" w:rsidRPr="009B1157" w:rsidRDefault="00575457" w:rsidP="00C173EE">
            <w:pPr>
              <w:pStyle w:val="SCCShortJudgment"/>
              <w:rPr>
                <w:szCs w:val="20"/>
                <w:lang w:val="fr-CA"/>
              </w:rPr>
            </w:pPr>
            <w:r w:rsidRPr="009B1157">
              <w:rPr>
                <w:szCs w:val="20"/>
                <w:lang w:val="fr-CA"/>
              </w:rPr>
              <w:t>La demande d’autorisation d’appel de l’arrêt de la Cour d’appel de la Nouvelle-Écosse, numéro CA 385259, 2013 NSCA 33, daté du 7 mars 2013, est rejetée sans ordonnance quant aux dépens.</w:t>
            </w:r>
          </w:p>
        </w:tc>
      </w:tr>
    </w:tbl>
    <w:p w:rsidR="00332827" w:rsidRPr="0016547E" w:rsidRDefault="00332827" w:rsidP="00332827">
      <w:pPr>
        <w:rPr>
          <w:sz w:val="20"/>
          <w:szCs w:val="20"/>
          <w:lang w:val="fr-CA"/>
        </w:rPr>
      </w:pPr>
    </w:p>
    <w:p w:rsidR="00912980" w:rsidRPr="00A8654B" w:rsidRDefault="00912980">
      <w:pPr>
        <w:rPr>
          <w:sz w:val="20"/>
          <w:szCs w:val="20"/>
          <w:u w:val="single"/>
          <w:lang w:val="fr-CA"/>
        </w:rPr>
      </w:pPr>
      <w:r w:rsidRPr="00A8654B">
        <w:rPr>
          <w:sz w:val="20"/>
          <w:szCs w:val="20"/>
          <w:u w:val="single"/>
          <w:lang w:val="fr-CA"/>
        </w:rPr>
        <w:br w:type="page"/>
      </w:r>
    </w:p>
    <w:p w:rsidR="00332827" w:rsidRPr="001B157C" w:rsidRDefault="00332827" w:rsidP="00332827">
      <w:pPr>
        <w:rPr>
          <w:sz w:val="20"/>
          <w:szCs w:val="20"/>
          <w:u w:val="single"/>
        </w:rPr>
      </w:pPr>
      <w:r w:rsidRPr="001B157C">
        <w:rPr>
          <w:sz w:val="20"/>
          <w:szCs w:val="20"/>
          <w:u w:val="single"/>
        </w:rPr>
        <w:lastRenderedPageBreak/>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C3673D">
        <w:tc>
          <w:tcPr>
            <w:tcW w:w="5000" w:type="pct"/>
            <w:gridSpan w:val="3"/>
          </w:tcPr>
          <w:p w:rsidR="0007151E" w:rsidRPr="005143FF" w:rsidRDefault="0007151E" w:rsidP="00C3673D">
            <w:pPr>
              <w:jc w:val="both"/>
              <w:rPr>
                <w:rFonts w:eastAsia="Calibri"/>
                <w:sz w:val="20"/>
              </w:rPr>
            </w:pPr>
            <w:r w:rsidRPr="005143FF">
              <w:rPr>
                <w:rFonts w:eastAsia="Calibri"/>
                <w:sz w:val="20"/>
              </w:rPr>
              <w:t xml:space="preserve">Administrative law – Appeals </w:t>
            </w:r>
            <w:r w:rsidRPr="005143FF">
              <w:rPr>
                <w:rFonts w:eastAsia="Calibri"/>
                <w:sz w:val="20"/>
              </w:rPr>
              <w:noBreakHyphen/>
              <w:t xml:space="preserve"> Standard of review </w:t>
            </w:r>
            <w:r w:rsidRPr="005143FF">
              <w:rPr>
                <w:rFonts w:eastAsia="Calibri"/>
                <w:sz w:val="20"/>
              </w:rPr>
              <w:noBreakHyphen/>
              <w:t xml:space="preserve"> Workers’ compensation </w:t>
            </w:r>
            <w:r w:rsidRPr="005143FF">
              <w:rPr>
                <w:rFonts w:eastAsia="Calibri"/>
                <w:sz w:val="20"/>
              </w:rPr>
              <w:noBreakHyphen/>
              <w:t xml:space="preserve"> Respondent tribunal deciding that respondent worker’s Early Retirement Incentive Program benefits should not be included in calculation of post-injury earnings for purposes of determining Temporary Earnings-Replacement Benefit payment </w:t>
            </w:r>
            <w:r w:rsidRPr="005143FF">
              <w:rPr>
                <w:rFonts w:eastAsia="Calibri"/>
                <w:sz w:val="20"/>
              </w:rPr>
              <w:noBreakHyphen/>
              <w:t xml:space="preserve"> Court of Appeal dismissing applicant employer’s appeal </w:t>
            </w:r>
            <w:r w:rsidRPr="005143FF">
              <w:rPr>
                <w:rFonts w:eastAsia="Calibri"/>
                <w:sz w:val="20"/>
              </w:rPr>
              <w:noBreakHyphen/>
              <w:t xml:space="preserve"> How is standard of reasonableness to be applied when reviewing administrative decision-maker’s interpretation of its home statute? </w:t>
            </w:r>
            <w:r w:rsidRPr="005143FF">
              <w:rPr>
                <w:rFonts w:eastAsia="Calibri"/>
                <w:sz w:val="20"/>
              </w:rPr>
              <w:noBreakHyphen/>
              <w:t xml:space="preserve"> </w:t>
            </w:r>
            <w:r w:rsidRPr="005143FF">
              <w:rPr>
                <w:rFonts w:eastAsia="Calibri"/>
                <w:i/>
                <w:sz w:val="20"/>
              </w:rPr>
              <w:t>Workers’ Compensation Act</w:t>
            </w:r>
            <w:r w:rsidRPr="005143FF">
              <w:rPr>
                <w:rFonts w:eastAsia="Calibri"/>
                <w:sz w:val="20"/>
              </w:rPr>
              <w:t>, S.N.S. 1994</w:t>
            </w:r>
            <w:r w:rsidRPr="005143FF">
              <w:rPr>
                <w:rFonts w:eastAsia="Calibri"/>
                <w:sz w:val="20"/>
              </w:rPr>
              <w:noBreakHyphen/>
              <w:t>95, c. 10, ss. 37, 38, 39, 42, 256(1).</w:t>
            </w:r>
          </w:p>
        </w:tc>
      </w:tr>
      <w:tr w:rsidR="0007151E" w:rsidRPr="005143FF" w:rsidTr="00C3673D">
        <w:tc>
          <w:tcPr>
            <w:tcW w:w="5000" w:type="pct"/>
            <w:gridSpan w:val="3"/>
          </w:tcPr>
          <w:p w:rsidR="0007151E" w:rsidRPr="005143FF" w:rsidRDefault="0007151E" w:rsidP="00C3673D">
            <w:pPr>
              <w:jc w:val="both"/>
              <w:rPr>
                <w:rFonts w:eastAsia="Calibri"/>
                <w:sz w:val="20"/>
              </w:rPr>
            </w:pPr>
          </w:p>
        </w:tc>
      </w:tr>
      <w:tr w:rsidR="0007151E" w:rsidRPr="005143FF" w:rsidTr="00C3673D">
        <w:tc>
          <w:tcPr>
            <w:tcW w:w="5000" w:type="pct"/>
            <w:gridSpan w:val="3"/>
          </w:tcPr>
          <w:p w:rsidR="0007151E" w:rsidRPr="005143FF" w:rsidRDefault="0007151E" w:rsidP="00C3673D">
            <w:pPr>
              <w:jc w:val="both"/>
              <w:rPr>
                <w:rFonts w:eastAsia="Calibri"/>
                <w:sz w:val="20"/>
              </w:rPr>
            </w:pPr>
            <w:r w:rsidRPr="005143FF">
              <w:rPr>
                <w:rFonts w:eastAsia="Calibri"/>
                <w:sz w:val="20"/>
              </w:rPr>
              <w:t>The respondent Peter Hogan started work in the mines of Cape Breton in 1977 as an employee of Cape Breton Development Corporation.  When mining operations shut down in 2001 Mr. Hogan was eligible to apply for benefits under an Early Retirement Incentive Program (ERIP), which he began receiving in April 2002.  After the mines closed Mr. Hogan was able to find alternate employment.  In 2008 he required surgery on his right knee followed by a total knee replacement in December 2009.  He was unable to return to his employment as an electrician after his surgery, and began receiving Temporary Earnings-Replacement Benefit (TERB).  The respondent Tribunal decided that Mr. Hogan’s ERIP benefits should not be included in the calculation of his post-injury earnings and deducted from his TERB payment.   The Court of Appeal dismissed the applicant employer’s appeal.</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February 10, 2012</w:t>
            </w:r>
          </w:p>
          <w:p w:rsidR="0007151E" w:rsidRPr="005143FF" w:rsidRDefault="0007151E" w:rsidP="00C3673D">
            <w:pPr>
              <w:jc w:val="both"/>
              <w:rPr>
                <w:rFonts w:eastAsia="Calibri"/>
                <w:sz w:val="20"/>
              </w:rPr>
            </w:pPr>
            <w:r w:rsidRPr="005143FF">
              <w:rPr>
                <w:rFonts w:eastAsia="Calibri"/>
                <w:sz w:val="20"/>
              </w:rPr>
              <w:t xml:space="preserve">Nova Scotia Workers’ Compensation Appeals </w:t>
            </w:r>
          </w:p>
          <w:p w:rsidR="0007151E" w:rsidRPr="005143FF" w:rsidRDefault="0007151E" w:rsidP="00C3673D">
            <w:pPr>
              <w:jc w:val="both"/>
              <w:rPr>
                <w:rFonts w:eastAsia="Calibri"/>
                <w:sz w:val="20"/>
              </w:rPr>
            </w:pPr>
            <w:r w:rsidRPr="005143FF">
              <w:rPr>
                <w:rFonts w:eastAsia="Calibri"/>
                <w:sz w:val="20"/>
              </w:rPr>
              <w:t>Tribunal</w:t>
            </w:r>
          </w:p>
          <w:p w:rsidR="0007151E" w:rsidRPr="005143FF" w:rsidRDefault="0007151E" w:rsidP="00C3673D">
            <w:pPr>
              <w:jc w:val="both"/>
              <w:rPr>
                <w:rFonts w:eastAsia="Calibri"/>
                <w:sz w:val="20"/>
              </w:rPr>
            </w:pPr>
            <w:r w:rsidRPr="005143FF">
              <w:rPr>
                <w:rFonts w:eastAsia="Calibri"/>
                <w:sz w:val="20"/>
              </w:rPr>
              <w:t>(Louanne Labelle, Sandy MacIntosh and</w:t>
            </w:r>
          </w:p>
          <w:p w:rsidR="0007151E" w:rsidRPr="005143FF" w:rsidRDefault="0007151E" w:rsidP="00C3673D">
            <w:pPr>
              <w:jc w:val="both"/>
              <w:rPr>
                <w:rFonts w:eastAsia="Calibri"/>
                <w:sz w:val="20"/>
              </w:rPr>
            </w:pPr>
            <w:r w:rsidRPr="005143FF">
              <w:rPr>
                <w:rFonts w:eastAsia="Calibri"/>
                <w:sz w:val="20"/>
              </w:rPr>
              <w:t>K. Andrew MacNeil)</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Appeal dismissed</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March 7, 2013</w:t>
            </w:r>
          </w:p>
          <w:p w:rsidR="0007151E" w:rsidRPr="005143FF" w:rsidRDefault="0007151E" w:rsidP="00C3673D">
            <w:pPr>
              <w:jc w:val="both"/>
              <w:rPr>
                <w:rFonts w:eastAsia="Calibri"/>
                <w:sz w:val="20"/>
              </w:rPr>
            </w:pPr>
            <w:r w:rsidRPr="005143FF">
              <w:rPr>
                <w:rFonts w:eastAsia="Calibri"/>
                <w:sz w:val="20"/>
              </w:rPr>
              <w:t>Nova Scotia Court of Appeal</w:t>
            </w:r>
          </w:p>
          <w:p w:rsidR="0007151E" w:rsidRPr="005143FF" w:rsidRDefault="0007151E" w:rsidP="00C3673D">
            <w:pPr>
              <w:jc w:val="both"/>
              <w:rPr>
                <w:rFonts w:eastAsia="Calibri"/>
                <w:sz w:val="20"/>
              </w:rPr>
            </w:pPr>
            <w:r w:rsidRPr="005143FF">
              <w:rPr>
                <w:rFonts w:eastAsia="Calibri"/>
                <w:sz w:val="20"/>
              </w:rPr>
              <w:t>(Saunders, Hamilton and Farrar JJ.A.)</w:t>
            </w:r>
          </w:p>
          <w:p w:rsidR="0007151E" w:rsidRPr="005143FF" w:rsidRDefault="0007151E" w:rsidP="00C3673D">
            <w:pPr>
              <w:jc w:val="both"/>
              <w:rPr>
                <w:rFonts w:eastAsia="Calibri"/>
                <w:sz w:val="20"/>
              </w:rPr>
            </w:pPr>
            <w:r w:rsidRPr="005143FF">
              <w:rPr>
                <w:rFonts w:eastAsia="Calibri"/>
                <w:sz w:val="20"/>
              </w:rPr>
              <w:t>2013 NSCA 33</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Appeal dismissed</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May 6, 2013</w:t>
            </w:r>
          </w:p>
          <w:p w:rsidR="0007151E" w:rsidRPr="005143FF" w:rsidRDefault="0007151E" w:rsidP="00C3673D">
            <w:pPr>
              <w:jc w:val="both"/>
              <w:rPr>
                <w:rFonts w:eastAsia="Calibri"/>
                <w:sz w:val="20"/>
              </w:rPr>
            </w:pPr>
            <w:r w:rsidRPr="005143FF">
              <w:rPr>
                <w:rFonts w:eastAsia="Calibri"/>
                <w:sz w:val="20"/>
              </w:rPr>
              <w:t>Supreme Court of Canada</w:t>
            </w: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Application for leave to appeal filed</w:t>
            </w:r>
          </w:p>
          <w:p w:rsidR="0007151E" w:rsidRPr="005143FF" w:rsidRDefault="0007151E" w:rsidP="00C3673D">
            <w:pPr>
              <w:jc w:val="both"/>
              <w:rPr>
                <w:rFonts w:eastAsia="Calibri"/>
                <w:sz w:val="20"/>
              </w:rPr>
            </w:pP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85" style="width:2in;height:1pt" o:hrpct="0" o:hralign="center" o:hrstd="t" o:hrnoshade="t" o:hr="t" fillcolor="black [3213]" stroked="f"/>
        </w:pict>
      </w:r>
    </w:p>
    <w:p w:rsidR="00332827" w:rsidRDefault="00332827" w:rsidP="00332827">
      <w:pPr>
        <w:rPr>
          <w:sz w:val="20"/>
          <w:szCs w:val="20"/>
        </w:rPr>
      </w:pPr>
    </w:p>
    <w:p w:rsidR="00332827" w:rsidRPr="001B157C" w:rsidRDefault="00332827" w:rsidP="00332827">
      <w:pPr>
        <w:rPr>
          <w:sz w:val="20"/>
          <w:szCs w:val="20"/>
          <w:u w:val="single"/>
          <w:lang w:val="fr-CA"/>
        </w:rPr>
      </w:pPr>
      <w:r w:rsidRPr="001B157C">
        <w:rPr>
          <w:sz w:val="20"/>
          <w:szCs w:val="20"/>
          <w:u w:val="single"/>
          <w:lang w:val="fr-CA"/>
        </w:rPr>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 xml:space="preserve">Droit administratif – Appels </w:t>
            </w:r>
            <w:r w:rsidRPr="005143FF">
              <w:rPr>
                <w:rFonts w:eastAsia="Calibri"/>
                <w:sz w:val="20"/>
                <w:lang w:val="fr-CA"/>
              </w:rPr>
              <w:noBreakHyphen/>
              <w:t xml:space="preserve"> Norme de contrôle </w:t>
            </w:r>
            <w:r w:rsidRPr="005143FF">
              <w:rPr>
                <w:rFonts w:eastAsia="Calibri"/>
                <w:sz w:val="20"/>
                <w:lang w:val="fr-CA"/>
              </w:rPr>
              <w:noBreakHyphen/>
              <w:t xml:space="preserve"> Accidents du travail </w:t>
            </w:r>
            <w:r w:rsidRPr="005143FF">
              <w:rPr>
                <w:rFonts w:eastAsia="Calibri"/>
                <w:sz w:val="20"/>
                <w:lang w:val="fr-CA"/>
              </w:rPr>
              <w:noBreakHyphen/>
              <w:t xml:space="preserve"> Le tribunal administratif intimé a statué que les prestations du programme d'encouragement à la retraite anticipée du travailleur intimé ne devaient pas être incluses dans le calcul des gains postérieurs à la blessure aux fins de déterminer le paiement des prestations de remplacement du revenu temporaire </w:t>
            </w:r>
            <w:r w:rsidRPr="005143FF">
              <w:rPr>
                <w:rFonts w:eastAsia="Calibri"/>
                <w:sz w:val="20"/>
                <w:lang w:val="fr-CA"/>
              </w:rPr>
              <w:noBreakHyphen/>
              <w:t xml:space="preserve"> La Cour d'appel a rejeté l'appel de l'employeur demandeur </w:t>
            </w:r>
            <w:r w:rsidRPr="005143FF">
              <w:rPr>
                <w:rFonts w:eastAsia="Calibri"/>
                <w:sz w:val="20"/>
                <w:lang w:val="fr-CA"/>
              </w:rPr>
              <w:noBreakHyphen/>
              <w:t xml:space="preserve"> Comment faut-il appliquer la norme de la décision raisonnable dans le contrôle de l'interprétation que fait un décideur administratif de sa loi constitutive? </w:t>
            </w:r>
            <w:r w:rsidRPr="005143FF">
              <w:rPr>
                <w:rFonts w:eastAsia="Calibri"/>
                <w:sz w:val="20"/>
                <w:lang w:val="fr-CA"/>
              </w:rPr>
              <w:noBreakHyphen/>
              <w:t xml:space="preserve"> </w:t>
            </w:r>
            <w:r w:rsidRPr="005143FF">
              <w:rPr>
                <w:rFonts w:eastAsia="Calibri"/>
                <w:i/>
                <w:sz w:val="20"/>
                <w:lang w:val="fr-CA"/>
              </w:rPr>
              <w:t>Workers’ Compensation Act</w:t>
            </w:r>
            <w:r w:rsidRPr="005143FF">
              <w:rPr>
                <w:rFonts w:eastAsia="Calibri"/>
                <w:sz w:val="20"/>
                <w:lang w:val="fr-CA"/>
              </w:rPr>
              <w:t>, S.N.S. 1994</w:t>
            </w:r>
            <w:r w:rsidRPr="005143FF">
              <w:rPr>
                <w:rFonts w:eastAsia="Calibri"/>
                <w:sz w:val="20"/>
                <w:lang w:val="fr-CA"/>
              </w:rPr>
              <w:noBreakHyphen/>
              <w:t>95, ch. 10, art. 37, 38, 39, 42, 256(1).</w:t>
            </w:r>
          </w:p>
        </w:tc>
      </w:tr>
      <w:tr w:rsidR="0007151E" w:rsidRPr="005143FF" w:rsidTr="00C3673D">
        <w:tc>
          <w:tcPr>
            <w:tcW w:w="5000" w:type="pct"/>
            <w:gridSpan w:val="3"/>
          </w:tcPr>
          <w:p w:rsidR="0007151E" w:rsidRPr="005143FF" w:rsidRDefault="0007151E" w:rsidP="00C3673D">
            <w:pPr>
              <w:jc w:val="both"/>
              <w:rPr>
                <w:rFonts w:eastAsia="Calibri"/>
                <w:sz w:val="20"/>
                <w:lang w:val="fr-CA"/>
              </w:rPr>
            </w:pPr>
          </w:p>
        </w:tc>
      </w:tr>
      <w:tr w:rsidR="0007151E" w:rsidRPr="005143FF"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 xml:space="preserve">L'intimé Peter Hogan a commencé à travailler dans les mines du Cap Breton en 1977 comme employé de Cape Breton Development Corporation.  Lorsque que les activités minières ont cessé en 2001, M. Hogan avait le droit de demander des prestations sous le régime d’un programme d'encouragement à la retraite anticipée (PERA), qu'il a commencé à recevoir en avril 2002.  Après la fermeture des mines, M. Hogan a pu se trouver un autre emploi.  En 2008 il a dû subir une chirurgie au genou droit, suivie d'une arthroplastie totale du genou en décembre 2009.  Il a été incapable de reprendre son emploi comme électricien après sa chirurgie et il a commencé à recevoir des prestations de remplacement du revenu temporaire (PRRT).  Le tribunal administratif intimé a statué que les prestations du PERA de </w:t>
            </w:r>
            <w:r w:rsidRPr="005143FF">
              <w:rPr>
                <w:rFonts w:eastAsia="Calibri"/>
                <w:sz w:val="20"/>
                <w:lang w:val="fr-CA"/>
              </w:rPr>
              <w:lastRenderedPageBreak/>
              <w:t>M. Hogan ne devaient pas être incluses dans le calcul de ses gains postérieurs à la blessure et déduites de ses PRRT.  La Cour d'appel a rejeté l'appel de l'employeur demandeur.</w:t>
            </w:r>
          </w:p>
          <w:p w:rsidR="0007151E" w:rsidRPr="005143FF" w:rsidRDefault="0007151E" w:rsidP="00C3673D">
            <w:pPr>
              <w:jc w:val="both"/>
              <w:rPr>
                <w:rFonts w:eastAsia="Calibri"/>
                <w:sz w:val="20"/>
                <w:lang w:val="fr-CA"/>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lastRenderedPageBreak/>
              <w:t>10 février 2012</w:t>
            </w:r>
          </w:p>
          <w:p w:rsidR="0007151E" w:rsidRPr="005143FF" w:rsidRDefault="0007151E" w:rsidP="00C3673D">
            <w:pPr>
              <w:jc w:val="both"/>
              <w:rPr>
                <w:rFonts w:eastAsia="Calibri"/>
                <w:sz w:val="20"/>
              </w:rPr>
            </w:pPr>
            <w:r w:rsidRPr="005143FF">
              <w:rPr>
                <w:rFonts w:eastAsia="Calibri"/>
                <w:sz w:val="20"/>
              </w:rPr>
              <w:t xml:space="preserve">Nova Scotia Workers’ Compensation Appeals </w:t>
            </w:r>
          </w:p>
          <w:p w:rsidR="0007151E" w:rsidRPr="005143FF" w:rsidRDefault="0007151E" w:rsidP="00C3673D">
            <w:pPr>
              <w:jc w:val="both"/>
              <w:rPr>
                <w:rFonts w:eastAsia="Calibri"/>
                <w:sz w:val="20"/>
                <w:lang w:val="fr-CA"/>
              </w:rPr>
            </w:pPr>
            <w:r w:rsidRPr="005143FF">
              <w:rPr>
                <w:rFonts w:eastAsia="Calibri"/>
                <w:sz w:val="20"/>
                <w:lang w:val="fr-CA"/>
              </w:rPr>
              <w:t>Tribunal</w:t>
            </w:r>
          </w:p>
          <w:p w:rsidR="0007151E" w:rsidRPr="005143FF" w:rsidRDefault="0007151E" w:rsidP="00C3673D">
            <w:pPr>
              <w:jc w:val="both"/>
              <w:rPr>
                <w:rFonts w:eastAsia="Calibri"/>
                <w:sz w:val="20"/>
                <w:lang w:val="fr-CA"/>
              </w:rPr>
            </w:pPr>
            <w:r w:rsidRPr="005143FF">
              <w:rPr>
                <w:rFonts w:eastAsia="Calibri"/>
                <w:sz w:val="20"/>
                <w:lang w:val="fr-CA"/>
              </w:rPr>
              <w:t>(Louanne Labelle, Sandy MacIntosh et</w:t>
            </w:r>
          </w:p>
          <w:p w:rsidR="0007151E" w:rsidRPr="005143FF" w:rsidRDefault="0007151E" w:rsidP="00C3673D">
            <w:pPr>
              <w:jc w:val="both"/>
              <w:rPr>
                <w:rFonts w:eastAsia="Calibri"/>
                <w:sz w:val="20"/>
                <w:lang w:val="fr-CA"/>
              </w:rPr>
            </w:pPr>
            <w:r w:rsidRPr="005143FF">
              <w:rPr>
                <w:rFonts w:eastAsia="Calibri"/>
                <w:sz w:val="20"/>
                <w:lang w:val="fr-CA"/>
              </w:rPr>
              <w:t>K. Andrew MacNeil)</w:t>
            </w:r>
          </w:p>
          <w:p w:rsidR="0007151E" w:rsidRPr="005143FF" w:rsidRDefault="0007151E" w:rsidP="00C3673D">
            <w:pPr>
              <w:jc w:val="both"/>
              <w:rPr>
                <w:rFonts w:eastAsia="Calibri"/>
                <w:sz w:val="20"/>
                <w:lang w:val="fr-CA"/>
              </w:rPr>
            </w:pP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Appel rejeté</w:t>
            </w:r>
          </w:p>
          <w:p w:rsidR="0007151E" w:rsidRPr="005143FF" w:rsidRDefault="0007151E" w:rsidP="00C3673D">
            <w:pPr>
              <w:jc w:val="both"/>
              <w:rPr>
                <w:rFonts w:eastAsia="Calibri"/>
                <w:sz w:val="20"/>
                <w:lang w:val="fr-CA"/>
              </w:rPr>
            </w:pPr>
          </w:p>
        </w:tc>
      </w:tr>
      <w:tr w:rsidR="0007151E" w:rsidRPr="005143FF"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7 mars 2013</w:t>
            </w:r>
          </w:p>
          <w:p w:rsidR="0007151E" w:rsidRPr="005143FF" w:rsidRDefault="0007151E" w:rsidP="00C3673D">
            <w:pPr>
              <w:jc w:val="both"/>
              <w:rPr>
                <w:rFonts w:eastAsia="Calibri"/>
                <w:sz w:val="20"/>
                <w:lang w:val="fr-CA"/>
              </w:rPr>
            </w:pPr>
            <w:r w:rsidRPr="005143FF">
              <w:rPr>
                <w:rFonts w:eastAsia="Calibri"/>
                <w:sz w:val="20"/>
                <w:lang w:val="fr-CA"/>
              </w:rPr>
              <w:t xml:space="preserve">Cour d'appel de la Nouvelle-Écosse </w:t>
            </w:r>
          </w:p>
          <w:p w:rsidR="0007151E" w:rsidRPr="005143FF" w:rsidRDefault="0007151E" w:rsidP="00C3673D">
            <w:pPr>
              <w:jc w:val="both"/>
              <w:rPr>
                <w:rFonts w:eastAsia="Calibri"/>
                <w:sz w:val="20"/>
                <w:lang w:val="fr-CA"/>
              </w:rPr>
            </w:pPr>
            <w:r w:rsidRPr="005143FF">
              <w:rPr>
                <w:rFonts w:eastAsia="Calibri"/>
                <w:sz w:val="20"/>
                <w:lang w:val="fr-CA"/>
              </w:rPr>
              <w:t>(Juges Saunders, Hamilton et Farrar)</w:t>
            </w:r>
          </w:p>
          <w:p w:rsidR="0007151E" w:rsidRPr="005143FF" w:rsidRDefault="0007151E" w:rsidP="00C3673D">
            <w:pPr>
              <w:jc w:val="both"/>
              <w:rPr>
                <w:rFonts w:eastAsia="Calibri"/>
                <w:sz w:val="20"/>
                <w:lang w:val="fr-CA"/>
              </w:rPr>
            </w:pPr>
            <w:r w:rsidRPr="005143FF">
              <w:rPr>
                <w:rFonts w:eastAsia="Calibri"/>
                <w:sz w:val="20"/>
                <w:lang w:val="fr-CA"/>
              </w:rPr>
              <w:t>2013 NSCA 33</w:t>
            </w:r>
          </w:p>
          <w:p w:rsidR="0007151E" w:rsidRPr="005143FF" w:rsidRDefault="0007151E" w:rsidP="00C3673D">
            <w:pPr>
              <w:jc w:val="both"/>
              <w:rPr>
                <w:rFonts w:eastAsia="Calibri"/>
                <w:sz w:val="20"/>
                <w:lang w:val="fr-CA"/>
              </w:rPr>
            </w:pP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Appel rejeté</w:t>
            </w:r>
          </w:p>
          <w:p w:rsidR="0007151E" w:rsidRPr="005143FF" w:rsidRDefault="0007151E" w:rsidP="00C3673D">
            <w:pPr>
              <w:jc w:val="both"/>
              <w:rPr>
                <w:rFonts w:eastAsia="Calibri"/>
                <w:sz w:val="20"/>
                <w:lang w:val="fr-CA"/>
              </w:rPr>
            </w:pPr>
          </w:p>
        </w:tc>
      </w:tr>
      <w:tr w:rsidR="0007151E" w:rsidRPr="005143FF"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6 mai 2013</w:t>
            </w:r>
          </w:p>
          <w:p w:rsidR="0007151E" w:rsidRPr="005143FF" w:rsidRDefault="0007151E" w:rsidP="00C3673D">
            <w:pPr>
              <w:jc w:val="both"/>
              <w:rPr>
                <w:rFonts w:eastAsia="Calibri"/>
                <w:sz w:val="20"/>
                <w:lang w:val="fr-CA"/>
              </w:rPr>
            </w:pPr>
            <w:r w:rsidRPr="005143FF">
              <w:rPr>
                <w:rFonts w:eastAsia="Calibri"/>
                <w:sz w:val="20"/>
                <w:lang w:val="fr-CA"/>
              </w:rPr>
              <w:t>Cour suprême du Canada</w:t>
            </w: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Demande d'autorisation d'appel, déposée</w:t>
            </w:r>
          </w:p>
          <w:p w:rsidR="0007151E" w:rsidRPr="005143FF" w:rsidRDefault="0007151E" w:rsidP="00C3673D">
            <w:pPr>
              <w:jc w:val="both"/>
              <w:rPr>
                <w:rFonts w:eastAsia="Calibri"/>
                <w:sz w:val="20"/>
                <w:lang w:val="fr-CA"/>
              </w:rPr>
            </w:pPr>
          </w:p>
        </w:tc>
      </w:tr>
    </w:tbl>
    <w:p w:rsidR="00332827" w:rsidRDefault="00332827" w:rsidP="00332827">
      <w:pPr>
        <w:rPr>
          <w:sz w:val="20"/>
          <w:szCs w:val="20"/>
        </w:rPr>
      </w:pPr>
    </w:p>
    <w:p w:rsidR="00332827" w:rsidRDefault="005F2BA7" w:rsidP="00332827">
      <w:pPr>
        <w:rPr>
          <w:sz w:val="20"/>
          <w:szCs w:val="20"/>
        </w:rPr>
      </w:pPr>
      <w:r w:rsidRPr="005F2BA7">
        <w:rPr>
          <w:sz w:val="20"/>
          <w:szCs w:val="20"/>
          <w:lang w:val="fr-CA"/>
        </w:rPr>
        <w:pict>
          <v:rect id="_x0000_i1086" style="width:2in;height:1pt" o:hrpct="0" o:hralign="center" o:hrstd="t" o:hrnoshade="t" o:hr="t" fillcolor="black [3213]" stroked="f"/>
        </w:pict>
      </w:r>
    </w:p>
    <w:p w:rsidR="00332827" w:rsidRPr="00332827" w:rsidRDefault="00332827" w:rsidP="0033282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5457" w:rsidRPr="009B1157" w:rsidTr="00C173EE">
        <w:trPr>
          <w:cantSplit/>
        </w:trPr>
        <w:tc>
          <w:tcPr>
            <w:tcW w:w="1458" w:type="dxa"/>
          </w:tcPr>
          <w:p w:rsidR="00575457" w:rsidRPr="009B1157" w:rsidRDefault="00575457" w:rsidP="00C173EE">
            <w:pPr>
              <w:rPr>
                <w:sz w:val="20"/>
                <w:szCs w:val="20"/>
              </w:rPr>
            </w:pPr>
            <w:r w:rsidRPr="009B1157">
              <w:rPr>
                <w:rStyle w:val="SCCFileNumberChar"/>
                <w:sz w:val="20"/>
                <w:szCs w:val="20"/>
              </w:rPr>
              <w:t>35369</w:t>
            </w:r>
          </w:p>
          <w:p w:rsidR="00575457" w:rsidRPr="009B1157" w:rsidRDefault="00575457" w:rsidP="00C173EE">
            <w:pPr>
              <w:rPr>
                <w:b/>
                <w:sz w:val="20"/>
                <w:szCs w:val="20"/>
                <w:lang w:val="fr-CA"/>
              </w:rPr>
            </w:pPr>
          </w:p>
        </w:tc>
        <w:tc>
          <w:tcPr>
            <w:tcW w:w="8118" w:type="dxa"/>
          </w:tcPr>
          <w:p w:rsidR="00575457" w:rsidRPr="009B1157" w:rsidRDefault="00575457" w:rsidP="00C173EE">
            <w:pPr>
              <w:jc w:val="both"/>
              <w:rPr>
                <w:sz w:val="20"/>
                <w:szCs w:val="20"/>
              </w:rPr>
            </w:pPr>
            <w:r w:rsidRPr="00575457">
              <w:rPr>
                <w:rStyle w:val="SCCLsocChar"/>
                <w:sz w:val="20"/>
                <w:szCs w:val="20"/>
                <w:lang w:val="en-CA"/>
              </w:rPr>
              <w:t>Deutsche Lufthansa Aktiengesellschaft v. Bulent Unlu</w:t>
            </w:r>
            <w:r w:rsidR="00050E29">
              <w:rPr>
                <w:rStyle w:val="SCCLsocChar"/>
                <w:sz w:val="20"/>
                <w:szCs w:val="20"/>
                <w:lang w:val="en-CA"/>
              </w:rPr>
              <w:t xml:space="preserve"> and</w:t>
            </w:r>
            <w:r w:rsidRPr="00575457">
              <w:rPr>
                <w:rStyle w:val="SCCLsocChar"/>
                <w:sz w:val="20"/>
                <w:szCs w:val="20"/>
                <w:lang w:val="en-CA"/>
              </w:rPr>
              <w:t xml:space="preserve"> Attorney General of British Columbia</w:t>
            </w:r>
            <w:r w:rsidRPr="009B1157">
              <w:rPr>
                <w:sz w:val="20"/>
                <w:szCs w:val="20"/>
              </w:rPr>
              <w:t xml:space="preserve"> (B.C.) (Civil) (By Leave)</w:t>
            </w:r>
          </w:p>
          <w:p w:rsidR="00575457" w:rsidRPr="009B1157" w:rsidRDefault="00575457" w:rsidP="00C173EE">
            <w:pPr>
              <w:jc w:val="both"/>
              <w:rPr>
                <w:sz w:val="20"/>
                <w:szCs w:val="20"/>
              </w:rPr>
            </w:pPr>
          </w:p>
        </w:tc>
      </w:tr>
      <w:tr w:rsidR="00575457" w:rsidRPr="009B1157" w:rsidTr="00C173EE">
        <w:trPr>
          <w:cantSplit/>
        </w:trPr>
        <w:tc>
          <w:tcPr>
            <w:tcW w:w="1458" w:type="dxa"/>
          </w:tcPr>
          <w:p w:rsidR="00575457" w:rsidRPr="009B1157" w:rsidRDefault="00575457" w:rsidP="00C173EE">
            <w:pPr>
              <w:rPr>
                <w:sz w:val="20"/>
                <w:szCs w:val="20"/>
              </w:rPr>
            </w:pPr>
            <w:r w:rsidRPr="009B1157">
              <w:rPr>
                <w:sz w:val="20"/>
                <w:szCs w:val="20"/>
              </w:rPr>
              <w:t>Coram :</w:t>
            </w:r>
          </w:p>
        </w:tc>
        <w:tc>
          <w:tcPr>
            <w:tcW w:w="8118" w:type="dxa"/>
          </w:tcPr>
          <w:p w:rsidR="00575457" w:rsidRPr="009B1157" w:rsidRDefault="00575457" w:rsidP="00C173EE">
            <w:pPr>
              <w:rPr>
                <w:sz w:val="20"/>
                <w:szCs w:val="20"/>
              </w:rPr>
            </w:pPr>
            <w:r w:rsidRPr="00575457">
              <w:rPr>
                <w:rStyle w:val="SCCCoramChar"/>
                <w:sz w:val="20"/>
                <w:szCs w:val="20"/>
                <w:lang w:val="en-CA"/>
              </w:rPr>
              <w:t>Fish, Rothstein and Moldaver JJ.</w:t>
            </w:r>
          </w:p>
          <w:p w:rsidR="00575457" w:rsidRPr="009B1157" w:rsidRDefault="00575457" w:rsidP="00C173EE">
            <w:pPr>
              <w:rPr>
                <w:sz w:val="20"/>
                <w:szCs w:val="20"/>
                <w:u w:val="single"/>
              </w:rPr>
            </w:pPr>
          </w:p>
        </w:tc>
      </w:tr>
      <w:tr w:rsidR="00575457" w:rsidRPr="007C5A5B" w:rsidTr="00C173EE">
        <w:trPr>
          <w:cantSplit/>
        </w:trPr>
        <w:tc>
          <w:tcPr>
            <w:tcW w:w="9576" w:type="dxa"/>
            <w:gridSpan w:val="2"/>
          </w:tcPr>
          <w:p w:rsidR="00575457" w:rsidRPr="009B1157" w:rsidRDefault="00575457" w:rsidP="00C173EE">
            <w:pPr>
              <w:pStyle w:val="SCCShortJudgment"/>
              <w:rPr>
                <w:szCs w:val="20"/>
              </w:rPr>
            </w:pPr>
            <w:r w:rsidRPr="009B1157">
              <w:rPr>
                <w:szCs w:val="20"/>
              </w:rPr>
              <w:t>The application for leave to appeal from the judgment of the Court of Appeal for British Columbia (Vancouver), Number CA039700, 2013 BCCA 112, dated March 14, 2013, is dismissed with costs to the respondent, Bulent Unlu.</w:t>
            </w:r>
          </w:p>
          <w:p w:rsidR="00575457" w:rsidRPr="009B1157" w:rsidRDefault="00575457" w:rsidP="00C173EE">
            <w:pPr>
              <w:pStyle w:val="SCCShortJudgment"/>
              <w:ind w:firstLine="0"/>
              <w:rPr>
                <w:szCs w:val="20"/>
              </w:rPr>
            </w:pPr>
          </w:p>
          <w:p w:rsidR="00575457" w:rsidRPr="009B1157" w:rsidRDefault="00575457" w:rsidP="00C173EE">
            <w:pPr>
              <w:pStyle w:val="SCCShortJudgment"/>
              <w:rPr>
                <w:szCs w:val="20"/>
                <w:lang w:val="fr-CA"/>
              </w:rPr>
            </w:pPr>
            <w:r w:rsidRPr="009B1157">
              <w:rPr>
                <w:szCs w:val="20"/>
                <w:lang w:val="fr-CA"/>
              </w:rPr>
              <w:t>La demande d’autorisation d’appel de l’arrêt de la Cour d’appel de la Colombie- Britannique (Vancouver), numéro CA039700, 2013 BCCA 112, daté du 14 mars 2013, est rejetée avec dépens en faveur de l’intimé, Bulent Unlu.</w:t>
            </w:r>
          </w:p>
        </w:tc>
      </w:tr>
    </w:tbl>
    <w:p w:rsidR="00332827" w:rsidRPr="0016547E" w:rsidRDefault="00332827" w:rsidP="00332827">
      <w:pPr>
        <w:rPr>
          <w:sz w:val="20"/>
          <w:szCs w:val="20"/>
          <w:lang w:val="fr-CA"/>
        </w:rPr>
      </w:pPr>
    </w:p>
    <w:p w:rsidR="00332827" w:rsidRPr="001B157C" w:rsidRDefault="00332827" w:rsidP="00332827">
      <w:pPr>
        <w:rPr>
          <w:sz w:val="20"/>
          <w:szCs w:val="20"/>
          <w:u w:val="single"/>
        </w:rPr>
      </w:pPr>
      <w:r w:rsidRPr="001B157C">
        <w:rPr>
          <w:sz w:val="20"/>
          <w:szCs w:val="20"/>
          <w:u w:val="single"/>
        </w:rPr>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C3673D">
        <w:tc>
          <w:tcPr>
            <w:tcW w:w="5000" w:type="pct"/>
            <w:gridSpan w:val="3"/>
          </w:tcPr>
          <w:p w:rsidR="0007151E" w:rsidRPr="005143FF" w:rsidRDefault="0007151E" w:rsidP="00C3673D">
            <w:pPr>
              <w:jc w:val="both"/>
              <w:rPr>
                <w:rFonts w:eastAsia="Calibri"/>
                <w:sz w:val="20"/>
              </w:rPr>
            </w:pPr>
            <w:r w:rsidRPr="005143FF">
              <w:rPr>
                <w:rFonts w:eastAsia="Calibri"/>
                <w:sz w:val="20"/>
              </w:rPr>
              <w:t xml:space="preserve">Constitutional law – Division of powers – Federal paramountcy – Whether Court of Appeal erred in holding that the </w:t>
            </w:r>
            <w:r w:rsidRPr="005143FF">
              <w:rPr>
                <w:rFonts w:eastAsia="Calibri"/>
                <w:i/>
                <w:sz w:val="20"/>
              </w:rPr>
              <w:t>Business Practices and Consumer Protection Act</w:t>
            </w:r>
            <w:r w:rsidRPr="005143FF">
              <w:rPr>
                <w:rFonts w:eastAsia="Calibri"/>
                <w:sz w:val="20"/>
              </w:rPr>
              <w:t xml:space="preserve">, S.B.C. 2004, c. 2 was constitutionally operable and applicable to the conduct alleged by the respondent, Mr. Unlu – Whether Court of Appeal erred in holding that the </w:t>
            </w:r>
            <w:r w:rsidRPr="005143FF">
              <w:rPr>
                <w:rFonts w:eastAsia="Calibri"/>
                <w:i/>
                <w:sz w:val="20"/>
              </w:rPr>
              <w:t>Act</w:t>
            </w:r>
            <w:r w:rsidRPr="005143FF">
              <w:rPr>
                <w:rFonts w:eastAsia="Calibri"/>
                <w:sz w:val="20"/>
              </w:rPr>
              <w:t xml:space="preserve"> was not rendered inoperable or inapplicable by virtue of doctrine of paramountcy or doctrine of interjurisdictional immunity</w:t>
            </w:r>
          </w:p>
        </w:tc>
      </w:tr>
      <w:tr w:rsidR="0007151E" w:rsidRPr="005143FF" w:rsidTr="00C3673D">
        <w:tc>
          <w:tcPr>
            <w:tcW w:w="5000" w:type="pct"/>
            <w:gridSpan w:val="3"/>
          </w:tcPr>
          <w:p w:rsidR="0007151E" w:rsidRPr="005143FF" w:rsidRDefault="0007151E" w:rsidP="00C3673D">
            <w:pPr>
              <w:jc w:val="both"/>
              <w:rPr>
                <w:rFonts w:eastAsia="Calibri"/>
                <w:sz w:val="20"/>
              </w:rPr>
            </w:pPr>
          </w:p>
        </w:tc>
      </w:tr>
      <w:tr w:rsidR="0007151E" w:rsidRPr="005143FF" w:rsidTr="00C3673D">
        <w:tc>
          <w:tcPr>
            <w:tcW w:w="5000" w:type="pct"/>
            <w:gridSpan w:val="3"/>
          </w:tcPr>
          <w:p w:rsidR="0007151E" w:rsidRPr="005143FF" w:rsidRDefault="0007151E" w:rsidP="00C3673D">
            <w:pPr>
              <w:jc w:val="both"/>
              <w:rPr>
                <w:color w:val="000000"/>
                <w:sz w:val="20"/>
              </w:rPr>
            </w:pPr>
            <w:r w:rsidRPr="005143FF">
              <w:rPr>
                <w:color w:val="000000"/>
                <w:sz w:val="20"/>
              </w:rPr>
              <w:t xml:space="preserve">The representative plaintiff, Mr. Unlu, in proposed class proceedings asserted that by including an international fuel surcharge coded as "YQ" within the tax portion of his electronic airline tickets, the defendants Air Canada and Deutsche Lufthansa Aktiengesellschaft (the “Airlines”) engaged in a deceptive act or practice, contrary to the </w:t>
            </w:r>
            <w:r w:rsidRPr="005143FF">
              <w:rPr>
                <w:bCs/>
                <w:i/>
                <w:iCs/>
                <w:color w:val="000000"/>
                <w:sz w:val="20"/>
              </w:rPr>
              <w:t>Business Practices and Consumer Protection Act</w:t>
            </w:r>
            <w:r w:rsidRPr="005143FF">
              <w:rPr>
                <w:color w:val="000000"/>
                <w:sz w:val="20"/>
              </w:rPr>
              <w:t xml:space="preserve"> (the "</w:t>
            </w:r>
            <w:r w:rsidRPr="005143FF">
              <w:rPr>
                <w:bCs/>
                <w:i/>
                <w:iCs/>
                <w:color w:val="000000"/>
                <w:sz w:val="20"/>
              </w:rPr>
              <w:t>BPCPA</w:t>
            </w:r>
            <w:r w:rsidRPr="005143FF">
              <w:rPr>
                <w:color w:val="000000"/>
                <w:sz w:val="20"/>
              </w:rPr>
              <w:t xml:space="preserve">").  Mr. Unlu alleged that the Airlines falsely represented that the "YQ" charge was a tax charged and collected by the Airlines on behalf of a third-party government body, rather than a surcharge collected for the Airlines themselves.  The Airlines denied Mr. Unlu's allegations and asserted that the </w:t>
            </w:r>
            <w:r w:rsidRPr="005143FF">
              <w:rPr>
                <w:bCs/>
                <w:i/>
                <w:iCs/>
                <w:color w:val="000000"/>
                <w:sz w:val="20"/>
              </w:rPr>
              <w:t>BPCPA</w:t>
            </w:r>
            <w:r w:rsidRPr="005143FF">
              <w:rPr>
                <w:b/>
                <w:color w:val="000000"/>
                <w:sz w:val="20"/>
              </w:rPr>
              <w:t xml:space="preserve"> </w:t>
            </w:r>
            <w:r w:rsidRPr="005143FF">
              <w:rPr>
                <w:color w:val="000000"/>
                <w:sz w:val="20"/>
              </w:rPr>
              <w:t xml:space="preserve">was constitutionally inapplicable to airline ticketing </w:t>
            </w:r>
            <w:proofErr w:type="gramStart"/>
            <w:r w:rsidRPr="005143FF">
              <w:rPr>
                <w:color w:val="000000"/>
                <w:sz w:val="20"/>
              </w:rPr>
              <w:t>practices,</w:t>
            </w:r>
            <w:proofErr w:type="gramEnd"/>
            <w:r w:rsidRPr="005143FF">
              <w:rPr>
                <w:color w:val="000000"/>
                <w:sz w:val="20"/>
              </w:rPr>
              <w:t xml:space="preserve"> and inapplicable to them because they were federally regulated undertakings.  The Airlines filed and served a Notice of Constitutional Question.</w:t>
            </w:r>
            <w:bookmarkStart w:id="2" w:name="PNUM_4"/>
            <w:r w:rsidRPr="005143FF">
              <w:rPr>
                <w:color w:val="000000"/>
                <w:sz w:val="20"/>
              </w:rPr>
              <w:t xml:space="preserve"> </w:t>
            </w:r>
            <w:r w:rsidRPr="005143FF">
              <w:rPr>
                <w:b/>
                <w:bCs/>
                <w:color w:val="000000"/>
                <w:sz w:val="20"/>
              </w:rPr>
              <w:t xml:space="preserve"> </w:t>
            </w:r>
            <w:bookmarkEnd w:id="2"/>
            <w:r w:rsidRPr="005143FF">
              <w:rPr>
                <w:color w:val="000000"/>
                <w:sz w:val="20"/>
              </w:rPr>
              <w:t xml:space="preserve">They applied for a summary trial and sought declarations that the </w:t>
            </w:r>
            <w:r w:rsidRPr="005143FF">
              <w:rPr>
                <w:bCs/>
                <w:i/>
                <w:iCs/>
                <w:color w:val="000000"/>
                <w:sz w:val="20"/>
              </w:rPr>
              <w:t>BPCPA</w:t>
            </w:r>
            <w:r w:rsidRPr="005143FF">
              <w:rPr>
                <w:b/>
                <w:color w:val="000000"/>
                <w:sz w:val="20"/>
              </w:rPr>
              <w:t xml:space="preserve"> </w:t>
            </w:r>
            <w:r w:rsidRPr="005143FF">
              <w:rPr>
                <w:color w:val="000000"/>
                <w:sz w:val="20"/>
              </w:rPr>
              <w:t>was constitutionally inapplicable to them by virtue of the doctrine of paramountcy, or, alternatively, the doctrine of interjurisdictional immunity.  The Airlines submitted that if they obtained the declarations they sought, Mr. Unlu’s actions had to be dismissed.</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lastRenderedPageBreak/>
              <w:t>January 18, 2012</w:t>
            </w:r>
          </w:p>
          <w:p w:rsidR="0007151E" w:rsidRPr="005143FF" w:rsidRDefault="0007151E" w:rsidP="00C3673D">
            <w:pPr>
              <w:jc w:val="both"/>
              <w:rPr>
                <w:rFonts w:eastAsia="Calibri"/>
                <w:sz w:val="20"/>
              </w:rPr>
            </w:pPr>
            <w:r w:rsidRPr="005143FF">
              <w:rPr>
                <w:rFonts w:eastAsia="Calibri"/>
                <w:sz w:val="20"/>
              </w:rPr>
              <w:t>Supreme Court of British Columbia</w:t>
            </w:r>
          </w:p>
          <w:p w:rsidR="0007151E" w:rsidRPr="005143FF" w:rsidRDefault="0007151E" w:rsidP="00C3673D">
            <w:pPr>
              <w:jc w:val="both"/>
              <w:rPr>
                <w:rFonts w:eastAsia="Calibri"/>
                <w:sz w:val="20"/>
              </w:rPr>
            </w:pPr>
            <w:r w:rsidRPr="005143FF">
              <w:rPr>
                <w:rFonts w:eastAsia="Calibri"/>
                <w:sz w:val="20"/>
              </w:rPr>
              <w:t>(Adair J.)</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 xml:space="preserve">Airline’s application for declaration that </w:t>
            </w:r>
            <w:r w:rsidRPr="005143FF">
              <w:rPr>
                <w:rFonts w:eastAsia="Calibri"/>
                <w:i/>
                <w:sz w:val="20"/>
              </w:rPr>
              <w:t>Business Practices and Consumer Protection Act</w:t>
            </w:r>
            <w:r w:rsidRPr="005143FF">
              <w:rPr>
                <w:rFonts w:eastAsia="Calibri"/>
                <w:sz w:val="20"/>
              </w:rPr>
              <w:t xml:space="preserve"> was constitutionally inapplicable to it dismissed</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March 14, 2013</w:t>
            </w:r>
          </w:p>
          <w:p w:rsidR="0007151E" w:rsidRPr="005143FF" w:rsidRDefault="0007151E" w:rsidP="00C3673D">
            <w:pPr>
              <w:jc w:val="both"/>
              <w:rPr>
                <w:rFonts w:eastAsia="Calibri"/>
                <w:sz w:val="20"/>
              </w:rPr>
            </w:pPr>
            <w:r w:rsidRPr="005143FF">
              <w:rPr>
                <w:rFonts w:eastAsia="Calibri"/>
                <w:sz w:val="20"/>
              </w:rPr>
              <w:t xml:space="preserve">Court of Appeal for British Columbia </w:t>
            </w:r>
          </w:p>
          <w:p w:rsidR="0007151E" w:rsidRPr="005143FF" w:rsidRDefault="0007151E" w:rsidP="00C3673D">
            <w:pPr>
              <w:jc w:val="both"/>
              <w:rPr>
                <w:rFonts w:eastAsia="Calibri"/>
                <w:sz w:val="20"/>
              </w:rPr>
            </w:pPr>
            <w:r w:rsidRPr="005143FF">
              <w:rPr>
                <w:rFonts w:eastAsia="Calibri"/>
                <w:sz w:val="20"/>
              </w:rPr>
              <w:t>(Vancouver)</w:t>
            </w:r>
          </w:p>
          <w:p w:rsidR="0007151E" w:rsidRPr="005143FF" w:rsidRDefault="0007151E" w:rsidP="00C3673D">
            <w:pPr>
              <w:jc w:val="both"/>
              <w:rPr>
                <w:rFonts w:eastAsia="Calibri"/>
                <w:sz w:val="20"/>
              </w:rPr>
            </w:pPr>
            <w:r w:rsidRPr="005143FF">
              <w:rPr>
                <w:rFonts w:eastAsia="Calibri"/>
                <w:sz w:val="20"/>
              </w:rPr>
              <w:t>(Tysoe, Neilson and Bennett JJ.A.)</w:t>
            </w:r>
          </w:p>
          <w:p w:rsidR="0007151E" w:rsidRPr="005143FF" w:rsidRDefault="0007151E" w:rsidP="00C3673D">
            <w:pPr>
              <w:jc w:val="both"/>
              <w:rPr>
                <w:rFonts w:eastAsia="Calibri"/>
                <w:sz w:val="20"/>
              </w:rPr>
            </w:pPr>
            <w:r w:rsidRPr="005143FF">
              <w:rPr>
                <w:rFonts w:eastAsia="Calibri"/>
                <w:sz w:val="20"/>
              </w:rPr>
              <w:t>2013 BCCA 112</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Appeal dismissed</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May 10, 2013</w:t>
            </w:r>
          </w:p>
          <w:p w:rsidR="0007151E" w:rsidRPr="005143FF" w:rsidRDefault="0007151E" w:rsidP="00C3673D">
            <w:pPr>
              <w:jc w:val="both"/>
              <w:rPr>
                <w:rFonts w:eastAsia="Calibri"/>
                <w:sz w:val="20"/>
              </w:rPr>
            </w:pPr>
            <w:r w:rsidRPr="005143FF">
              <w:rPr>
                <w:rFonts w:eastAsia="Calibri"/>
                <w:sz w:val="20"/>
              </w:rPr>
              <w:t>Supreme Court of Canada</w:t>
            </w: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Application for leave to appeal filed</w:t>
            </w:r>
          </w:p>
          <w:p w:rsidR="0007151E" w:rsidRPr="005143FF" w:rsidRDefault="0007151E" w:rsidP="00C3673D">
            <w:pPr>
              <w:jc w:val="both"/>
              <w:rPr>
                <w:rFonts w:eastAsia="Calibri"/>
                <w:sz w:val="20"/>
              </w:rPr>
            </w:pP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87" style="width:2in;height:1pt" o:hrpct="0" o:hralign="center" o:hrstd="t" o:hrnoshade="t" o:hr="t" fillcolor="black [3213]" stroked="f"/>
        </w:pict>
      </w:r>
    </w:p>
    <w:p w:rsidR="00332827" w:rsidRDefault="00332827" w:rsidP="00332827">
      <w:pPr>
        <w:rPr>
          <w:sz w:val="20"/>
          <w:szCs w:val="20"/>
        </w:rPr>
      </w:pPr>
    </w:p>
    <w:p w:rsidR="00332827" w:rsidRPr="001B157C" w:rsidRDefault="00332827" w:rsidP="00332827">
      <w:pPr>
        <w:rPr>
          <w:sz w:val="20"/>
          <w:szCs w:val="20"/>
          <w:u w:val="single"/>
          <w:lang w:val="fr-CA"/>
        </w:rPr>
      </w:pPr>
      <w:r w:rsidRPr="001B157C">
        <w:rPr>
          <w:sz w:val="20"/>
          <w:szCs w:val="20"/>
          <w:u w:val="single"/>
          <w:lang w:val="fr-CA"/>
        </w:rPr>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7C5A5B"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Droit constitutionnel – Séparation des pouvoirs – Prépondérance fédérale – La Cour d’appel a</w:t>
            </w:r>
            <w:r w:rsidRPr="005143FF">
              <w:rPr>
                <w:rFonts w:eastAsia="Calibri"/>
                <w:sz w:val="20"/>
                <w:lang w:val="fr-CA"/>
              </w:rPr>
              <w:noBreakHyphen/>
              <w:t>t</w:t>
            </w:r>
            <w:r w:rsidRPr="005143FF">
              <w:rPr>
                <w:rFonts w:eastAsia="Calibri"/>
                <w:sz w:val="20"/>
                <w:lang w:val="fr-CA"/>
              </w:rPr>
              <w:noBreakHyphen/>
              <w:t xml:space="preserve">elle fait erreur en concluant que la </w:t>
            </w:r>
            <w:r w:rsidRPr="005143FF">
              <w:rPr>
                <w:rFonts w:eastAsia="Calibri"/>
                <w:i/>
                <w:sz w:val="20"/>
                <w:lang w:val="fr-CA"/>
              </w:rPr>
              <w:t>Business Practices and Consumer Protection Act</w:t>
            </w:r>
            <w:r w:rsidRPr="005143FF">
              <w:rPr>
                <w:rFonts w:eastAsia="Calibri"/>
                <w:sz w:val="20"/>
                <w:lang w:val="fr-CA"/>
              </w:rPr>
              <w:t>, S.B.C. 2004, ch. 2 (« </w:t>
            </w:r>
            <w:r w:rsidRPr="005143FF">
              <w:rPr>
                <w:rFonts w:eastAsia="Calibri"/>
                <w:i/>
                <w:sz w:val="20"/>
                <w:lang w:val="fr-CA"/>
              </w:rPr>
              <w:t>Loi </w:t>
            </w:r>
            <w:r w:rsidRPr="005143FF">
              <w:rPr>
                <w:rFonts w:eastAsia="Calibri"/>
                <w:sz w:val="20"/>
                <w:lang w:val="fr-CA"/>
              </w:rPr>
              <w:t>»), était constitutionnellement opérante et applicable aux actes allégués par M. Unlu, un des intimés? – La Cour d’appel a</w:t>
            </w:r>
            <w:r w:rsidRPr="005143FF">
              <w:rPr>
                <w:rFonts w:eastAsia="Calibri"/>
                <w:sz w:val="20"/>
                <w:lang w:val="fr-CA"/>
              </w:rPr>
              <w:noBreakHyphen/>
              <w:t>t</w:t>
            </w:r>
            <w:r w:rsidRPr="005143FF">
              <w:rPr>
                <w:rFonts w:eastAsia="Calibri"/>
                <w:sz w:val="20"/>
                <w:lang w:val="fr-CA"/>
              </w:rPr>
              <w:noBreakHyphen/>
              <w:t xml:space="preserve">elle commis une erreur en concluant que la </w:t>
            </w:r>
            <w:r w:rsidRPr="005143FF">
              <w:rPr>
                <w:rFonts w:eastAsia="Calibri"/>
                <w:i/>
                <w:sz w:val="20"/>
                <w:lang w:val="fr-CA"/>
              </w:rPr>
              <w:t>Loi</w:t>
            </w:r>
            <w:r w:rsidRPr="005143FF">
              <w:rPr>
                <w:rFonts w:eastAsia="Calibri"/>
                <w:sz w:val="20"/>
                <w:lang w:val="fr-CA"/>
              </w:rPr>
              <w:t xml:space="preserve"> n’était pas inopérante ou inapplicable du fait de la doctrine de la prépondérance fédérale ou de celle de l’exclusivité des compétences? </w:t>
            </w:r>
          </w:p>
        </w:tc>
      </w:tr>
      <w:tr w:rsidR="0007151E" w:rsidRPr="007C5A5B" w:rsidTr="00C3673D">
        <w:tc>
          <w:tcPr>
            <w:tcW w:w="5000" w:type="pct"/>
            <w:gridSpan w:val="3"/>
          </w:tcPr>
          <w:p w:rsidR="0007151E" w:rsidRPr="005143FF" w:rsidRDefault="0007151E" w:rsidP="00C3673D">
            <w:pPr>
              <w:jc w:val="both"/>
              <w:rPr>
                <w:rFonts w:eastAsia="Calibri"/>
                <w:sz w:val="20"/>
                <w:lang w:val="fr-CA"/>
              </w:rPr>
            </w:pPr>
          </w:p>
        </w:tc>
      </w:tr>
      <w:tr w:rsidR="0007151E" w:rsidRPr="007C5A5B" w:rsidTr="00C3673D">
        <w:tc>
          <w:tcPr>
            <w:tcW w:w="5000" w:type="pct"/>
            <w:gridSpan w:val="3"/>
          </w:tcPr>
          <w:p w:rsidR="0007151E" w:rsidRPr="005143FF" w:rsidRDefault="0007151E" w:rsidP="00C3673D">
            <w:pPr>
              <w:jc w:val="both"/>
              <w:rPr>
                <w:color w:val="000000"/>
                <w:sz w:val="20"/>
                <w:lang w:val="fr-CA"/>
              </w:rPr>
            </w:pPr>
            <w:r w:rsidRPr="005143FF">
              <w:rPr>
                <w:color w:val="000000"/>
                <w:sz w:val="20"/>
                <w:lang w:val="fr-CA"/>
              </w:rPr>
              <w:t xml:space="preserve">M. Unlu, le représentant des demandeurs du recours collectif projeté, a affirmé qu’en ajoutant un supplément désigné par le code « YQ » pour le carburant à l’égard de leurs vols internationaux aux taxes sur ses billets d’avion électroniques, les défenderesses, Air Canada et Deutsche Lufthansa Aktiengesellschaft (les « lignes aériennes »), se sont livrées à une pratique ou à un acte trompeur, en contravention de la </w:t>
            </w:r>
            <w:r w:rsidRPr="005143FF">
              <w:rPr>
                <w:bCs/>
                <w:i/>
                <w:iCs/>
                <w:color w:val="000000"/>
                <w:sz w:val="20"/>
                <w:lang w:val="fr-CA"/>
              </w:rPr>
              <w:t>Business Practices and Consumer Protection Act</w:t>
            </w:r>
            <w:r w:rsidRPr="005143FF">
              <w:rPr>
                <w:color w:val="000000"/>
                <w:sz w:val="20"/>
                <w:lang w:val="fr-CA"/>
              </w:rPr>
              <w:t xml:space="preserve"> (la « </w:t>
            </w:r>
            <w:r w:rsidRPr="005143FF">
              <w:rPr>
                <w:bCs/>
                <w:i/>
                <w:iCs/>
                <w:color w:val="000000"/>
                <w:sz w:val="20"/>
                <w:lang w:val="fr-CA"/>
              </w:rPr>
              <w:t>BPCPA </w:t>
            </w:r>
            <w:r w:rsidRPr="005143FF">
              <w:rPr>
                <w:bCs/>
                <w:iCs/>
                <w:color w:val="000000"/>
                <w:sz w:val="20"/>
                <w:lang w:val="fr-CA"/>
              </w:rPr>
              <w:t>»</w:t>
            </w:r>
            <w:r w:rsidRPr="005143FF">
              <w:rPr>
                <w:color w:val="000000"/>
                <w:sz w:val="20"/>
                <w:lang w:val="fr-CA"/>
              </w:rPr>
              <w:t>).  Selon M. Unlu, les lignes aériennes ont faussement déclaré que la majoration « YQ » était une taxe imposée et perçue par les lignes aériennes pour le compte d’un organisme gouvernemental tiers plutôt qu’une majoration perçue au profit des lignes aériennes elles</w:t>
            </w:r>
            <w:r w:rsidRPr="005143FF">
              <w:rPr>
                <w:color w:val="000000"/>
                <w:sz w:val="20"/>
                <w:lang w:val="fr-CA"/>
              </w:rPr>
              <w:noBreakHyphen/>
              <w:t xml:space="preserve">mêmes.  Les lignes aériennes ont nié les allégations de M. Unlu et fait valoir que la </w:t>
            </w:r>
            <w:r w:rsidRPr="005143FF">
              <w:rPr>
                <w:bCs/>
                <w:i/>
                <w:iCs/>
                <w:color w:val="000000"/>
                <w:sz w:val="20"/>
                <w:lang w:val="fr-CA"/>
              </w:rPr>
              <w:t>BPCPA</w:t>
            </w:r>
            <w:r w:rsidRPr="005143FF">
              <w:rPr>
                <w:b/>
                <w:color w:val="000000"/>
                <w:sz w:val="20"/>
                <w:lang w:val="fr-CA"/>
              </w:rPr>
              <w:t xml:space="preserve"> </w:t>
            </w:r>
            <w:r w:rsidRPr="005143FF">
              <w:rPr>
                <w:color w:val="000000"/>
                <w:sz w:val="20"/>
                <w:lang w:val="fr-CA"/>
              </w:rPr>
              <w:t>était constitutionnellement</w:t>
            </w:r>
            <w:r w:rsidRPr="005143FF">
              <w:rPr>
                <w:b/>
                <w:color w:val="000000"/>
                <w:sz w:val="20"/>
                <w:lang w:val="fr-CA"/>
              </w:rPr>
              <w:t xml:space="preserve"> </w:t>
            </w:r>
            <w:r w:rsidRPr="005143FF">
              <w:rPr>
                <w:color w:val="000000"/>
                <w:sz w:val="20"/>
                <w:lang w:val="fr-CA"/>
              </w:rPr>
              <w:t>inapplicable</w:t>
            </w:r>
            <w:r w:rsidRPr="005143FF">
              <w:rPr>
                <w:b/>
                <w:color w:val="000000"/>
                <w:sz w:val="20"/>
                <w:lang w:val="fr-CA"/>
              </w:rPr>
              <w:t xml:space="preserve"> </w:t>
            </w:r>
            <w:r w:rsidRPr="005143FF">
              <w:rPr>
                <w:color w:val="000000"/>
                <w:sz w:val="20"/>
                <w:lang w:val="fr-CA"/>
              </w:rPr>
              <w:t>à leurs</w:t>
            </w:r>
            <w:r w:rsidRPr="005143FF">
              <w:rPr>
                <w:b/>
                <w:color w:val="000000"/>
                <w:sz w:val="20"/>
                <w:lang w:val="fr-CA"/>
              </w:rPr>
              <w:t xml:space="preserve"> </w:t>
            </w:r>
            <w:r w:rsidRPr="005143FF">
              <w:rPr>
                <w:color w:val="000000"/>
                <w:sz w:val="20"/>
                <w:lang w:val="fr-CA"/>
              </w:rPr>
              <w:t xml:space="preserve">pratiques en matière de vente de billets d’avion et à elles parce qu’elles sont des entreprises assujetties à la réglementation fédérale.  Les lignes aériennes ont déposé et signifié un avis de question constitutionnelle.  Elles ont demandé la tenue d’un procès sommaire et un jugement déclarant que la </w:t>
            </w:r>
            <w:r w:rsidRPr="005143FF">
              <w:rPr>
                <w:bCs/>
                <w:i/>
                <w:iCs/>
                <w:color w:val="000000"/>
                <w:sz w:val="20"/>
                <w:lang w:val="fr-CA"/>
              </w:rPr>
              <w:t>BPCPA</w:t>
            </w:r>
            <w:r w:rsidRPr="005143FF">
              <w:rPr>
                <w:b/>
                <w:color w:val="000000"/>
                <w:sz w:val="20"/>
                <w:lang w:val="fr-CA"/>
              </w:rPr>
              <w:t xml:space="preserve"> </w:t>
            </w:r>
            <w:r w:rsidRPr="005143FF">
              <w:rPr>
                <w:color w:val="000000"/>
                <w:sz w:val="20"/>
                <w:lang w:val="fr-CA"/>
              </w:rPr>
              <w:t>leur est constitutionnellement inapplicable du fait de la doctrine de la prépondérance fédérale ou, subsidiairement, de la doctrine de l’exclusivité des compétences.  Les lignes aériennes ont soutenu que la poursuite de M. Unlu doit être rejetée si elles obtiennent le jugement déclaratoire qu’elles ont demandé.</w:t>
            </w:r>
          </w:p>
          <w:p w:rsidR="0007151E" w:rsidRPr="005143FF" w:rsidRDefault="0007151E" w:rsidP="00C3673D">
            <w:pPr>
              <w:jc w:val="both"/>
              <w:rPr>
                <w:rFonts w:eastAsia="Calibri"/>
                <w:sz w:val="20"/>
                <w:lang w:val="fr-CA"/>
              </w:rPr>
            </w:pPr>
          </w:p>
        </w:tc>
      </w:tr>
      <w:tr w:rsidR="0007151E" w:rsidRPr="007C5A5B"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18 janvier 2012</w:t>
            </w:r>
          </w:p>
          <w:p w:rsidR="0007151E" w:rsidRPr="005143FF" w:rsidRDefault="0007151E" w:rsidP="00C3673D">
            <w:pPr>
              <w:jc w:val="both"/>
              <w:rPr>
                <w:rFonts w:eastAsia="Calibri"/>
                <w:sz w:val="20"/>
                <w:lang w:val="fr-CA"/>
              </w:rPr>
            </w:pPr>
            <w:r w:rsidRPr="005143FF">
              <w:rPr>
                <w:rFonts w:eastAsia="Calibri"/>
                <w:sz w:val="20"/>
                <w:lang w:val="fr-CA"/>
              </w:rPr>
              <w:t>Cour suprême de la Colombie</w:t>
            </w:r>
            <w:r w:rsidRPr="005143FF">
              <w:rPr>
                <w:rFonts w:eastAsia="Calibri"/>
                <w:sz w:val="20"/>
                <w:lang w:val="fr-CA"/>
              </w:rPr>
              <w:noBreakHyphen/>
              <w:t>Britannique</w:t>
            </w:r>
          </w:p>
          <w:p w:rsidR="0007151E" w:rsidRPr="005143FF" w:rsidRDefault="0007151E" w:rsidP="00C3673D">
            <w:pPr>
              <w:jc w:val="both"/>
              <w:rPr>
                <w:rFonts w:eastAsia="Calibri"/>
                <w:sz w:val="20"/>
              </w:rPr>
            </w:pPr>
            <w:r w:rsidRPr="005143FF">
              <w:rPr>
                <w:rFonts w:eastAsia="Calibri"/>
                <w:sz w:val="20"/>
              </w:rPr>
              <w:t>(Juge Adair)</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 xml:space="preserve">Demande de la ligne aérienne visant à obtenir un jugement déclarant que la </w:t>
            </w:r>
            <w:r w:rsidRPr="005143FF">
              <w:rPr>
                <w:rFonts w:eastAsia="Calibri"/>
                <w:i/>
                <w:sz w:val="20"/>
                <w:lang w:val="fr-CA"/>
              </w:rPr>
              <w:t>Business Practices and Consumer Protection Act</w:t>
            </w:r>
            <w:r w:rsidRPr="005143FF">
              <w:rPr>
                <w:rFonts w:eastAsia="Calibri"/>
                <w:sz w:val="20"/>
                <w:lang w:val="fr-CA"/>
              </w:rPr>
              <w:t xml:space="preserve"> lui est constitutionnellement inapplicable, rejetée</w:t>
            </w:r>
          </w:p>
          <w:p w:rsidR="0007151E" w:rsidRPr="005143FF" w:rsidRDefault="0007151E" w:rsidP="00C3673D">
            <w:pPr>
              <w:jc w:val="both"/>
              <w:rPr>
                <w:rFonts w:eastAsia="Calibri"/>
                <w:sz w:val="20"/>
                <w:lang w:val="fr-CA"/>
              </w:rPr>
            </w:pPr>
          </w:p>
        </w:tc>
      </w:tr>
      <w:tr w:rsidR="0007151E" w:rsidRPr="005143FF"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14 mars 2013</w:t>
            </w:r>
          </w:p>
          <w:p w:rsidR="0007151E" w:rsidRPr="005143FF" w:rsidRDefault="0007151E" w:rsidP="00C3673D">
            <w:pPr>
              <w:jc w:val="both"/>
              <w:rPr>
                <w:rFonts w:eastAsia="Calibri"/>
                <w:sz w:val="20"/>
                <w:lang w:val="fr-CA"/>
              </w:rPr>
            </w:pPr>
            <w:r w:rsidRPr="005143FF">
              <w:rPr>
                <w:rFonts w:eastAsia="Calibri"/>
                <w:sz w:val="20"/>
                <w:lang w:val="fr-CA"/>
              </w:rPr>
              <w:t>Cour d’appel de la Colombie</w:t>
            </w:r>
            <w:r w:rsidRPr="005143FF">
              <w:rPr>
                <w:rFonts w:eastAsia="Calibri"/>
                <w:sz w:val="20"/>
                <w:lang w:val="fr-CA"/>
              </w:rPr>
              <w:noBreakHyphen/>
              <w:t>Britannique</w:t>
            </w:r>
          </w:p>
          <w:p w:rsidR="0007151E" w:rsidRPr="005143FF" w:rsidRDefault="0007151E" w:rsidP="00C3673D">
            <w:pPr>
              <w:jc w:val="both"/>
              <w:rPr>
                <w:rFonts w:eastAsia="Calibri"/>
                <w:sz w:val="20"/>
                <w:lang w:val="fr-CA"/>
              </w:rPr>
            </w:pPr>
            <w:r w:rsidRPr="005143FF">
              <w:rPr>
                <w:rFonts w:eastAsia="Calibri"/>
                <w:sz w:val="20"/>
                <w:lang w:val="fr-CA"/>
              </w:rPr>
              <w:t>(Vancouver)</w:t>
            </w:r>
          </w:p>
          <w:p w:rsidR="0007151E" w:rsidRPr="005143FF" w:rsidRDefault="0007151E" w:rsidP="00C3673D">
            <w:pPr>
              <w:jc w:val="both"/>
              <w:rPr>
                <w:rFonts w:eastAsia="Calibri"/>
                <w:sz w:val="20"/>
                <w:lang w:val="fr-CA"/>
              </w:rPr>
            </w:pPr>
            <w:r w:rsidRPr="005143FF">
              <w:rPr>
                <w:rFonts w:eastAsia="Calibri"/>
                <w:sz w:val="20"/>
                <w:lang w:val="fr-CA"/>
              </w:rPr>
              <w:t>(Juges Tysoe, Neilson et Bennett)</w:t>
            </w:r>
          </w:p>
          <w:p w:rsidR="0007151E" w:rsidRPr="005143FF" w:rsidRDefault="0007151E" w:rsidP="00C3673D">
            <w:pPr>
              <w:jc w:val="both"/>
              <w:rPr>
                <w:rFonts w:eastAsia="Calibri"/>
                <w:sz w:val="20"/>
              </w:rPr>
            </w:pPr>
            <w:r w:rsidRPr="005143FF">
              <w:rPr>
                <w:rFonts w:eastAsia="Calibri"/>
                <w:sz w:val="20"/>
              </w:rPr>
              <w:t>2013 BCCA 112</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Appel rejeté</w:t>
            </w:r>
          </w:p>
          <w:p w:rsidR="0007151E" w:rsidRPr="005143FF" w:rsidRDefault="0007151E" w:rsidP="00C3673D">
            <w:pPr>
              <w:jc w:val="both"/>
              <w:rPr>
                <w:rFonts w:eastAsia="Calibri"/>
                <w:sz w:val="20"/>
              </w:rPr>
            </w:pPr>
          </w:p>
        </w:tc>
      </w:tr>
      <w:tr w:rsidR="0007151E" w:rsidRPr="005143FF" w:rsidTr="00912980">
        <w:trPr>
          <w:cantSplit/>
        </w:trPr>
        <w:tc>
          <w:tcPr>
            <w:tcW w:w="2427" w:type="pct"/>
          </w:tcPr>
          <w:p w:rsidR="0007151E" w:rsidRPr="005143FF" w:rsidRDefault="0007151E" w:rsidP="00C3673D">
            <w:pPr>
              <w:jc w:val="both"/>
              <w:rPr>
                <w:rFonts w:eastAsia="Calibri"/>
                <w:sz w:val="20"/>
                <w:lang w:val="fr-CA"/>
              </w:rPr>
            </w:pPr>
            <w:r w:rsidRPr="005143FF">
              <w:rPr>
                <w:rFonts w:eastAsia="Calibri"/>
                <w:sz w:val="20"/>
                <w:lang w:val="fr-CA"/>
              </w:rPr>
              <w:lastRenderedPageBreak/>
              <w:t>10 mai 2013</w:t>
            </w:r>
          </w:p>
          <w:p w:rsidR="0007151E" w:rsidRPr="005143FF" w:rsidRDefault="0007151E" w:rsidP="00C3673D">
            <w:pPr>
              <w:jc w:val="both"/>
              <w:rPr>
                <w:rFonts w:eastAsia="Calibri"/>
                <w:sz w:val="20"/>
                <w:lang w:val="fr-CA"/>
              </w:rPr>
            </w:pPr>
            <w:r w:rsidRPr="005143FF">
              <w:rPr>
                <w:rFonts w:eastAsia="Calibri"/>
                <w:sz w:val="20"/>
                <w:lang w:val="fr-CA"/>
              </w:rPr>
              <w:t>Cour suprême du Canada</w:t>
            </w: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rPr>
            </w:pPr>
            <w:r w:rsidRPr="005143FF">
              <w:rPr>
                <w:rFonts w:eastAsia="Calibri"/>
                <w:sz w:val="20"/>
              </w:rPr>
              <w:t xml:space="preserve">Demande d’autorisation d’appel déposée </w:t>
            </w:r>
          </w:p>
        </w:tc>
      </w:tr>
    </w:tbl>
    <w:p w:rsidR="00332827" w:rsidRDefault="00332827" w:rsidP="00332827">
      <w:pPr>
        <w:rPr>
          <w:sz w:val="20"/>
          <w:szCs w:val="20"/>
        </w:rPr>
      </w:pPr>
    </w:p>
    <w:p w:rsidR="00332827" w:rsidRDefault="005F2BA7" w:rsidP="00332827">
      <w:pPr>
        <w:rPr>
          <w:sz w:val="20"/>
          <w:szCs w:val="20"/>
        </w:rPr>
      </w:pPr>
      <w:r w:rsidRPr="005F2BA7">
        <w:rPr>
          <w:sz w:val="20"/>
          <w:szCs w:val="20"/>
          <w:lang w:val="fr-CA"/>
        </w:rPr>
        <w:pict>
          <v:rect id="_x0000_i1088" style="width:2in;height:1pt" o:hrpct="0" o:hralign="center" o:hrstd="t" o:hrnoshade="t" o:hr="t" fillcolor="black [3213]" stroked="f"/>
        </w:pict>
      </w:r>
    </w:p>
    <w:p w:rsidR="00332827" w:rsidRPr="00332827" w:rsidRDefault="00332827" w:rsidP="0033282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5457" w:rsidRPr="009B1157" w:rsidTr="00C173EE">
        <w:trPr>
          <w:cantSplit/>
        </w:trPr>
        <w:tc>
          <w:tcPr>
            <w:tcW w:w="1458" w:type="dxa"/>
          </w:tcPr>
          <w:p w:rsidR="00575457" w:rsidRPr="009B1157" w:rsidRDefault="00575457" w:rsidP="00C173EE">
            <w:pPr>
              <w:rPr>
                <w:sz w:val="20"/>
                <w:szCs w:val="20"/>
              </w:rPr>
            </w:pPr>
            <w:r w:rsidRPr="009B1157">
              <w:rPr>
                <w:rStyle w:val="SCCFileNumberChar"/>
                <w:sz w:val="20"/>
                <w:szCs w:val="20"/>
              </w:rPr>
              <w:t>35370</w:t>
            </w:r>
          </w:p>
          <w:p w:rsidR="00575457" w:rsidRPr="009B1157" w:rsidRDefault="00575457" w:rsidP="00C173EE">
            <w:pPr>
              <w:rPr>
                <w:b/>
                <w:sz w:val="20"/>
                <w:szCs w:val="20"/>
                <w:lang w:val="fr-CA"/>
              </w:rPr>
            </w:pPr>
          </w:p>
        </w:tc>
        <w:tc>
          <w:tcPr>
            <w:tcW w:w="8118" w:type="dxa"/>
          </w:tcPr>
          <w:p w:rsidR="00575457" w:rsidRPr="009B1157" w:rsidRDefault="00575457" w:rsidP="00FF3DAC">
            <w:pPr>
              <w:jc w:val="both"/>
              <w:rPr>
                <w:sz w:val="20"/>
                <w:szCs w:val="20"/>
              </w:rPr>
            </w:pPr>
            <w:r w:rsidRPr="00575457">
              <w:rPr>
                <w:rStyle w:val="SCCLsocChar"/>
                <w:sz w:val="20"/>
                <w:szCs w:val="20"/>
                <w:lang w:val="en-CA"/>
              </w:rPr>
              <w:t>Air Canada v. Bulent Unlu</w:t>
            </w:r>
            <w:r w:rsidR="00FF3DAC">
              <w:rPr>
                <w:rStyle w:val="SCCLsocChar"/>
                <w:sz w:val="20"/>
                <w:szCs w:val="20"/>
                <w:lang w:val="en-CA"/>
              </w:rPr>
              <w:t xml:space="preserve"> and </w:t>
            </w:r>
            <w:r w:rsidRPr="00575457">
              <w:rPr>
                <w:rStyle w:val="SCCLsocChar"/>
                <w:sz w:val="20"/>
                <w:szCs w:val="20"/>
                <w:lang w:val="en-CA"/>
              </w:rPr>
              <w:t>Attorney General of British Columbia</w:t>
            </w:r>
            <w:r w:rsidRPr="009B1157">
              <w:rPr>
                <w:sz w:val="20"/>
                <w:szCs w:val="20"/>
              </w:rPr>
              <w:t xml:space="preserve"> (B.C.) (Civil) (By</w:t>
            </w:r>
            <w:r w:rsidR="00FF3DAC">
              <w:rPr>
                <w:sz w:val="20"/>
                <w:szCs w:val="20"/>
              </w:rPr>
              <w:t> </w:t>
            </w:r>
            <w:r w:rsidRPr="009B1157">
              <w:rPr>
                <w:sz w:val="20"/>
                <w:szCs w:val="20"/>
              </w:rPr>
              <w:t>Leave)</w:t>
            </w:r>
          </w:p>
          <w:p w:rsidR="00575457" w:rsidRPr="009B1157" w:rsidRDefault="00575457" w:rsidP="00FF3DAC">
            <w:pPr>
              <w:jc w:val="both"/>
              <w:rPr>
                <w:sz w:val="20"/>
                <w:szCs w:val="20"/>
              </w:rPr>
            </w:pPr>
          </w:p>
        </w:tc>
      </w:tr>
      <w:tr w:rsidR="00575457" w:rsidRPr="009B1157" w:rsidTr="00C173EE">
        <w:trPr>
          <w:cantSplit/>
        </w:trPr>
        <w:tc>
          <w:tcPr>
            <w:tcW w:w="1458" w:type="dxa"/>
          </w:tcPr>
          <w:p w:rsidR="00575457" w:rsidRPr="009B1157" w:rsidRDefault="00575457" w:rsidP="00C173EE">
            <w:pPr>
              <w:rPr>
                <w:sz w:val="20"/>
                <w:szCs w:val="20"/>
              </w:rPr>
            </w:pPr>
            <w:r w:rsidRPr="009B1157">
              <w:rPr>
                <w:sz w:val="20"/>
                <w:szCs w:val="20"/>
              </w:rPr>
              <w:t>Coram :</w:t>
            </w:r>
          </w:p>
        </w:tc>
        <w:tc>
          <w:tcPr>
            <w:tcW w:w="8118" w:type="dxa"/>
          </w:tcPr>
          <w:p w:rsidR="00575457" w:rsidRPr="009B1157" w:rsidRDefault="00575457" w:rsidP="00C173EE">
            <w:pPr>
              <w:rPr>
                <w:sz w:val="20"/>
                <w:szCs w:val="20"/>
              </w:rPr>
            </w:pPr>
            <w:r w:rsidRPr="00575457">
              <w:rPr>
                <w:rStyle w:val="SCCCoramChar"/>
                <w:sz w:val="20"/>
                <w:szCs w:val="20"/>
                <w:lang w:val="en-CA"/>
              </w:rPr>
              <w:t>Fish, Rothstein and Moldaver JJ.</w:t>
            </w:r>
          </w:p>
          <w:p w:rsidR="00575457" w:rsidRPr="009B1157" w:rsidRDefault="00575457" w:rsidP="00C173EE">
            <w:pPr>
              <w:rPr>
                <w:sz w:val="20"/>
                <w:szCs w:val="20"/>
                <w:u w:val="single"/>
              </w:rPr>
            </w:pPr>
          </w:p>
        </w:tc>
      </w:tr>
      <w:tr w:rsidR="00575457" w:rsidRPr="007C5A5B" w:rsidTr="00C173EE">
        <w:trPr>
          <w:cantSplit/>
        </w:trPr>
        <w:tc>
          <w:tcPr>
            <w:tcW w:w="9576" w:type="dxa"/>
            <w:gridSpan w:val="2"/>
          </w:tcPr>
          <w:p w:rsidR="00575457" w:rsidRPr="009B1157" w:rsidRDefault="00575457" w:rsidP="00C173EE">
            <w:pPr>
              <w:pStyle w:val="SCCShortJudgment"/>
              <w:rPr>
                <w:szCs w:val="20"/>
              </w:rPr>
            </w:pPr>
            <w:r w:rsidRPr="009B1157">
              <w:rPr>
                <w:szCs w:val="20"/>
              </w:rPr>
              <w:t>The application for leave to appeal from the judgment of the Court of Appeal for British Columbia (Vancouver), Number CA039699, 2013 BCCA 112, dated March 14, 2013 is dismissed with costs to the respondent, Bulent Unlu.</w:t>
            </w:r>
          </w:p>
          <w:p w:rsidR="00575457" w:rsidRPr="009B1157" w:rsidRDefault="00575457" w:rsidP="00C173EE">
            <w:pPr>
              <w:pStyle w:val="SCCShortJudgment"/>
              <w:ind w:firstLine="0"/>
              <w:rPr>
                <w:szCs w:val="20"/>
              </w:rPr>
            </w:pPr>
          </w:p>
          <w:p w:rsidR="00575457" w:rsidRPr="009B1157" w:rsidRDefault="00575457" w:rsidP="00C173EE">
            <w:pPr>
              <w:pStyle w:val="SCCShortJudgment"/>
              <w:rPr>
                <w:szCs w:val="20"/>
                <w:lang w:val="fr-CA"/>
              </w:rPr>
            </w:pPr>
            <w:r w:rsidRPr="009B1157">
              <w:rPr>
                <w:szCs w:val="20"/>
                <w:lang w:val="fr-CA"/>
              </w:rPr>
              <w:t>La demande d’autorisation d’appel de l’arrêt de la Cour d’appel de la Colombie-Britannique (Vancouver), numéro CA039699, 2013 BCCA 112, daté du 14 mars 2013, est rejetée avec dépens en faveur de l’intimé, Bulent Unlu.</w:t>
            </w:r>
          </w:p>
        </w:tc>
      </w:tr>
    </w:tbl>
    <w:p w:rsidR="00332827" w:rsidRPr="0016547E" w:rsidRDefault="00332827" w:rsidP="00332827">
      <w:pPr>
        <w:rPr>
          <w:sz w:val="20"/>
          <w:szCs w:val="20"/>
          <w:lang w:val="fr-CA"/>
        </w:rPr>
      </w:pPr>
    </w:p>
    <w:p w:rsidR="00332827" w:rsidRPr="001B157C" w:rsidRDefault="00332827" w:rsidP="00332827">
      <w:pPr>
        <w:rPr>
          <w:sz w:val="20"/>
          <w:szCs w:val="20"/>
          <w:u w:val="single"/>
        </w:rPr>
      </w:pPr>
      <w:r w:rsidRPr="001B157C">
        <w:rPr>
          <w:sz w:val="20"/>
          <w:szCs w:val="20"/>
          <w:u w:val="single"/>
        </w:rPr>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C3673D">
        <w:tc>
          <w:tcPr>
            <w:tcW w:w="5000" w:type="pct"/>
            <w:gridSpan w:val="3"/>
          </w:tcPr>
          <w:p w:rsidR="0007151E" w:rsidRPr="005143FF" w:rsidRDefault="0007151E" w:rsidP="00C3673D">
            <w:pPr>
              <w:jc w:val="both"/>
              <w:rPr>
                <w:rFonts w:eastAsia="Calibri"/>
                <w:sz w:val="20"/>
              </w:rPr>
            </w:pPr>
            <w:r w:rsidRPr="005143FF">
              <w:rPr>
                <w:rFonts w:eastAsia="Calibri"/>
                <w:sz w:val="20"/>
              </w:rPr>
              <w:t xml:space="preserve">Constitutional law – Division of powers – Federal paramountcy – Whether the Court of Appeal erred in holding that the </w:t>
            </w:r>
            <w:r w:rsidRPr="005143FF">
              <w:rPr>
                <w:rFonts w:eastAsia="Calibri"/>
                <w:i/>
                <w:sz w:val="20"/>
              </w:rPr>
              <w:t>Business Practices and Consumer Protection Act</w:t>
            </w:r>
            <w:r w:rsidRPr="005143FF">
              <w:rPr>
                <w:rFonts w:eastAsia="Calibri"/>
                <w:sz w:val="20"/>
              </w:rPr>
              <w:t>, S.B.C. 2004, c. 2 (“</w:t>
            </w:r>
            <w:r w:rsidRPr="005143FF">
              <w:rPr>
                <w:rFonts w:eastAsia="Calibri"/>
                <w:i/>
                <w:sz w:val="20"/>
              </w:rPr>
              <w:t>Act</w:t>
            </w:r>
            <w:r w:rsidRPr="005143FF">
              <w:rPr>
                <w:rFonts w:eastAsia="Calibri"/>
                <w:sz w:val="20"/>
              </w:rPr>
              <w:t xml:space="preserve">”) was constitutionally operable and applicable to the conduct alleged by the respondent, Mr. Unlu, against the applicant, and in particular erred by holding that the </w:t>
            </w:r>
            <w:r w:rsidRPr="005143FF">
              <w:rPr>
                <w:rFonts w:eastAsia="Calibri"/>
                <w:i/>
                <w:sz w:val="20"/>
              </w:rPr>
              <w:t>Act</w:t>
            </w:r>
            <w:r w:rsidRPr="005143FF">
              <w:rPr>
                <w:rFonts w:eastAsia="Calibri"/>
                <w:sz w:val="20"/>
              </w:rPr>
              <w:t xml:space="preserve"> was not rendered inoperable or inapplicable by virtue of the doctrine of paramountcy or the doctrine of interjurisdictional immunity</w:t>
            </w:r>
          </w:p>
        </w:tc>
      </w:tr>
      <w:tr w:rsidR="0007151E" w:rsidRPr="005143FF" w:rsidTr="00C3673D">
        <w:tc>
          <w:tcPr>
            <w:tcW w:w="5000" w:type="pct"/>
            <w:gridSpan w:val="3"/>
          </w:tcPr>
          <w:p w:rsidR="0007151E" w:rsidRPr="005143FF" w:rsidRDefault="0007151E" w:rsidP="00C3673D">
            <w:pPr>
              <w:jc w:val="both"/>
              <w:rPr>
                <w:rFonts w:eastAsia="Calibri"/>
                <w:sz w:val="20"/>
              </w:rPr>
            </w:pPr>
          </w:p>
        </w:tc>
      </w:tr>
      <w:tr w:rsidR="0007151E" w:rsidRPr="005143FF" w:rsidTr="00C3673D">
        <w:tc>
          <w:tcPr>
            <w:tcW w:w="5000" w:type="pct"/>
            <w:gridSpan w:val="3"/>
          </w:tcPr>
          <w:p w:rsidR="0007151E" w:rsidRPr="005143FF" w:rsidRDefault="0007151E" w:rsidP="00C3673D">
            <w:pPr>
              <w:jc w:val="both"/>
              <w:rPr>
                <w:rFonts w:eastAsia="Calibri"/>
                <w:sz w:val="20"/>
              </w:rPr>
            </w:pPr>
            <w:r w:rsidRPr="005143FF">
              <w:rPr>
                <w:color w:val="000000"/>
                <w:sz w:val="20"/>
              </w:rPr>
              <w:t xml:space="preserve">The representative plaintiff, Mr. Unlu, in proposed class proceedings asserted that by including an international fuel surcharge coded as "YQ" within the tax portion of his electronic airline tickets, the defendants Air Canada and Deutsche Lufthansa Aktiengesellschaft (the “Airlines”) engaged in a deceptive act or practice, contrary to the </w:t>
            </w:r>
            <w:r w:rsidRPr="005143FF">
              <w:rPr>
                <w:bCs/>
                <w:i/>
                <w:iCs/>
                <w:color w:val="000000"/>
                <w:sz w:val="20"/>
              </w:rPr>
              <w:t>Business Practices and Consumer Protection Act</w:t>
            </w:r>
            <w:r w:rsidRPr="005143FF">
              <w:rPr>
                <w:color w:val="000000"/>
                <w:sz w:val="20"/>
              </w:rPr>
              <w:t xml:space="preserve"> (the </w:t>
            </w:r>
            <w:r w:rsidRPr="005143FF">
              <w:rPr>
                <w:b/>
                <w:color w:val="000000"/>
                <w:sz w:val="20"/>
              </w:rPr>
              <w:t>"</w:t>
            </w:r>
            <w:r w:rsidRPr="005143FF">
              <w:rPr>
                <w:bCs/>
                <w:i/>
                <w:iCs/>
                <w:color w:val="000000"/>
                <w:sz w:val="20"/>
              </w:rPr>
              <w:t>BPCPA</w:t>
            </w:r>
            <w:r w:rsidRPr="005143FF">
              <w:rPr>
                <w:b/>
                <w:color w:val="000000"/>
                <w:sz w:val="20"/>
              </w:rPr>
              <w:t>"</w:t>
            </w:r>
            <w:r w:rsidRPr="005143FF">
              <w:rPr>
                <w:color w:val="000000"/>
                <w:sz w:val="20"/>
              </w:rPr>
              <w:t xml:space="preserve">).  Mr. Unlu alleged that the Airlines falsely represented that the "YQ" charge was a tax charged and collected by the Airlines on behalf of a third-party government body, rather than a surcharge collected for the Airlines themselves.  The Airlines denied Mr. Unlu's allegations and asserted that the </w:t>
            </w:r>
            <w:r w:rsidRPr="005143FF">
              <w:rPr>
                <w:bCs/>
                <w:i/>
                <w:iCs/>
                <w:color w:val="000000"/>
                <w:sz w:val="20"/>
              </w:rPr>
              <w:t>BPCPA</w:t>
            </w:r>
            <w:r w:rsidRPr="005143FF">
              <w:rPr>
                <w:b/>
                <w:color w:val="000000"/>
                <w:sz w:val="20"/>
              </w:rPr>
              <w:t xml:space="preserve"> </w:t>
            </w:r>
            <w:r w:rsidRPr="005143FF">
              <w:rPr>
                <w:color w:val="000000"/>
                <w:sz w:val="20"/>
              </w:rPr>
              <w:t xml:space="preserve">was constitutionally inapplicable to airline ticketing </w:t>
            </w:r>
            <w:proofErr w:type="gramStart"/>
            <w:r w:rsidRPr="005143FF">
              <w:rPr>
                <w:color w:val="000000"/>
                <w:sz w:val="20"/>
              </w:rPr>
              <w:t>practices,</w:t>
            </w:r>
            <w:proofErr w:type="gramEnd"/>
            <w:r w:rsidRPr="005143FF">
              <w:rPr>
                <w:color w:val="000000"/>
                <w:sz w:val="20"/>
              </w:rPr>
              <w:t xml:space="preserve"> and inapplicable to them because they were federally regulated undertakings.  The Airlines filed and served a Notice of Constitutional Question. </w:t>
            </w:r>
            <w:r w:rsidRPr="005143FF">
              <w:rPr>
                <w:b/>
                <w:bCs/>
                <w:color w:val="000000"/>
                <w:sz w:val="20"/>
              </w:rPr>
              <w:t xml:space="preserve"> </w:t>
            </w:r>
            <w:r w:rsidRPr="005143FF">
              <w:rPr>
                <w:color w:val="000000"/>
                <w:sz w:val="20"/>
              </w:rPr>
              <w:t xml:space="preserve">They applied for a summary trial and sought declarations that the </w:t>
            </w:r>
            <w:r w:rsidRPr="005143FF">
              <w:rPr>
                <w:bCs/>
                <w:i/>
                <w:iCs/>
                <w:color w:val="000000"/>
                <w:sz w:val="20"/>
              </w:rPr>
              <w:t>BPCPA</w:t>
            </w:r>
            <w:r w:rsidRPr="005143FF">
              <w:rPr>
                <w:b/>
                <w:color w:val="000000"/>
                <w:sz w:val="20"/>
              </w:rPr>
              <w:t xml:space="preserve"> </w:t>
            </w:r>
            <w:r w:rsidRPr="005143FF">
              <w:rPr>
                <w:color w:val="000000"/>
                <w:sz w:val="20"/>
              </w:rPr>
              <w:t>was constitutionally inapplicable to them by virtue of the doctrine of paramountcy, or, alternatively, the doctrine of interjurisdictional immunity.  The Airlines submitted that if they obtained the declarations they sought, Mr. Unlu’s actions had to be dismissed.</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January 18, 2013</w:t>
            </w:r>
          </w:p>
          <w:p w:rsidR="0007151E" w:rsidRPr="005143FF" w:rsidRDefault="0007151E" w:rsidP="00C3673D">
            <w:pPr>
              <w:jc w:val="both"/>
              <w:rPr>
                <w:rFonts w:eastAsia="Calibri"/>
                <w:sz w:val="20"/>
              </w:rPr>
            </w:pPr>
            <w:r w:rsidRPr="005143FF">
              <w:rPr>
                <w:rFonts w:eastAsia="Calibri"/>
                <w:sz w:val="20"/>
              </w:rPr>
              <w:t>Supreme Court of British Columbia</w:t>
            </w:r>
          </w:p>
          <w:p w:rsidR="0007151E" w:rsidRPr="005143FF" w:rsidRDefault="0007151E" w:rsidP="00C3673D">
            <w:pPr>
              <w:jc w:val="both"/>
              <w:rPr>
                <w:rFonts w:eastAsia="Calibri"/>
                <w:sz w:val="20"/>
              </w:rPr>
            </w:pPr>
            <w:r w:rsidRPr="005143FF">
              <w:rPr>
                <w:rFonts w:eastAsia="Calibri"/>
                <w:sz w:val="20"/>
              </w:rPr>
              <w:t>(Adair J.)</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 xml:space="preserve">Airline’s application for declaration that </w:t>
            </w:r>
            <w:r w:rsidRPr="005143FF">
              <w:rPr>
                <w:rFonts w:eastAsia="Calibri"/>
                <w:i/>
                <w:sz w:val="20"/>
              </w:rPr>
              <w:t>Business Practices and Consumer Protection Act</w:t>
            </w:r>
            <w:r w:rsidRPr="005143FF">
              <w:rPr>
                <w:rFonts w:eastAsia="Calibri"/>
                <w:sz w:val="20"/>
              </w:rPr>
              <w:t xml:space="preserve"> was constitutionally inapplicable to it dismissed</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March 14, 2013</w:t>
            </w:r>
          </w:p>
          <w:p w:rsidR="0007151E" w:rsidRPr="005143FF" w:rsidRDefault="0007151E" w:rsidP="00C3673D">
            <w:pPr>
              <w:jc w:val="both"/>
              <w:rPr>
                <w:rFonts w:eastAsia="Calibri"/>
                <w:sz w:val="20"/>
              </w:rPr>
            </w:pPr>
            <w:r w:rsidRPr="005143FF">
              <w:rPr>
                <w:rFonts w:eastAsia="Calibri"/>
                <w:sz w:val="20"/>
              </w:rPr>
              <w:t xml:space="preserve">Court of Appeal for British Columbia </w:t>
            </w:r>
          </w:p>
          <w:p w:rsidR="0007151E" w:rsidRPr="005143FF" w:rsidRDefault="0007151E" w:rsidP="00C3673D">
            <w:pPr>
              <w:jc w:val="both"/>
              <w:rPr>
                <w:rFonts w:eastAsia="Calibri"/>
                <w:sz w:val="20"/>
              </w:rPr>
            </w:pPr>
            <w:r w:rsidRPr="005143FF">
              <w:rPr>
                <w:rFonts w:eastAsia="Calibri"/>
                <w:sz w:val="20"/>
              </w:rPr>
              <w:t>(Vancouver)</w:t>
            </w:r>
          </w:p>
          <w:p w:rsidR="0007151E" w:rsidRPr="005143FF" w:rsidRDefault="0007151E" w:rsidP="00912980">
            <w:pPr>
              <w:jc w:val="both"/>
              <w:rPr>
                <w:rFonts w:eastAsia="Calibri"/>
                <w:sz w:val="20"/>
              </w:rPr>
            </w:pPr>
            <w:r w:rsidRPr="005143FF">
              <w:rPr>
                <w:rFonts w:eastAsia="Calibri"/>
                <w:sz w:val="20"/>
              </w:rPr>
              <w:t>(Tysoe, Neilson and Bennett JJ.A.)</w:t>
            </w: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Appeal allowed in part to change wording of application judge’s order; otherwise appeal dismissed</w:t>
            </w:r>
          </w:p>
          <w:p w:rsidR="0007151E" w:rsidRPr="005143FF" w:rsidRDefault="0007151E" w:rsidP="00C3673D">
            <w:pPr>
              <w:jc w:val="both"/>
              <w:rPr>
                <w:rFonts w:eastAsia="Calibri"/>
                <w:sz w:val="20"/>
              </w:rPr>
            </w:pPr>
          </w:p>
          <w:p w:rsidR="0007151E" w:rsidRPr="005143FF" w:rsidRDefault="0007151E" w:rsidP="00C3673D">
            <w:pPr>
              <w:jc w:val="both"/>
              <w:rPr>
                <w:rFonts w:eastAsia="Calibri"/>
                <w:sz w:val="20"/>
              </w:rPr>
            </w:pPr>
          </w:p>
        </w:tc>
      </w:tr>
    </w:tbl>
    <w:p w:rsidR="00912980" w:rsidRDefault="00912980"/>
    <w:p w:rsidR="00912980" w:rsidRDefault="00912980">
      <w:r>
        <w:br w:type="page"/>
      </w: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lastRenderedPageBreak/>
              <w:t>May 10, 2013</w:t>
            </w:r>
          </w:p>
          <w:p w:rsidR="0007151E" w:rsidRPr="005143FF" w:rsidRDefault="0007151E" w:rsidP="00C3673D">
            <w:pPr>
              <w:jc w:val="both"/>
              <w:rPr>
                <w:rFonts w:eastAsia="Calibri"/>
                <w:sz w:val="20"/>
              </w:rPr>
            </w:pPr>
            <w:r w:rsidRPr="005143FF">
              <w:rPr>
                <w:rFonts w:eastAsia="Calibri"/>
                <w:sz w:val="20"/>
              </w:rPr>
              <w:t>Supreme Court of Canada</w:t>
            </w: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Application for leave to appeal filed</w:t>
            </w:r>
          </w:p>
          <w:p w:rsidR="0007151E" w:rsidRPr="005143FF" w:rsidRDefault="0007151E" w:rsidP="00C3673D">
            <w:pPr>
              <w:jc w:val="both"/>
              <w:rPr>
                <w:rFonts w:eastAsia="Calibri"/>
                <w:sz w:val="20"/>
              </w:rPr>
            </w:pP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89" style="width:2in;height:1pt" o:hrpct="0" o:hralign="center" o:hrstd="t" o:hrnoshade="t" o:hr="t" fillcolor="black [3213]" stroked="f"/>
        </w:pict>
      </w:r>
    </w:p>
    <w:p w:rsidR="00332827" w:rsidRDefault="00332827" w:rsidP="00332827">
      <w:pPr>
        <w:rPr>
          <w:sz w:val="20"/>
          <w:szCs w:val="20"/>
        </w:rPr>
      </w:pPr>
    </w:p>
    <w:p w:rsidR="00332827" w:rsidRPr="001B157C" w:rsidRDefault="00332827" w:rsidP="00332827">
      <w:pPr>
        <w:rPr>
          <w:sz w:val="20"/>
          <w:szCs w:val="20"/>
          <w:u w:val="single"/>
          <w:lang w:val="fr-CA"/>
        </w:rPr>
      </w:pPr>
      <w:r w:rsidRPr="001B157C">
        <w:rPr>
          <w:sz w:val="20"/>
          <w:szCs w:val="20"/>
          <w:u w:val="single"/>
          <w:lang w:val="fr-CA"/>
        </w:rPr>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7C5A5B"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Droit constitutionnel – Séparation des pouvoirs – Prépondérance fédérale – La Cour d’appel a</w:t>
            </w:r>
            <w:r w:rsidRPr="005143FF">
              <w:rPr>
                <w:rFonts w:eastAsia="Calibri"/>
                <w:sz w:val="20"/>
                <w:lang w:val="fr-CA"/>
              </w:rPr>
              <w:noBreakHyphen/>
              <w:t>t</w:t>
            </w:r>
            <w:r w:rsidRPr="005143FF">
              <w:rPr>
                <w:rFonts w:eastAsia="Calibri"/>
                <w:sz w:val="20"/>
                <w:lang w:val="fr-CA"/>
              </w:rPr>
              <w:noBreakHyphen/>
              <w:t xml:space="preserve">elle fait erreur en concluant que la </w:t>
            </w:r>
            <w:r w:rsidRPr="005143FF">
              <w:rPr>
                <w:rFonts w:eastAsia="Calibri"/>
                <w:i/>
                <w:sz w:val="20"/>
                <w:lang w:val="fr-CA"/>
              </w:rPr>
              <w:t>Business Practices and Consumer Protection Act</w:t>
            </w:r>
            <w:r w:rsidRPr="005143FF">
              <w:rPr>
                <w:rFonts w:eastAsia="Calibri"/>
                <w:sz w:val="20"/>
                <w:lang w:val="fr-CA"/>
              </w:rPr>
              <w:t>, S.B.C. 2004, ch. 2 (« </w:t>
            </w:r>
            <w:r w:rsidRPr="005143FF">
              <w:rPr>
                <w:rFonts w:eastAsia="Calibri"/>
                <w:i/>
                <w:sz w:val="20"/>
                <w:lang w:val="fr-CA"/>
              </w:rPr>
              <w:t>Loi</w:t>
            </w:r>
            <w:r w:rsidRPr="005143FF">
              <w:rPr>
                <w:rFonts w:eastAsia="Calibri"/>
                <w:sz w:val="20"/>
                <w:lang w:val="fr-CA"/>
              </w:rPr>
              <w:t xml:space="preserve"> »), était constitutionnellement opérante et applicable aux actes reprochés par M. Unlu, un des intimés, à la demanderesse, et plus précisément en concluant que la Loi n’était pas inopérante ou inapplicable du fait de la doctrine de la prépondérance fédérale ou de celle de l’exclusivité des compétences?  </w:t>
            </w:r>
          </w:p>
        </w:tc>
      </w:tr>
      <w:tr w:rsidR="0007151E" w:rsidRPr="007C5A5B" w:rsidTr="00C3673D">
        <w:tc>
          <w:tcPr>
            <w:tcW w:w="5000" w:type="pct"/>
            <w:gridSpan w:val="3"/>
          </w:tcPr>
          <w:p w:rsidR="0007151E" w:rsidRPr="005143FF" w:rsidRDefault="0007151E" w:rsidP="00C3673D">
            <w:pPr>
              <w:jc w:val="both"/>
              <w:rPr>
                <w:rFonts w:eastAsia="Calibri"/>
                <w:sz w:val="20"/>
                <w:lang w:val="fr-CA"/>
              </w:rPr>
            </w:pPr>
          </w:p>
        </w:tc>
      </w:tr>
      <w:tr w:rsidR="0007151E" w:rsidRPr="007C5A5B" w:rsidTr="00C3673D">
        <w:tc>
          <w:tcPr>
            <w:tcW w:w="5000" w:type="pct"/>
            <w:gridSpan w:val="3"/>
          </w:tcPr>
          <w:p w:rsidR="0007151E" w:rsidRPr="005143FF" w:rsidRDefault="0007151E" w:rsidP="00C3673D">
            <w:pPr>
              <w:jc w:val="both"/>
              <w:rPr>
                <w:color w:val="000000"/>
                <w:sz w:val="20"/>
                <w:lang w:val="fr-CA"/>
              </w:rPr>
            </w:pPr>
            <w:r w:rsidRPr="005143FF">
              <w:rPr>
                <w:color w:val="000000"/>
                <w:sz w:val="20"/>
                <w:lang w:val="fr-CA"/>
              </w:rPr>
              <w:t xml:space="preserve">M. Unlu, le représentant des demandeurs du recours collectif projeté, a affirmé qu’en ajoutant un supplément désigné par le code « YQ » pour le carburant à l’égard de leurs vols internationaux aux taxes sur ses billets d’avion électroniques, les défenderesses, Air Canada et Deutsche Lufthansa Aktiengesellschaft (les « lignes aériennes »), se sont livrées à une pratique ou à un acte trompeur, en contravention de la </w:t>
            </w:r>
            <w:r w:rsidRPr="005143FF">
              <w:rPr>
                <w:bCs/>
                <w:i/>
                <w:iCs/>
                <w:color w:val="000000"/>
                <w:sz w:val="20"/>
                <w:lang w:val="fr-CA"/>
              </w:rPr>
              <w:t>Business Practices and Consumer Protection Act</w:t>
            </w:r>
            <w:r w:rsidRPr="005143FF">
              <w:rPr>
                <w:color w:val="000000"/>
                <w:sz w:val="20"/>
                <w:lang w:val="fr-CA"/>
              </w:rPr>
              <w:t xml:space="preserve"> (la « </w:t>
            </w:r>
            <w:r w:rsidRPr="005143FF">
              <w:rPr>
                <w:bCs/>
                <w:i/>
                <w:iCs/>
                <w:color w:val="000000"/>
                <w:sz w:val="20"/>
                <w:lang w:val="fr-CA"/>
              </w:rPr>
              <w:t>BPCPA </w:t>
            </w:r>
            <w:r w:rsidRPr="005143FF">
              <w:rPr>
                <w:bCs/>
                <w:iCs/>
                <w:color w:val="000000"/>
                <w:sz w:val="20"/>
                <w:lang w:val="fr-CA"/>
              </w:rPr>
              <w:t>»</w:t>
            </w:r>
            <w:r w:rsidRPr="005143FF">
              <w:rPr>
                <w:color w:val="000000"/>
                <w:sz w:val="20"/>
                <w:lang w:val="fr-CA"/>
              </w:rPr>
              <w:t>).  Selon M. Unlu, les lignes aériennes ont faussement déclaré que la majoration « YQ » était une taxe imposée et perçue par les lignes aériennes pour le compte d’un organisme gouvernemental tiers plutôt qu’une majoration perçue au profit des lignes aériennes elles</w:t>
            </w:r>
            <w:r w:rsidRPr="005143FF">
              <w:rPr>
                <w:color w:val="000000"/>
                <w:sz w:val="20"/>
                <w:lang w:val="fr-CA"/>
              </w:rPr>
              <w:noBreakHyphen/>
              <w:t xml:space="preserve">mêmes.  Les lignes aériennes ont nié les allégations de M. Unlu et fait valoir que la </w:t>
            </w:r>
            <w:r w:rsidRPr="005143FF">
              <w:rPr>
                <w:bCs/>
                <w:i/>
                <w:iCs/>
                <w:color w:val="000000"/>
                <w:sz w:val="20"/>
                <w:lang w:val="fr-CA"/>
              </w:rPr>
              <w:t>BPCPA</w:t>
            </w:r>
            <w:r w:rsidRPr="005143FF">
              <w:rPr>
                <w:b/>
                <w:color w:val="000000"/>
                <w:sz w:val="20"/>
                <w:lang w:val="fr-CA"/>
              </w:rPr>
              <w:t xml:space="preserve"> </w:t>
            </w:r>
            <w:r w:rsidRPr="005143FF">
              <w:rPr>
                <w:color w:val="000000"/>
                <w:sz w:val="20"/>
                <w:lang w:val="fr-CA"/>
              </w:rPr>
              <w:t>était constitutionnellement</w:t>
            </w:r>
            <w:r w:rsidRPr="005143FF">
              <w:rPr>
                <w:b/>
                <w:color w:val="000000"/>
                <w:sz w:val="20"/>
                <w:lang w:val="fr-CA"/>
              </w:rPr>
              <w:t xml:space="preserve"> </w:t>
            </w:r>
            <w:r w:rsidRPr="005143FF">
              <w:rPr>
                <w:color w:val="000000"/>
                <w:sz w:val="20"/>
                <w:lang w:val="fr-CA"/>
              </w:rPr>
              <w:t>inapplicable</w:t>
            </w:r>
            <w:r w:rsidRPr="005143FF">
              <w:rPr>
                <w:b/>
                <w:color w:val="000000"/>
                <w:sz w:val="20"/>
                <w:lang w:val="fr-CA"/>
              </w:rPr>
              <w:t xml:space="preserve"> </w:t>
            </w:r>
            <w:r w:rsidRPr="005143FF">
              <w:rPr>
                <w:color w:val="000000"/>
                <w:sz w:val="20"/>
                <w:lang w:val="fr-CA"/>
              </w:rPr>
              <w:t>à leurs</w:t>
            </w:r>
            <w:r w:rsidRPr="005143FF">
              <w:rPr>
                <w:b/>
                <w:color w:val="000000"/>
                <w:sz w:val="20"/>
                <w:lang w:val="fr-CA"/>
              </w:rPr>
              <w:t xml:space="preserve"> </w:t>
            </w:r>
            <w:r w:rsidRPr="005143FF">
              <w:rPr>
                <w:color w:val="000000"/>
                <w:sz w:val="20"/>
                <w:lang w:val="fr-CA"/>
              </w:rPr>
              <w:t xml:space="preserve">pratiques en matière de vente de billets d’avion et à elles parce qu’elles sont des entreprises assujetties à la réglementation fédérale.  Les lignes aériennes ont déposé et signifié un avis de question constitutionnelle.  Elles ont demandé la tenue d’un procès sommaire et un jugement déclarant que la </w:t>
            </w:r>
            <w:r w:rsidRPr="005143FF">
              <w:rPr>
                <w:bCs/>
                <w:i/>
                <w:iCs/>
                <w:color w:val="000000"/>
                <w:sz w:val="20"/>
                <w:lang w:val="fr-CA"/>
              </w:rPr>
              <w:t>BPCPA</w:t>
            </w:r>
            <w:r w:rsidRPr="005143FF">
              <w:rPr>
                <w:b/>
                <w:color w:val="000000"/>
                <w:sz w:val="20"/>
                <w:lang w:val="fr-CA"/>
              </w:rPr>
              <w:t xml:space="preserve"> </w:t>
            </w:r>
            <w:r w:rsidRPr="005143FF">
              <w:rPr>
                <w:color w:val="000000"/>
                <w:sz w:val="20"/>
                <w:lang w:val="fr-CA"/>
              </w:rPr>
              <w:t>leur est</w:t>
            </w:r>
            <w:r w:rsidRPr="005143FF">
              <w:rPr>
                <w:b/>
                <w:color w:val="000000"/>
                <w:sz w:val="20"/>
                <w:lang w:val="fr-CA"/>
              </w:rPr>
              <w:t xml:space="preserve"> </w:t>
            </w:r>
            <w:r w:rsidRPr="005143FF">
              <w:rPr>
                <w:color w:val="000000"/>
                <w:sz w:val="20"/>
                <w:lang w:val="fr-CA"/>
              </w:rPr>
              <w:t>constitutionnellement inapplicable du fait de la doctrine de la prépondérance fédérale ou, subsidiairement, de la doctrine de l’exclusivité des compétences.  Les lignes aériennes ont soutenu que la poursuite de M. Unlu doit être rejetée si elles obtiennent le jugement déclaratoire qu’elles ont demandé.</w:t>
            </w:r>
          </w:p>
          <w:p w:rsidR="0007151E" w:rsidRPr="005143FF" w:rsidRDefault="0007151E" w:rsidP="00C3673D">
            <w:pPr>
              <w:jc w:val="both"/>
              <w:rPr>
                <w:rFonts w:eastAsia="Calibri"/>
                <w:sz w:val="20"/>
                <w:lang w:val="fr-CA"/>
              </w:rPr>
            </w:pPr>
          </w:p>
        </w:tc>
      </w:tr>
      <w:tr w:rsidR="0007151E" w:rsidRPr="007C5A5B"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18 janvier 2013</w:t>
            </w:r>
          </w:p>
          <w:p w:rsidR="0007151E" w:rsidRPr="005143FF" w:rsidRDefault="0007151E" w:rsidP="00C3673D">
            <w:pPr>
              <w:jc w:val="both"/>
              <w:rPr>
                <w:rFonts w:eastAsia="Calibri"/>
                <w:sz w:val="20"/>
                <w:lang w:val="fr-CA"/>
              </w:rPr>
            </w:pPr>
            <w:r w:rsidRPr="005143FF">
              <w:rPr>
                <w:rFonts w:eastAsia="Calibri"/>
                <w:sz w:val="20"/>
                <w:lang w:val="fr-CA"/>
              </w:rPr>
              <w:t>Cour suprême de la Colombie</w:t>
            </w:r>
            <w:r w:rsidRPr="005143FF">
              <w:rPr>
                <w:rFonts w:eastAsia="Calibri"/>
                <w:sz w:val="20"/>
                <w:lang w:val="fr-CA"/>
              </w:rPr>
              <w:noBreakHyphen/>
              <w:t>Britannique</w:t>
            </w:r>
          </w:p>
          <w:p w:rsidR="0007151E" w:rsidRPr="005143FF" w:rsidRDefault="0007151E" w:rsidP="00C3673D">
            <w:pPr>
              <w:jc w:val="both"/>
              <w:rPr>
                <w:rFonts w:eastAsia="Calibri"/>
                <w:sz w:val="20"/>
              </w:rPr>
            </w:pPr>
            <w:r w:rsidRPr="005143FF">
              <w:rPr>
                <w:rFonts w:eastAsia="Calibri"/>
                <w:sz w:val="20"/>
              </w:rPr>
              <w:t>(Juge Adair)</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 xml:space="preserve">Demande de la ligne aérienne visant à obtenir un jugement déclarant que la  </w:t>
            </w:r>
            <w:r w:rsidRPr="005143FF">
              <w:rPr>
                <w:rFonts w:eastAsia="Calibri"/>
                <w:i/>
                <w:sz w:val="20"/>
                <w:lang w:val="fr-CA"/>
              </w:rPr>
              <w:t>Business Practices and Consumer Protection Act</w:t>
            </w:r>
            <w:r w:rsidRPr="005143FF">
              <w:rPr>
                <w:rFonts w:eastAsia="Calibri"/>
                <w:sz w:val="20"/>
                <w:lang w:val="fr-CA"/>
              </w:rPr>
              <w:t xml:space="preserve"> lui est constitutionnellement inapplicable, rejetée </w:t>
            </w:r>
          </w:p>
          <w:p w:rsidR="0007151E" w:rsidRPr="005143FF" w:rsidRDefault="0007151E" w:rsidP="00C3673D">
            <w:pPr>
              <w:jc w:val="both"/>
              <w:rPr>
                <w:rFonts w:eastAsia="Calibri"/>
                <w:sz w:val="20"/>
                <w:lang w:val="fr-CA"/>
              </w:rPr>
            </w:pPr>
          </w:p>
        </w:tc>
      </w:tr>
      <w:tr w:rsidR="0007151E" w:rsidRPr="007C5A5B"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14 mars 2013</w:t>
            </w:r>
          </w:p>
          <w:p w:rsidR="0007151E" w:rsidRPr="005143FF" w:rsidRDefault="0007151E" w:rsidP="00C3673D">
            <w:pPr>
              <w:jc w:val="both"/>
              <w:rPr>
                <w:rFonts w:eastAsia="Calibri"/>
                <w:sz w:val="20"/>
                <w:lang w:val="fr-CA"/>
              </w:rPr>
            </w:pPr>
            <w:r w:rsidRPr="005143FF">
              <w:rPr>
                <w:rFonts w:eastAsia="Calibri"/>
                <w:sz w:val="20"/>
                <w:lang w:val="fr-CA"/>
              </w:rPr>
              <w:t>Cour d’appel de la Colombie</w:t>
            </w:r>
            <w:r w:rsidRPr="005143FF">
              <w:rPr>
                <w:rFonts w:eastAsia="Calibri"/>
                <w:sz w:val="20"/>
                <w:lang w:val="fr-CA"/>
              </w:rPr>
              <w:noBreakHyphen/>
              <w:t xml:space="preserve">Britannique  </w:t>
            </w:r>
          </w:p>
          <w:p w:rsidR="0007151E" w:rsidRPr="005143FF" w:rsidRDefault="0007151E" w:rsidP="00C3673D">
            <w:pPr>
              <w:jc w:val="both"/>
              <w:rPr>
                <w:rFonts w:eastAsia="Calibri"/>
                <w:sz w:val="20"/>
                <w:lang w:val="fr-CA"/>
              </w:rPr>
            </w:pPr>
            <w:r w:rsidRPr="005143FF">
              <w:rPr>
                <w:rFonts w:eastAsia="Calibri"/>
                <w:sz w:val="20"/>
                <w:lang w:val="fr-CA"/>
              </w:rPr>
              <w:t>(Vancouver)</w:t>
            </w:r>
          </w:p>
          <w:p w:rsidR="0007151E" w:rsidRPr="005143FF" w:rsidRDefault="0007151E" w:rsidP="00C3673D">
            <w:pPr>
              <w:jc w:val="both"/>
              <w:rPr>
                <w:rFonts w:eastAsia="Calibri"/>
                <w:sz w:val="20"/>
                <w:lang w:val="fr-CA"/>
              </w:rPr>
            </w:pPr>
            <w:r w:rsidRPr="005143FF">
              <w:rPr>
                <w:rFonts w:eastAsia="Calibri"/>
                <w:sz w:val="20"/>
                <w:lang w:val="fr-CA"/>
              </w:rPr>
              <w:t>(Juges Tysoe, Neilson et Bennett)</w:t>
            </w:r>
          </w:p>
          <w:p w:rsidR="0007151E" w:rsidRPr="005143FF" w:rsidRDefault="0007151E" w:rsidP="00C3673D">
            <w:pPr>
              <w:jc w:val="both"/>
              <w:rPr>
                <w:rFonts w:eastAsia="Calibri"/>
                <w:sz w:val="20"/>
                <w:lang w:val="fr-CA"/>
              </w:rPr>
            </w:pP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Appel accueilli en partie pour modifier le texte de l’ordonnance rendue par la juge saisie de la demande; appel rejeté à tout autre égard</w:t>
            </w:r>
          </w:p>
          <w:p w:rsidR="0007151E" w:rsidRPr="005143FF" w:rsidRDefault="0007151E" w:rsidP="00C3673D">
            <w:pPr>
              <w:jc w:val="both"/>
              <w:rPr>
                <w:rFonts w:eastAsia="Calibri"/>
                <w:sz w:val="20"/>
                <w:lang w:val="fr-CA"/>
              </w:rPr>
            </w:pPr>
          </w:p>
        </w:tc>
      </w:tr>
      <w:tr w:rsidR="0007151E" w:rsidRPr="005143FF"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10 mai 2013</w:t>
            </w:r>
          </w:p>
          <w:p w:rsidR="0007151E" w:rsidRPr="005143FF" w:rsidRDefault="0007151E" w:rsidP="00C3673D">
            <w:pPr>
              <w:jc w:val="both"/>
              <w:rPr>
                <w:rFonts w:eastAsia="Calibri"/>
                <w:sz w:val="20"/>
                <w:lang w:val="fr-CA"/>
              </w:rPr>
            </w:pPr>
            <w:r w:rsidRPr="005143FF">
              <w:rPr>
                <w:rFonts w:eastAsia="Calibri"/>
                <w:sz w:val="20"/>
                <w:lang w:val="fr-CA"/>
              </w:rPr>
              <w:t>Cour suprême du Canada</w:t>
            </w: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rPr>
            </w:pPr>
            <w:r w:rsidRPr="005143FF">
              <w:rPr>
                <w:rFonts w:eastAsia="Calibri"/>
                <w:sz w:val="20"/>
                <w:lang w:val="fr-CA"/>
              </w:rPr>
              <w:t xml:space="preserve">Demande d’autorisation d’appel déposée </w:t>
            </w:r>
          </w:p>
          <w:p w:rsidR="0007151E" w:rsidRPr="005143FF" w:rsidRDefault="0007151E" w:rsidP="00C3673D">
            <w:pPr>
              <w:jc w:val="both"/>
              <w:rPr>
                <w:rFonts w:eastAsia="Calibri"/>
                <w:sz w:val="20"/>
              </w:rPr>
            </w:pPr>
          </w:p>
        </w:tc>
      </w:tr>
    </w:tbl>
    <w:p w:rsidR="00332827" w:rsidRDefault="00332827" w:rsidP="00332827">
      <w:pPr>
        <w:rPr>
          <w:sz w:val="20"/>
          <w:szCs w:val="20"/>
        </w:rPr>
      </w:pPr>
    </w:p>
    <w:p w:rsidR="00332827" w:rsidRDefault="005F2BA7" w:rsidP="00332827">
      <w:pPr>
        <w:rPr>
          <w:sz w:val="20"/>
          <w:szCs w:val="20"/>
        </w:rPr>
      </w:pPr>
      <w:r w:rsidRPr="005F2BA7">
        <w:rPr>
          <w:sz w:val="20"/>
          <w:szCs w:val="20"/>
          <w:lang w:val="fr-CA"/>
        </w:rPr>
        <w:pict>
          <v:rect id="_x0000_i1090" style="width:2in;height:1pt" o:hrpct="0" o:hralign="center" o:hrstd="t" o:hrnoshade="t" o:hr="t" fillcolor="black [3213]" stroked="f"/>
        </w:pict>
      </w:r>
    </w:p>
    <w:p w:rsidR="00332827" w:rsidRPr="00332827" w:rsidRDefault="00332827" w:rsidP="0033282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5457" w:rsidRPr="009B1157" w:rsidTr="00C173EE">
        <w:trPr>
          <w:cantSplit/>
        </w:trPr>
        <w:tc>
          <w:tcPr>
            <w:tcW w:w="1458" w:type="dxa"/>
          </w:tcPr>
          <w:p w:rsidR="00575457" w:rsidRPr="009B1157" w:rsidRDefault="00575457" w:rsidP="00C173EE">
            <w:pPr>
              <w:rPr>
                <w:sz w:val="20"/>
                <w:szCs w:val="20"/>
              </w:rPr>
            </w:pPr>
            <w:r w:rsidRPr="009B1157">
              <w:rPr>
                <w:rStyle w:val="SCCFileNumberChar"/>
                <w:sz w:val="20"/>
                <w:szCs w:val="20"/>
              </w:rPr>
              <w:t>35374</w:t>
            </w:r>
          </w:p>
          <w:p w:rsidR="00575457" w:rsidRPr="009B1157" w:rsidRDefault="00575457" w:rsidP="00C173EE">
            <w:pPr>
              <w:rPr>
                <w:b/>
                <w:sz w:val="20"/>
                <w:szCs w:val="20"/>
                <w:lang w:val="fr-CA"/>
              </w:rPr>
            </w:pPr>
          </w:p>
        </w:tc>
        <w:tc>
          <w:tcPr>
            <w:tcW w:w="8118" w:type="dxa"/>
          </w:tcPr>
          <w:p w:rsidR="00575457" w:rsidRPr="009B1157" w:rsidRDefault="00575457" w:rsidP="00C173EE">
            <w:pPr>
              <w:rPr>
                <w:sz w:val="20"/>
                <w:szCs w:val="20"/>
              </w:rPr>
            </w:pPr>
            <w:r w:rsidRPr="00575457">
              <w:rPr>
                <w:rStyle w:val="SCCLsocChar"/>
                <w:sz w:val="20"/>
                <w:szCs w:val="20"/>
                <w:lang w:val="en-CA"/>
              </w:rPr>
              <w:t>Terry E. Taylor v. Her Majesty the Queen</w:t>
            </w:r>
            <w:r w:rsidRPr="009B1157">
              <w:rPr>
                <w:sz w:val="20"/>
                <w:szCs w:val="20"/>
              </w:rPr>
              <w:t xml:space="preserve"> (F.C.) (Civil) (By Leave)</w:t>
            </w:r>
          </w:p>
          <w:p w:rsidR="00575457" w:rsidRPr="009B1157" w:rsidRDefault="00575457" w:rsidP="00C173EE">
            <w:pPr>
              <w:rPr>
                <w:sz w:val="20"/>
                <w:szCs w:val="20"/>
              </w:rPr>
            </w:pPr>
          </w:p>
        </w:tc>
      </w:tr>
      <w:tr w:rsidR="00575457" w:rsidRPr="009B1157" w:rsidTr="00C173EE">
        <w:trPr>
          <w:cantSplit/>
        </w:trPr>
        <w:tc>
          <w:tcPr>
            <w:tcW w:w="1458" w:type="dxa"/>
          </w:tcPr>
          <w:p w:rsidR="00575457" w:rsidRPr="009B1157" w:rsidRDefault="00575457" w:rsidP="00C173EE">
            <w:pPr>
              <w:rPr>
                <w:sz w:val="20"/>
                <w:szCs w:val="20"/>
              </w:rPr>
            </w:pPr>
            <w:r w:rsidRPr="009B1157">
              <w:rPr>
                <w:sz w:val="20"/>
                <w:szCs w:val="20"/>
              </w:rPr>
              <w:t>Coram :</w:t>
            </w:r>
          </w:p>
        </w:tc>
        <w:tc>
          <w:tcPr>
            <w:tcW w:w="8118" w:type="dxa"/>
          </w:tcPr>
          <w:p w:rsidR="00575457" w:rsidRPr="009B1157" w:rsidRDefault="00575457" w:rsidP="00C173EE">
            <w:pPr>
              <w:rPr>
                <w:sz w:val="20"/>
                <w:szCs w:val="20"/>
              </w:rPr>
            </w:pPr>
            <w:r w:rsidRPr="00575457">
              <w:rPr>
                <w:rStyle w:val="SCCCoramChar"/>
                <w:sz w:val="20"/>
                <w:szCs w:val="20"/>
                <w:lang w:val="en-CA"/>
              </w:rPr>
              <w:t>Fish, Rothstein and Moldaver JJ.</w:t>
            </w:r>
          </w:p>
          <w:p w:rsidR="00575457" w:rsidRPr="009B1157" w:rsidRDefault="00575457" w:rsidP="00C173EE">
            <w:pPr>
              <w:rPr>
                <w:sz w:val="20"/>
                <w:szCs w:val="20"/>
                <w:u w:val="single"/>
              </w:rPr>
            </w:pPr>
          </w:p>
        </w:tc>
      </w:tr>
      <w:tr w:rsidR="00575457" w:rsidRPr="007C5A5B" w:rsidTr="004C0B58">
        <w:tc>
          <w:tcPr>
            <w:tcW w:w="9576" w:type="dxa"/>
            <w:gridSpan w:val="2"/>
          </w:tcPr>
          <w:p w:rsidR="00575457" w:rsidRPr="009B1157" w:rsidRDefault="00575457" w:rsidP="00C173EE">
            <w:pPr>
              <w:pStyle w:val="SCCShortJudgment"/>
              <w:rPr>
                <w:szCs w:val="20"/>
              </w:rPr>
            </w:pPr>
            <w:r w:rsidRPr="009B1157">
              <w:rPr>
                <w:szCs w:val="20"/>
              </w:rPr>
              <w:t>The motion for an extension of time to serve and file the application for leave to appeal and the motion to file a lengthy memorandum of argument are granted.  The motion for a stay of execution is denied.  The application for leave to appeal from the judgment of the Federal Court of Appeal, Number A-204-10, 2012 FCA 148, dated May 23, 2012, is dismissed with costs.</w:t>
            </w:r>
          </w:p>
          <w:p w:rsidR="00575457" w:rsidRPr="009B1157" w:rsidRDefault="00575457" w:rsidP="00C173EE">
            <w:pPr>
              <w:pStyle w:val="SCCShortJudgment"/>
              <w:ind w:firstLine="0"/>
              <w:rPr>
                <w:szCs w:val="20"/>
              </w:rPr>
            </w:pPr>
          </w:p>
          <w:p w:rsidR="00575457" w:rsidRPr="009B1157" w:rsidRDefault="00575457" w:rsidP="00FF3DAC">
            <w:pPr>
              <w:pStyle w:val="SCCShortJudgment"/>
              <w:rPr>
                <w:szCs w:val="20"/>
                <w:lang w:val="fr-CA"/>
              </w:rPr>
            </w:pPr>
            <w:r w:rsidRPr="009B1157">
              <w:rPr>
                <w:szCs w:val="20"/>
                <w:lang w:val="fr-CA"/>
              </w:rPr>
              <w:t>La requête en prorogation du délai de signification et de dépôt de la demande d’autorisation d’appel et la requête pour déposer un mémoire des arguments</w:t>
            </w:r>
            <w:r w:rsidR="00FF3DAC">
              <w:rPr>
                <w:szCs w:val="20"/>
                <w:lang w:val="fr-CA"/>
              </w:rPr>
              <w:t xml:space="preserve"> </w:t>
            </w:r>
            <w:r w:rsidRPr="009B1157">
              <w:rPr>
                <w:szCs w:val="20"/>
                <w:lang w:val="fr-CA"/>
              </w:rPr>
              <w:t>volumineux, sont accueillies.  La requête en sursis d’exécution est rejetée.  La demande d’autorisation d’appel de l’arrêt de la Cour d’appel fédérale, numéro A-204-10, 2012 CAF 148, daté du 23 mai 2012, est rejetée avec dépens.</w:t>
            </w:r>
          </w:p>
        </w:tc>
      </w:tr>
    </w:tbl>
    <w:p w:rsidR="00332827" w:rsidRPr="0016547E" w:rsidRDefault="00332827" w:rsidP="00332827">
      <w:pPr>
        <w:rPr>
          <w:sz w:val="20"/>
          <w:szCs w:val="20"/>
          <w:lang w:val="fr-CA"/>
        </w:rPr>
      </w:pPr>
    </w:p>
    <w:p w:rsidR="00332827" w:rsidRPr="001B157C" w:rsidRDefault="00332827" w:rsidP="00332827">
      <w:pPr>
        <w:rPr>
          <w:sz w:val="20"/>
          <w:szCs w:val="20"/>
          <w:u w:val="single"/>
        </w:rPr>
      </w:pPr>
      <w:r w:rsidRPr="001B157C">
        <w:rPr>
          <w:sz w:val="20"/>
          <w:szCs w:val="20"/>
          <w:u w:val="single"/>
        </w:rPr>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C3673D">
        <w:tc>
          <w:tcPr>
            <w:tcW w:w="5000" w:type="pct"/>
            <w:gridSpan w:val="3"/>
          </w:tcPr>
          <w:p w:rsidR="0007151E" w:rsidRPr="005143FF" w:rsidRDefault="0007151E" w:rsidP="00C3673D">
            <w:pPr>
              <w:jc w:val="both"/>
              <w:rPr>
                <w:rFonts w:eastAsia="Calibri"/>
                <w:sz w:val="20"/>
              </w:rPr>
            </w:pPr>
            <w:r w:rsidRPr="005143FF">
              <w:rPr>
                <w:rFonts w:eastAsia="Calibri"/>
                <w:sz w:val="20"/>
              </w:rPr>
              <w:t>Taxation — Settlement agreement — Validity of agreement — Applicant assessed for unremitted Harmonized Sales Tax and income tax — Applicant and Canada Revenue Agency entering into settlement agreement — Applicant subsequently alleging settlement agreement invalid — Tax Court holding agreement to be valid — Whether Agency used evidence obtained from an illegal search and seizure to assess tax against applicant and force him to sign settlement agreement — Whether Court of Appeal failed consider facts and laws with respect to contracts — Whether Canada Revenue Agency abused its power and authority to force applicant to sign settlement — Whether Court of Appeal erred in dismissing appeal</w:t>
            </w:r>
          </w:p>
        </w:tc>
      </w:tr>
      <w:tr w:rsidR="0007151E" w:rsidRPr="005143FF" w:rsidTr="00C3673D">
        <w:tc>
          <w:tcPr>
            <w:tcW w:w="5000" w:type="pct"/>
            <w:gridSpan w:val="3"/>
          </w:tcPr>
          <w:p w:rsidR="0007151E" w:rsidRPr="005143FF" w:rsidRDefault="0007151E" w:rsidP="00C3673D">
            <w:pPr>
              <w:jc w:val="both"/>
              <w:rPr>
                <w:rFonts w:eastAsia="Calibri"/>
                <w:sz w:val="20"/>
              </w:rPr>
            </w:pPr>
          </w:p>
        </w:tc>
      </w:tr>
      <w:tr w:rsidR="0007151E" w:rsidRPr="005143FF" w:rsidTr="00C3673D">
        <w:tc>
          <w:tcPr>
            <w:tcW w:w="5000" w:type="pct"/>
            <w:gridSpan w:val="3"/>
          </w:tcPr>
          <w:p w:rsidR="0007151E" w:rsidRPr="005143FF" w:rsidRDefault="0007151E" w:rsidP="00C3673D">
            <w:pPr>
              <w:jc w:val="both"/>
              <w:rPr>
                <w:rFonts w:eastAsia="Calibri"/>
                <w:sz w:val="20"/>
              </w:rPr>
            </w:pPr>
            <w:r w:rsidRPr="005143FF">
              <w:rPr>
                <w:rFonts w:eastAsia="Calibri"/>
                <w:sz w:val="20"/>
              </w:rPr>
              <w:t xml:space="preserve">Mr. Taylor was assessed by the Canada Revenue Agency (CRA) for unremitted Harmonized Sales Tax under the </w:t>
            </w:r>
            <w:r w:rsidRPr="005143FF">
              <w:rPr>
                <w:rFonts w:eastAsia="Calibri"/>
                <w:i/>
                <w:sz w:val="20"/>
              </w:rPr>
              <w:t>Excise Tax Act</w:t>
            </w:r>
            <w:r w:rsidRPr="005143FF">
              <w:rPr>
                <w:rFonts w:eastAsia="Calibri"/>
                <w:sz w:val="20"/>
              </w:rPr>
              <w:t xml:space="preserve"> and for income tax under the </w:t>
            </w:r>
            <w:r w:rsidRPr="005143FF">
              <w:rPr>
                <w:rFonts w:eastAsia="Calibri"/>
                <w:i/>
                <w:sz w:val="20"/>
              </w:rPr>
              <w:t>Income Tax Act</w:t>
            </w:r>
            <w:r w:rsidRPr="005143FF">
              <w:rPr>
                <w:rFonts w:eastAsia="Calibri"/>
                <w:sz w:val="20"/>
              </w:rPr>
              <w:t xml:space="preserve">.  He filed Notices of Objections to all Notices of Assessment.  </w:t>
            </w:r>
          </w:p>
          <w:p w:rsidR="0007151E" w:rsidRPr="005143FF" w:rsidRDefault="0007151E" w:rsidP="00C3673D">
            <w:pPr>
              <w:jc w:val="both"/>
              <w:rPr>
                <w:rFonts w:eastAsia="Calibri"/>
                <w:sz w:val="20"/>
              </w:rPr>
            </w:pPr>
          </w:p>
          <w:p w:rsidR="0007151E" w:rsidRPr="005143FF" w:rsidRDefault="0007151E" w:rsidP="00C3673D">
            <w:pPr>
              <w:jc w:val="both"/>
              <w:rPr>
                <w:rFonts w:eastAsia="Calibri"/>
                <w:sz w:val="20"/>
              </w:rPr>
            </w:pPr>
            <w:r w:rsidRPr="005143FF">
              <w:rPr>
                <w:rFonts w:eastAsia="Calibri"/>
                <w:sz w:val="20"/>
              </w:rPr>
              <w:t xml:space="preserve">A meeting was held in January 2009 between Mr. Taylor and representatives of the CRA in the hopes of resolving the matter.  Following this meeting, the parties signed a settlement agreement.  Pursuant to that agreement, Mr. Taylor agreed to waive his right to object and appeal the assessments while, CRA agreed to vacate the penalties weighing against Mr. Taylor. A few days later, Mr. Taylor claimed that the settlement agreement was invalid alleging that he had been under extreme duress during the meeting with CRA and had not been able to obtain legal advice. </w:t>
            </w:r>
          </w:p>
          <w:p w:rsidR="0007151E" w:rsidRPr="005143FF" w:rsidRDefault="0007151E" w:rsidP="00C3673D">
            <w:pPr>
              <w:jc w:val="both"/>
              <w:rPr>
                <w:rFonts w:eastAsia="Calibri"/>
                <w:sz w:val="20"/>
              </w:rPr>
            </w:pPr>
          </w:p>
          <w:p w:rsidR="0007151E" w:rsidRPr="005143FF" w:rsidRDefault="0007151E" w:rsidP="00C3673D">
            <w:pPr>
              <w:jc w:val="both"/>
              <w:rPr>
                <w:rFonts w:eastAsia="Calibri"/>
                <w:sz w:val="20"/>
              </w:rPr>
            </w:pPr>
            <w:r w:rsidRPr="005143FF">
              <w:rPr>
                <w:rFonts w:eastAsia="Calibri"/>
                <w:sz w:val="20"/>
              </w:rPr>
              <w:t>Mr. Taylor subsequently filed an application in the Tax Court of Canada for determination of whether the settlement agreement was valid and binding on the parties.</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May 5, 2010</w:t>
            </w:r>
          </w:p>
          <w:p w:rsidR="0007151E" w:rsidRPr="005143FF" w:rsidRDefault="0007151E" w:rsidP="00C3673D">
            <w:pPr>
              <w:jc w:val="both"/>
              <w:rPr>
                <w:rFonts w:eastAsia="Calibri"/>
                <w:sz w:val="20"/>
              </w:rPr>
            </w:pPr>
            <w:r w:rsidRPr="005143FF">
              <w:rPr>
                <w:rFonts w:eastAsia="Calibri"/>
                <w:sz w:val="20"/>
              </w:rPr>
              <w:t>Tax Court of Canada</w:t>
            </w:r>
          </w:p>
          <w:p w:rsidR="0007151E" w:rsidRPr="005143FF" w:rsidRDefault="0007151E" w:rsidP="00C3673D">
            <w:pPr>
              <w:jc w:val="both"/>
              <w:rPr>
                <w:rFonts w:eastAsia="Calibri"/>
                <w:sz w:val="20"/>
              </w:rPr>
            </w:pPr>
            <w:r w:rsidRPr="005143FF">
              <w:rPr>
                <w:rFonts w:eastAsia="Calibri"/>
                <w:sz w:val="20"/>
              </w:rPr>
              <w:t>(Woods J.)</w:t>
            </w:r>
          </w:p>
          <w:p w:rsidR="0007151E" w:rsidRPr="005143FF" w:rsidRDefault="0007151E" w:rsidP="00C3673D">
            <w:pPr>
              <w:jc w:val="both"/>
              <w:rPr>
                <w:rFonts w:eastAsia="Calibri"/>
                <w:sz w:val="20"/>
              </w:rPr>
            </w:pPr>
            <w:r w:rsidRPr="005143FF">
              <w:rPr>
                <w:rFonts w:eastAsia="Calibri"/>
                <w:sz w:val="20"/>
              </w:rPr>
              <w:t>2010 TCC 246</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Settlement agreement entered into by the applicant held to be valid</w:t>
            </w: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May 23, 2012</w:t>
            </w:r>
          </w:p>
          <w:p w:rsidR="0007151E" w:rsidRPr="005143FF" w:rsidRDefault="0007151E" w:rsidP="00C3673D">
            <w:pPr>
              <w:jc w:val="both"/>
              <w:rPr>
                <w:rFonts w:eastAsia="Calibri"/>
                <w:sz w:val="20"/>
              </w:rPr>
            </w:pPr>
            <w:r w:rsidRPr="005143FF">
              <w:rPr>
                <w:rFonts w:eastAsia="Calibri"/>
                <w:sz w:val="20"/>
              </w:rPr>
              <w:t>Federal Court of Appeal</w:t>
            </w:r>
          </w:p>
          <w:p w:rsidR="0007151E" w:rsidRPr="005143FF" w:rsidRDefault="0007151E" w:rsidP="00C3673D">
            <w:pPr>
              <w:jc w:val="both"/>
              <w:rPr>
                <w:rFonts w:eastAsia="Calibri"/>
                <w:sz w:val="20"/>
              </w:rPr>
            </w:pPr>
            <w:r w:rsidRPr="005143FF">
              <w:rPr>
                <w:rFonts w:eastAsia="Calibri"/>
                <w:sz w:val="20"/>
              </w:rPr>
              <w:t>(Noël, Dawson and Blanchard [</w:t>
            </w:r>
            <w:r w:rsidRPr="005143FF">
              <w:rPr>
                <w:rFonts w:eastAsia="Calibri"/>
                <w:i/>
                <w:sz w:val="20"/>
              </w:rPr>
              <w:t>ex officio</w:t>
            </w:r>
            <w:r w:rsidRPr="005143FF">
              <w:rPr>
                <w:rFonts w:eastAsia="Calibri"/>
                <w:sz w:val="20"/>
              </w:rPr>
              <w:t>] JJ.A.)</w:t>
            </w:r>
          </w:p>
          <w:p w:rsidR="0007151E" w:rsidRPr="005143FF" w:rsidRDefault="0007151E" w:rsidP="00C3673D">
            <w:pPr>
              <w:jc w:val="both"/>
              <w:rPr>
                <w:rFonts w:eastAsia="Calibri"/>
                <w:sz w:val="20"/>
              </w:rPr>
            </w:pPr>
            <w:r w:rsidRPr="005143FF">
              <w:rPr>
                <w:rFonts w:eastAsia="Calibri"/>
                <w:sz w:val="20"/>
              </w:rPr>
              <w:t>2012 FCA 148</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Appeal dismissed</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May 13, 2013</w:t>
            </w:r>
          </w:p>
          <w:p w:rsidR="0007151E" w:rsidRPr="005143FF" w:rsidRDefault="0007151E" w:rsidP="00C3673D">
            <w:pPr>
              <w:jc w:val="both"/>
              <w:rPr>
                <w:rFonts w:eastAsia="Calibri"/>
                <w:sz w:val="20"/>
              </w:rPr>
            </w:pPr>
            <w:r w:rsidRPr="005143FF">
              <w:rPr>
                <w:rFonts w:eastAsia="Calibri"/>
                <w:sz w:val="20"/>
              </w:rPr>
              <w:t>Supreme Court of Canada</w:t>
            </w: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Motion to extend the time to serve and file an application for leave to appeal, application for leave to appeal and motion for a stay of execution, filed</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May 16 2013</w:t>
            </w:r>
          </w:p>
          <w:p w:rsidR="0007151E" w:rsidRPr="005143FF" w:rsidRDefault="0007151E" w:rsidP="00C3673D">
            <w:pPr>
              <w:jc w:val="both"/>
              <w:rPr>
                <w:rFonts w:eastAsia="Calibri"/>
                <w:sz w:val="20"/>
              </w:rPr>
            </w:pPr>
            <w:r w:rsidRPr="005143FF">
              <w:rPr>
                <w:rFonts w:eastAsia="Calibri"/>
                <w:sz w:val="20"/>
              </w:rPr>
              <w:t>Supreme Court of Canada</w:t>
            </w: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Motion to file a lengthy memorandum, filed</w:t>
            </w: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91" style="width:2in;height:1pt" o:hrpct="0" o:hralign="center" o:hrstd="t" o:hrnoshade="t" o:hr="t" fillcolor="black [3213]" stroked="f"/>
        </w:pict>
      </w:r>
    </w:p>
    <w:p w:rsidR="00332827" w:rsidRDefault="00332827" w:rsidP="00332827">
      <w:pPr>
        <w:rPr>
          <w:sz w:val="20"/>
          <w:szCs w:val="20"/>
        </w:rPr>
      </w:pPr>
    </w:p>
    <w:p w:rsidR="00503E17" w:rsidRDefault="00503E17">
      <w:pPr>
        <w:rPr>
          <w:sz w:val="20"/>
          <w:szCs w:val="20"/>
          <w:u w:val="single"/>
          <w:lang w:val="fr-CA"/>
        </w:rPr>
      </w:pPr>
      <w:r>
        <w:rPr>
          <w:sz w:val="20"/>
          <w:szCs w:val="20"/>
          <w:u w:val="single"/>
          <w:lang w:val="fr-CA"/>
        </w:rPr>
        <w:br w:type="page"/>
      </w:r>
    </w:p>
    <w:p w:rsidR="00332827" w:rsidRPr="001B157C" w:rsidRDefault="00332827" w:rsidP="00332827">
      <w:pPr>
        <w:rPr>
          <w:sz w:val="20"/>
          <w:szCs w:val="20"/>
          <w:u w:val="single"/>
          <w:lang w:val="fr-CA"/>
        </w:rPr>
      </w:pPr>
      <w:r w:rsidRPr="001B157C">
        <w:rPr>
          <w:sz w:val="20"/>
          <w:szCs w:val="20"/>
          <w:u w:val="single"/>
          <w:lang w:val="fr-CA"/>
        </w:rPr>
        <w:lastRenderedPageBreak/>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7C5A5B"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 xml:space="preserve">Droit fiscal — Entente portant règlement — Validité de l’entente — Cotisation établie à l’égard du demandeur pour la taxe de vente harmonisée non versée et l’impôt sur le revenu — Entente portant règlement intervenue entre le demandeur et l’Agence du revenu du Canada — Allégation subséquente du demandeur que l’entente portant règlement est invalide — Entente déclarée valide par la Cour de l’impôt — L’Agence a-t-elle utilisé des éléments de preuve obtenus lors d’une perquisition et d’une saisie illégales pour établir une cotisation de taxe à l’endroit du demandeur et l’obliger à signer l’entente portant règlement? — La Cour d’appel a-t-elle omis d’examiner les faits et la législation contractuelle? — L’Agence du revenu du Canada a-t-elle abusé de son pouvoir et de son autorité pour obliger le demandeur à signer l’entente? — La Cour d’appel a-t-elle commis une erreur en rejetant l’appel? </w:t>
            </w:r>
          </w:p>
        </w:tc>
      </w:tr>
      <w:tr w:rsidR="0007151E" w:rsidRPr="007C5A5B" w:rsidTr="00C3673D">
        <w:tc>
          <w:tcPr>
            <w:tcW w:w="5000" w:type="pct"/>
            <w:gridSpan w:val="3"/>
          </w:tcPr>
          <w:p w:rsidR="0007151E" w:rsidRPr="005143FF" w:rsidRDefault="0007151E" w:rsidP="00C3673D">
            <w:pPr>
              <w:jc w:val="both"/>
              <w:rPr>
                <w:rFonts w:eastAsia="Calibri"/>
                <w:sz w:val="20"/>
                <w:lang w:val="fr-CA"/>
              </w:rPr>
            </w:pPr>
          </w:p>
        </w:tc>
      </w:tr>
      <w:tr w:rsidR="0007151E" w:rsidRPr="007C5A5B"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 xml:space="preserve">L’Agence du revenu du Canada (ARC) a établi une cotisation à l’égard de M. Taylor en vertu de la </w:t>
            </w:r>
            <w:r w:rsidRPr="005143FF">
              <w:rPr>
                <w:rFonts w:eastAsia="Calibri"/>
                <w:i/>
                <w:sz w:val="20"/>
                <w:lang w:val="fr-CA"/>
              </w:rPr>
              <w:t xml:space="preserve">Loi sur la taxe d’accise </w:t>
            </w:r>
            <w:r w:rsidRPr="005143FF">
              <w:rPr>
                <w:rFonts w:eastAsia="Calibri"/>
                <w:sz w:val="20"/>
                <w:lang w:val="fr-CA"/>
              </w:rPr>
              <w:t xml:space="preserve">pour la taxe de vente harmonisée non versée ainsi qu’en vertu de la </w:t>
            </w:r>
            <w:r w:rsidRPr="005143FF">
              <w:rPr>
                <w:rFonts w:eastAsia="Calibri"/>
                <w:i/>
                <w:sz w:val="20"/>
                <w:lang w:val="fr-CA"/>
              </w:rPr>
              <w:t xml:space="preserve">Loi de l’impôt sur le revenu </w:t>
            </w:r>
            <w:r w:rsidRPr="005143FF">
              <w:rPr>
                <w:rFonts w:eastAsia="Calibri"/>
                <w:sz w:val="20"/>
                <w:lang w:val="fr-CA"/>
              </w:rPr>
              <w:t xml:space="preserve">pour l’impôt sur le revenu.  Il a déposé des avis d’opposition à l’encontre de tous les avis de cotisation.  </w:t>
            </w:r>
          </w:p>
          <w:p w:rsidR="0007151E" w:rsidRPr="005143FF" w:rsidRDefault="0007151E" w:rsidP="00C3673D">
            <w:pPr>
              <w:jc w:val="both"/>
              <w:rPr>
                <w:rFonts w:eastAsia="Calibri"/>
                <w:sz w:val="20"/>
                <w:lang w:val="fr-CA"/>
              </w:rPr>
            </w:pPr>
          </w:p>
          <w:p w:rsidR="0007151E" w:rsidRPr="005143FF" w:rsidRDefault="0007151E" w:rsidP="00C3673D">
            <w:pPr>
              <w:jc w:val="both"/>
              <w:rPr>
                <w:rFonts w:eastAsia="Calibri"/>
                <w:sz w:val="20"/>
                <w:lang w:val="fr-CA"/>
              </w:rPr>
            </w:pPr>
            <w:r w:rsidRPr="005143FF">
              <w:rPr>
                <w:rFonts w:eastAsia="Calibri"/>
                <w:sz w:val="20"/>
                <w:lang w:val="fr-CA"/>
              </w:rPr>
              <w:t xml:space="preserve">M. Taylor et des représentants de l’ARC se sont rencontrés en janvier 2009 dans l’espoir de régler l’affaire.  Les parties ont signé une entente portant règlement à la suite de cette rencontre.  Conformément à cette entente, M. Taylor acceptait de renoncer à son droit de s’opposer à la cotisation et de la porter en appel, tandis que l’ARC acceptait d’annuler les pénalités dont était passible M. Taylor.  Quelques jours plus tard, M. Taylor a prétendu que l’entente portant règlement était invalide au motif qu’il avait été soumis à une contrainte extrême au cours de la rencontre avec les représentants de l’ARC et qu’il n’avait pas été en mesure d’obtenir les conseils d’un avocat. </w:t>
            </w:r>
          </w:p>
          <w:p w:rsidR="0007151E" w:rsidRPr="005143FF" w:rsidRDefault="0007151E" w:rsidP="00C3673D">
            <w:pPr>
              <w:jc w:val="both"/>
              <w:rPr>
                <w:rFonts w:eastAsia="Calibri"/>
                <w:sz w:val="20"/>
                <w:lang w:val="fr-CA"/>
              </w:rPr>
            </w:pPr>
          </w:p>
          <w:p w:rsidR="0007151E" w:rsidRPr="005143FF" w:rsidRDefault="0007151E" w:rsidP="00C3673D">
            <w:pPr>
              <w:jc w:val="both"/>
              <w:rPr>
                <w:rFonts w:eastAsia="Calibri"/>
                <w:sz w:val="20"/>
                <w:lang w:val="fr-CA"/>
              </w:rPr>
            </w:pPr>
            <w:r w:rsidRPr="005143FF">
              <w:rPr>
                <w:rFonts w:eastAsia="Calibri"/>
                <w:sz w:val="20"/>
                <w:lang w:val="fr-CA"/>
              </w:rPr>
              <w:t xml:space="preserve">M. Taylor a présenté par la suite une demande à la Cour canadienne de l’impôt pour qu’elle décide si l’entente portant règlement était valide et liait les parties. </w:t>
            </w:r>
          </w:p>
          <w:p w:rsidR="0007151E" w:rsidRPr="005143FF" w:rsidRDefault="0007151E" w:rsidP="00C3673D">
            <w:pPr>
              <w:jc w:val="both"/>
              <w:rPr>
                <w:rFonts w:eastAsia="Calibri"/>
                <w:sz w:val="20"/>
                <w:lang w:val="fr-CA"/>
              </w:rPr>
            </w:pPr>
          </w:p>
        </w:tc>
      </w:tr>
      <w:tr w:rsidR="0007151E" w:rsidRPr="00B86261"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5 mai 2010</w:t>
            </w:r>
          </w:p>
          <w:p w:rsidR="0007151E" w:rsidRPr="005143FF" w:rsidRDefault="0007151E" w:rsidP="00C3673D">
            <w:pPr>
              <w:jc w:val="both"/>
              <w:rPr>
                <w:rFonts w:eastAsia="Calibri"/>
                <w:sz w:val="20"/>
                <w:lang w:val="fr-CA"/>
              </w:rPr>
            </w:pPr>
            <w:r w:rsidRPr="005143FF">
              <w:rPr>
                <w:rFonts w:eastAsia="Calibri"/>
                <w:sz w:val="20"/>
                <w:lang w:val="fr-CA"/>
              </w:rPr>
              <w:t>Cour canadienne de l’impôt</w:t>
            </w:r>
          </w:p>
          <w:p w:rsidR="0007151E" w:rsidRPr="005143FF" w:rsidRDefault="0007151E" w:rsidP="00C3673D">
            <w:pPr>
              <w:jc w:val="both"/>
              <w:rPr>
                <w:rFonts w:eastAsia="Calibri"/>
                <w:sz w:val="20"/>
                <w:lang w:val="fr-CA"/>
              </w:rPr>
            </w:pPr>
            <w:r w:rsidRPr="005143FF">
              <w:rPr>
                <w:rFonts w:eastAsia="Calibri"/>
                <w:sz w:val="20"/>
                <w:lang w:val="fr-CA"/>
              </w:rPr>
              <w:t>(Juge Woods)</w:t>
            </w:r>
          </w:p>
          <w:p w:rsidR="0007151E" w:rsidRPr="005143FF" w:rsidRDefault="0007151E" w:rsidP="00C3673D">
            <w:pPr>
              <w:jc w:val="both"/>
              <w:rPr>
                <w:rFonts w:eastAsia="Calibri"/>
                <w:sz w:val="20"/>
              </w:rPr>
            </w:pPr>
            <w:r w:rsidRPr="005143FF">
              <w:rPr>
                <w:rFonts w:eastAsia="Calibri"/>
                <w:sz w:val="20"/>
              </w:rPr>
              <w:t>2010 CCI 246</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 xml:space="preserve">Entente portant règlement signée par le demandeur </w:t>
            </w:r>
            <w:proofErr w:type="gramStart"/>
            <w:r w:rsidRPr="005143FF">
              <w:rPr>
                <w:rFonts w:eastAsia="Calibri"/>
                <w:sz w:val="20"/>
                <w:lang w:val="fr-CA"/>
              </w:rPr>
              <w:t>déclarée</w:t>
            </w:r>
            <w:proofErr w:type="gramEnd"/>
            <w:r w:rsidRPr="005143FF">
              <w:rPr>
                <w:rFonts w:eastAsia="Calibri"/>
                <w:sz w:val="20"/>
                <w:lang w:val="fr-CA"/>
              </w:rPr>
              <w:t xml:space="preserve"> valide </w:t>
            </w:r>
          </w:p>
        </w:tc>
      </w:tr>
      <w:tr w:rsidR="0007151E" w:rsidRPr="005143FF"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23 mai 2012</w:t>
            </w:r>
          </w:p>
          <w:p w:rsidR="0007151E" w:rsidRPr="005143FF" w:rsidRDefault="0007151E" w:rsidP="00C3673D">
            <w:pPr>
              <w:jc w:val="both"/>
              <w:rPr>
                <w:rFonts w:eastAsia="Calibri"/>
                <w:sz w:val="20"/>
                <w:lang w:val="fr-CA"/>
              </w:rPr>
            </w:pPr>
            <w:r w:rsidRPr="005143FF">
              <w:rPr>
                <w:rFonts w:eastAsia="Calibri"/>
                <w:sz w:val="20"/>
                <w:lang w:val="fr-CA"/>
              </w:rPr>
              <w:t xml:space="preserve">Cour d’appel fédérale </w:t>
            </w:r>
          </w:p>
          <w:p w:rsidR="0007151E" w:rsidRPr="005143FF" w:rsidRDefault="0007151E" w:rsidP="00C3673D">
            <w:pPr>
              <w:jc w:val="both"/>
              <w:rPr>
                <w:rFonts w:eastAsia="Calibri"/>
                <w:sz w:val="20"/>
                <w:lang w:val="fr-CA"/>
              </w:rPr>
            </w:pPr>
            <w:r w:rsidRPr="005143FF">
              <w:rPr>
                <w:rFonts w:eastAsia="Calibri"/>
                <w:sz w:val="20"/>
                <w:lang w:val="fr-CA"/>
              </w:rPr>
              <w:t>(Juges Noël, Dawson et Blanchard [d’office])</w:t>
            </w:r>
          </w:p>
          <w:p w:rsidR="0007151E" w:rsidRPr="005143FF" w:rsidRDefault="0007151E" w:rsidP="00C3673D">
            <w:pPr>
              <w:jc w:val="both"/>
              <w:rPr>
                <w:rFonts w:eastAsia="Calibri"/>
                <w:sz w:val="20"/>
              </w:rPr>
            </w:pPr>
            <w:r w:rsidRPr="005143FF">
              <w:rPr>
                <w:rFonts w:eastAsia="Calibri"/>
                <w:sz w:val="20"/>
              </w:rPr>
              <w:t>2012 CAF 148</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Appel rejeté</w:t>
            </w:r>
          </w:p>
          <w:p w:rsidR="0007151E" w:rsidRPr="005143FF" w:rsidRDefault="0007151E" w:rsidP="00C3673D">
            <w:pPr>
              <w:jc w:val="both"/>
              <w:rPr>
                <w:rFonts w:eastAsia="Calibri"/>
                <w:sz w:val="20"/>
              </w:rPr>
            </w:pPr>
          </w:p>
        </w:tc>
      </w:tr>
      <w:tr w:rsidR="0007151E" w:rsidRPr="00B86261"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13 mai 2013</w:t>
            </w:r>
          </w:p>
          <w:p w:rsidR="0007151E" w:rsidRPr="005143FF" w:rsidRDefault="0007151E" w:rsidP="00C3673D">
            <w:pPr>
              <w:jc w:val="both"/>
              <w:rPr>
                <w:rFonts w:eastAsia="Calibri"/>
                <w:sz w:val="20"/>
                <w:lang w:val="fr-CA"/>
              </w:rPr>
            </w:pPr>
            <w:r w:rsidRPr="005143FF">
              <w:rPr>
                <w:rFonts w:eastAsia="Calibri"/>
                <w:sz w:val="20"/>
                <w:lang w:val="fr-CA"/>
              </w:rPr>
              <w:t>Cour suprême du Canada</w:t>
            </w: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 xml:space="preserve">Requête en prorogation du délai pour signifier et déposer une demande d’autorisation d’appel, demande d’autorisation d’appel et requête en sursis </w:t>
            </w:r>
            <w:proofErr w:type="gramStart"/>
            <w:r w:rsidRPr="005143FF">
              <w:rPr>
                <w:rFonts w:eastAsia="Calibri"/>
                <w:sz w:val="20"/>
                <w:lang w:val="fr-CA"/>
              </w:rPr>
              <w:t>d’exécution déposées</w:t>
            </w:r>
            <w:proofErr w:type="gramEnd"/>
            <w:r w:rsidRPr="005143FF">
              <w:rPr>
                <w:rFonts w:eastAsia="Calibri"/>
                <w:sz w:val="20"/>
                <w:lang w:val="fr-CA"/>
              </w:rPr>
              <w:t xml:space="preserve"> </w:t>
            </w:r>
          </w:p>
          <w:p w:rsidR="0007151E" w:rsidRPr="005143FF" w:rsidRDefault="0007151E" w:rsidP="00C3673D">
            <w:pPr>
              <w:jc w:val="both"/>
              <w:rPr>
                <w:rFonts w:eastAsia="Calibri"/>
                <w:sz w:val="20"/>
                <w:lang w:val="fr-CA"/>
              </w:rPr>
            </w:pPr>
          </w:p>
        </w:tc>
      </w:tr>
      <w:tr w:rsidR="0007151E" w:rsidRPr="007C5A5B"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16 mai 2013</w:t>
            </w:r>
          </w:p>
          <w:p w:rsidR="0007151E" w:rsidRPr="005143FF" w:rsidRDefault="0007151E" w:rsidP="00C3673D">
            <w:pPr>
              <w:jc w:val="both"/>
              <w:rPr>
                <w:rFonts w:eastAsia="Calibri"/>
                <w:sz w:val="20"/>
                <w:lang w:val="fr-CA"/>
              </w:rPr>
            </w:pPr>
            <w:r w:rsidRPr="005143FF">
              <w:rPr>
                <w:rFonts w:eastAsia="Calibri"/>
                <w:sz w:val="20"/>
                <w:lang w:val="fr-CA"/>
              </w:rPr>
              <w:t>Cour suprême du Canada</w:t>
            </w: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 xml:space="preserve">Requête pour déposer un mémoire volumineux déposée </w:t>
            </w:r>
          </w:p>
        </w:tc>
      </w:tr>
    </w:tbl>
    <w:p w:rsidR="00332827" w:rsidRPr="0007151E" w:rsidRDefault="00332827" w:rsidP="00332827">
      <w:pPr>
        <w:rPr>
          <w:sz w:val="20"/>
          <w:szCs w:val="20"/>
          <w:lang w:val="fr-CA"/>
        </w:rPr>
      </w:pPr>
    </w:p>
    <w:p w:rsidR="00332827" w:rsidRDefault="005F2BA7" w:rsidP="00332827">
      <w:pPr>
        <w:rPr>
          <w:sz w:val="20"/>
          <w:szCs w:val="20"/>
        </w:rPr>
      </w:pPr>
      <w:r w:rsidRPr="005F2BA7">
        <w:rPr>
          <w:sz w:val="20"/>
          <w:szCs w:val="20"/>
          <w:lang w:val="fr-CA"/>
        </w:rPr>
        <w:pict>
          <v:rect id="_x0000_i1092" style="width:2in;height:1pt" o:hrpct="0" o:hralign="center" o:hrstd="t" o:hrnoshade="t" o:hr="t" fillcolor="black [3213]" stroked="f"/>
        </w:pict>
      </w:r>
    </w:p>
    <w:p w:rsidR="00912980" w:rsidRDefault="00912980">
      <w:pPr>
        <w:rPr>
          <w:sz w:val="20"/>
          <w:szCs w:val="20"/>
        </w:rPr>
      </w:pPr>
    </w:p>
    <w:p w:rsidR="00912980" w:rsidRDefault="00912980">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5457" w:rsidRPr="00575457" w:rsidTr="00912980">
        <w:trPr>
          <w:cantSplit/>
        </w:trPr>
        <w:tc>
          <w:tcPr>
            <w:tcW w:w="1458" w:type="dxa"/>
          </w:tcPr>
          <w:p w:rsidR="00575457" w:rsidRPr="00575457" w:rsidRDefault="00575457" w:rsidP="00C173EE">
            <w:pPr>
              <w:rPr>
                <w:sz w:val="20"/>
                <w:szCs w:val="20"/>
              </w:rPr>
            </w:pPr>
            <w:r w:rsidRPr="00575457">
              <w:rPr>
                <w:rStyle w:val="SCCFileNumberChar"/>
                <w:sz w:val="20"/>
                <w:szCs w:val="20"/>
              </w:rPr>
              <w:lastRenderedPageBreak/>
              <w:t>35387</w:t>
            </w:r>
          </w:p>
          <w:p w:rsidR="00575457" w:rsidRPr="00575457" w:rsidRDefault="00575457" w:rsidP="00C173EE">
            <w:pPr>
              <w:rPr>
                <w:b/>
                <w:sz w:val="20"/>
                <w:szCs w:val="20"/>
                <w:lang w:val="fr-CA"/>
              </w:rPr>
            </w:pPr>
          </w:p>
        </w:tc>
        <w:tc>
          <w:tcPr>
            <w:tcW w:w="8118" w:type="dxa"/>
          </w:tcPr>
          <w:p w:rsidR="00575457" w:rsidRPr="00575457" w:rsidRDefault="00575457" w:rsidP="00C173EE">
            <w:pPr>
              <w:jc w:val="both"/>
              <w:rPr>
                <w:sz w:val="20"/>
                <w:szCs w:val="20"/>
              </w:rPr>
            </w:pPr>
            <w:r w:rsidRPr="00575457">
              <w:rPr>
                <w:rStyle w:val="SCCLsocChar"/>
                <w:sz w:val="20"/>
                <w:szCs w:val="20"/>
                <w:lang w:val="en-CA"/>
              </w:rPr>
              <w:t>David J. Gillespie Professional Corporation v. Frank Cowan Company Limited</w:t>
            </w:r>
            <w:r w:rsidRPr="00575457">
              <w:rPr>
                <w:sz w:val="20"/>
                <w:szCs w:val="20"/>
              </w:rPr>
              <w:t xml:space="preserve"> (Ont.) (Civil) (By Leave)</w:t>
            </w:r>
          </w:p>
          <w:p w:rsidR="00575457" w:rsidRPr="00575457" w:rsidRDefault="00575457" w:rsidP="00C173EE">
            <w:pPr>
              <w:jc w:val="both"/>
              <w:rPr>
                <w:sz w:val="20"/>
                <w:szCs w:val="20"/>
              </w:rPr>
            </w:pPr>
          </w:p>
        </w:tc>
      </w:tr>
      <w:tr w:rsidR="00575457" w:rsidRPr="00575457" w:rsidTr="00912980">
        <w:trPr>
          <w:cantSplit/>
        </w:trPr>
        <w:tc>
          <w:tcPr>
            <w:tcW w:w="1458" w:type="dxa"/>
          </w:tcPr>
          <w:p w:rsidR="00575457" w:rsidRPr="00575457" w:rsidRDefault="00575457" w:rsidP="00C173EE">
            <w:pPr>
              <w:rPr>
                <w:sz w:val="20"/>
                <w:szCs w:val="20"/>
              </w:rPr>
            </w:pPr>
            <w:r w:rsidRPr="00575457">
              <w:rPr>
                <w:sz w:val="20"/>
                <w:szCs w:val="20"/>
              </w:rPr>
              <w:t>Coram :</w:t>
            </w:r>
          </w:p>
        </w:tc>
        <w:tc>
          <w:tcPr>
            <w:tcW w:w="8118" w:type="dxa"/>
          </w:tcPr>
          <w:p w:rsidR="00575457" w:rsidRPr="00575457" w:rsidRDefault="00575457" w:rsidP="00C173EE">
            <w:pPr>
              <w:rPr>
                <w:sz w:val="20"/>
                <w:szCs w:val="20"/>
              </w:rPr>
            </w:pPr>
            <w:r w:rsidRPr="00575457">
              <w:rPr>
                <w:rStyle w:val="SCCCoramChar"/>
                <w:sz w:val="20"/>
                <w:szCs w:val="20"/>
                <w:lang w:val="en-CA"/>
              </w:rPr>
              <w:t>Fish, Rothstein and Moldaver JJ.</w:t>
            </w:r>
          </w:p>
          <w:p w:rsidR="00575457" w:rsidRPr="00575457" w:rsidRDefault="00575457" w:rsidP="00C173EE">
            <w:pPr>
              <w:rPr>
                <w:sz w:val="20"/>
                <w:szCs w:val="20"/>
                <w:u w:val="single"/>
              </w:rPr>
            </w:pPr>
          </w:p>
        </w:tc>
      </w:tr>
      <w:tr w:rsidR="00575457" w:rsidRPr="007C5A5B" w:rsidTr="005E3D99">
        <w:tc>
          <w:tcPr>
            <w:tcW w:w="9576" w:type="dxa"/>
            <w:gridSpan w:val="2"/>
          </w:tcPr>
          <w:p w:rsidR="00575457" w:rsidRPr="00575457" w:rsidRDefault="00575457" w:rsidP="00C173EE">
            <w:pPr>
              <w:pStyle w:val="SCCShortJudgment"/>
              <w:rPr>
                <w:szCs w:val="20"/>
              </w:rPr>
            </w:pPr>
            <w:r w:rsidRPr="00575457">
              <w:rPr>
                <w:szCs w:val="20"/>
              </w:rPr>
              <w:t>The application for leave to appeal from the judgment of the Court of Appeal for Ontario, Number C56013, 2013 ONCA 199, dated March 26, 2013, is dismissed with costs.</w:t>
            </w:r>
          </w:p>
          <w:p w:rsidR="00575457" w:rsidRPr="00575457" w:rsidRDefault="00575457" w:rsidP="00C173EE">
            <w:pPr>
              <w:pStyle w:val="SCCShortJudgment"/>
              <w:ind w:firstLine="0"/>
              <w:rPr>
                <w:szCs w:val="20"/>
              </w:rPr>
            </w:pPr>
          </w:p>
          <w:p w:rsidR="00575457" w:rsidRPr="00575457" w:rsidRDefault="00575457" w:rsidP="00C173EE">
            <w:pPr>
              <w:pStyle w:val="SCCShortJudgment"/>
              <w:rPr>
                <w:szCs w:val="20"/>
                <w:lang w:val="fr-CA"/>
              </w:rPr>
            </w:pPr>
            <w:r w:rsidRPr="00575457">
              <w:rPr>
                <w:szCs w:val="20"/>
                <w:lang w:val="fr-CA"/>
              </w:rPr>
              <w:t>La demande d’autorisation d’appel de l’arrêt de la Cour d’appel de l’Ontario, numéro C56013, 2013 ONCA 199, daté du 26 mars 2013, est rejetée avec dépens.</w:t>
            </w:r>
          </w:p>
        </w:tc>
      </w:tr>
    </w:tbl>
    <w:p w:rsidR="00332827" w:rsidRPr="0016547E" w:rsidRDefault="00332827" w:rsidP="00332827">
      <w:pPr>
        <w:rPr>
          <w:sz w:val="20"/>
          <w:szCs w:val="20"/>
          <w:lang w:val="fr-CA"/>
        </w:rPr>
      </w:pPr>
    </w:p>
    <w:p w:rsidR="00332827" w:rsidRPr="001B157C" w:rsidRDefault="00332827" w:rsidP="00332827">
      <w:pPr>
        <w:rPr>
          <w:sz w:val="20"/>
          <w:szCs w:val="20"/>
          <w:u w:val="single"/>
        </w:rPr>
      </w:pPr>
      <w:r w:rsidRPr="001B157C">
        <w:rPr>
          <w:sz w:val="20"/>
          <w:szCs w:val="20"/>
          <w:u w:val="single"/>
        </w:rPr>
        <w:t>CASE SUMMARY</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5143FF" w:rsidTr="00C3673D">
        <w:tc>
          <w:tcPr>
            <w:tcW w:w="5000" w:type="pct"/>
            <w:gridSpan w:val="3"/>
          </w:tcPr>
          <w:p w:rsidR="0007151E" w:rsidRPr="005143FF" w:rsidRDefault="0007151E" w:rsidP="00C3673D">
            <w:pPr>
              <w:jc w:val="both"/>
              <w:rPr>
                <w:rFonts w:eastAsia="Calibri"/>
                <w:sz w:val="20"/>
              </w:rPr>
            </w:pPr>
            <w:r w:rsidRPr="005143FF">
              <w:rPr>
                <w:rFonts w:eastAsia="Calibri"/>
                <w:sz w:val="20"/>
              </w:rPr>
              <w:t>Insurance – Interpretation of policy – Indemnity for legal expenses – Available coverage under aggregate coverage provisions – Whether conditions subsequent can be implied into insurance policies requiring insured individuals to maintain their employment status – Whether the “claims made” and “occurrence” based approaches to insurance policy interpretation are appropriate where the loss covered by the policy does not arise from negligence – Whether public purpose can ever be a factor for consideration in interpreting insurance policies.</w:t>
            </w:r>
          </w:p>
        </w:tc>
      </w:tr>
      <w:tr w:rsidR="0007151E" w:rsidRPr="005143FF" w:rsidTr="00C3673D">
        <w:tc>
          <w:tcPr>
            <w:tcW w:w="5000" w:type="pct"/>
            <w:gridSpan w:val="3"/>
          </w:tcPr>
          <w:p w:rsidR="0007151E" w:rsidRPr="005143FF" w:rsidRDefault="0007151E" w:rsidP="00C3673D">
            <w:pPr>
              <w:jc w:val="both"/>
              <w:rPr>
                <w:rFonts w:eastAsia="Calibri"/>
                <w:sz w:val="20"/>
              </w:rPr>
            </w:pPr>
          </w:p>
        </w:tc>
      </w:tr>
      <w:tr w:rsidR="0007151E" w:rsidRPr="005143FF" w:rsidTr="00C3673D">
        <w:tc>
          <w:tcPr>
            <w:tcW w:w="5000" w:type="pct"/>
            <w:gridSpan w:val="3"/>
          </w:tcPr>
          <w:p w:rsidR="0007151E" w:rsidRPr="005143FF" w:rsidRDefault="0007151E" w:rsidP="00C3673D">
            <w:pPr>
              <w:jc w:val="both"/>
              <w:rPr>
                <w:rFonts w:eastAsia="Calibri"/>
                <w:sz w:val="20"/>
              </w:rPr>
            </w:pPr>
            <w:r w:rsidRPr="005143FF">
              <w:rPr>
                <w:rFonts w:eastAsia="Calibri"/>
                <w:sz w:val="20"/>
              </w:rPr>
              <w:t>The Durham Children’s Aid Society purchased a public entity casualty policy with the respondent. Separate policies were issued with respect to policy terms March 31, 2008 to March 31, 2009; March 31, 2009 to March 31, 2010; March 31, 2010 to March 31, 2011 and March 31, 2011 to March 31, 2012.  The policies contained a Legal Expense Rider.</w:t>
            </w:r>
          </w:p>
          <w:p w:rsidR="0007151E" w:rsidRPr="005143FF" w:rsidRDefault="0007151E" w:rsidP="00C3673D">
            <w:pPr>
              <w:jc w:val="both"/>
              <w:rPr>
                <w:rFonts w:eastAsia="Calibri"/>
                <w:sz w:val="20"/>
              </w:rPr>
            </w:pPr>
          </w:p>
          <w:p w:rsidR="0007151E" w:rsidRPr="005143FF" w:rsidRDefault="0007151E" w:rsidP="00C3673D">
            <w:pPr>
              <w:jc w:val="both"/>
              <w:rPr>
                <w:rFonts w:eastAsia="Calibri"/>
                <w:sz w:val="20"/>
              </w:rPr>
            </w:pPr>
            <w:r w:rsidRPr="005143FF">
              <w:rPr>
                <w:rFonts w:eastAsia="Calibri"/>
                <w:sz w:val="20"/>
              </w:rPr>
              <w:t xml:space="preserve">David and Heather Lyons were foster parents and as such fell within the definition of “insured” set out in the Legal Expense Rider.  The Lyons </w:t>
            </w:r>
            <w:proofErr w:type="gramStart"/>
            <w:r w:rsidRPr="005143FF">
              <w:rPr>
                <w:rFonts w:eastAsia="Calibri"/>
                <w:sz w:val="20"/>
              </w:rPr>
              <w:t>were</w:t>
            </w:r>
            <w:proofErr w:type="gramEnd"/>
            <w:r w:rsidRPr="005143FF">
              <w:rPr>
                <w:rFonts w:eastAsia="Calibri"/>
                <w:sz w:val="20"/>
              </w:rPr>
              <w:t xml:space="preserve"> charged with a number of </w:t>
            </w:r>
            <w:r w:rsidRPr="005143FF">
              <w:rPr>
                <w:rFonts w:eastAsia="Calibri"/>
                <w:i/>
                <w:sz w:val="20"/>
              </w:rPr>
              <w:t>Criminal Code</w:t>
            </w:r>
            <w:r w:rsidRPr="005143FF">
              <w:rPr>
                <w:rFonts w:eastAsia="Calibri"/>
                <w:sz w:val="20"/>
              </w:rPr>
              <w:t xml:space="preserve"> offences in October 2008, and were almost immediately terminated as foster parents.  They retained the applicant and another lawyer to represent them with respect to the charges.  The two lawyers provided legal defence services until the Lyons’ acquittal in June </w:t>
            </w:r>
            <w:proofErr w:type="gramStart"/>
            <w:r w:rsidRPr="005143FF">
              <w:rPr>
                <w:rFonts w:eastAsia="Calibri"/>
                <w:sz w:val="20"/>
              </w:rPr>
              <w:t>2011,</w:t>
            </w:r>
            <w:proofErr w:type="gramEnd"/>
            <w:r w:rsidRPr="005143FF">
              <w:rPr>
                <w:rFonts w:eastAsia="Calibri"/>
                <w:sz w:val="20"/>
              </w:rPr>
              <w:t xml:space="preserve"> and submitted accounts for legal services to the respondent for payment.  The respondent acknowledged that there was an entitlement on the part of the Lyons to legal expense indemnity. There was no dispute between the parties that the policy in effect between March 31, 2008 and March 31, 2009 had been triggered.  However, the dispute was as to whether any of the subsequent policies were triggered and as to the total amount of coverage.</w:t>
            </w:r>
          </w:p>
          <w:p w:rsidR="0007151E" w:rsidRPr="005143FF" w:rsidRDefault="0007151E" w:rsidP="00C3673D">
            <w:pPr>
              <w:jc w:val="both"/>
              <w:rPr>
                <w:rFonts w:eastAsia="Calibri"/>
                <w:sz w:val="20"/>
              </w:rPr>
            </w:pPr>
          </w:p>
          <w:p w:rsidR="0007151E" w:rsidRPr="005143FF" w:rsidRDefault="0007151E" w:rsidP="00C3673D">
            <w:pPr>
              <w:jc w:val="both"/>
              <w:rPr>
                <w:rFonts w:eastAsia="Calibri"/>
                <w:sz w:val="20"/>
              </w:rPr>
            </w:pPr>
            <w:r w:rsidRPr="005143FF">
              <w:rPr>
                <w:rFonts w:eastAsia="Calibri"/>
                <w:sz w:val="20"/>
              </w:rPr>
              <w:t>The applicant applied to the Superior Court for an interpretation of the policies in order to determine the extent of available insurance coverage under the aggregate coverage provisions of the relevant policies.  The court concluded that the Lyons were not entitled to recover more than the aggregate policy limits of $500,000 set forth in the Legal Expense Rider of the policy from March 31, 2008 to March 31, 2009.  The Court of Appeal dismissed the applicant’s appeal.</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August 30, 2012</w:t>
            </w:r>
          </w:p>
          <w:p w:rsidR="0007151E" w:rsidRPr="005143FF" w:rsidRDefault="0007151E" w:rsidP="00C3673D">
            <w:pPr>
              <w:jc w:val="both"/>
              <w:rPr>
                <w:rFonts w:eastAsia="Calibri"/>
                <w:sz w:val="20"/>
              </w:rPr>
            </w:pPr>
            <w:r w:rsidRPr="005143FF">
              <w:rPr>
                <w:rFonts w:eastAsia="Calibri"/>
                <w:sz w:val="20"/>
              </w:rPr>
              <w:t>Ontario Superior Court of Justice</w:t>
            </w:r>
          </w:p>
          <w:p w:rsidR="0007151E" w:rsidRPr="005143FF" w:rsidRDefault="0007151E" w:rsidP="00C3673D">
            <w:pPr>
              <w:jc w:val="both"/>
              <w:rPr>
                <w:rFonts w:eastAsia="Calibri"/>
                <w:sz w:val="20"/>
              </w:rPr>
            </w:pPr>
            <w:r w:rsidRPr="005143FF">
              <w:rPr>
                <w:rFonts w:eastAsia="Calibri"/>
                <w:sz w:val="20"/>
              </w:rPr>
              <w:t>(Edwards J.)</w:t>
            </w:r>
          </w:p>
          <w:p w:rsidR="0007151E" w:rsidRPr="005143FF" w:rsidRDefault="0007151E" w:rsidP="00C3673D">
            <w:pPr>
              <w:jc w:val="both"/>
              <w:rPr>
                <w:rFonts w:eastAsia="Calibri"/>
                <w:sz w:val="20"/>
              </w:rPr>
            </w:pPr>
            <w:r w:rsidRPr="005143FF">
              <w:rPr>
                <w:rFonts w:eastAsia="Calibri"/>
                <w:sz w:val="20"/>
              </w:rPr>
              <w:t>2012 ONSC 4920</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Applications brought by applicant to interpret insurance policy issued by respondent and to determine the extent of available coverage under aggregate coverage provisions</w:t>
            </w:r>
          </w:p>
          <w:p w:rsidR="0007151E" w:rsidRPr="005143FF" w:rsidRDefault="0007151E" w:rsidP="00C3673D">
            <w:pPr>
              <w:jc w:val="both"/>
              <w:rPr>
                <w:rFonts w:eastAsia="Calibri"/>
                <w:sz w:val="20"/>
              </w:rPr>
            </w:pPr>
          </w:p>
        </w:tc>
      </w:tr>
      <w:tr w:rsidR="0007151E" w:rsidRPr="005143FF" w:rsidTr="00C3673D">
        <w:tc>
          <w:tcPr>
            <w:tcW w:w="2427" w:type="pct"/>
          </w:tcPr>
          <w:p w:rsidR="0007151E" w:rsidRPr="005143FF" w:rsidRDefault="0007151E" w:rsidP="00C3673D">
            <w:pPr>
              <w:jc w:val="both"/>
              <w:rPr>
                <w:rFonts w:eastAsia="Calibri"/>
                <w:sz w:val="20"/>
              </w:rPr>
            </w:pPr>
            <w:r w:rsidRPr="005143FF">
              <w:rPr>
                <w:rFonts w:eastAsia="Calibri"/>
                <w:sz w:val="20"/>
              </w:rPr>
              <w:t>March 26, 2013</w:t>
            </w:r>
          </w:p>
          <w:p w:rsidR="0007151E" w:rsidRPr="005143FF" w:rsidRDefault="0007151E" w:rsidP="00C3673D">
            <w:pPr>
              <w:jc w:val="both"/>
              <w:rPr>
                <w:rFonts w:eastAsia="Calibri"/>
                <w:sz w:val="20"/>
              </w:rPr>
            </w:pPr>
            <w:r w:rsidRPr="005143FF">
              <w:rPr>
                <w:rFonts w:eastAsia="Calibri"/>
                <w:sz w:val="20"/>
              </w:rPr>
              <w:t>Court of Appeal for Ontario</w:t>
            </w:r>
          </w:p>
          <w:p w:rsidR="0007151E" w:rsidRPr="005143FF" w:rsidRDefault="0007151E" w:rsidP="00C3673D">
            <w:pPr>
              <w:jc w:val="both"/>
              <w:rPr>
                <w:rFonts w:eastAsia="Calibri"/>
                <w:sz w:val="20"/>
              </w:rPr>
            </w:pPr>
            <w:r w:rsidRPr="005143FF">
              <w:rPr>
                <w:rFonts w:eastAsia="Calibri"/>
                <w:sz w:val="20"/>
              </w:rPr>
              <w:t>(Sharpe, MacFarland and Pepall JJ.A.)</w:t>
            </w:r>
          </w:p>
          <w:p w:rsidR="0007151E" w:rsidRPr="005143FF" w:rsidRDefault="0007151E" w:rsidP="00C3673D">
            <w:pPr>
              <w:jc w:val="both"/>
              <w:rPr>
                <w:rFonts w:eastAsia="Calibri"/>
                <w:sz w:val="20"/>
              </w:rPr>
            </w:pPr>
            <w:r w:rsidRPr="005143FF">
              <w:rPr>
                <w:rFonts w:eastAsia="Calibri"/>
                <w:sz w:val="20"/>
              </w:rPr>
              <w:t>2013 ONCA 199</w:t>
            </w:r>
          </w:p>
          <w:p w:rsidR="0007151E" w:rsidRPr="005143FF" w:rsidRDefault="0007151E" w:rsidP="00C3673D">
            <w:pPr>
              <w:jc w:val="both"/>
              <w:rPr>
                <w:rFonts w:eastAsia="Calibri"/>
                <w:sz w:val="20"/>
              </w:rPr>
            </w:pP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Appeal by applicant dismissed</w:t>
            </w:r>
          </w:p>
          <w:p w:rsidR="0007151E" w:rsidRPr="005143FF" w:rsidRDefault="0007151E" w:rsidP="00C3673D">
            <w:pPr>
              <w:jc w:val="both"/>
              <w:rPr>
                <w:rFonts w:eastAsia="Calibri"/>
                <w:sz w:val="20"/>
              </w:rPr>
            </w:pPr>
          </w:p>
        </w:tc>
      </w:tr>
      <w:tr w:rsidR="0007151E" w:rsidRPr="005143FF" w:rsidTr="00912980">
        <w:trPr>
          <w:cantSplit/>
        </w:trPr>
        <w:tc>
          <w:tcPr>
            <w:tcW w:w="2427" w:type="pct"/>
          </w:tcPr>
          <w:p w:rsidR="0007151E" w:rsidRPr="005143FF" w:rsidRDefault="0007151E" w:rsidP="00C3673D">
            <w:pPr>
              <w:jc w:val="both"/>
              <w:rPr>
                <w:rFonts w:eastAsia="Calibri"/>
                <w:sz w:val="20"/>
              </w:rPr>
            </w:pPr>
            <w:r w:rsidRPr="005143FF">
              <w:rPr>
                <w:rFonts w:eastAsia="Calibri"/>
                <w:sz w:val="20"/>
              </w:rPr>
              <w:lastRenderedPageBreak/>
              <w:t>May 22, 2013</w:t>
            </w:r>
          </w:p>
          <w:p w:rsidR="0007151E" w:rsidRPr="005143FF" w:rsidRDefault="0007151E" w:rsidP="00C3673D">
            <w:pPr>
              <w:jc w:val="both"/>
              <w:rPr>
                <w:rFonts w:eastAsia="Calibri"/>
                <w:sz w:val="20"/>
              </w:rPr>
            </w:pPr>
            <w:r w:rsidRPr="005143FF">
              <w:rPr>
                <w:rFonts w:eastAsia="Calibri"/>
                <w:sz w:val="20"/>
              </w:rPr>
              <w:t>Supreme Court of Canada</w:t>
            </w:r>
          </w:p>
        </w:tc>
        <w:tc>
          <w:tcPr>
            <w:tcW w:w="243" w:type="pct"/>
          </w:tcPr>
          <w:p w:rsidR="0007151E" w:rsidRPr="005143FF" w:rsidRDefault="0007151E" w:rsidP="00C3673D">
            <w:pPr>
              <w:jc w:val="both"/>
              <w:rPr>
                <w:rFonts w:eastAsia="Calibri"/>
                <w:sz w:val="20"/>
              </w:rPr>
            </w:pPr>
          </w:p>
        </w:tc>
        <w:tc>
          <w:tcPr>
            <w:tcW w:w="2330" w:type="pct"/>
          </w:tcPr>
          <w:p w:rsidR="0007151E" w:rsidRPr="005143FF" w:rsidRDefault="0007151E" w:rsidP="00C3673D">
            <w:pPr>
              <w:jc w:val="both"/>
              <w:rPr>
                <w:rFonts w:eastAsia="Calibri"/>
                <w:sz w:val="20"/>
              </w:rPr>
            </w:pPr>
            <w:r w:rsidRPr="005143FF">
              <w:rPr>
                <w:rFonts w:eastAsia="Calibri"/>
                <w:sz w:val="20"/>
              </w:rPr>
              <w:t>Application for leave to appeal filed</w:t>
            </w:r>
          </w:p>
        </w:tc>
      </w:tr>
    </w:tbl>
    <w:p w:rsidR="00332827" w:rsidRDefault="00332827" w:rsidP="00332827">
      <w:pPr>
        <w:rPr>
          <w:sz w:val="20"/>
          <w:szCs w:val="20"/>
        </w:rPr>
      </w:pPr>
    </w:p>
    <w:p w:rsidR="00332827" w:rsidRPr="00C50A5C" w:rsidRDefault="005F2BA7" w:rsidP="00332827">
      <w:pPr>
        <w:rPr>
          <w:sz w:val="20"/>
          <w:szCs w:val="20"/>
        </w:rPr>
      </w:pPr>
      <w:r w:rsidRPr="005F2BA7">
        <w:rPr>
          <w:sz w:val="20"/>
          <w:szCs w:val="20"/>
          <w:lang w:val="fr-CA"/>
        </w:rPr>
        <w:pict>
          <v:rect id="_x0000_i1093" style="width:2in;height:1pt" o:hrpct="0" o:hralign="center" o:hrstd="t" o:hrnoshade="t" o:hr="t" fillcolor="black [3213]" stroked="f"/>
        </w:pict>
      </w:r>
    </w:p>
    <w:p w:rsidR="00332827" w:rsidRDefault="00332827" w:rsidP="00332827">
      <w:pPr>
        <w:rPr>
          <w:sz w:val="20"/>
          <w:szCs w:val="20"/>
        </w:rPr>
      </w:pPr>
    </w:p>
    <w:p w:rsidR="00332827" w:rsidRPr="001B157C" w:rsidRDefault="00332827" w:rsidP="00332827">
      <w:pPr>
        <w:rPr>
          <w:sz w:val="20"/>
          <w:szCs w:val="20"/>
          <w:u w:val="single"/>
          <w:lang w:val="fr-CA"/>
        </w:rPr>
      </w:pPr>
      <w:r w:rsidRPr="001B157C">
        <w:rPr>
          <w:sz w:val="20"/>
          <w:szCs w:val="20"/>
          <w:u w:val="single"/>
          <w:lang w:val="fr-CA"/>
        </w:rPr>
        <w:t>RÉSUMÉ DE L’AFFAIRE</w:t>
      </w:r>
    </w:p>
    <w:p w:rsidR="00332827" w:rsidRDefault="00332827" w:rsidP="0033282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7151E" w:rsidRPr="007C5A5B"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Assurance – Interprétation de la police – Indemnité pour frais juridiques – Couverture offerte en vertu des dispositions relatives à la couverture globale – Des conditions résolutoires peuvent-elles être considérées comme faisant implicitement partie de la police, obligeant les assurés à maintenir leur situation d’emploi? – Les méthodes d'interprétation d'une police d'assurance « sur une base de réclamation » et « sur une base d’événement » sont-elles appropriées lorsque le sinistre couvert par la police ne découle pas de la négligence? – Les fins d'intérêt public peuvent-elles être un facteur à considérer dans l'interprétation des polices d'assurance?</w:t>
            </w:r>
          </w:p>
        </w:tc>
      </w:tr>
      <w:tr w:rsidR="0007151E" w:rsidRPr="007C5A5B" w:rsidTr="00C3673D">
        <w:tc>
          <w:tcPr>
            <w:tcW w:w="5000" w:type="pct"/>
            <w:gridSpan w:val="3"/>
          </w:tcPr>
          <w:p w:rsidR="0007151E" w:rsidRPr="005143FF" w:rsidRDefault="0007151E" w:rsidP="00C3673D">
            <w:pPr>
              <w:jc w:val="both"/>
              <w:rPr>
                <w:rFonts w:eastAsia="Calibri"/>
                <w:sz w:val="20"/>
                <w:lang w:val="fr-CA"/>
              </w:rPr>
            </w:pPr>
          </w:p>
        </w:tc>
      </w:tr>
      <w:tr w:rsidR="0007151E" w:rsidRPr="005143FF" w:rsidTr="00C3673D">
        <w:tc>
          <w:tcPr>
            <w:tcW w:w="5000" w:type="pct"/>
            <w:gridSpan w:val="3"/>
          </w:tcPr>
          <w:p w:rsidR="0007151E" w:rsidRPr="005143FF" w:rsidRDefault="0007151E" w:rsidP="00C3673D">
            <w:pPr>
              <w:jc w:val="both"/>
              <w:rPr>
                <w:rFonts w:eastAsia="Calibri"/>
                <w:sz w:val="20"/>
                <w:lang w:val="fr-CA"/>
              </w:rPr>
            </w:pPr>
            <w:r w:rsidRPr="005143FF">
              <w:rPr>
                <w:rFonts w:eastAsia="Calibri"/>
                <w:sz w:val="20"/>
                <w:lang w:val="fr-CA"/>
              </w:rPr>
              <w:t>La Durham Children’s Aid Society a souscrit une police risques divers d’une entité publique auprès de l'intimée.  Des polices distinctes ont été établies pour les périodes respectives du 31 mars 2008 au 31 mars 2009; du 31 mars 2009 au 31 mars 2010; du 31 mars 2010 au 31 mars 2011 et du 31 mars 2011 au 31 mars 2012.  Les polices renfermaient un avenant « frais juridiques ».</w:t>
            </w:r>
          </w:p>
          <w:p w:rsidR="0007151E" w:rsidRPr="005143FF" w:rsidRDefault="0007151E" w:rsidP="00C3673D">
            <w:pPr>
              <w:jc w:val="both"/>
              <w:rPr>
                <w:rFonts w:eastAsia="Calibri"/>
                <w:sz w:val="20"/>
                <w:lang w:val="fr-CA"/>
              </w:rPr>
            </w:pPr>
          </w:p>
          <w:p w:rsidR="0007151E" w:rsidRPr="005143FF" w:rsidRDefault="0007151E" w:rsidP="00C3673D">
            <w:pPr>
              <w:jc w:val="both"/>
              <w:rPr>
                <w:rFonts w:eastAsia="Calibri"/>
                <w:sz w:val="20"/>
                <w:lang w:val="fr-CA"/>
              </w:rPr>
            </w:pPr>
            <w:r w:rsidRPr="005143FF">
              <w:rPr>
                <w:rFonts w:eastAsia="Calibri"/>
                <w:sz w:val="20"/>
                <w:lang w:val="fr-CA"/>
              </w:rPr>
              <w:t>David et Heather Lyons étaient des parents de famille d'accueil et à ce titre, ils étaient des « assurés » selon la définition stipulée dans l'avenant « frais juridiques ».  Les Lyons ont été accusés d'un certain nombre d'infractions au</w:t>
            </w:r>
            <w:r w:rsidRPr="005143FF">
              <w:rPr>
                <w:rFonts w:eastAsia="Calibri"/>
                <w:i/>
                <w:sz w:val="20"/>
                <w:lang w:val="fr-CA"/>
              </w:rPr>
              <w:t xml:space="preserve"> Code criminel</w:t>
            </w:r>
            <w:r w:rsidRPr="005143FF">
              <w:rPr>
                <w:rFonts w:eastAsia="Calibri"/>
                <w:sz w:val="20"/>
                <w:lang w:val="fr-CA"/>
              </w:rPr>
              <w:t xml:space="preserve"> en octobre 2008 et ils ont été presque immédiatement renvoyés comme parents de famille d'accueil.  Ils ont retenu les services de la demanderesse et d'un autre avocat pour les représenter relativement aux accusations.  Les deux avocats ont fourni des services de défense juridique jusqu'à l'acquittement des Lyons en juin 2011 et ils ont présenté à l'intimée des notes d'honoraires pour services juridiques.  L'intimée a reconnu que les Lyons avaient droit à l'indemnité pour frais juridiques.  Nul ne conteste que la police en vigueur du 31 mars 2008 au 31 mars 2009 s’applique.  Toutefois, le litige portait sur la question de savoir si des polices subséquentes s'appliquaient et sur le montant total de la couverture.</w:t>
            </w:r>
          </w:p>
          <w:p w:rsidR="0007151E" w:rsidRPr="005143FF" w:rsidRDefault="0007151E" w:rsidP="00C3673D">
            <w:pPr>
              <w:jc w:val="both"/>
              <w:rPr>
                <w:rFonts w:eastAsia="Calibri"/>
                <w:sz w:val="20"/>
                <w:lang w:val="fr-CA"/>
              </w:rPr>
            </w:pPr>
          </w:p>
          <w:p w:rsidR="0007151E" w:rsidRPr="005143FF" w:rsidRDefault="0007151E" w:rsidP="00C3673D">
            <w:pPr>
              <w:jc w:val="both"/>
              <w:rPr>
                <w:rFonts w:eastAsia="Calibri"/>
                <w:sz w:val="20"/>
                <w:lang w:val="fr-CA"/>
              </w:rPr>
            </w:pPr>
            <w:r w:rsidRPr="005143FF">
              <w:rPr>
                <w:rFonts w:eastAsia="Calibri"/>
                <w:sz w:val="20"/>
                <w:lang w:val="fr-CA"/>
              </w:rPr>
              <w:t>La demanderesse a demandé à la Cour supérieure d'interpréter les polices afin de déterminer la portée de la couverture d'assurance offerte en vertu des dispositions globales de couverture des polices pertinentes.  La Cour a conclu que les Lyons n'avaient pas droit de recouvrer plus du montant global de garantie de 500 000 $ stipulé dans l'avenant « frais juridiques » de la police du 31 mars 2008 au 31 mars 2009.  La Cour d'appel a rejeté l'appel de la demanderesse.</w:t>
            </w:r>
          </w:p>
          <w:p w:rsidR="0007151E" w:rsidRPr="005143FF" w:rsidRDefault="0007151E" w:rsidP="00C3673D">
            <w:pPr>
              <w:jc w:val="both"/>
              <w:rPr>
                <w:rFonts w:eastAsia="Calibri"/>
                <w:sz w:val="20"/>
                <w:lang w:val="fr-CA"/>
              </w:rPr>
            </w:pPr>
          </w:p>
        </w:tc>
      </w:tr>
      <w:tr w:rsidR="0007151E" w:rsidRPr="007C5A5B"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30 août 2012</w:t>
            </w:r>
          </w:p>
          <w:p w:rsidR="0007151E" w:rsidRPr="005143FF" w:rsidRDefault="0007151E" w:rsidP="00C3673D">
            <w:pPr>
              <w:jc w:val="both"/>
              <w:rPr>
                <w:rFonts w:eastAsia="Calibri"/>
                <w:sz w:val="20"/>
                <w:lang w:val="fr-CA"/>
              </w:rPr>
            </w:pPr>
            <w:r w:rsidRPr="005143FF">
              <w:rPr>
                <w:rFonts w:eastAsia="Calibri"/>
                <w:sz w:val="20"/>
                <w:lang w:val="fr-CA"/>
              </w:rPr>
              <w:t>Cour supérieure de justice de l'Ontario</w:t>
            </w:r>
          </w:p>
          <w:p w:rsidR="0007151E" w:rsidRPr="005143FF" w:rsidRDefault="0007151E" w:rsidP="00C3673D">
            <w:pPr>
              <w:jc w:val="both"/>
              <w:rPr>
                <w:rFonts w:eastAsia="Calibri"/>
                <w:sz w:val="20"/>
                <w:lang w:val="fr-CA"/>
              </w:rPr>
            </w:pPr>
            <w:r w:rsidRPr="005143FF">
              <w:rPr>
                <w:rFonts w:eastAsia="Calibri"/>
                <w:sz w:val="20"/>
                <w:lang w:val="fr-CA"/>
              </w:rPr>
              <w:t>(Juge Edwards)</w:t>
            </w:r>
          </w:p>
          <w:p w:rsidR="0007151E" w:rsidRPr="005143FF" w:rsidRDefault="0007151E" w:rsidP="00C3673D">
            <w:pPr>
              <w:jc w:val="both"/>
              <w:rPr>
                <w:rFonts w:eastAsia="Calibri"/>
                <w:sz w:val="20"/>
                <w:lang w:val="fr-CA"/>
              </w:rPr>
            </w:pPr>
            <w:r w:rsidRPr="005143FF">
              <w:rPr>
                <w:rFonts w:eastAsia="Calibri"/>
                <w:sz w:val="20"/>
                <w:lang w:val="fr-CA"/>
              </w:rPr>
              <w:t>2012 ONSC 4920</w:t>
            </w:r>
          </w:p>
          <w:p w:rsidR="0007151E" w:rsidRPr="005143FF" w:rsidRDefault="0007151E" w:rsidP="00C3673D">
            <w:pPr>
              <w:jc w:val="both"/>
              <w:rPr>
                <w:rFonts w:eastAsia="Calibri"/>
                <w:sz w:val="20"/>
                <w:lang w:val="fr-CA"/>
              </w:rPr>
            </w:pP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Demandes présentées par la demanderesse en vue d’interpréter la police d'assurance établie par l'intimée et de déterminer le montant de la couverture offerte en vertu des dispositions relatives à la couverture globale</w:t>
            </w:r>
          </w:p>
          <w:p w:rsidR="0007151E" w:rsidRPr="005143FF" w:rsidRDefault="0007151E" w:rsidP="00C3673D">
            <w:pPr>
              <w:jc w:val="both"/>
              <w:rPr>
                <w:rFonts w:eastAsia="Calibri"/>
                <w:sz w:val="20"/>
                <w:lang w:val="fr-CA"/>
              </w:rPr>
            </w:pPr>
          </w:p>
        </w:tc>
      </w:tr>
      <w:tr w:rsidR="0007151E" w:rsidRPr="005143FF"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26 mars 2013</w:t>
            </w:r>
          </w:p>
          <w:p w:rsidR="0007151E" w:rsidRPr="005143FF" w:rsidRDefault="0007151E" w:rsidP="00C3673D">
            <w:pPr>
              <w:jc w:val="both"/>
              <w:rPr>
                <w:rFonts w:eastAsia="Calibri"/>
                <w:sz w:val="20"/>
                <w:lang w:val="fr-CA"/>
              </w:rPr>
            </w:pPr>
            <w:r w:rsidRPr="005143FF">
              <w:rPr>
                <w:rFonts w:eastAsia="Calibri"/>
                <w:sz w:val="20"/>
                <w:lang w:val="fr-CA"/>
              </w:rPr>
              <w:t xml:space="preserve">Cour d'appel de l'Ontario </w:t>
            </w:r>
          </w:p>
          <w:p w:rsidR="0007151E" w:rsidRPr="005143FF" w:rsidRDefault="0007151E" w:rsidP="00C3673D">
            <w:pPr>
              <w:jc w:val="both"/>
              <w:rPr>
                <w:rFonts w:eastAsia="Calibri"/>
                <w:sz w:val="20"/>
                <w:lang w:val="fr-CA"/>
              </w:rPr>
            </w:pPr>
            <w:r w:rsidRPr="005143FF">
              <w:rPr>
                <w:rFonts w:eastAsia="Calibri"/>
                <w:sz w:val="20"/>
                <w:lang w:val="fr-CA"/>
              </w:rPr>
              <w:t>(Juges Sharpe, MacFarland et Pepall)</w:t>
            </w:r>
          </w:p>
          <w:p w:rsidR="0007151E" w:rsidRPr="005143FF" w:rsidRDefault="0007151E" w:rsidP="00C3673D">
            <w:pPr>
              <w:jc w:val="both"/>
              <w:rPr>
                <w:rFonts w:eastAsia="Calibri"/>
                <w:sz w:val="20"/>
                <w:lang w:val="fr-CA"/>
              </w:rPr>
            </w:pPr>
            <w:r w:rsidRPr="005143FF">
              <w:rPr>
                <w:rFonts w:eastAsia="Calibri"/>
                <w:sz w:val="20"/>
                <w:lang w:val="fr-CA"/>
              </w:rPr>
              <w:t>2013 ONCA 199</w:t>
            </w:r>
          </w:p>
          <w:p w:rsidR="0007151E" w:rsidRPr="005143FF" w:rsidRDefault="0007151E" w:rsidP="00C3673D">
            <w:pPr>
              <w:jc w:val="both"/>
              <w:rPr>
                <w:rFonts w:eastAsia="Calibri"/>
                <w:sz w:val="20"/>
                <w:lang w:val="fr-CA"/>
              </w:rPr>
            </w:pP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Appel de la demanderesse rejeté</w:t>
            </w:r>
          </w:p>
          <w:p w:rsidR="0007151E" w:rsidRPr="005143FF" w:rsidRDefault="0007151E" w:rsidP="00C3673D">
            <w:pPr>
              <w:jc w:val="both"/>
              <w:rPr>
                <w:rFonts w:eastAsia="Calibri"/>
                <w:sz w:val="20"/>
                <w:lang w:val="fr-CA"/>
              </w:rPr>
            </w:pPr>
          </w:p>
        </w:tc>
      </w:tr>
      <w:tr w:rsidR="0007151E" w:rsidRPr="005143FF" w:rsidTr="00C3673D">
        <w:tc>
          <w:tcPr>
            <w:tcW w:w="2427" w:type="pct"/>
          </w:tcPr>
          <w:p w:rsidR="0007151E" w:rsidRPr="005143FF" w:rsidRDefault="0007151E" w:rsidP="00C3673D">
            <w:pPr>
              <w:jc w:val="both"/>
              <w:rPr>
                <w:rFonts w:eastAsia="Calibri"/>
                <w:sz w:val="20"/>
                <w:lang w:val="fr-CA"/>
              </w:rPr>
            </w:pPr>
            <w:r w:rsidRPr="005143FF">
              <w:rPr>
                <w:rFonts w:eastAsia="Calibri"/>
                <w:sz w:val="20"/>
                <w:lang w:val="fr-CA"/>
              </w:rPr>
              <w:t>22 mai 2013</w:t>
            </w:r>
          </w:p>
          <w:p w:rsidR="0007151E" w:rsidRPr="005143FF" w:rsidRDefault="0007151E" w:rsidP="00C3673D">
            <w:pPr>
              <w:jc w:val="both"/>
              <w:rPr>
                <w:rFonts w:eastAsia="Calibri"/>
                <w:sz w:val="20"/>
                <w:lang w:val="fr-CA"/>
              </w:rPr>
            </w:pPr>
            <w:r w:rsidRPr="005143FF">
              <w:rPr>
                <w:rFonts w:eastAsia="Calibri"/>
                <w:sz w:val="20"/>
                <w:lang w:val="fr-CA"/>
              </w:rPr>
              <w:t>Cour suprême du Canada</w:t>
            </w:r>
          </w:p>
        </w:tc>
        <w:tc>
          <w:tcPr>
            <w:tcW w:w="243" w:type="pct"/>
          </w:tcPr>
          <w:p w:rsidR="0007151E" w:rsidRPr="005143FF" w:rsidRDefault="0007151E" w:rsidP="00C3673D">
            <w:pPr>
              <w:jc w:val="both"/>
              <w:rPr>
                <w:rFonts w:eastAsia="Calibri"/>
                <w:sz w:val="20"/>
                <w:lang w:val="fr-CA"/>
              </w:rPr>
            </w:pPr>
          </w:p>
        </w:tc>
        <w:tc>
          <w:tcPr>
            <w:tcW w:w="2330" w:type="pct"/>
          </w:tcPr>
          <w:p w:rsidR="0007151E" w:rsidRPr="005143FF" w:rsidRDefault="0007151E" w:rsidP="00C3673D">
            <w:pPr>
              <w:jc w:val="both"/>
              <w:rPr>
                <w:rFonts w:eastAsia="Calibri"/>
                <w:sz w:val="20"/>
                <w:lang w:val="fr-CA"/>
              </w:rPr>
            </w:pPr>
            <w:r w:rsidRPr="005143FF">
              <w:rPr>
                <w:rFonts w:eastAsia="Calibri"/>
                <w:sz w:val="20"/>
                <w:lang w:val="fr-CA"/>
              </w:rPr>
              <w:t>Demande d'autorisation d'appel, déposée</w:t>
            </w:r>
          </w:p>
        </w:tc>
      </w:tr>
    </w:tbl>
    <w:p w:rsidR="00332827" w:rsidRDefault="00332827" w:rsidP="00332827">
      <w:pPr>
        <w:rPr>
          <w:sz w:val="20"/>
          <w:szCs w:val="20"/>
        </w:rPr>
      </w:pPr>
    </w:p>
    <w:p w:rsidR="00332827" w:rsidRDefault="005F2BA7" w:rsidP="00332827">
      <w:pPr>
        <w:rPr>
          <w:sz w:val="20"/>
          <w:szCs w:val="20"/>
        </w:rPr>
      </w:pPr>
      <w:r w:rsidRPr="005F2BA7">
        <w:rPr>
          <w:sz w:val="20"/>
          <w:szCs w:val="20"/>
          <w:lang w:val="fr-CA"/>
        </w:rPr>
        <w:pict>
          <v:rect id="_x0000_i1094" style="width:2in;height:1pt" o:hrpct="0" o:hralign="center" o:hrstd="t" o:hrnoshade="t" o:hr="t" fillcolor="black [3213]" stroked="f"/>
        </w:pict>
      </w:r>
    </w:p>
    <w:p w:rsidR="00332827" w:rsidRPr="00332827" w:rsidRDefault="00332827" w:rsidP="00332827">
      <w:pPr>
        <w:rPr>
          <w:sz w:val="20"/>
          <w:szCs w:val="20"/>
        </w:rPr>
      </w:pPr>
    </w:p>
    <w:p w:rsidR="002468F2" w:rsidRDefault="002468F2">
      <w:pPr>
        <w:rPr>
          <w:b/>
          <w:sz w:val="20"/>
          <w:szCs w:val="20"/>
        </w:rPr>
      </w:pPr>
      <w:r>
        <w:rPr>
          <w:b/>
          <w:sz w:val="20"/>
          <w:szCs w:val="20"/>
        </w:rPr>
        <w:br w:type="page"/>
      </w:r>
    </w:p>
    <w:p w:rsidR="002468F2" w:rsidRDefault="002468F2" w:rsidP="002468F2">
      <w:pPr>
        <w:rPr>
          <w:b/>
          <w:sz w:val="20"/>
          <w:szCs w:val="20"/>
        </w:rPr>
      </w:pPr>
      <w:r>
        <w:rPr>
          <w:b/>
          <w:sz w:val="20"/>
          <w:szCs w:val="20"/>
        </w:rPr>
        <w:lastRenderedPageBreak/>
        <w:t>AUGUST 1</w:t>
      </w:r>
      <w:r w:rsidR="005356CB">
        <w:rPr>
          <w:b/>
          <w:sz w:val="20"/>
          <w:szCs w:val="20"/>
        </w:rPr>
        <w:t>5</w:t>
      </w:r>
      <w:r>
        <w:rPr>
          <w:b/>
          <w:sz w:val="20"/>
          <w:szCs w:val="20"/>
        </w:rPr>
        <w:t>, 2013 / LE 1</w:t>
      </w:r>
      <w:r w:rsidR="005356CB">
        <w:rPr>
          <w:b/>
          <w:sz w:val="20"/>
          <w:szCs w:val="20"/>
        </w:rPr>
        <w:t>5</w:t>
      </w:r>
      <w:r>
        <w:rPr>
          <w:b/>
          <w:sz w:val="20"/>
          <w:szCs w:val="20"/>
        </w:rPr>
        <w:t xml:space="preserve"> AOÛT 2013</w:t>
      </w:r>
    </w:p>
    <w:p w:rsidR="002468F2" w:rsidRDefault="002468F2" w:rsidP="002468F2">
      <w:pPr>
        <w:rPr>
          <w:sz w:val="20"/>
          <w:szCs w:val="20"/>
        </w:rPr>
      </w:pPr>
    </w:p>
    <w:p w:rsidR="002468F2" w:rsidRPr="009B1157" w:rsidRDefault="002468F2" w:rsidP="002468F2">
      <w:pPr>
        <w:ind w:left="1440" w:hanging="1440"/>
        <w:jc w:val="both"/>
        <w:rPr>
          <w:sz w:val="20"/>
          <w:szCs w:val="20"/>
        </w:rPr>
      </w:pPr>
      <w:r w:rsidRPr="009B1157">
        <w:rPr>
          <w:rStyle w:val="SCCFileNumberChar"/>
          <w:sz w:val="20"/>
          <w:szCs w:val="20"/>
        </w:rPr>
        <w:t>35</w:t>
      </w:r>
      <w:r w:rsidR="005356CB">
        <w:rPr>
          <w:rStyle w:val="SCCFileNumberChar"/>
          <w:sz w:val="20"/>
          <w:szCs w:val="20"/>
        </w:rPr>
        <w:t>339</w:t>
      </w:r>
      <w:r>
        <w:rPr>
          <w:rStyle w:val="SCCFileNumberChar"/>
          <w:sz w:val="20"/>
          <w:szCs w:val="20"/>
        </w:rPr>
        <w:tab/>
      </w:r>
      <w:r>
        <w:rPr>
          <w:rStyle w:val="SCCLsocChar"/>
          <w:sz w:val="20"/>
          <w:szCs w:val="20"/>
          <w:lang w:val="en-CA"/>
        </w:rPr>
        <w:t>H</w:t>
      </w:r>
      <w:r w:rsidRPr="00F05DB8">
        <w:rPr>
          <w:rStyle w:val="SCCLsocChar"/>
          <w:sz w:val="20"/>
          <w:szCs w:val="20"/>
          <w:lang w:val="en-CA"/>
        </w:rPr>
        <w:t>er</w:t>
      </w:r>
      <w:r>
        <w:rPr>
          <w:rStyle w:val="SCCLsocChar"/>
          <w:sz w:val="20"/>
          <w:szCs w:val="20"/>
          <w:lang w:val="en-CA"/>
        </w:rPr>
        <w:t xml:space="preserve"> M</w:t>
      </w:r>
      <w:r w:rsidRPr="00F05DB8">
        <w:rPr>
          <w:rStyle w:val="SCCLsocChar"/>
          <w:sz w:val="20"/>
          <w:szCs w:val="20"/>
          <w:lang w:val="en-CA"/>
        </w:rPr>
        <w:t>a</w:t>
      </w:r>
      <w:r>
        <w:rPr>
          <w:rStyle w:val="SCCLsocChar"/>
          <w:sz w:val="20"/>
          <w:szCs w:val="20"/>
          <w:lang w:val="en-CA"/>
        </w:rPr>
        <w:t>j</w:t>
      </w:r>
      <w:r w:rsidRPr="00F05DB8">
        <w:rPr>
          <w:rStyle w:val="SCCLsocChar"/>
          <w:sz w:val="20"/>
          <w:szCs w:val="20"/>
          <w:lang w:val="en-CA"/>
        </w:rPr>
        <w:t>est</w:t>
      </w:r>
      <w:r>
        <w:rPr>
          <w:rStyle w:val="SCCLsocChar"/>
          <w:sz w:val="20"/>
          <w:szCs w:val="20"/>
          <w:lang w:val="en-CA"/>
        </w:rPr>
        <w:t>y th</w:t>
      </w:r>
      <w:r w:rsidRPr="00F05DB8">
        <w:rPr>
          <w:rStyle w:val="SCCLsocChar"/>
          <w:sz w:val="20"/>
          <w:szCs w:val="20"/>
          <w:lang w:val="en-CA"/>
        </w:rPr>
        <w:t>e</w:t>
      </w:r>
      <w:r>
        <w:rPr>
          <w:rStyle w:val="SCCLsocChar"/>
          <w:sz w:val="20"/>
          <w:szCs w:val="20"/>
          <w:lang w:val="en-CA"/>
        </w:rPr>
        <w:t xml:space="preserve"> Quee</w:t>
      </w:r>
      <w:r w:rsidRPr="00F05DB8">
        <w:rPr>
          <w:rStyle w:val="SCCLsocChar"/>
          <w:sz w:val="20"/>
          <w:szCs w:val="20"/>
          <w:lang w:val="en-CA"/>
        </w:rPr>
        <w:t>n</w:t>
      </w:r>
      <w:r>
        <w:rPr>
          <w:rStyle w:val="SCCLsocChar"/>
          <w:sz w:val="20"/>
          <w:szCs w:val="20"/>
          <w:lang w:val="en-CA"/>
        </w:rPr>
        <w:t xml:space="preserve"> v. Se</w:t>
      </w:r>
      <w:r w:rsidRPr="00F05DB8">
        <w:rPr>
          <w:rStyle w:val="SCCLsocChar"/>
          <w:sz w:val="20"/>
          <w:szCs w:val="20"/>
          <w:lang w:val="en-CA"/>
        </w:rPr>
        <w:t xml:space="preserve">an </w:t>
      </w:r>
      <w:r>
        <w:rPr>
          <w:rStyle w:val="SCCLsocChar"/>
          <w:sz w:val="20"/>
          <w:szCs w:val="20"/>
          <w:lang w:val="en-CA"/>
        </w:rPr>
        <w:t>S</w:t>
      </w:r>
      <w:r w:rsidRPr="00F05DB8">
        <w:rPr>
          <w:rStyle w:val="SCCLsocChar"/>
          <w:sz w:val="20"/>
          <w:szCs w:val="20"/>
          <w:lang w:val="en-CA"/>
        </w:rPr>
        <w:t>u</w:t>
      </w:r>
      <w:r>
        <w:rPr>
          <w:rStyle w:val="SCCLsocChar"/>
          <w:sz w:val="20"/>
          <w:szCs w:val="20"/>
          <w:lang w:val="en-CA"/>
        </w:rPr>
        <w:t>mm</w:t>
      </w:r>
      <w:r w:rsidRPr="00F05DB8">
        <w:rPr>
          <w:rStyle w:val="SCCLsocChar"/>
          <w:sz w:val="20"/>
          <w:szCs w:val="20"/>
          <w:lang w:val="en-CA"/>
        </w:rPr>
        <w:t>er</w:t>
      </w:r>
      <w:r>
        <w:rPr>
          <w:rStyle w:val="SCCLsocChar"/>
          <w:sz w:val="20"/>
          <w:szCs w:val="20"/>
          <w:lang w:val="en-CA"/>
        </w:rPr>
        <w:t>s</w:t>
      </w:r>
      <w:r w:rsidRPr="009B1157">
        <w:rPr>
          <w:sz w:val="20"/>
          <w:szCs w:val="20"/>
        </w:rPr>
        <w:t xml:space="preserve"> (</w:t>
      </w:r>
      <w:r>
        <w:rPr>
          <w:sz w:val="20"/>
          <w:szCs w:val="20"/>
        </w:rPr>
        <w:t>Ont</w:t>
      </w:r>
      <w:r w:rsidRPr="009B1157">
        <w:rPr>
          <w:sz w:val="20"/>
          <w:szCs w:val="20"/>
        </w:rPr>
        <w:t>.) (C</w:t>
      </w:r>
      <w:r>
        <w:rPr>
          <w:sz w:val="20"/>
          <w:szCs w:val="20"/>
        </w:rPr>
        <w:t>r</w:t>
      </w:r>
      <w:r w:rsidRPr="009B1157">
        <w:rPr>
          <w:sz w:val="20"/>
          <w:szCs w:val="20"/>
        </w:rPr>
        <w:t>i</w:t>
      </w:r>
      <w:r>
        <w:rPr>
          <w:sz w:val="20"/>
          <w:szCs w:val="20"/>
        </w:rPr>
        <w:t>m</w:t>
      </w:r>
      <w:r w:rsidRPr="009B1157">
        <w:rPr>
          <w:sz w:val="20"/>
          <w:szCs w:val="20"/>
        </w:rPr>
        <w:t>i</w:t>
      </w:r>
      <w:r>
        <w:rPr>
          <w:sz w:val="20"/>
          <w:szCs w:val="20"/>
        </w:rPr>
        <w:t>na</w:t>
      </w:r>
      <w:r w:rsidRPr="009B1157">
        <w:rPr>
          <w:sz w:val="20"/>
          <w:szCs w:val="20"/>
        </w:rPr>
        <w:t>l) (By Leave)</w:t>
      </w:r>
    </w:p>
    <w:p w:rsidR="002468F2" w:rsidRPr="00332827" w:rsidRDefault="002468F2" w:rsidP="002468F2">
      <w:pPr>
        <w:ind w:left="1440" w:hanging="1440"/>
        <w:rPr>
          <w:sz w:val="20"/>
          <w:szCs w:val="20"/>
        </w:rPr>
      </w:pPr>
    </w:p>
    <w:p w:rsidR="002468F2" w:rsidRPr="002468F2" w:rsidRDefault="002468F2" w:rsidP="0078346C">
      <w:pPr>
        <w:jc w:val="both"/>
        <w:rPr>
          <w:sz w:val="20"/>
          <w:szCs w:val="20"/>
          <w:lang w:val="en-GB"/>
        </w:rPr>
      </w:pPr>
      <w:r w:rsidRPr="002468F2">
        <w:rPr>
          <w:sz w:val="20"/>
          <w:szCs w:val="20"/>
          <w:lang w:val="en-GB"/>
        </w:rPr>
        <w:t xml:space="preserve">The schedule for serving and filing the materials in </w:t>
      </w:r>
      <w:r w:rsidRPr="002468F2">
        <w:rPr>
          <w:i/>
          <w:iCs/>
          <w:sz w:val="20"/>
          <w:szCs w:val="20"/>
          <w:lang w:val="en-GB"/>
        </w:rPr>
        <w:t xml:space="preserve">Her Majesty the Queen v. Sean Summers </w:t>
      </w:r>
      <w:r w:rsidRPr="002468F2">
        <w:rPr>
          <w:sz w:val="20"/>
          <w:szCs w:val="20"/>
          <w:lang w:val="en-GB"/>
        </w:rPr>
        <w:t>(35339) was set as follows by the Deputy Registrar:</w:t>
      </w:r>
    </w:p>
    <w:p w:rsidR="002468F2" w:rsidRPr="002468F2" w:rsidRDefault="002468F2" w:rsidP="0078346C">
      <w:pPr>
        <w:jc w:val="both"/>
        <w:rPr>
          <w:sz w:val="20"/>
          <w:szCs w:val="20"/>
          <w:lang w:val="en-GB"/>
        </w:rPr>
      </w:pPr>
    </w:p>
    <w:p w:rsidR="002468F2" w:rsidRPr="002468F2" w:rsidRDefault="002468F2" w:rsidP="0078346C">
      <w:pPr>
        <w:jc w:val="both"/>
        <w:rPr>
          <w:sz w:val="20"/>
          <w:szCs w:val="20"/>
          <w:lang w:val="en-GB"/>
        </w:rPr>
      </w:pPr>
      <w:r w:rsidRPr="002468F2">
        <w:rPr>
          <w:sz w:val="20"/>
          <w:szCs w:val="20"/>
          <w:lang w:val="en-GB"/>
        </w:rPr>
        <w:t>(a)</w:t>
      </w:r>
      <w:r w:rsidRPr="002468F2">
        <w:rPr>
          <w:sz w:val="20"/>
          <w:szCs w:val="20"/>
          <w:lang w:val="en-GB"/>
        </w:rPr>
        <w:tab/>
        <w:t>Notice of Appeal to be served and filed no later than August 22, 2013.</w:t>
      </w:r>
    </w:p>
    <w:p w:rsidR="002468F2" w:rsidRPr="002468F2" w:rsidRDefault="002468F2" w:rsidP="0078346C">
      <w:pPr>
        <w:jc w:val="both"/>
        <w:rPr>
          <w:sz w:val="20"/>
          <w:szCs w:val="20"/>
          <w:lang w:val="en-GB"/>
        </w:rPr>
      </w:pPr>
    </w:p>
    <w:p w:rsidR="002468F2" w:rsidRPr="002468F2" w:rsidRDefault="002468F2" w:rsidP="0078346C">
      <w:pPr>
        <w:jc w:val="both"/>
        <w:rPr>
          <w:sz w:val="20"/>
          <w:szCs w:val="20"/>
          <w:lang w:val="en-GB"/>
        </w:rPr>
      </w:pPr>
      <w:r w:rsidRPr="002468F2">
        <w:rPr>
          <w:sz w:val="20"/>
          <w:szCs w:val="20"/>
          <w:lang w:val="en-GB"/>
        </w:rPr>
        <w:t>(b)</w:t>
      </w:r>
      <w:r w:rsidRPr="002468F2">
        <w:rPr>
          <w:sz w:val="20"/>
          <w:szCs w:val="20"/>
          <w:lang w:val="en-GB"/>
        </w:rPr>
        <w:tab/>
        <w:t>Appellant's Record, Factum, and Book of Authorities to be served and filed no later than October 31, 2013.</w:t>
      </w:r>
    </w:p>
    <w:p w:rsidR="002468F2" w:rsidRPr="002468F2" w:rsidRDefault="002468F2" w:rsidP="0078346C">
      <w:pPr>
        <w:jc w:val="both"/>
        <w:rPr>
          <w:sz w:val="20"/>
          <w:szCs w:val="20"/>
          <w:lang w:val="en-GB"/>
        </w:rPr>
      </w:pPr>
    </w:p>
    <w:p w:rsidR="002468F2" w:rsidRPr="002468F2" w:rsidRDefault="002468F2" w:rsidP="0078346C">
      <w:pPr>
        <w:jc w:val="both"/>
        <w:rPr>
          <w:sz w:val="20"/>
          <w:szCs w:val="20"/>
          <w:lang w:val="en-GB"/>
        </w:rPr>
      </w:pPr>
      <w:r w:rsidRPr="002468F2">
        <w:rPr>
          <w:sz w:val="20"/>
          <w:szCs w:val="20"/>
          <w:lang w:val="en-GB"/>
        </w:rPr>
        <w:t>(c)</w:t>
      </w:r>
      <w:r w:rsidRPr="002468F2">
        <w:rPr>
          <w:sz w:val="20"/>
          <w:szCs w:val="20"/>
          <w:lang w:val="en-GB"/>
        </w:rPr>
        <w:tab/>
        <w:t>Notice(s) of motion for leave to intervene to be served and filed no later than November 14, 2013, should there be any.</w:t>
      </w:r>
    </w:p>
    <w:p w:rsidR="002468F2" w:rsidRPr="002468F2" w:rsidRDefault="002468F2" w:rsidP="0078346C">
      <w:pPr>
        <w:jc w:val="both"/>
        <w:rPr>
          <w:sz w:val="20"/>
          <w:szCs w:val="20"/>
          <w:lang w:val="en-GB"/>
        </w:rPr>
      </w:pPr>
    </w:p>
    <w:p w:rsidR="002468F2" w:rsidRPr="002468F2" w:rsidRDefault="002468F2" w:rsidP="0078346C">
      <w:pPr>
        <w:jc w:val="both"/>
        <w:rPr>
          <w:sz w:val="20"/>
          <w:szCs w:val="20"/>
          <w:lang w:val="en-GB"/>
        </w:rPr>
      </w:pPr>
      <w:r w:rsidRPr="002468F2">
        <w:rPr>
          <w:sz w:val="20"/>
          <w:szCs w:val="20"/>
          <w:lang w:val="en-GB"/>
        </w:rPr>
        <w:t>(d)</w:t>
      </w:r>
      <w:r w:rsidRPr="002468F2">
        <w:rPr>
          <w:sz w:val="20"/>
          <w:szCs w:val="20"/>
          <w:lang w:val="en-GB"/>
        </w:rPr>
        <w:tab/>
        <w:t>Any responses to the motion(s) for leave to intervene to be served and filed no later than November 21, 2013.</w:t>
      </w:r>
    </w:p>
    <w:p w:rsidR="002468F2" w:rsidRPr="002468F2" w:rsidRDefault="002468F2" w:rsidP="0078346C">
      <w:pPr>
        <w:jc w:val="both"/>
        <w:rPr>
          <w:sz w:val="20"/>
          <w:szCs w:val="20"/>
          <w:lang w:val="en-GB"/>
        </w:rPr>
      </w:pPr>
    </w:p>
    <w:p w:rsidR="002468F2" w:rsidRPr="002468F2" w:rsidRDefault="002468F2" w:rsidP="0078346C">
      <w:pPr>
        <w:jc w:val="both"/>
        <w:rPr>
          <w:sz w:val="20"/>
          <w:szCs w:val="20"/>
          <w:lang w:val="en-GB"/>
        </w:rPr>
      </w:pPr>
      <w:r w:rsidRPr="002468F2">
        <w:rPr>
          <w:sz w:val="20"/>
          <w:szCs w:val="20"/>
          <w:lang w:val="en-GB"/>
        </w:rPr>
        <w:t>(e)</w:t>
      </w:r>
      <w:r w:rsidRPr="002468F2">
        <w:rPr>
          <w:sz w:val="20"/>
          <w:szCs w:val="20"/>
          <w:lang w:val="en-GB"/>
        </w:rPr>
        <w:tab/>
        <w:t>Any replies to the responses to the motion(s) for leave to intervene to be served and filed no later than November 26, 2013.</w:t>
      </w:r>
    </w:p>
    <w:p w:rsidR="002468F2" w:rsidRPr="002468F2" w:rsidRDefault="002468F2" w:rsidP="0078346C">
      <w:pPr>
        <w:jc w:val="both"/>
        <w:rPr>
          <w:sz w:val="20"/>
          <w:szCs w:val="20"/>
          <w:lang w:val="en-GB"/>
        </w:rPr>
      </w:pPr>
    </w:p>
    <w:p w:rsidR="002468F2" w:rsidRPr="002468F2" w:rsidRDefault="002468F2" w:rsidP="0078346C">
      <w:pPr>
        <w:jc w:val="both"/>
        <w:rPr>
          <w:sz w:val="20"/>
          <w:szCs w:val="20"/>
          <w:lang w:val="en-GB"/>
        </w:rPr>
      </w:pPr>
      <w:r w:rsidRPr="002468F2">
        <w:rPr>
          <w:sz w:val="20"/>
          <w:szCs w:val="20"/>
          <w:lang w:val="en-GB"/>
        </w:rPr>
        <w:t>(f)</w:t>
      </w:r>
      <w:r w:rsidRPr="002468F2">
        <w:rPr>
          <w:sz w:val="20"/>
          <w:szCs w:val="20"/>
          <w:lang w:val="en-GB"/>
        </w:rPr>
        <w:tab/>
        <w:t>Respondent's Record, Factum and Book of Authorities to be served and filed no later than January 9, 2014.</w:t>
      </w:r>
    </w:p>
    <w:p w:rsidR="002468F2" w:rsidRPr="002468F2" w:rsidRDefault="002468F2" w:rsidP="0078346C">
      <w:pPr>
        <w:jc w:val="both"/>
        <w:rPr>
          <w:sz w:val="20"/>
          <w:szCs w:val="20"/>
          <w:lang w:val="en-GB"/>
        </w:rPr>
      </w:pPr>
    </w:p>
    <w:p w:rsidR="002468F2" w:rsidRPr="002468F2" w:rsidRDefault="002468F2" w:rsidP="0078346C">
      <w:pPr>
        <w:jc w:val="both"/>
        <w:rPr>
          <w:sz w:val="20"/>
          <w:szCs w:val="20"/>
          <w:lang w:val="en-GB"/>
        </w:rPr>
      </w:pPr>
      <w:r w:rsidRPr="002468F2">
        <w:rPr>
          <w:sz w:val="20"/>
          <w:szCs w:val="20"/>
          <w:lang w:val="en-GB"/>
        </w:rPr>
        <w:t>(g)</w:t>
      </w:r>
      <w:r w:rsidRPr="002468F2">
        <w:rPr>
          <w:sz w:val="20"/>
          <w:szCs w:val="20"/>
          <w:lang w:val="en-GB"/>
        </w:rPr>
        <w:tab/>
        <w:t>If leave to intervene is granted, Intervener`s Factum and Book of Authorities to be served and filed no later than January 9, 2014.</w:t>
      </w:r>
    </w:p>
    <w:p w:rsidR="002468F2" w:rsidRPr="002468F2" w:rsidRDefault="002468F2" w:rsidP="0078346C">
      <w:pPr>
        <w:jc w:val="both"/>
        <w:rPr>
          <w:sz w:val="20"/>
          <w:szCs w:val="20"/>
          <w:lang w:val="en-GB"/>
        </w:rPr>
      </w:pPr>
    </w:p>
    <w:p w:rsidR="002468F2" w:rsidRPr="002468F2" w:rsidRDefault="002468F2" w:rsidP="0078346C">
      <w:pPr>
        <w:jc w:val="both"/>
        <w:rPr>
          <w:sz w:val="20"/>
          <w:szCs w:val="20"/>
          <w:lang w:val="en-GB"/>
        </w:rPr>
      </w:pPr>
      <w:r w:rsidRPr="002468F2">
        <w:rPr>
          <w:sz w:val="20"/>
          <w:szCs w:val="20"/>
          <w:lang w:val="en-GB"/>
        </w:rPr>
        <w:t>(h)</w:t>
      </w:r>
      <w:r w:rsidRPr="002468F2">
        <w:rPr>
          <w:sz w:val="20"/>
          <w:szCs w:val="20"/>
          <w:lang w:val="en-GB"/>
        </w:rPr>
        <w:tab/>
        <w:t>The appeal is scheduled to be heard on January 23, 2014.</w:t>
      </w:r>
    </w:p>
    <w:p w:rsidR="002468F2" w:rsidRPr="002468F2" w:rsidRDefault="002468F2" w:rsidP="0078346C">
      <w:pPr>
        <w:jc w:val="both"/>
        <w:rPr>
          <w:sz w:val="20"/>
          <w:szCs w:val="20"/>
          <w:lang w:val="en-GB"/>
        </w:rPr>
      </w:pPr>
    </w:p>
    <w:p w:rsidR="002468F2" w:rsidRPr="002468F2" w:rsidRDefault="002468F2" w:rsidP="0078346C">
      <w:pPr>
        <w:jc w:val="both"/>
        <w:rPr>
          <w:sz w:val="20"/>
          <w:szCs w:val="20"/>
          <w:lang w:val="en-GB"/>
        </w:rPr>
      </w:pPr>
    </w:p>
    <w:p w:rsidR="002468F2" w:rsidRPr="002468F2" w:rsidRDefault="002468F2" w:rsidP="0078346C">
      <w:pPr>
        <w:jc w:val="both"/>
        <w:rPr>
          <w:sz w:val="20"/>
          <w:szCs w:val="20"/>
          <w:lang w:val="fr-CA"/>
        </w:rPr>
      </w:pPr>
      <w:proofErr w:type="gramStart"/>
      <w:r w:rsidRPr="002468F2">
        <w:rPr>
          <w:sz w:val="20"/>
          <w:szCs w:val="20"/>
          <w:lang w:val="fr-CA"/>
        </w:rPr>
        <w:t>La registraire adjointe</w:t>
      </w:r>
      <w:proofErr w:type="gramEnd"/>
      <w:r w:rsidRPr="002468F2">
        <w:rPr>
          <w:sz w:val="20"/>
          <w:szCs w:val="20"/>
          <w:lang w:val="fr-CA"/>
        </w:rPr>
        <w:t xml:space="preserve"> a établi l’échéancier suivant pour la signification et le dépôt des documents dans le pourvoi </w:t>
      </w:r>
      <w:r w:rsidRPr="002468F2">
        <w:rPr>
          <w:i/>
          <w:iCs/>
          <w:sz w:val="20"/>
          <w:szCs w:val="20"/>
          <w:lang w:val="fr-CA"/>
        </w:rPr>
        <w:t>Sa Majesté la Reine c. Sean Summers</w:t>
      </w:r>
      <w:r w:rsidRPr="002468F2">
        <w:rPr>
          <w:sz w:val="20"/>
          <w:szCs w:val="20"/>
          <w:lang w:val="fr-CA"/>
        </w:rPr>
        <w:t xml:space="preserve"> (35339) :</w:t>
      </w:r>
    </w:p>
    <w:p w:rsidR="002468F2" w:rsidRPr="002468F2" w:rsidRDefault="002468F2" w:rsidP="0078346C">
      <w:pPr>
        <w:jc w:val="both"/>
        <w:rPr>
          <w:sz w:val="20"/>
          <w:szCs w:val="20"/>
          <w:lang w:val="fr-CA"/>
        </w:rPr>
      </w:pPr>
    </w:p>
    <w:p w:rsidR="002468F2" w:rsidRPr="002468F2" w:rsidRDefault="002468F2" w:rsidP="0078346C">
      <w:pPr>
        <w:jc w:val="both"/>
        <w:rPr>
          <w:sz w:val="20"/>
          <w:szCs w:val="20"/>
          <w:lang w:val="fr-CA"/>
        </w:rPr>
      </w:pPr>
      <w:r w:rsidRPr="002468F2">
        <w:rPr>
          <w:sz w:val="20"/>
          <w:szCs w:val="20"/>
          <w:lang w:val="fr-CA"/>
        </w:rPr>
        <w:t>(a)</w:t>
      </w:r>
      <w:r w:rsidRPr="002468F2">
        <w:rPr>
          <w:sz w:val="20"/>
          <w:szCs w:val="20"/>
          <w:lang w:val="fr-CA"/>
        </w:rPr>
        <w:tab/>
        <w:t xml:space="preserve">L’avis d’appel doit être signifié et déposé au plus tard le 22 août 2013. </w:t>
      </w:r>
    </w:p>
    <w:p w:rsidR="002468F2" w:rsidRPr="002468F2" w:rsidRDefault="002468F2" w:rsidP="0078346C">
      <w:pPr>
        <w:jc w:val="both"/>
        <w:rPr>
          <w:sz w:val="20"/>
          <w:szCs w:val="20"/>
          <w:lang w:val="fr-CA"/>
        </w:rPr>
      </w:pPr>
    </w:p>
    <w:p w:rsidR="002468F2" w:rsidRPr="002468F2" w:rsidRDefault="002468F2" w:rsidP="0078346C">
      <w:pPr>
        <w:jc w:val="both"/>
        <w:rPr>
          <w:sz w:val="20"/>
          <w:szCs w:val="20"/>
          <w:lang w:val="fr-CA"/>
        </w:rPr>
      </w:pPr>
      <w:r w:rsidRPr="002468F2">
        <w:rPr>
          <w:sz w:val="20"/>
          <w:szCs w:val="20"/>
          <w:lang w:val="fr-CA"/>
        </w:rPr>
        <w:t>(b)</w:t>
      </w:r>
      <w:r w:rsidRPr="002468F2">
        <w:rPr>
          <w:sz w:val="20"/>
          <w:szCs w:val="20"/>
          <w:lang w:val="fr-CA"/>
        </w:rPr>
        <w:tab/>
        <w:t xml:space="preserve">Les dossier, mémoire et recueil de sources de l’appelante seront signifiés et déposés au plus tard le 31 octobre 2013. </w:t>
      </w:r>
    </w:p>
    <w:p w:rsidR="002468F2" w:rsidRPr="002468F2" w:rsidRDefault="002468F2" w:rsidP="0078346C">
      <w:pPr>
        <w:jc w:val="both"/>
        <w:rPr>
          <w:sz w:val="20"/>
          <w:szCs w:val="20"/>
          <w:lang w:val="fr-CA"/>
        </w:rPr>
      </w:pPr>
    </w:p>
    <w:p w:rsidR="002468F2" w:rsidRPr="002468F2" w:rsidRDefault="002468F2" w:rsidP="0078346C">
      <w:pPr>
        <w:jc w:val="both"/>
        <w:rPr>
          <w:sz w:val="20"/>
          <w:szCs w:val="20"/>
          <w:lang w:val="fr-CA"/>
        </w:rPr>
      </w:pPr>
      <w:r w:rsidRPr="002468F2">
        <w:rPr>
          <w:sz w:val="20"/>
          <w:szCs w:val="20"/>
          <w:lang w:val="fr-CA"/>
        </w:rPr>
        <w:t>(c)</w:t>
      </w:r>
      <w:r w:rsidRPr="002468F2">
        <w:rPr>
          <w:sz w:val="20"/>
          <w:szCs w:val="20"/>
          <w:lang w:val="fr-CA"/>
        </w:rPr>
        <w:tab/>
        <w:t>Les avis de requête en autorisation d’intervenir seront, le cas échéant, signifiés et déposés au plus tard le 14 novembre 2013.</w:t>
      </w:r>
    </w:p>
    <w:p w:rsidR="002468F2" w:rsidRPr="002468F2" w:rsidRDefault="002468F2" w:rsidP="0078346C">
      <w:pPr>
        <w:jc w:val="both"/>
        <w:rPr>
          <w:sz w:val="20"/>
          <w:szCs w:val="20"/>
          <w:lang w:val="fr-CA"/>
        </w:rPr>
      </w:pPr>
    </w:p>
    <w:p w:rsidR="002468F2" w:rsidRPr="002468F2" w:rsidRDefault="002468F2" w:rsidP="0078346C">
      <w:pPr>
        <w:jc w:val="both"/>
        <w:rPr>
          <w:sz w:val="20"/>
          <w:szCs w:val="20"/>
          <w:lang w:val="fr-CA"/>
        </w:rPr>
      </w:pPr>
      <w:r w:rsidRPr="002468F2">
        <w:rPr>
          <w:sz w:val="20"/>
          <w:szCs w:val="20"/>
          <w:lang w:val="fr-CA"/>
        </w:rPr>
        <w:t>(d)</w:t>
      </w:r>
      <w:r w:rsidRPr="002468F2">
        <w:rPr>
          <w:sz w:val="20"/>
          <w:szCs w:val="20"/>
          <w:lang w:val="fr-CA"/>
        </w:rPr>
        <w:tab/>
        <w:t>Les réponses aux requête(s) en autorisation d’intervenir seront signifiés et déposés au plus tard le 21 novembre 2013.</w:t>
      </w:r>
    </w:p>
    <w:p w:rsidR="002468F2" w:rsidRPr="002468F2" w:rsidRDefault="002468F2" w:rsidP="0078346C">
      <w:pPr>
        <w:jc w:val="both"/>
        <w:rPr>
          <w:sz w:val="20"/>
          <w:szCs w:val="20"/>
          <w:lang w:val="fr-CA"/>
        </w:rPr>
      </w:pPr>
    </w:p>
    <w:p w:rsidR="002468F2" w:rsidRPr="002468F2" w:rsidRDefault="007C5A5B" w:rsidP="0078346C">
      <w:pPr>
        <w:jc w:val="both"/>
        <w:rPr>
          <w:sz w:val="20"/>
          <w:szCs w:val="20"/>
          <w:lang w:val="fr-CA"/>
        </w:rPr>
      </w:pPr>
      <w:r>
        <w:rPr>
          <w:sz w:val="20"/>
          <w:szCs w:val="20"/>
          <w:lang w:val="fr-CA"/>
        </w:rPr>
        <w:t>(e)</w:t>
      </w:r>
      <w:r w:rsidR="002468F2" w:rsidRPr="002468F2">
        <w:rPr>
          <w:sz w:val="20"/>
          <w:szCs w:val="20"/>
          <w:lang w:val="fr-CA"/>
        </w:rPr>
        <w:tab/>
        <w:t>Les répliques aux réponses aux requête(s) en autorisation d’intervenir seront signifiées et déposées au plus tard le 26 novembre 2013.</w:t>
      </w:r>
    </w:p>
    <w:p w:rsidR="002468F2" w:rsidRPr="002468F2" w:rsidRDefault="002468F2" w:rsidP="0078346C">
      <w:pPr>
        <w:jc w:val="both"/>
        <w:rPr>
          <w:sz w:val="20"/>
          <w:szCs w:val="20"/>
          <w:lang w:val="fr-CA"/>
        </w:rPr>
      </w:pPr>
    </w:p>
    <w:p w:rsidR="002468F2" w:rsidRPr="002468F2" w:rsidRDefault="002468F2" w:rsidP="0078346C">
      <w:pPr>
        <w:jc w:val="both"/>
        <w:rPr>
          <w:sz w:val="20"/>
          <w:szCs w:val="20"/>
          <w:lang w:val="fr-CA"/>
        </w:rPr>
      </w:pPr>
      <w:r w:rsidRPr="002468F2">
        <w:rPr>
          <w:sz w:val="20"/>
          <w:szCs w:val="20"/>
          <w:lang w:val="fr-CA"/>
        </w:rPr>
        <w:t>(f)</w:t>
      </w:r>
      <w:r w:rsidRPr="002468F2">
        <w:rPr>
          <w:sz w:val="20"/>
          <w:szCs w:val="20"/>
          <w:lang w:val="fr-CA"/>
        </w:rPr>
        <w:tab/>
        <w:t>Les dossier, mémoire et recueil de sources de l’intimé seront signifiés et déposés au plus tard le 9 janvier 2014.</w:t>
      </w:r>
    </w:p>
    <w:p w:rsidR="002468F2" w:rsidRPr="002468F2" w:rsidRDefault="002468F2" w:rsidP="0078346C">
      <w:pPr>
        <w:jc w:val="both"/>
        <w:rPr>
          <w:sz w:val="20"/>
          <w:szCs w:val="20"/>
          <w:lang w:val="fr-CA"/>
        </w:rPr>
      </w:pPr>
    </w:p>
    <w:p w:rsidR="002468F2" w:rsidRPr="002468F2" w:rsidRDefault="002468F2" w:rsidP="0078346C">
      <w:pPr>
        <w:jc w:val="both"/>
        <w:rPr>
          <w:sz w:val="20"/>
          <w:szCs w:val="20"/>
          <w:lang w:val="fr-CA"/>
        </w:rPr>
      </w:pPr>
      <w:r w:rsidRPr="002468F2">
        <w:rPr>
          <w:sz w:val="20"/>
          <w:szCs w:val="20"/>
          <w:lang w:val="fr-CA"/>
        </w:rPr>
        <w:t>(g)</w:t>
      </w:r>
      <w:r w:rsidRPr="002468F2">
        <w:rPr>
          <w:sz w:val="20"/>
          <w:szCs w:val="20"/>
          <w:lang w:val="fr-CA"/>
        </w:rPr>
        <w:tab/>
        <w:t>Tout intervenant ayant obtenu l’autorisation d’intervenir signifiera et déposera ses mémoire et recueil de sources au plus tard le 9 janvier 2014.</w:t>
      </w:r>
    </w:p>
    <w:p w:rsidR="002468F2" w:rsidRDefault="002468F2" w:rsidP="002468F2">
      <w:pPr>
        <w:rPr>
          <w:sz w:val="20"/>
          <w:szCs w:val="20"/>
          <w:lang w:val="fr-CA"/>
        </w:rPr>
      </w:pPr>
    </w:p>
    <w:p w:rsidR="007C5A5B" w:rsidRPr="00CF0AA9" w:rsidRDefault="007C5A5B" w:rsidP="007C5A5B">
      <w:pPr>
        <w:ind w:left="720" w:hanging="720"/>
        <w:rPr>
          <w:rFonts w:ascii="PMingLiU" w:eastAsia="PMingLiU" w:cs="PMingLiU"/>
          <w:sz w:val="20"/>
          <w:szCs w:val="20"/>
          <w:lang w:val="fr-CA"/>
        </w:rPr>
      </w:pPr>
      <w:r w:rsidRPr="00CF0AA9">
        <w:rPr>
          <w:rFonts w:eastAsia="PMingLiU"/>
          <w:sz w:val="20"/>
          <w:szCs w:val="20"/>
          <w:lang w:val="fr-CA"/>
        </w:rPr>
        <w:t>(h)</w:t>
      </w:r>
      <w:r w:rsidRPr="00CF0AA9">
        <w:rPr>
          <w:rFonts w:eastAsia="PMingLiU"/>
          <w:sz w:val="20"/>
          <w:szCs w:val="20"/>
          <w:lang w:val="fr-CA"/>
        </w:rPr>
        <w:tab/>
        <w:t>L’audition de l’appel est fixée au 23 janvier 2014.</w:t>
      </w:r>
    </w:p>
    <w:p w:rsidR="007C5A5B" w:rsidRPr="0016547E" w:rsidRDefault="007C5A5B" w:rsidP="002468F2">
      <w:pPr>
        <w:rPr>
          <w:sz w:val="20"/>
          <w:szCs w:val="20"/>
          <w:lang w:val="fr-CA"/>
        </w:rPr>
      </w:pPr>
    </w:p>
    <w:p w:rsidR="008D292F" w:rsidRDefault="005F2BA7" w:rsidP="008D292F">
      <w:pPr>
        <w:rPr>
          <w:sz w:val="20"/>
          <w:szCs w:val="20"/>
          <w:lang w:val="fr-CA"/>
        </w:rPr>
      </w:pPr>
      <w:r w:rsidRPr="005F2BA7">
        <w:rPr>
          <w:sz w:val="20"/>
          <w:szCs w:val="20"/>
          <w:lang w:val="fr-CA"/>
        </w:rPr>
        <w:pict>
          <v:rect id="_x0000_i1095" style="width:2in;height:1pt" o:hrpct="0" o:hralign="center" o:hrstd="t" o:hrnoshade="t" o:hr="t" fillcolor="black [3213]" stroked="f"/>
        </w:pict>
      </w:r>
    </w:p>
    <w:p w:rsidR="002468F2" w:rsidRDefault="002468F2" w:rsidP="008D292F">
      <w:pPr>
        <w:rPr>
          <w:sz w:val="20"/>
          <w:szCs w:val="20"/>
          <w:lang w:val="fr-CA"/>
        </w:rPr>
      </w:pPr>
    </w:p>
    <w:p w:rsidR="009D08C5" w:rsidRDefault="009D08C5">
      <w:pPr>
        <w:rPr>
          <w:b/>
          <w:sz w:val="20"/>
          <w:szCs w:val="20"/>
        </w:rPr>
      </w:pPr>
      <w:r>
        <w:rPr>
          <w:b/>
          <w:sz w:val="20"/>
          <w:szCs w:val="20"/>
        </w:rPr>
        <w:br w:type="page"/>
      </w:r>
    </w:p>
    <w:p w:rsidR="002468F2" w:rsidRDefault="002468F2" w:rsidP="002468F2">
      <w:pPr>
        <w:rPr>
          <w:b/>
          <w:sz w:val="20"/>
          <w:szCs w:val="20"/>
        </w:rPr>
      </w:pPr>
      <w:r>
        <w:rPr>
          <w:b/>
          <w:sz w:val="20"/>
          <w:szCs w:val="20"/>
        </w:rPr>
        <w:lastRenderedPageBreak/>
        <w:t>AUGUST 22, 2013 / LE 22 AOÛT 2013</w:t>
      </w:r>
    </w:p>
    <w:p w:rsidR="002468F2" w:rsidRDefault="002468F2" w:rsidP="002468F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145A7" w:rsidRPr="00DD6605" w:rsidTr="009A7078">
        <w:trPr>
          <w:cantSplit/>
        </w:trPr>
        <w:tc>
          <w:tcPr>
            <w:tcW w:w="1458" w:type="dxa"/>
          </w:tcPr>
          <w:p w:rsidR="004145A7" w:rsidRPr="00DD6605" w:rsidRDefault="004145A7" w:rsidP="009A7078">
            <w:pPr>
              <w:rPr>
                <w:sz w:val="20"/>
                <w:szCs w:val="20"/>
              </w:rPr>
            </w:pPr>
            <w:r w:rsidRPr="00DD6605">
              <w:rPr>
                <w:rStyle w:val="SCCFileNumberChar"/>
                <w:sz w:val="20"/>
                <w:szCs w:val="20"/>
              </w:rPr>
              <w:t>35301</w:t>
            </w:r>
          </w:p>
          <w:p w:rsidR="004145A7" w:rsidRPr="00DD6605" w:rsidRDefault="004145A7" w:rsidP="009A7078">
            <w:pPr>
              <w:rPr>
                <w:b/>
                <w:sz w:val="20"/>
                <w:szCs w:val="20"/>
                <w:lang w:val="fr-CA"/>
              </w:rPr>
            </w:pPr>
          </w:p>
        </w:tc>
        <w:tc>
          <w:tcPr>
            <w:tcW w:w="8118" w:type="dxa"/>
          </w:tcPr>
          <w:p w:rsidR="004145A7" w:rsidRPr="00DD6605" w:rsidRDefault="004145A7" w:rsidP="009A7078">
            <w:pPr>
              <w:jc w:val="both"/>
              <w:rPr>
                <w:sz w:val="20"/>
                <w:szCs w:val="20"/>
              </w:rPr>
            </w:pPr>
            <w:r w:rsidRPr="004145A7">
              <w:rPr>
                <w:rStyle w:val="SCCLsocChar"/>
                <w:sz w:val="20"/>
                <w:szCs w:val="20"/>
                <w:lang w:val="en-CA"/>
              </w:rPr>
              <w:t>Sga</w:t>
            </w:r>
            <w:r w:rsidR="006C72D1">
              <w:rPr>
                <w:rStyle w:val="SCCLsocChar"/>
                <w:sz w:val="20"/>
                <w:szCs w:val="20"/>
                <w:lang w:val="en-CA"/>
              </w:rPr>
              <w:t>’</w:t>
            </w:r>
            <w:r w:rsidRPr="004145A7">
              <w:rPr>
                <w:rStyle w:val="SCCLsocChar"/>
                <w:sz w:val="20"/>
                <w:szCs w:val="20"/>
                <w:lang w:val="en-CA"/>
              </w:rPr>
              <w:t>nisim Sim</w:t>
            </w:r>
            <w:r w:rsidR="006C72D1">
              <w:rPr>
                <w:rStyle w:val="SCCLsocChar"/>
                <w:sz w:val="20"/>
                <w:szCs w:val="20"/>
                <w:lang w:val="en-CA"/>
              </w:rPr>
              <w:t>’</w:t>
            </w:r>
            <w:r w:rsidRPr="004145A7">
              <w:rPr>
                <w:rStyle w:val="SCCLsocChar"/>
                <w:sz w:val="20"/>
                <w:szCs w:val="20"/>
                <w:lang w:val="en-CA"/>
              </w:rPr>
              <w:t>augit (Chief Mountain), also known as James Robinson, suing on his own behalf and on behalf of all the members of the House of Sga</w:t>
            </w:r>
            <w:r w:rsidR="006C72D1">
              <w:rPr>
                <w:rStyle w:val="SCCLsocChar"/>
                <w:sz w:val="20"/>
                <w:szCs w:val="20"/>
                <w:lang w:val="en-CA"/>
              </w:rPr>
              <w:t>’</w:t>
            </w:r>
            <w:r w:rsidRPr="004145A7">
              <w:rPr>
                <w:rStyle w:val="SCCLsocChar"/>
                <w:sz w:val="20"/>
                <w:szCs w:val="20"/>
                <w:lang w:val="en-CA"/>
              </w:rPr>
              <w:t>nisim, Nisibilada, also known as Mercy Thomas and Wilp-Lth Git Gingolx (</w:t>
            </w:r>
            <w:r w:rsidR="006C72D1">
              <w:rPr>
                <w:rStyle w:val="SCCLsocChar"/>
                <w:sz w:val="20"/>
                <w:szCs w:val="20"/>
                <w:lang w:val="en-CA"/>
              </w:rPr>
              <w:t>“</w:t>
            </w:r>
            <w:r w:rsidRPr="004145A7">
              <w:rPr>
                <w:rStyle w:val="SCCLsocChar"/>
                <w:sz w:val="20"/>
                <w:szCs w:val="20"/>
                <w:lang w:val="en-CA"/>
              </w:rPr>
              <w:t>The Association of Git Gingolx Tribe Members</w:t>
            </w:r>
            <w:r w:rsidR="006C72D1">
              <w:rPr>
                <w:rStyle w:val="SCCLsocChar"/>
                <w:sz w:val="20"/>
                <w:szCs w:val="20"/>
                <w:lang w:val="en-CA"/>
              </w:rPr>
              <w:t>”</w:t>
            </w:r>
            <w:r w:rsidRPr="004145A7">
              <w:rPr>
                <w:rStyle w:val="SCCLsocChar"/>
                <w:sz w:val="20"/>
                <w:szCs w:val="20"/>
                <w:lang w:val="en-CA"/>
              </w:rPr>
              <w:t>) suing on its own behalf and on behalf of all its members v. Attorney General of Canada, Her Majesty in Right of British Columbia, Attorney General of British Columbia</w:t>
            </w:r>
            <w:r w:rsidR="006C72D1">
              <w:rPr>
                <w:rStyle w:val="SCCLsocChar"/>
                <w:sz w:val="20"/>
                <w:szCs w:val="20"/>
                <w:lang w:val="en-CA"/>
              </w:rPr>
              <w:t xml:space="preserve"> AND</w:t>
            </w:r>
            <w:r w:rsidRPr="004145A7">
              <w:rPr>
                <w:rStyle w:val="SCCLsocChar"/>
                <w:sz w:val="20"/>
                <w:szCs w:val="20"/>
                <w:lang w:val="en-CA"/>
              </w:rPr>
              <w:t xml:space="preserve"> Nisga</w:t>
            </w:r>
            <w:r w:rsidR="006C72D1">
              <w:rPr>
                <w:rStyle w:val="SCCLsocChar"/>
                <w:sz w:val="20"/>
                <w:szCs w:val="20"/>
                <w:lang w:val="en-CA"/>
              </w:rPr>
              <w:t>’</w:t>
            </w:r>
            <w:r w:rsidRPr="004145A7">
              <w:rPr>
                <w:rStyle w:val="SCCLsocChar"/>
                <w:sz w:val="20"/>
                <w:szCs w:val="20"/>
                <w:lang w:val="en-CA"/>
              </w:rPr>
              <w:t>a Nation</w:t>
            </w:r>
            <w:r w:rsidRPr="00DD6605">
              <w:rPr>
                <w:sz w:val="20"/>
                <w:szCs w:val="20"/>
              </w:rPr>
              <w:t xml:space="preserve"> (B.C.) (Civil) (By Leave)</w:t>
            </w:r>
          </w:p>
          <w:p w:rsidR="004145A7" w:rsidRPr="00DD6605" w:rsidRDefault="004145A7" w:rsidP="009A7078">
            <w:pPr>
              <w:jc w:val="both"/>
              <w:rPr>
                <w:sz w:val="20"/>
                <w:szCs w:val="20"/>
              </w:rPr>
            </w:pPr>
          </w:p>
        </w:tc>
      </w:tr>
      <w:tr w:rsidR="004145A7" w:rsidRPr="00DD6605" w:rsidTr="009A7078">
        <w:trPr>
          <w:cantSplit/>
        </w:trPr>
        <w:tc>
          <w:tcPr>
            <w:tcW w:w="1458" w:type="dxa"/>
          </w:tcPr>
          <w:p w:rsidR="004145A7" w:rsidRPr="00DD6605" w:rsidRDefault="004145A7" w:rsidP="009A7078">
            <w:pPr>
              <w:rPr>
                <w:sz w:val="20"/>
                <w:szCs w:val="20"/>
              </w:rPr>
            </w:pPr>
            <w:r w:rsidRPr="00DD6605">
              <w:rPr>
                <w:sz w:val="20"/>
                <w:szCs w:val="20"/>
              </w:rPr>
              <w:t>Coram :</w:t>
            </w:r>
          </w:p>
        </w:tc>
        <w:tc>
          <w:tcPr>
            <w:tcW w:w="8118" w:type="dxa"/>
          </w:tcPr>
          <w:p w:rsidR="004145A7" w:rsidRPr="00DD6605" w:rsidRDefault="004145A7" w:rsidP="009A7078">
            <w:pPr>
              <w:rPr>
                <w:sz w:val="20"/>
                <w:szCs w:val="20"/>
              </w:rPr>
            </w:pPr>
            <w:r w:rsidRPr="004145A7">
              <w:rPr>
                <w:rStyle w:val="SCCCoramChar"/>
                <w:sz w:val="20"/>
                <w:szCs w:val="20"/>
                <w:lang w:val="en-CA"/>
              </w:rPr>
              <w:t>McLachlin C.J. and Abella and Cromwell JJ.</w:t>
            </w:r>
          </w:p>
          <w:p w:rsidR="004145A7" w:rsidRPr="00DD6605" w:rsidRDefault="004145A7" w:rsidP="009A7078">
            <w:pPr>
              <w:rPr>
                <w:sz w:val="20"/>
                <w:szCs w:val="20"/>
                <w:u w:val="single"/>
              </w:rPr>
            </w:pPr>
          </w:p>
        </w:tc>
      </w:tr>
      <w:tr w:rsidR="004145A7" w:rsidRPr="007C5A5B" w:rsidTr="009A7078">
        <w:trPr>
          <w:cantSplit/>
        </w:trPr>
        <w:tc>
          <w:tcPr>
            <w:tcW w:w="9576" w:type="dxa"/>
            <w:gridSpan w:val="2"/>
          </w:tcPr>
          <w:p w:rsidR="004145A7" w:rsidRPr="00DD6605" w:rsidRDefault="004145A7" w:rsidP="009A7078">
            <w:pPr>
              <w:pStyle w:val="SCCShortJudgment"/>
              <w:rPr>
                <w:szCs w:val="20"/>
              </w:rPr>
            </w:pPr>
            <w:r w:rsidRPr="00DD6605">
              <w:rPr>
                <w:szCs w:val="20"/>
              </w:rPr>
              <w:t>The application for leave to appeal from the judgment of the Court of Appeal for British Columbia (Vancouver), Number CA039476, 2013 BCCA 49, dated February 5, 2013, is dismissed with costs to the respondents.</w:t>
            </w:r>
          </w:p>
          <w:p w:rsidR="004145A7" w:rsidRPr="00DD6605" w:rsidRDefault="004145A7" w:rsidP="009A7078">
            <w:pPr>
              <w:pStyle w:val="SCCShortJudgment"/>
              <w:ind w:firstLine="0"/>
              <w:rPr>
                <w:szCs w:val="20"/>
              </w:rPr>
            </w:pPr>
          </w:p>
          <w:p w:rsidR="004145A7" w:rsidRPr="00DD6605" w:rsidRDefault="004145A7" w:rsidP="009A7078">
            <w:pPr>
              <w:pStyle w:val="SCCShortJudgment"/>
              <w:rPr>
                <w:szCs w:val="20"/>
                <w:lang w:val="fr-CA"/>
              </w:rPr>
            </w:pPr>
            <w:r w:rsidRPr="00DD6605">
              <w:rPr>
                <w:szCs w:val="20"/>
                <w:lang w:val="fr-CA"/>
              </w:rPr>
              <w:t>La demande d’autorisation d’appel de l’arrêt de la Cour d’appel de la Colombie-Britannique (Vancouver), numéro CA039476, 2013 BCCA 49, daté du 5 février 2013, est rejetée avec dépens en faveur des intimés.</w:t>
            </w:r>
          </w:p>
        </w:tc>
      </w:tr>
    </w:tbl>
    <w:p w:rsidR="009D08C5" w:rsidRPr="004145A7" w:rsidRDefault="009D08C5" w:rsidP="009D08C5">
      <w:pPr>
        <w:rPr>
          <w:sz w:val="20"/>
          <w:szCs w:val="20"/>
          <w:lang w:val="fr-CA"/>
        </w:rPr>
      </w:pPr>
    </w:p>
    <w:p w:rsidR="009D08C5" w:rsidRPr="001B157C" w:rsidRDefault="009D08C5" w:rsidP="009D08C5">
      <w:pPr>
        <w:rPr>
          <w:sz w:val="20"/>
          <w:szCs w:val="20"/>
          <w:u w:val="single"/>
        </w:rPr>
      </w:pPr>
      <w:r w:rsidRPr="001B157C">
        <w:rPr>
          <w:sz w:val="20"/>
          <w:szCs w:val="20"/>
          <w:u w:val="single"/>
        </w:rPr>
        <w:t>CASE SUMMARY</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5E5DDD" w:rsidTr="00F47A67">
        <w:tc>
          <w:tcPr>
            <w:tcW w:w="5000" w:type="pct"/>
            <w:gridSpan w:val="3"/>
          </w:tcPr>
          <w:p w:rsidR="002D7B0D" w:rsidRPr="005E5DDD" w:rsidRDefault="002D7B0D" w:rsidP="00F47A67">
            <w:pPr>
              <w:jc w:val="both"/>
              <w:rPr>
                <w:rFonts w:eastAsia="Calibri"/>
                <w:sz w:val="20"/>
                <w:szCs w:val="20"/>
              </w:rPr>
            </w:pPr>
            <w:r w:rsidRPr="005E5DDD">
              <w:rPr>
                <w:rFonts w:eastAsia="Calibri"/>
                <w:sz w:val="20"/>
                <w:szCs w:val="20"/>
              </w:rPr>
              <w:t xml:space="preserve">Aboriginal law – Self-government – Constitutional validity of treaty – Whether Court of Appeal erred in finding transfer of legislative powers to Nisga’a government under Treaty to be valid delegation of such powers – Whether Court of Appeal erred by refusing to expressly overrule conclusion in </w:t>
            </w:r>
            <w:r w:rsidRPr="005E5DDD">
              <w:rPr>
                <w:rFonts w:eastAsia="Calibri"/>
                <w:i/>
                <w:sz w:val="20"/>
                <w:szCs w:val="20"/>
              </w:rPr>
              <w:t>Campbell et al. v. A.G. BC/AG Cda &amp; Nisga’a Nation et al.</w:t>
            </w:r>
            <w:r w:rsidRPr="005E5DDD">
              <w:rPr>
                <w:rFonts w:eastAsia="Calibri"/>
                <w:sz w:val="20"/>
                <w:szCs w:val="20"/>
              </w:rPr>
              <w:t xml:space="preserve">, 2000 BCSC 1123, that legislative powers conferred under Treaty reflect inherent Aboriginal right of self government which exists independently from legislative powers in ss. 91 and 92 of </w:t>
            </w:r>
            <w:r w:rsidRPr="005E5DDD">
              <w:rPr>
                <w:rFonts w:eastAsia="Calibri"/>
                <w:i/>
                <w:sz w:val="20"/>
                <w:szCs w:val="20"/>
              </w:rPr>
              <w:t>Constitution Act, 1867</w:t>
            </w:r>
            <w:r w:rsidRPr="005E5DDD">
              <w:rPr>
                <w:rFonts w:eastAsia="Calibri"/>
                <w:sz w:val="20"/>
                <w:szCs w:val="20"/>
              </w:rPr>
              <w:t xml:space="preserve"> – Whether Court of Appeal erred in finding it was constitutionally permissible for Parliament or provinces to delegate legislative power to create new taxes.</w:t>
            </w:r>
          </w:p>
        </w:tc>
      </w:tr>
      <w:tr w:rsidR="002D7B0D" w:rsidRPr="005E5DDD" w:rsidTr="00F47A67">
        <w:trPr>
          <w:trHeight w:val="252"/>
        </w:trPr>
        <w:tc>
          <w:tcPr>
            <w:tcW w:w="5000" w:type="pct"/>
            <w:gridSpan w:val="3"/>
          </w:tcPr>
          <w:p w:rsidR="002D7B0D" w:rsidRPr="005E5DDD" w:rsidRDefault="002D7B0D" w:rsidP="00F47A67">
            <w:pPr>
              <w:jc w:val="both"/>
              <w:rPr>
                <w:rFonts w:eastAsia="Calibri"/>
                <w:sz w:val="20"/>
                <w:szCs w:val="20"/>
              </w:rPr>
            </w:pPr>
          </w:p>
        </w:tc>
      </w:tr>
      <w:tr w:rsidR="002D7B0D" w:rsidRPr="005E5DDD" w:rsidTr="00F47A67">
        <w:tc>
          <w:tcPr>
            <w:tcW w:w="5000" w:type="pct"/>
            <w:gridSpan w:val="3"/>
          </w:tcPr>
          <w:p w:rsidR="002D7B0D" w:rsidRPr="005E5DDD" w:rsidRDefault="002D7B0D" w:rsidP="00F47A67">
            <w:pPr>
              <w:jc w:val="both"/>
              <w:rPr>
                <w:rFonts w:eastAsia="Calibri"/>
                <w:sz w:val="20"/>
                <w:szCs w:val="20"/>
              </w:rPr>
            </w:pPr>
            <w:r w:rsidRPr="005E5DDD">
              <w:rPr>
                <w:rFonts w:eastAsia="Calibri"/>
                <w:sz w:val="20"/>
                <w:szCs w:val="20"/>
              </w:rPr>
              <w:t xml:space="preserve">In 1998, the Nisga’a Tribal Council, and the respondent federal and provincial governments signed a treaty and a land claims agreement (“Treaty”) with the intention of reconciling the prior presence of the Nisga’a Nation with the assertion of sovereignty by the Crown and of establishing a new relationship between them.  The agreement was ratified by the Nisga’a people and the governments.  Among other things, the Treaty deals with the preservation of Nisga’a culture, language and education, land and resources and it expressly recognizes the Nisga’a Nation’s right to self-government and the authority to make laws.  The applicants are members of the Nisga’a Nation.  They challenged the Treaty and settlement legislation that gave it force of law on the basis that it impermissibly confers legislative and self-government powers on the Nisga’a Nation that are inconsistent with the exhaustive distribution of legislative power between the respondent governments found in ss. 91 and 92 of the </w:t>
            </w:r>
            <w:r w:rsidRPr="005E5DDD">
              <w:rPr>
                <w:rFonts w:eastAsia="Calibri"/>
                <w:i/>
                <w:sz w:val="20"/>
                <w:szCs w:val="20"/>
              </w:rPr>
              <w:t>Constitution Act, 1867</w:t>
            </w:r>
            <w:r w:rsidRPr="005E5DDD">
              <w:rPr>
                <w:rFonts w:eastAsia="Calibri"/>
                <w:sz w:val="20"/>
                <w:szCs w:val="20"/>
              </w:rPr>
              <w:t>.  They also argued that any purported delegation of powers through the settlement legislation to the Nisga’a government is invalid, primarily because it is an improper abdication of legislative power.  The trial judge dismissed the applicants’ claim for declaratory relief.  The Court of Appeal dismissed the appeal.</w:t>
            </w:r>
          </w:p>
          <w:p w:rsidR="002D7B0D" w:rsidRPr="005E5DDD" w:rsidRDefault="002D7B0D" w:rsidP="00F47A67">
            <w:pPr>
              <w:jc w:val="both"/>
              <w:rPr>
                <w:rFonts w:eastAsia="Calibri"/>
                <w:sz w:val="20"/>
                <w:szCs w:val="20"/>
              </w:rPr>
            </w:pP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t>October 19, 2011</w:t>
            </w:r>
          </w:p>
          <w:p w:rsidR="002D7B0D" w:rsidRPr="005E5DDD" w:rsidRDefault="002D7B0D" w:rsidP="00F47A67">
            <w:pPr>
              <w:jc w:val="both"/>
              <w:rPr>
                <w:rFonts w:eastAsia="Calibri"/>
                <w:sz w:val="20"/>
                <w:szCs w:val="20"/>
              </w:rPr>
            </w:pPr>
            <w:r w:rsidRPr="005E5DDD">
              <w:rPr>
                <w:rFonts w:eastAsia="Calibri"/>
                <w:sz w:val="20"/>
                <w:szCs w:val="20"/>
              </w:rPr>
              <w:t>Supreme Court of British Columbia</w:t>
            </w:r>
          </w:p>
          <w:p w:rsidR="002D7B0D" w:rsidRPr="005E5DDD" w:rsidRDefault="002D7B0D" w:rsidP="00F47A67">
            <w:pPr>
              <w:jc w:val="both"/>
              <w:rPr>
                <w:rFonts w:eastAsia="Calibri"/>
                <w:sz w:val="20"/>
                <w:szCs w:val="20"/>
              </w:rPr>
            </w:pPr>
            <w:r w:rsidRPr="005E5DDD">
              <w:rPr>
                <w:rFonts w:eastAsia="Calibri"/>
                <w:sz w:val="20"/>
                <w:szCs w:val="20"/>
              </w:rPr>
              <w:t>(Smith J.)</w:t>
            </w:r>
          </w:p>
          <w:p w:rsidR="002D7B0D" w:rsidRPr="005E5DDD" w:rsidRDefault="002D7B0D" w:rsidP="00F47A67">
            <w:pPr>
              <w:jc w:val="both"/>
              <w:rPr>
                <w:rFonts w:eastAsia="Calibri"/>
                <w:sz w:val="20"/>
                <w:szCs w:val="20"/>
              </w:rPr>
            </w:pPr>
            <w:r w:rsidRPr="005E5DDD">
              <w:rPr>
                <w:rFonts w:eastAsia="Calibri"/>
                <w:sz w:val="20"/>
                <w:szCs w:val="20"/>
              </w:rPr>
              <w:t>2011 BCSC 1394</w:t>
            </w:r>
          </w:p>
          <w:p w:rsidR="002D7B0D" w:rsidRPr="005E5DDD" w:rsidRDefault="002D7B0D" w:rsidP="00F47A67">
            <w:pPr>
              <w:jc w:val="both"/>
              <w:rPr>
                <w:rFonts w:eastAsia="Calibri"/>
                <w:sz w:val="20"/>
                <w:szCs w:val="20"/>
              </w:rPr>
            </w:pP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 xml:space="preserve">Applicants’ claim for declaratory relief dismissed </w:t>
            </w: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t>February 5, 2013</w:t>
            </w:r>
          </w:p>
          <w:p w:rsidR="002D7B0D" w:rsidRPr="005E5DDD" w:rsidRDefault="002D7B0D" w:rsidP="00F47A67">
            <w:pPr>
              <w:jc w:val="both"/>
              <w:rPr>
                <w:rFonts w:eastAsia="Calibri"/>
                <w:sz w:val="20"/>
                <w:szCs w:val="20"/>
              </w:rPr>
            </w:pPr>
            <w:r w:rsidRPr="005E5DDD">
              <w:rPr>
                <w:rFonts w:eastAsia="Calibri"/>
                <w:sz w:val="20"/>
                <w:szCs w:val="20"/>
              </w:rPr>
              <w:t xml:space="preserve">Court of Appeal for British Columbia </w:t>
            </w:r>
          </w:p>
          <w:p w:rsidR="002D7B0D" w:rsidRPr="005E5DDD" w:rsidRDefault="002D7B0D" w:rsidP="00F47A67">
            <w:pPr>
              <w:jc w:val="both"/>
              <w:rPr>
                <w:rFonts w:eastAsia="Calibri"/>
                <w:sz w:val="20"/>
                <w:szCs w:val="20"/>
              </w:rPr>
            </w:pPr>
            <w:r w:rsidRPr="005E5DDD">
              <w:rPr>
                <w:rFonts w:eastAsia="Calibri"/>
                <w:sz w:val="20"/>
                <w:szCs w:val="20"/>
              </w:rPr>
              <w:t>(Chiasson, Smith and Harris JJ.A.)</w:t>
            </w:r>
          </w:p>
          <w:p w:rsidR="002D7B0D" w:rsidRPr="005E5DDD" w:rsidRDefault="002D7B0D" w:rsidP="00F47A67">
            <w:pPr>
              <w:jc w:val="both"/>
              <w:rPr>
                <w:rFonts w:eastAsia="Calibri"/>
                <w:sz w:val="20"/>
                <w:szCs w:val="20"/>
              </w:rPr>
            </w:pPr>
            <w:r w:rsidRPr="005E5DDD">
              <w:rPr>
                <w:rFonts w:eastAsia="Calibri"/>
                <w:sz w:val="20"/>
                <w:szCs w:val="20"/>
              </w:rPr>
              <w:t>2013 BCCA 49</w:t>
            </w:r>
          </w:p>
          <w:p w:rsidR="002D7B0D" w:rsidRPr="005E5DDD" w:rsidRDefault="002D7B0D" w:rsidP="00F47A67">
            <w:pPr>
              <w:jc w:val="both"/>
              <w:rPr>
                <w:rFonts w:eastAsia="Calibri"/>
                <w:sz w:val="20"/>
                <w:szCs w:val="20"/>
              </w:rPr>
            </w:pP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 xml:space="preserve">Appeal dismissed </w:t>
            </w: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lastRenderedPageBreak/>
              <w:t>April 4, 2013</w:t>
            </w:r>
          </w:p>
          <w:p w:rsidR="002D7B0D" w:rsidRPr="005E5DDD" w:rsidRDefault="002D7B0D" w:rsidP="00F47A67">
            <w:pPr>
              <w:jc w:val="both"/>
              <w:rPr>
                <w:rFonts w:eastAsia="Calibri"/>
                <w:sz w:val="20"/>
                <w:szCs w:val="20"/>
              </w:rPr>
            </w:pPr>
            <w:r w:rsidRPr="005E5DDD">
              <w:rPr>
                <w:rFonts w:eastAsia="Calibri"/>
                <w:sz w:val="20"/>
                <w:szCs w:val="20"/>
              </w:rPr>
              <w:t>Supreme Court of Canada</w:t>
            </w: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Application for leave to appeal filed</w:t>
            </w:r>
          </w:p>
        </w:tc>
      </w:tr>
    </w:tbl>
    <w:p w:rsidR="009D08C5" w:rsidRDefault="009D08C5" w:rsidP="009D08C5">
      <w:pPr>
        <w:rPr>
          <w:sz w:val="20"/>
          <w:szCs w:val="20"/>
        </w:rPr>
      </w:pPr>
    </w:p>
    <w:p w:rsidR="009D08C5" w:rsidRPr="00C50A5C" w:rsidRDefault="005F2BA7" w:rsidP="009D08C5">
      <w:pPr>
        <w:rPr>
          <w:sz w:val="20"/>
          <w:szCs w:val="20"/>
        </w:rPr>
      </w:pPr>
      <w:r w:rsidRPr="005F2BA7">
        <w:rPr>
          <w:sz w:val="20"/>
          <w:szCs w:val="20"/>
          <w:lang w:val="fr-CA"/>
        </w:rPr>
        <w:pict>
          <v:rect id="_x0000_i1096" style="width:2in;height:1pt" o:hrpct="0" o:hralign="center" o:hrstd="t" o:hrnoshade="t" o:hr="t" fillcolor="black [3213]" stroked="f"/>
        </w:pict>
      </w:r>
    </w:p>
    <w:p w:rsidR="009D08C5" w:rsidRDefault="009D08C5" w:rsidP="009D08C5">
      <w:pPr>
        <w:rPr>
          <w:sz w:val="20"/>
          <w:szCs w:val="20"/>
        </w:rPr>
      </w:pPr>
    </w:p>
    <w:p w:rsidR="009D08C5" w:rsidRPr="001B157C" w:rsidRDefault="009D08C5" w:rsidP="009D08C5">
      <w:pPr>
        <w:rPr>
          <w:sz w:val="20"/>
          <w:szCs w:val="20"/>
          <w:u w:val="single"/>
          <w:lang w:val="fr-CA"/>
        </w:rPr>
      </w:pPr>
      <w:r w:rsidRPr="001B157C">
        <w:rPr>
          <w:sz w:val="20"/>
          <w:szCs w:val="20"/>
          <w:u w:val="single"/>
          <w:lang w:val="fr-CA"/>
        </w:rPr>
        <w:t>RÉSUMÉ DE L’AFFAIRE</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B86261" w:rsidTr="00F47A67">
        <w:tc>
          <w:tcPr>
            <w:tcW w:w="5000" w:type="pct"/>
            <w:gridSpan w:val="3"/>
          </w:tcPr>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Droits des autochtones – Autonomie gouvernementale – Validité constitutionnelle d'un traité – La Cour d'appel a-t-elle eu tort de conclure que le transfert de pouvoirs législatifs au gouvernement Nisga’a en vertu du traité était une délégation valide de ces pouvoirs? – La Cour d'appel a-t-elle eu tort de refuser d'infirmer expressément la conclusion de l'arrêt </w:t>
            </w:r>
            <w:r w:rsidRPr="005E5DDD">
              <w:rPr>
                <w:rFonts w:eastAsia="Calibri"/>
                <w:i/>
                <w:sz w:val="20"/>
                <w:szCs w:val="20"/>
                <w:lang w:val="fr-CA"/>
              </w:rPr>
              <w:t xml:space="preserve">Campbell et al. c. A.G. BC/AG Cda &amp; Nisga’a Nation et </w:t>
            </w:r>
            <w:proofErr w:type="gramStart"/>
            <w:r w:rsidRPr="005E5DDD">
              <w:rPr>
                <w:rFonts w:eastAsia="Calibri"/>
                <w:i/>
                <w:sz w:val="20"/>
                <w:szCs w:val="20"/>
                <w:lang w:val="fr-CA"/>
              </w:rPr>
              <w:t>al.</w:t>
            </w:r>
            <w:r w:rsidRPr="005E5DDD">
              <w:rPr>
                <w:rFonts w:eastAsia="Calibri"/>
                <w:sz w:val="20"/>
                <w:szCs w:val="20"/>
                <w:lang w:val="fr-CA"/>
              </w:rPr>
              <w:t>,</w:t>
            </w:r>
            <w:proofErr w:type="gramEnd"/>
            <w:r w:rsidRPr="005E5DDD">
              <w:rPr>
                <w:rFonts w:eastAsia="Calibri"/>
                <w:sz w:val="20"/>
                <w:szCs w:val="20"/>
                <w:lang w:val="fr-CA"/>
              </w:rPr>
              <w:t xml:space="preserve"> 2000 BCSC 1123, en vertu de laquelle les pouvoirs législatifs conférés en vertu du traité correspondent aux droits inhérents des Autochtones à l'autodétermination qui existe indépendamment des pouvoirs législatifs prévus aux art. 91 et 92 de la</w:t>
            </w:r>
            <w:r w:rsidRPr="005E5DDD">
              <w:rPr>
                <w:rFonts w:eastAsia="Calibri"/>
                <w:i/>
                <w:sz w:val="20"/>
                <w:szCs w:val="20"/>
                <w:lang w:val="fr-CA"/>
              </w:rPr>
              <w:t xml:space="preserve"> Loi constitutionnelle de 1867</w:t>
            </w:r>
            <w:r w:rsidRPr="005E5DDD">
              <w:rPr>
                <w:rFonts w:eastAsia="Calibri"/>
                <w:sz w:val="20"/>
                <w:szCs w:val="20"/>
                <w:lang w:val="fr-CA"/>
              </w:rPr>
              <w:t>?</w:t>
            </w:r>
            <w:r w:rsidRPr="005E5DDD">
              <w:rPr>
                <w:rFonts w:eastAsia="Calibri"/>
                <w:i/>
                <w:sz w:val="20"/>
                <w:szCs w:val="20"/>
                <w:lang w:val="fr-CA"/>
              </w:rPr>
              <w:t xml:space="preserve"> </w:t>
            </w:r>
            <w:r w:rsidRPr="005E5DDD">
              <w:rPr>
                <w:rFonts w:eastAsia="Calibri"/>
                <w:sz w:val="20"/>
                <w:szCs w:val="20"/>
                <w:lang w:val="fr-CA"/>
              </w:rPr>
              <w:t>– La Cour d'appel a-t-elle eu tort de conclure qu'il était constitutionnellement loisible au Parlement ou aux provinces de déléguer leur pouvoir législatif de créer de nouvelles taxes?</w:t>
            </w:r>
          </w:p>
        </w:tc>
      </w:tr>
      <w:tr w:rsidR="002D7B0D" w:rsidRPr="00B86261" w:rsidTr="00F47A67">
        <w:trPr>
          <w:trHeight w:val="252"/>
        </w:trPr>
        <w:tc>
          <w:tcPr>
            <w:tcW w:w="5000" w:type="pct"/>
            <w:gridSpan w:val="3"/>
          </w:tcPr>
          <w:p w:rsidR="002D7B0D" w:rsidRPr="005E5DDD" w:rsidRDefault="002D7B0D" w:rsidP="00F47A67">
            <w:pPr>
              <w:jc w:val="both"/>
              <w:rPr>
                <w:rFonts w:eastAsia="Calibri"/>
                <w:sz w:val="20"/>
                <w:szCs w:val="20"/>
                <w:lang w:val="fr-CA"/>
              </w:rPr>
            </w:pPr>
          </w:p>
        </w:tc>
      </w:tr>
      <w:tr w:rsidR="002D7B0D" w:rsidRPr="005E5DDD" w:rsidTr="00F47A67">
        <w:tc>
          <w:tcPr>
            <w:tcW w:w="5000" w:type="pct"/>
            <w:gridSpan w:val="3"/>
          </w:tcPr>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En 1998, le Nisga’a Tribal Council et </w:t>
            </w:r>
            <w:proofErr w:type="gramStart"/>
            <w:r w:rsidRPr="005E5DDD">
              <w:rPr>
                <w:rFonts w:eastAsia="Calibri"/>
                <w:sz w:val="20"/>
                <w:szCs w:val="20"/>
                <w:lang w:val="fr-CA"/>
              </w:rPr>
              <w:t>les gouvernement</w:t>
            </w:r>
            <w:proofErr w:type="gramEnd"/>
            <w:r w:rsidRPr="005E5DDD">
              <w:rPr>
                <w:rFonts w:eastAsia="Calibri"/>
                <w:sz w:val="20"/>
                <w:szCs w:val="20"/>
                <w:lang w:val="fr-CA"/>
              </w:rPr>
              <w:t xml:space="preserve"> fédéral et provincial intimés ont signé un traité et un accord de revendication territoriale (le « traité ») dans l’intention de concilier la présence antérieure de la nation Nisga’a et l’affirmation de la souveraineté de la Couronne et d'établir une nouvelle relation entre eux.  L'accord a été ratifié par le peuple Nisga’a et les gouvernements.  Le traité a notamment pour objet la conservation de la culture, de la langue, de l'éducation, des terres et des ressources Nisga’a, et il reconnaît expressément le droit de la nation Nisga’a à l'autonomie gouvernementale et son pouvoir de faire des lois.  Les demandeurs sont membres de la nation Nisga’a.  Ils ont contesté le traité et la loi de mise en œuvre qui lui a donné force de loi, alléguant qu'ils confèrent de façon inadmissible à la nation Nisga’a des pouvoirs législatifs et des pouvoirs d'autonomie gouvernementale qui sont incompatibles avec la distribution exhaustive des pouvoirs législatifs entre les gouvernements intimés prévue </w:t>
            </w:r>
            <w:proofErr w:type="gramStart"/>
            <w:r w:rsidRPr="005E5DDD">
              <w:rPr>
                <w:rFonts w:eastAsia="Calibri"/>
                <w:sz w:val="20"/>
                <w:szCs w:val="20"/>
                <w:lang w:val="fr-CA"/>
              </w:rPr>
              <w:t>aux art</w:t>
            </w:r>
            <w:proofErr w:type="gramEnd"/>
            <w:r w:rsidRPr="005E5DDD">
              <w:rPr>
                <w:rFonts w:eastAsia="Calibri"/>
                <w:sz w:val="20"/>
                <w:szCs w:val="20"/>
                <w:lang w:val="fr-CA"/>
              </w:rPr>
              <w:t>. 91 et 92 de la</w:t>
            </w:r>
            <w:r w:rsidRPr="005E5DDD">
              <w:rPr>
                <w:rFonts w:eastAsia="Calibri"/>
                <w:i/>
                <w:sz w:val="20"/>
                <w:szCs w:val="20"/>
                <w:lang w:val="fr-CA"/>
              </w:rPr>
              <w:t xml:space="preserve"> Loi constitutionnelle de 1867</w:t>
            </w:r>
            <w:r w:rsidRPr="005E5DDD">
              <w:rPr>
                <w:rFonts w:eastAsia="Calibri"/>
                <w:sz w:val="20"/>
                <w:szCs w:val="20"/>
                <w:lang w:val="fr-CA"/>
              </w:rPr>
              <w:t>.  Ils ont également plaidé que toute délégation de pouvoir présumée par la loi de mise en œuvre au gouvernement Nisga’a était invalide, principalement parce qu’il s’agit d'une renonciation irrégulière au pouvoir législatif.  Le juge de première instance a rejeté la demande de jugement déclaratoire présentée par les demandeurs. La Cour d'appel a rejeté l'appel.</w:t>
            </w:r>
          </w:p>
          <w:p w:rsidR="002D7B0D" w:rsidRPr="005E5DDD" w:rsidRDefault="002D7B0D" w:rsidP="00F47A67">
            <w:pPr>
              <w:jc w:val="both"/>
              <w:rPr>
                <w:rFonts w:eastAsia="Calibri"/>
                <w:sz w:val="20"/>
                <w:szCs w:val="20"/>
                <w:lang w:val="fr-CA"/>
              </w:rPr>
            </w:pPr>
          </w:p>
        </w:tc>
      </w:tr>
      <w:tr w:rsidR="002D7B0D" w:rsidRPr="007C5A5B" w:rsidTr="00F47A67">
        <w:tc>
          <w:tcPr>
            <w:tcW w:w="2427"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19 octobre 2011</w:t>
            </w:r>
          </w:p>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Cour suprême de la Colombie-Britannique </w:t>
            </w:r>
          </w:p>
          <w:p w:rsidR="002D7B0D" w:rsidRPr="005E5DDD" w:rsidRDefault="002D7B0D" w:rsidP="00F47A67">
            <w:pPr>
              <w:jc w:val="both"/>
              <w:rPr>
                <w:rFonts w:eastAsia="Calibri"/>
                <w:sz w:val="20"/>
                <w:szCs w:val="20"/>
                <w:lang w:val="fr-CA"/>
              </w:rPr>
            </w:pPr>
            <w:r w:rsidRPr="005E5DDD">
              <w:rPr>
                <w:rFonts w:eastAsia="Calibri"/>
                <w:sz w:val="20"/>
                <w:szCs w:val="20"/>
                <w:lang w:val="fr-CA"/>
              </w:rPr>
              <w:t>(Juge Smith)</w:t>
            </w:r>
          </w:p>
          <w:p w:rsidR="002D7B0D" w:rsidRPr="005E5DDD" w:rsidRDefault="002D7B0D" w:rsidP="00F47A67">
            <w:pPr>
              <w:jc w:val="both"/>
              <w:rPr>
                <w:rFonts w:eastAsia="Calibri"/>
                <w:sz w:val="20"/>
                <w:szCs w:val="20"/>
                <w:lang w:val="fr-CA"/>
              </w:rPr>
            </w:pPr>
            <w:r w:rsidRPr="005E5DDD">
              <w:rPr>
                <w:rFonts w:eastAsia="Calibri"/>
                <w:sz w:val="20"/>
                <w:szCs w:val="20"/>
                <w:lang w:val="fr-CA"/>
              </w:rPr>
              <w:t>2011 BCSC 1394</w:t>
            </w:r>
          </w:p>
          <w:p w:rsidR="002D7B0D" w:rsidRPr="005E5DDD" w:rsidRDefault="002D7B0D" w:rsidP="00F47A67">
            <w:pPr>
              <w:jc w:val="both"/>
              <w:rPr>
                <w:rFonts w:eastAsia="Calibri"/>
                <w:sz w:val="20"/>
                <w:szCs w:val="20"/>
                <w:lang w:val="fr-CA"/>
              </w:rPr>
            </w:pPr>
          </w:p>
        </w:tc>
        <w:tc>
          <w:tcPr>
            <w:tcW w:w="243" w:type="pct"/>
          </w:tcPr>
          <w:p w:rsidR="002D7B0D" w:rsidRPr="005E5DDD" w:rsidRDefault="002D7B0D" w:rsidP="00F47A67">
            <w:pPr>
              <w:jc w:val="both"/>
              <w:rPr>
                <w:rFonts w:eastAsia="Calibri"/>
                <w:sz w:val="20"/>
                <w:szCs w:val="20"/>
                <w:lang w:val="fr-CA"/>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Demande de jugement déclaratoire présentée par les demandeurs, rejetée</w:t>
            </w:r>
          </w:p>
        </w:tc>
      </w:tr>
      <w:tr w:rsidR="002D7B0D" w:rsidRPr="005E5DDD" w:rsidTr="00F47A67">
        <w:tc>
          <w:tcPr>
            <w:tcW w:w="2427"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5 février 2013</w:t>
            </w:r>
          </w:p>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Cour d'appel de la Colombie-Britannique </w:t>
            </w:r>
          </w:p>
          <w:p w:rsidR="002D7B0D" w:rsidRPr="005E5DDD" w:rsidRDefault="002D7B0D" w:rsidP="00F47A67">
            <w:pPr>
              <w:jc w:val="both"/>
              <w:rPr>
                <w:rFonts w:eastAsia="Calibri"/>
                <w:sz w:val="20"/>
                <w:szCs w:val="20"/>
                <w:lang w:val="fr-CA"/>
              </w:rPr>
            </w:pPr>
            <w:r w:rsidRPr="005E5DDD">
              <w:rPr>
                <w:rFonts w:eastAsia="Calibri"/>
                <w:sz w:val="20"/>
                <w:szCs w:val="20"/>
                <w:lang w:val="fr-CA"/>
              </w:rPr>
              <w:t>(Juges Chiasson, Smith et Harris)</w:t>
            </w:r>
          </w:p>
          <w:p w:rsidR="002D7B0D" w:rsidRPr="005E5DDD" w:rsidRDefault="002D7B0D" w:rsidP="00F47A67">
            <w:pPr>
              <w:jc w:val="both"/>
              <w:rPr>
                <w:rFonts w:eastAsia="Calibri"/>
                <w:sz w:val="20"/>
                <w:szCs w:val="20"/>
                <w:lang w:val="fr-CA"/>
              </w:rPr>
            </w:pPr>
            <w:r w:rsidRPr="005E5DDD">
              <w:rPr>
                <w:rFonts w:eastAsia="Calibri"/>
                <w:sz w:val="20"/>
                <w:szCs w:val="20"/>
                <w:lang w:val="fr-CA"/>
              </w:rPr>
              <w:t>2013 BCCA 49</w:t>
            </w:r>
          </w:p>
          <w:p w:rsidR="002D7B0D" w:rsidRPr="005E5DDD" w:rsidRDefault="002D7B0D" w:rsidP="00F47A67">
            <w:pPr>
              <w:jc w:val="both"/>
              <w:rPr>
                <w:rFonts w:eastAsia="Calibri"/>
                <w:sz w:val="20"/>
                <w:szCs w:val="20"/>
                <w:lang w:val="fr-CA"/>
              </w:rPr>
            </w:pPr>
          </w:p>
        </w:tc>
        <w:tc>
          <w:tcPr>
            <w:tcW w:w="243" w:type="pct"/>
          </w:tcPr>
          <w:p w:rsidR="002D7B0D" w:rsidRPr="005E5DDD" w:rsidRDefault="002D7B0D" w:rsidP="00F47A67">
            <w:pPr>
              <w:jc w:val="both"/>
              <w:rPr>
                <w:rFonts w:eastAsia="Calibri"/>
                <w:sz w:val="20"/>
                <w:szCs w:val="20"/>
                <w:lang w:val="fr-CA"/>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Appel rejeté</w:t>
            </w:r>
          </w:p>
        </w:tc>
      </w:tr>
      <w:tr w:rsidR="002D7B0D" w:rsidRPr="005E5DDD" w:rsidTr="00F47A67">
        <w:tc>
          <w:tcPr>
            <w:tcW w:w="2427"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4 avril 2013</w:t>
            </w:r>
          </w:p>
          <w:p w:rsidR="002D7B0D" w:rsidRPr="005E5DDD" w:rsidRDefault="002D7B0D" w:rsidP="00F47A67">
            <w:pPr>
              <w:jc w:val="both"/>
              <w:rPr>
                <w:rFonts w:eastAsia="Calibri"/>
                <w:sz w:val="20"/>
                <w:szCs w:val="20"/>
                <w:lang w:val="fr-CA"/>
              </w:rPr>
            </w:pPr>
            <w:r w:rsidRPr="005E5DDD">
              <w:rPr>
                <w:rFonts w:eastAsia="Calibri"/>
                <w:sz w:val="20"/>
                <w:szCs w:val="20"/>
                <w:lang w:val="fr-CA"/>
              </w:rPr>
              <w:t>Cour suprême du Canada</w:t>
            </w:r>
          </w:p>
        </w:tc>
        <w:tc>
          <w:tcPr>
            <w:tcW w:w="243" w:type="pct"/>
          </w:tcPr>
          <w:p w:rsidR="002D7B0D" w:rsidRPr="005E5DDD" w:rsidRDefault="002D7B0D" w:rsidP="00F47A67">
            <w:pPr>
              <w:jc w:val="both"/>
              <w:rPr>
                <w:rFonts w:eastAsia="Calibri"/>
                <w:sz w:val="20"/>
                <w:szCs w:val="20"/>
                <w:lang w:val="fr-CA"/>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Demande d'autorisation d'appel, déposée</w:t>
            </w:r>
          </w:p>
        </w:tc>
      </w:tr>
    </w:tbl>
    <w:p w:rsidR="009D08C5" w:rsidRDefault="009D08C5" w:rsidP="009D08C5">
      <w:pPr>
        <w:rPr>
          <w:sz w:val="20"/>
          <w:szCs w:val="20"/>
        </w:rPr>
      </w:pPr>
    </w:p>
    <w:p w:rsidR="002468F2" w:rsidRDefault="005F2BA7" w:rsidP="008D292F">
      <w:pPr>
        <w:rPr>
          <w:sz w:val="20"/>
          <w:szCs w:val="20"/>
          <w:lang w:val="fr-CA"/>
        </w:rPr>
      </w:pPr>
      <w:r w:rsidRPr="005F2BA7">
        <w:rPr>
          <w:sz w:val="20"/>
          <w:szCs w:val="20"/>
          <w:lang w:val="fr-CA"/>
        </w:rPr>
        <w:pict>
          <v:rect id="_x0000_i1097" style="width:2in;height:1pt" o:hrpct="0" o:hralign="center" o:hrstd="t" o:hrnoshade="t" o:hr="t" fillcolor="black [3213]" stroked="f"/>
        </w:pict>
      </w:r>
    </w:p>
    <w:p w:rsidR="009D08C5" w:rsidRDefault="009D08C5"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145A7" w:rsidRPr="00DD6605" w:rsidTr="009A7078">
        <w:trPr>
          <w:cantSplit/>
        </w:trPr>
        <w:tc>
          <w:tcPr>
            <w:tcW w:w="1458" w:type="dxa"/>
          </w:tcPr>
          <w:p w:rsidR="004145A7" w:rsidRPr="00DD6605" w:rsidRDefault="004145A7" w:rsidP="009A7078">
            <w:pPr>
              <w:rPr>
                <w:sz w:val="20"/>
                <w:szCs w:val="20"/>
              </w:rPr>
            </w:pPr>
            <w:r w:rsidRPr="00DD6605">
              <w:rPr>
                <w:rStyle w:val="SCCFileNumberChar"/>
                <w:sz w:val="20"/>
                <w:szCs w:val="20"/>
              </w:rPr>
              <w:t>35307</w:t>
            </w:r>
          </w:p>
          <w:p w:rsidR="004145A7" w:rsidRPr="00DD6605" w:rsidRDefault="004145A7" w:rsidP="009A7078">
            <w:pPr>
              <w:rPr>
                <w:b/>
                <w:sz w:val="20"/>
                <w:szCs w:val="20"/>
                <w:lang w:val="fr-CA"/>
              </w:rPr>
            </w:pPr>
          </w:p>
        </w:tc>
        <w:tc>
          <w:tcPr>
            <w:tcW w:w="8118" w:type="dxa"/>
          </w:tcPr>
          <w:p w:rsidR="004145A7" w:rsidRPr="00DD6605" w:rsidRDefault="004145A7" w:rsidP="009A7078">
            <w:pPr>
              <w:rPr>
                <w:sz w:val="20"/>
                <w:szCs w:val="20"/>
              </w:rPr>
            </w:pPr>
            <w:r w:rsidRPr="004145A7">
              <w:rPr>
                <w:rStyle w:val="SCCLsocChar"/>
                <w:sz w:val="20"/>
                <w:szCs w:val="20"/>
                <w:lang w:val="en-CA"/>
              </w:rPr>
              <w:t>Stéphane Joseph Marcel Lessard v. Her Majesty the Queen</w:t>
            </w:r>
            <w:r w:rsidRPr="00DD6605">
              <w:rPr>
                <w:sz w:val="20"/>
                <w:szCs w:val="20"/>
              </w:rPr>
              <w:t xml:space="preserve"> (F.C.) (Civil) (By Leave)</w:t>
            </w:r>
          </w:p>
          <w:p w:rsidR="004145A7" w:rsidRPr="00DD6605" w:rsidRDefault="004145A7" w:rsidP="009A7078">
            <w:pPr>
              <w:rPr>
                <w:sz w:val="20"/>
                <w:szCs w:val="20"/>
              </w:rPr>
            </w:pPr>
          </w:p>
        </w:tc>
      </w:tr>
      <w:tr w:rsidR="004145A7" w:rsidRPr="00DD6605" w:rsidTr="009A7078">
        <w:trPr>
          <w:cantSplit/>
        </w:trPr>
        <w:tc>
          <w:tcPr>
            <w:tcW w:w="1458" w:type="dxa"/>
          </w:tcPr>
          <w:p w:rsidR="004145A7" w:rsidRPr="00DD6605" w:rsidRDefault="004145A7" w:rsidP="009A7078">
            <w:pPr>
              <w:rPr>
                <w:sz w:val="20"/>
                <w:szCs w:val="20"/>
              </w:rPr>
            </w:pPr>
            <w:r w:rsidRPr="00DD6605">
              <w:rPr>
                <w:sz w:val="20"/>
                <w:szCs w:val="20"/>
              </w:rPr>
              <w:t>Coram :</w:t>
            </w:r>
          </w:p>
        </w:tc>
        <w:tc>
          <w:tcPr>
            <w:tcW w:w="8118" w:type="dxa"/>
          </w:tcPr>
          <w:p w:rsidR="004145A7" w:rsidRPr="00DD6605" w:rsidRDefault="004145A7" w:rsidP="009A7078">
            <w:pPr>
              <w:rPr>
                <w:sz w:val="20"/>
                <w:szCs w:val="20"/>
              </w:rPr>
            </w:pPr>
            <w:r w:rsidRPr="004145A7">
              <w:rPr>
                <w:rStyle w:val="SCCCoramChar"/>
                <w:sz w:val="20"/>
                <w:szCs w:val="20"/>
                <w:lang w:val="en-CA"/>
              </w:rPr>
              <w:t>McLachlin C.J. and Abella and Cromwell JJ.</w:t>
            </w:r>
          </w:p>
          <w:p w:rsidR="004145A7" w:rsidRPr="00DD6605" w:rsidRDefault="004145A7" w:rsidP="009A7078">
            <w:pPr>
              <w:rPr>
                <w:sz w:val="20"/>
                <w:szCs w:val="20"/>
                <w:u w:val="single"/>
              </w:rPr>
            </w:pPr>
          </w:p>
        </w:tc>
      </w:tr>
      <w:tr w:rsidR="004145A7" w:rsidRPr="007C5A5B" w:rsidTr="005E3D99">
        <w:tc>
          <w:tcPr>
            <w:tcW w:w="9576" w:type="dxa"/>
            <w:gridSpan w:val="2"/>
          </w:tcPr>
          <w:p w:rsidR="004145A7" w:rsidRPr="00DD6605" w:rsidRDefault="004145A7" w:rsidP="009A7078">
            <w:pPr>
              <w:pStyle w:val="SCCShortJudgment"/>
              <w:rPr>
                <w:szCs w:val="20"/>
              </w:rPr>
            </w:pPr>
            <w:r w:rsidRPr="00DD6605">
              <w:rPr>
                <w:szCs w:val="20"/>
              </w:rPr>
              <w:t xml:space="preserve">The motion for an order striking out the respondent’s response is dismissed.  The motion for a stay of </w:t>
            </w:r>
            <w:r w:rsidRPr="00DD6605">
              <w:rPr>
                <w:szCs w:val="20"/>
              </w:rPr>
              <w:lastRenderedPageBreak/>
              <w:t>execution is dismissed.  The application for leave to appeal from the judgment of the Federal Court, Number T-1973-12, dated February 14, 2013, is dismissed with costs.</w:t>
            </w:r>
          </w:p>
          <w:p w:rsidR="004145A7" w:rsidRPr="00DD6605" w:rsidRDefault="004145A7" w:rsidP="009A7078">
            <w:pPr>
              <w:pStyle w:val="SCCShortJudgment"/>
              <w:ind w:firstLine="0"/>
              <w:rPr>
                <w:szCs w:val="20"/>
              </w:rPr>
            </w:pPr>
          </w:p>
          <w:p w:rsidR="004145A7" w:rsidRPr="00DD6605" w:rsidRDefault="004145A7" w:rsidP="009A7078">
            <w:pPr>
              <w:pStyle w:val="SCCShortJudgment"/>
              <w:rPr>
                <w:szCs w:val="20"/>
                <w:lang w:val="fr-CA"/>
              </w:rPr>
            </w:pPr>
            <w:r w:rsidRPr="00DD6605">
              <w:rPr>
                <w:szCs w:val="20"/>
                <w:lang w:val="fr-CA"/>
              </w:rPr>
              <w:t>La requête en radiation de la réponse de l’intimée est rejetée.  La requête visant à obtenir un sursis d’exécution est rejetée.  La demande d’autorisation d’appel du jugement de la Cour fédérale, numéro T-1973-12, daté du 14 février 2013, est rejetée avec dépens.</w:t>
            </w:r>
          </w:p>
        </w:tc>
      </w:tr>
    </w:tbl>
    <w:p w:rsidR="009D08C5" w:rsidRPr="004145A7" w:rsidRDefault="009D08C5" w:rsidP="009D08C5">
      <w:pPr>
        <w:rPr>
          <w:sz w:val="20"/>
          <w:szCs w:val="20"/>
          <w:lang w:val="fr-CA"/>
        </w:rPr>
      </w:pPr>
    </w:p>
    <w:p w:rsidR="009D08C5" w:rsidRPr="001B157C" w:rsidRDefault="009D08C5" w:rsidP="009D08C5">
      <w:pPr>
        <w:rPr>
          <w:sz w:val="20"/>
          <w:szCs w:val="20"/>
          <w:u w:val="single"/>
        </w:rPr>
      </w:pPr>
      <w:r w:rsidRPr="001B157C">
        <w:rPr>
          <w:sz w:val="20"/>
          <w:szCs w:val="20"/>
          <w:u w:val="single"/>
        </w:rPr>
        <w:t>CASE SUMMARY</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5E5DDD" w:rsidTr="00F47A67">
        <w:tc>
          <w:tcPr>
            <w:tcW w:w="5000" w:type="pct"/>
            <w:gridSpan w:val="3"/>
          </w:tcPr>
          <w:p w:rsidR="002D7B0D" w:rsidRPr="005E5DDD" w:rsidRDefault="002D7B0D" w:rsidP="00F47A67">
            <w:pPr>
              <w:jc w:val="both"/>
              <w:rPr>
                <w:rFonts w:eastAsia="Calibri"/>
                <w:sz w:val="20"/>
                <w:szCs w:val="20"/>
              </w:rPr>
            </w:pPr>
            <w:r w:rsidRPr="005E5DDD">
              <w:rPr>
                <w:rFonts w:eastAsia="Calibri"/>
                <w:sz w:val="20"/>
                <w:szCs w:val="20"/>
              </w:rPr>
              <w:t xml:space="preserve">Courts — Appeal — Jurisdiction — Civil procedure — Crown bringing motion to strike applicant’s statement of claim — Prothonotary striking claim without leave to amend —Federal Court judge finding that applicant’s allegations were frivolous and disclosed no reasonable cause of action — Judge dismissing motion to appeal — Whether Supreme Court has jurisdiction pursuant to s. 40(1) of </w:t>
            </w:r>
            <w:r w:rsidRPr="005E5DDD">
              <w:rPr>
                <w:rFonts w:eastAsia="Calibri"/>
                <w:i/>
                <w:sz w:val="20"/>
                <w:szCs w:val="20"/>
              </w:rPr>
              <w:t>Supreme Court Act</w:t>
            </w:r>
            <w:r w:rsidRPr="005E5DDD">
              <w:rPr>
                <w:rFonts w:eastAsia="Calibri"/>
                <w:sz w:val="20"/>
                <w:szCs w:val="20"/>
              </w:rPr>
              <w:t xml:space="preserve"> — Whether Federal Court erred in dismissing motion to appeal decision of prothonotary.</w:t>
            </w:r>
          </w:p>
        </w:tc>
      </w:tr>
      <w:tr w:rsidR="002D7B0D" w:rsidRPr="005E5DDD" w:rsidTr="00F47A67">
        <w:tc>
          <w:tcPr>
            <w:tcW w:w="5000" w:type="pct"/>
            <w:gridSpan w:val="3"/>
          </w:tcPr>
          <w:p w:rsidR="002D7B0D" w:rsidRPr="005E5DDD" w:rsidRDefault="002D7B0D" w:rsidP="00F47A67">
            <w:pPr>
              <w:jc w:val="both"/>
              <w:rPr>
                <w:rFonts w:eastAsia="Calibri"/>
                <w:sz w:val="20"/>
                <w:szCs w:val="20"/>
              </w:rPr>
            </w:pPr>
          </w:p>
        </w:tc>
      </w:tr>
      <w:tr w:rsidR="002D7B0D" w:rsidRPr="005E5DDD" w:rsidTr="00F47A67">
        <w:tc>
          <w:tcPr>
            <w:tcW w:w="5000" w:type="pct"/>
            <w:gridSpan w:val="3"/>
          </w:tcPr>
          <w:p w:rsidR="002D7B0D" w:rsidRPr="005E5DDD" w:rsidRDefault="002D7B0D" w:rsidP="00F47A67">
            <w:pPr>
              <w:jc w:val="both"/>
              <w:rPr>
                <w:rFonts w:eastAsia="Calibri"/>
                <w:sz w:val="20"/>
                <w:szCs w:val="20"/>
              </w:rPr>
            </w:pPr>
            <w:r w:rsidRPr="005E5DDD">
              <w:rPr>
                <w:rFonts w:eastAsia="Calibri"/>
                <w:sz w:val="20"/>
                <w:szCs w:val="20"/>
              </w:rPr>
              <w:t xml:space="preserve">In October 2012, Mr. Lessard filed a Statement of Claim against the Crown in Federal Court. The Crown brought a motion for an order striking out that statement of claim without leave to amend. </w:t>
            </w:r>
          </w:p>
          <w:p w:rsidR="002D7B0D" w:rsidRPr="005E5DDD" w:rsidRDefault="002D7B0D" w:rsidP="00F47A67">
            <w:pPr>
              <w:jc w:val="both"/>
              <w:rPr>
                <w:rFonts w:eastAsia="Calibri"/>
                <w:sz w:val="20"/>
                <w:szCs w:val="20"/>
              </w:rPr>
            </w:pP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t>December 13, 2012</w:t>
            </w:r>
          </w:p>
          <w:p w:rsidR="002D7B0D" w:rsidRPr="005E5DDD" w:rsidRDefault="002D7B0D" w:rsidP="00F47A67">
            <w:pPr>
              <w:jc w:val="both"/>
              <w:rPr>
                <w:rFonts w:eastAsia="Calibri"/>
                <w:sz w:val="20"/>
                <w:szCs w:val="20"/>
              </w:rPr>
            </w:pPr>
            <w:r w:rsidRPr="005E5DDD">
              <w:rPr>
                <w:rFonts w:eastAsia="Calibri"/>
                <w:sz w:val="20"/>
                <w:szCs w:val="20"/>
              </w:rPr>
              <w:t>(Prothonotary Morneau)</w:t>
            </w:r>
          </w:p>
          <w:p w:rsidR="002D7B0D" w:rsidRPr="005E5DDD" w:rsidRDefault="002D7B0D" w:rsidP="00F47A67">
            <w:pPr>
              <w:jc w:val="both"/>
              <w:rPr>
                <w:rFonts w:eastAsia="Calibri"/>
                <w:sz w:val="20"/>
                <w:szCs w:val="20"/>
              </w:rPr>
            </w:pP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Applicant’s statement of claim struck out without leave to amend, with costs</w:t>
            </w: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t>February 14, 2013</w:t>
            </w:r>
          </w:p>
          <w:p w:rsidR="002D7B0D" w:rsidRPr="005E5DDD" w:rsidRDefault="002D7B0D" w:rsidP="00F47A67">
            <w:pPr>
              <w:jc w:val="both"/>
              <w:rPr>
                <w:rFonts w:eastAsia="Calibri"/>
                <w:sz w:val="20"/>
                <w:szCs w:val="20"/>
              </w:rPr>
            </w:pPr>
            <w:r w:rsidRPr="005E5DDD">
              <w:rPr>
                <w:rFonts w:eastAsia="Calibri"/>
                <w:sz w:val="20"/>
                <w:szCs w:val="20"/>
              </w:rPr>
              <w:t>Federal Court</w:t>
            </w:r>
          </w:p>
          <w:p w:rsidR="002D7B0D" w:rsidRPr="005E5DDD" w:rsidRDefault="002D7B0D" w:rsidP="00F47A67">
            <w:pPr>
              <w:jc w:val="both"/>
              <w:rPr>
                <w:rFonts w:eastAsia="Calibri"/>
                <w:sz w:val="20"/>
                <w:szCs w:val="20"/>
              </w:rPr>
            </w:pPr>
            <w:r w:rsidRPr="005E5DDD">
              <w:rPr>
                <w:rFonts w:eastAsia="Calibri"/>
                <w:sz w:val="20"/>
                <w:szCs w:val="20"/>
              </w:rPr>
              <w:t>(De Montigny J.)</w:t>
            </w:r>
          </w:p>
          <w:p w:rsidR="002D7B0D" w:rsidRPr="005E5DDD" w:rsidRDefault="002D7B0D" w:rsidP="00F47A67">
            <w:pPr>
              <w:jc w:val="both"/>
              <w:rPr>
                <w:rFonts w:eastAsia="Calibri"/>
                <w:sz w:val="20"/>
                <w:szCs w:val="20"/>
              </w:rPr>
            </w:pP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Motion to appeal prothonotary’s decision, dismissed with costs</w:t>
            </w: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t>March 13, 2013</w:t>
            </w:r>
          </w:p>
          <w:p w:rsidR="002D7B0D" w:rsidRPr="005E5DDD" w:rsidRDefault="002D7B0D" w:rsidP="00F47A67">
            <w:pPr>
              <w:jc w:val="both"/>
              <w:rPr>
                <w:rFonts w:eastAsia="Calibri"/>
                <w:sz w:val="20"/>
                <w:szCs w:val="20"/>
              </w:rPr>
            </w:pPr>
            <w:r w:rsidRPr="005E5DDD">
              <w:rPr>
                <w:rFonts w:eastAsia="Calibri"/>
                <w:sz w:val="20"/>
                <w:szCs w:val="20"/>
              </w:rPr>
              <w:t>Supreme Court of Canada</w:t>
            </w:r>
          </w:p>
          <w:p w:rsidR="002D7B0D" w:rsidRPr="005E5DDD" w:rsidRDefault="002D7B0D" w:rsidP="00F47A67">
            <w:pPr>
              <w:jc w:val="both"/>
              <w:rPr>
                <w:rFonts w:eastAsia="Calibri"/>
                <w:sz w:val="20"/>
                <w:szCs w:val="20"/>
              </w:rPr>
            </w:pP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Application for leave to appeal, filed; Motion for a stay of execution of the costs award of the Federal Court, filed</w:t>
            </w:r>
          </w:p>
          <w:p w:rsidR="002D7B0D" w:rsidRPr="005E5DDD" w:rsidRDefault="002D7B0D" w:rsidP="00F47A67">
            <w:pPr>
              <w:jc w:val="both"/>
              <w:rPr>
                <w:rFonts w:eastAsia="Calibri"/>
                <w:sz w:val="20"/>
                <w:szCs w:val="20"/>
              </w:rPr>
            </w:pP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t>March 22, 2013</w:t>
            </w:r>
          </w:p>
          <w:p w:rsidR="002D7B0D" w:rsidRPr="005E5DDD" w:rsidRDefault="002D7B0D" w:rsidP="00F47A67">
            <w:pPr>
              <w:jc w:val="both"/>
              <w:rPr>
                <w:rFonts w:eastAsia="Calibri"/>
                <w:sz w:val="20"/>
                <w:szCs w:val="20"/>
              </w:rPr>
            </w:pPr>
            <w:r w:rsidRPr="005E5DDD">
              <w:rPr>
                <w:rFonts w:eastAsia="Calibri"/>
                <w:sz w:val="20"/>
                <w:szCs w:val="20"/>
              </w:rPr>
              <w:t>Supreme Court of Canada</w:t>
            </w: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Motion to a judge for an order striking the response of Her Majesty the Queen, filed</w:t>
            </w:r>
          </w:p>
        </w:tc>
      </w:tr>
    </w:tbl>
    <w:p w:rsidR="009D08C5" w:rsidRDefault="009D08C5" w:rsidP="009D08C5">
      <w:pPr>
        <w:rPr>
          <w:sz w:val="20"/>
          <w:szCs w:val="20"/>
        </w:rPr>
      </w:pPr>
    </w:p>
    <w:p w:rsidR="009D08C5" w:rsidRPr="00C50A5C" w:rsidRDefault="005F2BA7" w:rsidP="009D08C5">
      <w:pPr>
        <w:rPr>
          <w:sz w:val="20"/>
          <w:szCs w:val="20"/>
        </w:rPr>
      </w:pPr>
      <w:r w:rsidRPr="005F2BA7">
        <w:rPr>
          <w:sz w:val="20"/>
          <w:szCs w:val="20"/>
          <w:lang w:val="fr-CA"/>
        </w:rPr>
        <w:pict>
          <v:rect id="_x0000_i1098" style="width:2in;height:1pt" o:hrpct="0" o:hralign="center" o:hrstd="t" o:hrnoshade="t" o:hr="t" fillcolor="black [3213]" stroked="f"/>
        </w:pict>
      </w:r>
    </w:p>
    <w:p w:rsidR="009D08C5" w:rsidRDefault="009D08C5" w:rsidP="009D08C5">
      <w:pPr>
        <w:rPr>
          <w:sz w:val="20"/>
          <w:szCs w:val="20"/>
        </w:rPr>
      </w:pPr>
    </w:p>
    <w:p w:rsidR="009D08C5" w:rsidRPr="001B157C" w:rsidRDefault="009D08C5" w:rsidP="009D08C5">
      <w:pPr>
        <w:rPr>
          <w:sz w:val="20"/>
          <w:szCs w:val="20"/>
          <w:u w:val="single"/>
          <w:lang w:val="fr-CA"/>
        </w:rPr>
      </w:pPr>
      <w:r w:rsidRPr="001B157C">
        <w:rPr>
          <w:sz w:val="20"/>
          <w:szCs w:val="20"/>
          <w:u w:val="single"/>
          <w:lang w:val="fr-CA"/>
        </w:rPr>
        <w:t>RÉSUMÉ DE L’AFFAIRE</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7C5A5B" w:rsidTr="00F47A67">
        <w:tc>
          <w:tcPr>
            <w:tcW w:w="5000" w:type="pct"/>
            <w:gridSpan w:val="3"/>
          </w:tcPr>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Tribunaux — Appel — Compétence — Procédure civile — Requête en radiation de la déclaration du demandeur présentée par la Couronne — Déclaration radiée par le protonotaire sans autorisation de la modifier — Conclusion d’un juge de la Cour fédérale que les allégations du demandeur sont frivoles et ne révèlent aucune cause d’action raisonnable — Requête en vue de se pourvoir en appel rejetée par le juge — La Cour suprême a-t-elle compétence, en vertu du par. 40(1) de la </w:t>
            </w:r>
            <w:r w:rsidRPr="005E5DDD">
              <w:rPr>
                <w:rFonts w:eastAsia="Calibri"/>
                <w:i/>
                <w:sz w:val="20"/>
                <w:szCs w:val="20"/>
                <w:lang w:val="fr-CA"/>
              </w:rPr>
              <w:t>Loi sur la Cour suprême</w:t>
            </w:r>
            <w:r w:rsidRPr="005E5DDD">
              <w:rPr>
                <w:rFonts w:eastAsia="Calibri"/>
                <w:sz w:val="20"/>
                <w:szCs w:val="20"/>
                <w:lang w:val="fr-CA"/>
              </w:rPr>
              <w:t xml:space="preserve">, pour connaître du litige? — La Cour fédérale a-t-elle eu tort de rejeter la requête en vue d’interjeter appel de la décision du protonotaire? </w:t>
            </w:r>
          </w:p>
        </w:tc>
      </w:tr>
      <w:tr w:rsidR="002D7B0D" w:rsidRPr="007C5A5B" w:rsidTr="00F47A67">
        <w:tc>
          <w:tcPr>
            <w:tcW w:w="5000" w:type="pct"/>
            <w:gridSpan w:val="3"/>
          </w:tcPr>
          <w:p w:rsidR="002D7B0D" w:rsidRPr="005E5DDD" w:rsidRDefault="002D7B0D" w:rsidP="00F47A67">
            <w:pPr>
              <w:jc w:val="both"/>
              <w:rPr>
                <w:rFonts w:eastAsia="Calibri"/>
                <w:sz w:val="20"/>
                <w:szCs w:val="20"/>
                <w:lang w:val="fr-CA"/>
              </w:rPr>
            </w:pPr>
          </w:p>
        </w:tc>
      </w:tr>
      <w:tr w:rsidR="002D7B0D" w:rsidRPr="007C5A5B" w:rsidTr="00F47A67">
        <w:tc>
          <w:tcPr>
            <w:tcW w:w="5000" w:type="pct"/>
            <w:gridSpan w:val="3"/>
          </w:tcPr>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M. Lessard a déposé en octobre 2012 une déclaration contre la Couronne en Cour fédérale.  La Couronne a présenté une requête pour obtenir une ordonnance radiant cette déclaration sans autorisation de la modifier. </w:t>
            </w:r>
          </w:p>
          <w:p w:rsidR="002D7B0D" w:rsidRPr="005E5DDD" w:rsidRDefault="002D7B0D" w:rsidP="00F47A67">
            <w:pPr>
              <w:jc w:val="both"/>
              <w:rPr>
                <w:rFonts w:eastAsia="Calibri"/>
                <w:sz w:val="20"/>
                <w:szCs w:val="20"/>
                <w:lang w:val="fr-CA"/>
              </w:rPr>
            </w:pPr>
          </w:p>
        </w:tc>
      </w:tr>
      <w:tr w:rsidR="002D7B0D" w:rsidRPr="007C5A5B" w:rsidTr="004145A7">
        <w:trPr>
          <w:cantSplit/>
        </w:trPr>
        <w:tc>
          <w:tcPr>
            <w:tcW w:w="2427" w:type="pct"/>
          </w:tcPr>
          <w:p w:rsidR="002D7B0D" w:rsidRPr="005E5DDD" w:rsidRDefault="002D7B0D" w:rsidP="00F47A67">
            <w:pPr>
              <w:jc w:val="both"/>
              <w:rPr>
                <w:rFonts w:eastAsia="Calibri"/>
                <w:sz w:val="20"/>
                <w:szCs w:val="20"/>
              </w:rPr>
            </w:pPr>
            <w:r w:rsidRPr="005E5DDD">
              <w:rPr>
                <w:rFonts w:eastAsia="Calibri"/>
                <w:sz w:val="20"/>
                <w:szCs w:val="20"/>
              </w:rPr>
              <w:t>13 décembre 2012</w:t>
            </w:r>
          </w:p>
          <w:p w:rsidR="002D7B0D" w:rsidRPr="005E5DDD" w:rsidRDefault="002D7B0D" w:rsidP="00F47A67">
            <w:pPr>
              <w:jc w:val="both"/>
              <w:rPr>
                <w:rFonts w:eastAsia="Calibri"/>
                <w:sz w:val="20"/>
                <w:szCs w:val="20"/>
              </w:rPr>
            </w:pPr>
            <w:r w:rsidRPr="005E5DDD">
              <w:rPr>
                <w:rFonts w:eastAsia="Calibri"/>
                <w:sz w:val="20"/>
                <w:szCs w:val="20"/>
              </w:rPr>
              <w:t>(Protonotaire Morneau)</w:t>
            </w:r>
          </w:p>
          <w:p w:rsidR="002D7B0D" w:rsidRPr="005E5DDD" w:rsidRDefault="002D7B0D" w:rsidP="00F47A67">
            <w:pPr>
              <w:jc w:val="both"/>
              <w:rPr>
                <w:rFonts w:eastAsia="Calibri"/>
                <w:sz w:val="20"/>
                <w:szCs w:val="20"/>
              </w:rPr>
            </w:pP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Déclaration du demandeur radiée sans autorisation de la modifier, avec dépens</w:t>
            </w:r>
          </w:p>
        </w:tc>
      </w:tr>
      <w:tr w:rsidR="002D7B0D" w:rsidRPr="007C5A5B" w:rsidTr="004145A7">
        <w:trPr>
          <w:cantSplit/>
        </w:trPr>
        <w:tc>
          <w:tcPr>
            <w:tcW w:w="2427"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lastRenderedPageBreak/>
              <w:t>14 février 2013</w:t>
            </w:r>
          </w:p>
          <w:p w:rsidR="002D7B0D" w:rsidRPr="005E5DDD" w:rsidRDefault="002D7B0D" w:rsidP="00F47A67">
            <w:pPr>
              <w:jc w:val="both"/>
              <w:rPr>
                <w:rFonts w:eastAsia="Calibri"/>
                <w:sz w:val="20"/>
                <w:szCs w:val="20"/>
                <w:lang w:val="fr-CA"/>
              </w:rPr>
            </w:pPr>
            <w:r w:rsidRPr="005E5DDD">
              <w:rPr>
                <w:rFonts w:eastAsia="Calibri"/>
                <w:sz w:val="20"/>
                <w:szCs w:val="20"/>
                <w:lang w:val="fr-CA"/>
              </w:rPr>
              <w:t>Cour fédérale</w:t>
            </w:r>
          </w:p>
          <w:p w:rsidR="002D7B0D" w:rsidRPr="005E5DDD" w:rsidRDefault="002D7B0D" w:rsidP="00F47A67">
            <w:pPr>
              <w:jc w:val="both"/>
              <w:rPr>
                <w:rFonts w:eastAsia="Calibri"/>
                <w:sz w:val="20"/>
                <w:szCs w:val="20"/>
                <w:lang w:val="fr-CA"/>
              </w:rPr>
            </w:pPr>
            <w:r w:rsidRPr="005E5DDD">
              <w:rPr>
                <w:rFonts w:eastAsia="Calibri"/>
                <w:sz w:val="20"/>
                <w:szCs w:val="20"/>
                <w:lang w:val="fr-CA"/>
              </w:rPr>
              <w:t>(Juge de Montigny)</w:t>
            </w:r>
          </w:p>
          <w:p w:rsidR="002D7B0D" w:rsidRPr="005E5DDD" w:rsidRDefault="002D7B0D" w:rsidP="00F47A67">
            <w:pPr>
              <w:jc w:val="both"/>
              <w:rPr>
                <w:rFonts w:eastAsia="Calibri"/>
                <w:sz w:val="20"/>
                <w:szCs w:val="20"/>
                <w:lang w:val="fr-CA"/>
              </w:rPr>
            </w:pPr>
          </w:p>
        </w:tc>
        <w:tc>
          <w:tcPr>
            <w:tcW w:w="243" w:type="pct"/>
          </w:tcPr>
          <w:p w:rsidR="002D7B0D" w:rsidRPr="005E5DDD" w:rsidRDefault="002D7B0D" w:rsidP="00F47A67">
            <w:pPr>
              <w:jc w:val="both"/>
              <w:rPr>
                <w:rFonts w:eastAsia="Calibri"/>
                <w:sz w:val="20"/>
                <w:szCs w:val="20"/>
                <w:lang w:val="fr-CA"/>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Requête en vue d’interjeter appel de la décision du protonotaire rejetée avec dépens</w:t>
            </w:r>
          </w:p>
        </w:tc>
      </w:tr>
      <w:tr w:rsidR="002D7B0D" w:rsidRPr="007C5A5B" w:rsidTr="004145A7">
        <w:trPr>
          <w:cantSplit/>
        </w:trPr>
        <w:tc>
          <w:tcPr>
            <w:tcW w:w="2427" w:type="pct"/>
          </w:tcPr>
          <w:p w:rsidR="002D7B0D" w:rsidRPr="005E5DDD" w:rsidRDefault="002D7B0D" w:rsidP="00F47A67">
            <w:pPr>
              <w:jc w:val="both"/>
              <w:rPr>
                <w:rFonts w:eastAsia="Calibri"/>
                <w:sz w:val="20"/>
                <w:szCs w:val="20"/>
              </w:rPr>
            </w:pPr>
            <w:r w:rsidRPr="005E5DDD">
              <w:rPr>
                <w:rFonts w:eastAsia="Calibri"/>
                <w:sz w:val="20"/>
                <w:szCs w:val="20"/>
              </w:rPr>
              <w:t>13 mars 2013</w:t>
            </w:r>
          </w:p>
          <w:p w:rsidR="002D7B0D" w:rsidRPr="005E5DDD" w:rsidRDefault="002D7B0D" w:rsidP="00F47A67">
            <w:pPr>
              <w:jc w:val="both"/>
              <w:rPr>
                <w:rFonts w:eastAsia="Calibri"/>
                <w:sz w:val="20"/>
                <w:szCs w:val="20"/>
              </w:rPr>
            </w:pPr>
            <w:r w:rsidRPr="005E5DDD">
              <w:rPr>
                <w:rFonts w:eastAsia="Calibri"/>
                <w:sz w:val="20"/>
                <w:szCs w:val="20"/>
              </w:rPr>
              <w:t>Cour suprême du Canada</w:t>
            </w:r>
          </w:p>
          <w:p w:rsidR="002D7B0D" w:rsidRPr="005E5DDD" w:rsidRDefault="002D7B0D" w:rsidP="00F47A67">
            <w:pPr>
              <w:jc w:val="both"/>
              <w:rPr>
                <w:rFonts w:eastAsia="Calibri"/>
                <w:sz w:val="20"/>
                <w:szCs w:val="20"/>
              </w:rPr>
            </w:pP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Demande d’autorisation d’appel déposée; requête en sursis d’exécution de l’octroi de dépens par la Cour fédérale, déposée </w:t>
            </w:r>
          </w:p>
          <w:p w:rsidR="002D7B0D" w:rsidRPr="005E5DDD" w:rsidRDefault="002D7B0D" w:rsidP="00F47A67">
            <w:pPr>
              <w:jc w:val="both"/>
              <w:rPr>
                <w:rFonts w:eastAsia="Calibri"/>
                <w:sz w:val="20"/>
                <w:szCs w:val="20"/>
                <w:lang w:val="fr-CA"/>
              </w:rPr>
            </w:pPr>
          </w:p>
        </w:tc>
      </w:tr>
      <w:tr w:rsidR="002D7B0D" w:rsidRPr="007C5A5B" w:rsidTr="004145A7">
        <w:trPr>
          <w:cantSplit/>
        </w:trPr>
        <w:tc>
          <w:tcPr>
            <w:tcW w:w="2427"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22 mars 2013</w:t>
            </w:r>
          </w:p>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Cour suprême du Canada </w:t>
            </w:r>
          </w:p>
        </w:tc>
        <w:tc>
          <w:tcPr>
            <w:tcW w:w="243" w:type="pct"/>
          </w:tcPr>
          <w:p w:rsidR="002D7B0D" w:rsidRPr="005E5DDD" w:rsidRDefault="002D7B0D" w:rsidP="00F47A67">
            <w:pPr>
              <w:jc w:val="both"/>
              <w:rPr>
                <w:rFonts w:eastAsia="Calibri"/>
                <w:sz w:val="20"/>
                <w:szCs w:val="20"/>
                <w:lang w:val="fr-CA"/>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Requête adressée à un juge pour qu’il radie par ordonnance la réponse de Sa Majesté la Reine, déposée </w:t>
            </w:r>
          </w:p>
        </w:tc>
      </w:tr>
    </w:tbl>
    <w:p w:rsidR="009D08C5" w:rsidRPr="002D7B0D" w:rsidRDefault="009D08C5" w:rsidP="009D08C5">
      <w:pPr>
        <w:rPr>
          <w:sz w:val="20"/>
          <w:szCs w:val="20"/>
          <w:lang w:val="fr-CA"/>
        </w:rPr>
      </w:pPr>
    </w:p>
    <w:p w:rsidR="009D08C5" w:rsidRDefault="005F2BA7" w:rsidP="009D08C5">
      <w:pPr>
        <w:rPr>
          <w:sz w:val="20"/>
          <w:szCs w:val="20"/>
          <w:lang w:val="fr-CA"/>
        </w:rPr>
      </w:pPr>
      <w:r w:rsidRPr="005F2BA7">
        <w:rPr>
          <w:sz w:val="20"/>
          <w:szCs w:val="20"/>
          <w:lang w:val="fr-CA"/>
        </w:rPr>
        <w:pict>
          <v:rect id="_x0000_i1099" style="width:2in;height:1pt" o:hrpct="0" o:hralign="center" o:hrstd="t" o:hrnoshade="t" o:hr="t" fillcolor="black [3213]" stroked="f"/>
        </w:pict>
      </w:r>
    </w:p>
    <w:p w:rsidR="009D08C5" w:rsidRDefault="009D08C5" w:rsidP="009D08C5">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A7078" w:rsidRPr="00DD6605" w:rsidTr="009A7078">
        <w:trPr>
          <w:cantSplit/>
        </w:trPr>
        <w:tc>
          <w:tcPr>
            <w:tcW w:w="1458" w:type="dxa"/>
          </w:tcPr>
          <w:p w:rsidR="009A7078" w:rsidRPr="00DD6605" w:rsidRDefault="009A7078" w:rsidP="009A7078">
            <w:pPr>
              <w:rPr>
                <w:sz w:val="20"/>
                <w:szCs w:val="20"/>
              </w:rPr>
            </w:pPr>
            <w:r w:rsidRPr="00DD6605">
              <w:rPr>
                <w:rStyle w:val="SCCFileNumberChar"/>
                <w:sz w:val="20"/>
                <w:szCs w:val="20"/>
              </w:rPr>
              <w:t>35323</w:t>
            </w:r>
          </w:p>
          <w:p w:rsidR="009A7078" w:rsidRPr="00DD6605" w:rsidRDefault="009A7078" w:rsidP="009A7078">
            <w:pPr>
              <w:rPr>
                <w:b/>
                <w:sz w:val="20"/>
                <w:szCs w:val="20"/>
                <w:lang w:val="fr-CA"/>
              </w:rPr>
            </w:pPr>
          </w:p>
        </w:tc>
        <w:tc>
          <w:tcPr>
            <w:tcW w:w="8118" w:type="dxa"/>
          </w:tcPr>
          <w:p w:rsidR="009A7078" w:rsidRPr="00DD6605" w:rsidRDefault="009A7078" w:rsidP="009A7078">
            <w:pPr>
              <w:jc w:val="both"/>
              <w:rPr>
                <w:sz w:val="20"/>
                <w:szCs w:val="20"/>
              </w:rPr>
            </w:pPr>
            <w:r w:rsidRPr="009A7078">
              <w:rPr>
                <w:rStyle w:val="SCCLsocChar"/>
                <w:sz w:val="20"/>
                <w:szCs w:val="20"/>
                <w:lang w:val="en-CA"/>
              </w:rPr>
              <w:t>Rumi Vesuna v. Alec Drysdale, Her Majesty the Queen in Right of the Province of British Columbia, Sea-Mait Investments Ltd. and M.L. &amp; H. Holdings Ltd</w:t>
            </w:r>
            <w:r w:rsidRPr="00DD6605">
              <w:rPr>
                <w:sz w:val="20"/>
                <w:szCs w:val="20"/>
              </w:rPr>
              <w:t xml:space="preserve"> (B.C.) (Civil) (By Leave)</w:t>
            </w:r>
          </w:p>
          <w:p w:rsidR="009A7078" w:rsidRPr="00DD6605" w:rsidRDefault="009A7078" w:rsidP="009A7078">
            <w:pPr>
              <w:jc w:val="both"/>
              <w:rPr>
                <w:sz w:val="20"/>
                <w:szCs w:val="20"/>
              </w:rPr>
            </w:pPr>
          </w:p>
        </w:tc>
      </w:tr>
      <w:tr w:rsidR="009A7078" w:rsidRPr="00DD6605" w:rsidTr="009A7078">
        <w:trPr>
          <w:cantSplit/>
        </w:trPr>
        <w:tc>
          <w:tcPr>
            <w:tcW w:w="1458" w:type="dxa"/>
          </w:tcPr>
          <w:p w:rsidR="009A7078" w:rsidRPr="00DD6605" w:rsidRDefault="009A7078" w:rsidP="009A7078">
            <w:pPr>
              <w:rPr>
                <w:sz w:val="20"/>
                <w:szCs w:val="20"/>
              </w:rPr>
            </w:pPr>
            <w:r w:rsidRPr="00DD6605">
              <w:rPr>
                <w:sz w:val="20"/>
                <w:szCs w:val="20"/>
              </w:rPr>
              <w:t>Coram :</w:t>
            </w:r>
          </w:p>
        </w:tc>
        <w:tc>
          <w:tcPr>
            <w:tcW w:w="8118" w:type="dxa"/>
          </w:tcPr>
          <w:p w:rsidR="009A7078" w:rsidRPr="00DD6605" w:rsidRDefault="009A7078" w:rsidP="009A7078">
            <w:pPr>
              <w:rPr>
                <w:sz w:val="20"/>
                <w:szCs w:val="20"/>
              </w:rPr>
            </w:pPr>
            <w:r w:rsidRPr="009A7078">
              <w:rPr>
                <w:rStyle w:val="SCCCoramChar"/>
                <w:sz w:val="20"/>
                <w:szCs w:val="20"/>
                <w:lang w:val="en-CA"/>
              </w:rPr>
              <w:t>McLachlin C.J. and Abella and Cromwell JJ.</w:t>
            </w:r>
          </w:p>
          <w:p w:rsidR="009A7078" w:rsidRPr="00DD6605" w:rsidRDefault="009A7078" w:rsidP="009A7078">
            <w:pPr>
              <w:rPr>
                <w:sz w:val="20"/>
                <w:szCs w:val="20"/>
                <w:u w:val="single"/>
              </w:rPr>
            </w:pPr>
          </w:p>
        </w:tc>
      </w:tr>
      <w:tr w:rsidR="009A7078" w:rsidRPr="007C5A5B" w:rsidTr="009A7078">
        <w:trPr>
          <w:cantSplit/>
        </w:trPr>
        <w:tc>
          <w:tcPr>
            <w:tcW w:w="9576" w:type="dxa"/>
            <w:gridSpan w:val="2"/>
          </w:tcPr>
          <w:p w:rsidR="009A7078" w:rsidRPr="00DD6605" w:rsidRDefault="009A7078" w:rsidP="009A7078">
            <w:pPr>
              <w:pStyle w:val="SCCShortJudgment"/>
              <w:rPr>
                <w:szCs w:val="20"/>
              </w:rPr>
            </w:pPr>
            <w:r w:rsidRPr="00DD6605">
              <w:rPr>
                <w:szCs w:val="20"/>
              </w:rPr>
              <w:t>The motion for an extension of time to serve and file the application for leave to appeal is granted.  The application for leave to appeal from the judgment of the Court of Appeal for British Columbia (Vancouver), Number CA039247, 2013 BCCA 10, dated January 8, 2013, is dismissed with costs to the respondents Alec Drysdale and Her Majesty the Queen in Right of the Province of British Columbia.</w:t>
            </w:r>
          </w:p>
          <w:p w:rsidR="009A7078" w:rsidRPr="00DD6605" w:rsidRDefault="009A7078" w:rsidP="009A7078">
            <w:pPr>
              <w:pStyle w:val="SCCShortJudgment"/>
              <w:ind w:firstLine="0"/>
              <w:rPr>
                <w:szCs w:val="20"/>
              </w:rPr>
            </w:pPr>
          </w:p>
          <w:p w:rsidR="009A7078" w:rsidRPr="00DD6605" w:rsidRDefault="009A7078" w:rsidP="009A7078">
            <w:pPr>
              <w:pStyle w:val="SCCShortJudgment"/>
              <w:rPr>
                <w:szCs w:val="20"/>
                <w:lang w:val="fr-CA"/>
              </w:rPr>
            </w:pPr>
            <w:r w:rsidRPr="00DD6605">
              <w:rPr>
                <w:szCs w:val="20"/>
                <w:lang w:val="fr-CA"/>
              </w:rPr>
              <w:t>La requête en prorogation du délai de signification et de dépôt de la demande d’autorisation d’appel est accueillie. La demande d’autorisation d’appel de l’arrêt de la Cour d’appel de la Colombie-Britannique (Vancouver), numéro CA039247, 2013 BCCA 10, daté du 8 janvier 2013, est rejetée avec dépens en faveur des intimés Alec Drysdale et Sa Majesté la Reine du chef de la province de la Colombie-Britannique.</w:t>
            </w:r>
          </w:p>
        </w:tc>
      </w:tr>
    </w:tbl>
    <w:p w:rsidR="009D08C5" w:rsidRPr="009A7078" w:rsidRDefault="009D08C5" w:rsidP="009D08C5">
      <w:pPr>
        <w:rPr>
          <w:sz w:val="20"/>
          <w:szCs w:val="20"/>
          <w:lang w:val="fr-CA"/>
        </w:rPr>
      </w:pPr>
    </w:p>
    <w:p w:rsidR="009D08C5" w:rsidRPr="001B157C" w:rsidRDefault="009D08C5" w:rsidP="009D08C5">
      <w:pPr>
        <w:rPr>
          <w:sz w:val="20"/>
          <w:szCs w:val="20"/>
          <w:u w:val="single"/>
        </w:rPr>
      </w:pPr>
      <w:r w:rsidRPr="001B157C">
        <w:rPr>
          <w:sz w:val="20"/>
          <w:szCs w:val="20"/>
          <w:u w:val="single"/>
        </w:rPr>
        <w:t>CASE SUMMARY</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5E5DDD" w:rsidTr="00F47A67">
        <w:tc>
          <w:tcPr>
            <w:tcW w:w="5000" w:type="pct"/>
            <w:gridSpan w:val="3"/>
          </w:tcPr>
          <w:p w:rsidR="002D7B0D" w:rsidRPr="005E5DDD" w:rsidRDefault="002D7B0D" w:rsidP="00F47A67">
            <w:pPr>
              <w:jc w:val="both"/>
              <w:rPr>
                <w:rFonts w:eastAsia="Calibri"/>
                <w:sz w:val="20"/>
                <w:szCs w:val="20"/>
              </w:rPr>
            </w:pPr>
            <w:r w:rsidRPr="005E5DDD">
              <w:rPr>
                <w:rFonts w:eastAsia="Calibri"/>
                <w:sz w:val="20"/>
                <w:szCs w:val="20"/>
              </w:rPr>
              <w:t>Property – Crown law – Real property – Easements – Public roads – Road allowance – When does a road become a public road pursuant to provincial legislation – When is a road exempted from a Crown grant – When is it considered a “travelled road” – When does a road become a public road by common law dedication to the public – What’s the effect of the expenditure of public funds on such a road – Does approval and deposition of a subdivision plan showing a road with the Registrar of Land and Title office, result in a duty on the government to construct, upgrade and keep in a state of repair a public road.</w:t>
            </w:r>
          </w:p>
        </w:tc>
      </w:tr>
      <w:tr w:rsidR="002D7B0D" w:rsidRPr="005E5DDD" w:rsidTr="00F47A67">
        <w:tc>
          <w:tcPr>
            <w:tcW w:w="5000" w:type="pct"/>
            <w:gridSpan w:val="3"/>
          </w:tcPr>
          <w:p w:rsidR="002D7B0D" w:rsidRPr="005E5DDD" w:rsidRDefault="002D7B0D" w:rsidP="00F47A67">
            <w:pPr>
              <w:jc w:val="both"/>
              <w:rPr>
                <w:rFonts w:eastAsia="Calibri"/>
                <w:sz w:val="20"/>
                <w:szCs w:val="20"/>
              </w:rPr>
            </w:pPr>
          </w:p>
        </w:tc>
      </w:tr>
      <w:tr w:rsidR="002D7B0D" w:rsidRPr="005E5DDD" w:rsidTr="00F47A67">
        <w:tc>
          <w:tcPr>
            <w:tcW w:w="5000" w:type="pct"/>
            <w:gridSpan w:val="3"/>
          </w:tcPr>
          <w:p w:rsidR="002D7B0D" w:rsidRPr="005E5DDD" w:rsidRDefault="002D7B0D" w:rsidP="00F47A67">
            <w:pPr>
              <w:jc w:val="both"/>
              <w:rPr>
                <w:rFonts w:eastAsia="Calibri"/>
                <w:sz w:val="20"/>
                <w:szCs w:val="20"/>
              </w:rPr>
            </w:pPr>
            <w:r w:rsidRPr="005E5DDD">
              <w:rPr>
                <w:rFonts w:eastAsia="Calibri"/>
                <w:sz w:val="20"/>
                <w:szCs w:val="20"/>
              </w:rPr>
              <w:t>The applicant purchased a 50 acre land-locked parcel of property near Powell River, B.C. for less than its listed price.  While there was no road access, there was a dedicated road allowance on adjacent property to the south that connected the property with a highway.  Title to the road allowance rests with the Province.  It was apparent at the site that no road had been built.</w:t>
            </w:r>
          </w:p>
          <w:p w:rsidR="002D7B0D" w:rsidRPr="005E5DDD" w:rsidRDefault="002D7B0D" w:rsidP="00F47A67">
            <w:pPr>
              <w:jc w:val="both"/>
              <w:rPr>
                <w:rFonts w:eastAsia="Calibri"/>
                <w:sz w:val="20"/>
                <w:szCs w:val="20"/>
              </w:rPr>
            </w:pPr>
          </w:p>
          <w:p w:rsidR="002D7B0D" w:rsidRPr="005E5DDD" w:rsidRDefault="002D7B0D" w:rsidP="00F47A67">
            <w:pPr>
              <w:jc w:val="both"/>
              <w:rPr>
                <w:rFonts w:eastAsia="Calibri"/>
                <w:sz w:val="20"/>
                <w:szCs w:val="20"/>
              </w:rPr>
            </w:pPr>
            <w:r w:rsidRPr="005E5DDD">
              <w:rPr>
                <w:rFonts w:eastAsia="Calibri"/>
                <w:sz w:val="20"/>
                <w:szCs w:val="20"/>
              </w:rPr>
              <w:t>The applicant took steps to obtain government approval for construction of a road on the allowance.  He was advised that there were environmental difficulties, because the road allowance intersects a salmon-spawning creek near the highway.  The applicant tried to negotiate an easement over a road on an adjacent property owned by the corporate respondents. When the negotiations failed, the applicant brought an action against them and against the Province and the Provincial Approving Officer.  He argued that the road on the adjacent property was a public road.  Alternatively, he argued that the Crown had been negligent in approving a subdivision when a road could not be built on the road allowance.  The Supreme Court of British Columbia dismissed the applicant’s action against the respondents.  The British Columbia Court of Appeal dismissed his appeal.</w:t>
            </w:r>
          </w:p>
          <w:p w:rsidR="002D7B0D" w:rsidRPr="005E5DDD" w:rsidRDefault="002D7B0D" w:rsidP="00F47A67">
            <w:pPr>
              <w:jc w:val="both"/>
              <w:rPr>
                <w:rFonts w:eastAsia="Calibri"/>
                <w:sz w:val="20"/>
                <w:szCs w:val="20"/>
              </w:rPr>
            </w:pP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lastRenderedPageBreak/>
              <w:t>July 13, 2011</w:t>
            </w:r>
          </w:p>
          <w:p w:rsidR="002D7B0D" w:rsidRPr="005E5DDD" w:rsidRDefault="002D7B0D" w:rsidP="00F47A67">
            <w:pPr>
              <w:jc w:val="both"/>
              <w:rPr>
                <w:rFonts w:eastAsia="Calibri"/>
                <w:sz w:val="20"/>
                <w:szCs w:val="20"/>
              </w:rPr>
            </w:pPr>
            <w:r w:rsidRPr="005E5DDD">
              <w:rPr>
                <w:rFonts w:eastAsia="Calibri"/>
                <w:sz w:val="20"/>
                <w:szCs w:val="20"/>
              </w:rPr>
              <w:t>Supreme Court of British Columbia</w:t>
            </w:r>
          </w:p>
          <w:p w:rsidR="002D7B0D" w:rsidRPr="005E5DDD" w:rsidRDefault="002D7B0D" w:rsidP="00F47A67">
            <w:pPr>
              <w:jc w:val="both"/>
              <w:rPr>
                <w:rFonts w:eastAsia="Calibri"/>
                <w:sz w:val="20"/>
                <w:szCs w:val="20"/>
              </w:rPr>
            </w:pPr>
            <w:r w:rsidRPr="005E5DDD">
              <w:rPr>
                <w:rFonts w:eastAsia="Calibri"/>
                <w:sz w:val="20"/>
                <w:szCs w:val="20"/>
              </w:rPr>
              <w:t>(Griffin J.)</w:t>
            </w:r>
          </w:p>
          <w:p w:rsidR="002D7B0D" w:rsidRPr="005E5DDD" w:rsidRDefault="002D7B0D" w:rsidP="00F47A67">
            <w:pPr>
              <w:jc w:val="both"/>
              <w:rPr>
                <w:rFonts w:eastAsia="Calibri"/>
                <w:sz w:val="20"/>
                <w:szCs w:val="20"/>
              </w:rPr>
            </w:pPr>
            <w:r w:rsidRPr="005E5DDD">
              <w:rPr>
                <w:rFonts w:eastAsia="Calibri"/>
                <w:sz w:val="20"/>
                <w:szCs w:val="20"/>
              </w:rPr>
              <w:t>2011 BCSC 941; S1992</w:t>
            </w:r>
          </w:p>
          <w:p w:rsidR="002D7B0D" w:rsidRPr="005E5DDD" w:rsidRDefault="002D7B0D" w:rsidP="00F47A67">
            <w:pPr>
              <w:jc w:val="both"/>
              <w:rPr>
                <w:rFonts w:eastAsia="Calibri"/>
                <w:sz w:val="20"/>
                <w:szCs w:val="20"/>
              </w:rPr>
            </w:pP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Applicant’s action dismissed</w:t>
            </w:r>
          </w:p>
          <w:p w:rsidR="002D7B0D" w:rsidRPr="005E5DDD" w:rsidRDefault="002D7B0D" w:rsidP="00F47A67">
            <w:pPr>
              <w:jc w:val="both"/>
              <w:rPr>
                <w:rFonts w:eastAsia="Calibri"/>
                <w:sz w:val="20"/>
                <w:szCs w:val="20"/>
              </w:rPr>
            </w:pP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t>January 8, 2013</w:t>
            </w:r>
          </w:p>
          <w:p w:rsidR="002D7B0D" w:rsidRPr="005E5DDD" w:rsidRDefault="002D7B0D" w:rsidP="00F47A67">
            <w:pPr>
              <w:jc w:val="both"/>
              <w:rPr>
                <w:rFonts w:eastAsia="Calibri"/>
                <w:sz w:val="20"/>
                <w:szCs w:val="20"/>
              </w:rPr>
            </w:pPr>
            <w:r w:rsidRPr="005E5DDD">
              <w:rPr>
                <w:rFonts w:eastAsia="Calibri"/>
                <w:sz w:val="20"/>
                <w:szCs w:val="20"/>
              </w:rPr>
              <w:t xml:space="preserve">Court of Appeal for British Columbia </w:t>
            </w:r>
          </w:p>
          <w:p w:rsidR="002D7B0D" w:rsidRPr="005E5DDD" w:rsidRDefault="002D7B0D" w:rsidP="00F47A67">
            <w:pPr>
              <w:jc w:val="both"/>
              <w:rPr>
                <w:rFonts w:eastAsia="Calibri"/>
                <w:sz w:val="20"/>
                <w:szCs w:val="20"/>
              </w:rPr>
            </w:pPr>
            <w:r w:rsidRPr="005E5DDD">
              <w:rPr>
                <w:rFonts w:eastAsia="Calibri"/>
                <w:sz w:val="20"/>
                <w:szCs w:val="20"/>
              </w:rPr>
              <w:t>(Vancouver)</w:t>
            </w:r>
          </w:p>
          <w:p w:rsidR="002D7B0D" w:rsidRPr="005E5DDD" w:rsidRDefault="002D7B0D" w:rsidP="00F47A67">
            <w:pPr>
              <w:jc w:val="both"/>
              <w:rPr>
                <w:rFonts w:eastAsia="Calibri"/>
                <w:sz w:val="20"/>
                <w:szCs w:val="20"/>
              </w:rPr>
            </w:pPr>
            <w:r w:rsidRPr="005E5DDD">
              <w:rPr>
                <w:rFonts w:eastAsia="Calibri"/>
                <w:sz w:val="20"/>
                <w:szCs w:val="20"/>
              </w:rPr>
              <w:t>(Low, Smith and MacKenzie JJ.A.)</w:t>
            </w:r>
          </w:p>
          <w:p w:rsidR="002D7B0D" w:rsidRPr="005E5DDD" w:rsidRDefault="002D7B0D" w:rsidP="00F47A67">
            <w:pPr>
              <w:jc w:val="both"/>
              <w:rPr>
                <w:rFonts w:eastAsia="Calibri"/>
                <w:sz w:val="20"/>
                <w:szCs w:val="20"/>
              </w:rPr>
            </w:pPr>
            <w:r w:rsidRPr="005E5DDD">
              <w:rPr>
                <w:rFonts w:eastAsia="Calibri"/>
                <w:sz w:val="20"/>
                <w:szCs w:val="20"/>
              </w:rPr>
              <w:t>2013 BCCA 10; CA039247</w:t>
            </w:r>
          </w:p>
          <w:p w:rsidR="002D7B0D" w:rsidRPr="005E5DDD" w:rsidRDefault="002D7B0D" w:rsidP="00F47A67">
            <w:pPr>
              <w:jc w:val="both"/>
              <w:rPr>
                <w:rFonts w:eastAsia="Calibri"/>
                <w:sz w:val="20"/>
                <w:szCs w:val="20"/>
              </w:rPr>
            </w:pP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Appeal dismissed</w:t>
            </w:r>
          </w:p>
          <w:p w:rsidR="002D7B0D" w:rsidRPr="005E5DDD" w:rsidRDefault="002D7B0D" w:rsidP="00F47A67">
            <w:pPr>
              <w:jc w:val="both"/>
              <w:rPr>
                <w:rFonts w:eastAsia="Calibri"/>
                <w:sz w:val="20"/>
                <w:szCs w:val="20"/>
              </w:rPr>
            </w:pP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t>March 13, 2013</w:t>
            </w:r>
          </w:p>
          <w:p w:rsidR="002D7B0D" w:rsidRPr="005E5DDD" w:rsidRDefault="002D7B0D" w:rsidP="00F47A67">
            <w:pPr>
              <w:jc w:val="both"/>
              <w:rPr>
                <w:rFonts w:eastAsia="Calibri"/>
                <w:sz w:val="20"/>
                <w:szCs w:val="20"/>
              </w:rPr>
            </w:pPr>
            <w:r w:rsidRPr="005E5DDD">
              <w:rPr>
                <w:rFonts w:eastAsia="Calibri"/>
                <w:sz w:val="20"/>
                <w:szCs w:val="20"/>
              </w:rPr>
              <w:t>Supreme Court of Canada</w:t>
            </w:r>
          </w:p>
          <w:p w:rsidR="002D7B0D" w:rsidRPr="005E5DDD" w:rsidRDefault="002D7B0D" w:rsidP="00F47A67">
            <w:pPr>
              <w:jc w:val="both"/>
              <w:rPr>
                <w:rFonts w:eastAsia="Calibri"/>
                <w:sz w:val="20"/>
                <w:szCs w:val="20"/>
              </w:rPr>
            </w:pP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Application for leave to appeal filed</w:t>
            </w: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t>March 28, 2013</w:t>
            </w:r>
          </w:p>
          <w:p w:rsidR="002D7B0D" w:rsidRPr="005E5DDD" w:rsidRDefault="002D7B0D" w:rsidP="00F47A67">
            <w:pPr>
              <w:jc w:val="both"/>
              <w:rPr>
                <w:rFonts w:eastAsia="Calibri"/>
                <w:sz w:val="20"/>
                <w:szCs w:val="20"/>
              </w:rPr>
            </w:pPr>
            <w:r w:rsidRPr="005E5DDD">
              <w:rPr>
                <w:rFonts w:eastAsia="Calibri"/>
                <w:sz w:val="20"/>
                <w:szCs w:val="20"/>
              </w:rPr>
              <w:t>Supreme Court of Canada</w:t>
            </w: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Motion for an extension of time to serve and file application, filed</w:t>
            </w:r>
          </w:p>
        </w:tc>
      </w:tr>
    </w:tbl>
    <w:p w:rsidR="009D08C5" w:rsidRDefault="009D08C5" w:rsidP="009D08C5">
      <w:pPr>
        <w:rPr>
          <w:sz w:val="20"/>
          <w:szCs w:val="20"/>
        </w:rPr>
      </w:pPr>
    </w:p>
    <w:p w:rsidR="009D08C5" w:rsidRPr="00C50A5C" w:rsidRDefault="005F2BA7" w:rsidP="009D08C5">
      <w:pPr>
        <w:rPr>
          <w:sz w:val="20"/>
          <w:szCs w:val="20"/>
        </w:rPr>
      </w:pPr>
      <w:r w:rsidRPr="005F2BA7">
        <w:rPr>
          <w:sz w:val="20"/>
          <w:szCs w:val="20"/>
          <w:lang w:val="fr-CA"/>
        </w:rPr>
        <w:pict>
          <v:rect id="_x0000_i1100" style="width:2in;height:1pt" o:hrpct="0" o:hralign="center" o:hrstd="t" o:hrnoshade="t" o:hr="t" fillcolor="black [3213]" stroked="f"/>
        </w:pict>
      </w:r>
    </w:p>
    <w:p w:rsidR="009D08C5" w:rsidRDefault="009D08C5" w:rsidP="009D08C5">
      <w:pPr>
        <w:rPr>
          <w:sz w:val="20"/>
          <w:szCs w:val="20"/>
        </w:rPr>
      </w:pPr>
    </w:p>
    <w:p w:rsidR="009D08C5" w:rsidRPr="001B157C" w:rsidRDefault="009D08C5" w:rsidP="009D08C5">
      <w:pPr>
        <w:rPr>
          <w:sz w:val="20"/>
          <w:szCs w:val="20"/>
          <w:u w:val="single"/>
          <w:lang w:val="fr-CA"/>
        </w:rPr>
      </w:pPr>
      <w:r w:rsidRPr="001B157C">
        <w:rPr>
          <w:sz w:val="20"/>
          <w:szCs w:val="20"/>
          <w:u w:val="single"/>
          <w:lang w:val="fr-CA"/>
        </w:rPr>
        <w:t>RÉSUMÉ DE L’AFFAIRE</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7C5A5B" w:rsidTr="00F47A67">
        <w:tc>
          <w:tcPr>
            <w:tcW w:w="5000" w:type="pct"/>
            <w:gridSpan w:val="3"/>
          </w:tcPr>
          <w:p w:rsidR="002D7B0D" w:rsidRPr="005E5DDD" w:rsidRDefault="002D7B0D" w:rsidP="00F47A67">
            <w:pPr>
              <w:jc w:val="both"/>
              <w:rPr>
                <w:rFonts w:eastAsia="Calibri"/>
                <w:sz w:val="20"/>
                <w:szCs w:val="20"/>
                <w:lang w:val="fr-CA"/>
              </w:rPr>
            </w:pPr>
            <w:r w:rsidRPr="005E5DDD">
              <w:rPr>
                <w:rFonts w:eastAsia="Calibri"/>
                <w:sz w:val="20"/>
                <w:szCs w:val="20"/>
                <w:lang w:val="fr-CA"/>
              </w:rPr>
              <w:t>Biens – Droit de la Couronne – Biens réels – Servitudes – Chemins publics – Réserve routière – Dans quelles situations un chemin devient-il un chemin public en vertu de la loi provinciale? – Dans quelles situations un chemin est-il soustrait d'une concession de la Couronne? – Dans quelles situations devient-il un « chemin carrossable »? – Dans quelles situations un chemin devient-il un chemin public par destination en vertu de la common law? – Quel est l'effet de la dépense de fonds publics à l'égard de tel chemin? – L'approbation et le dépôt auprès du registrateur du bureau des titres et des biens-fonds d’un plan de lotissement indiquant un chemin ont-ils pour effet d'obliger le gouvernement à construire, améliorer et entretenir un chemin public?</w:t>
            </w:r>
          </w:p>
        </w:tc>
      </w:tr>
      <w:tr w:rsidR="002D7B0D" w:rsidRPr="007C5A5B" w:rsidTr="00F47A67">
        <w:tc>
          <w:tcPr>
            <w:tcW w:w="5000" w:type="pct"/>
            <w:gridSpan w:val="3"/>
          </w:tcPr>
          <w:p w:rsidR="002D7B0D" w:rsidRPr="005E5DDD" w:rsidRDefault="002D7B0D" w:rsidP="00F47A67">
            <w:pPr>
              <w:jc w:val="both"/>
              <w:rPr>
                <w:rFonts w:eastAsia="Calibri"/>
                <w:sz w:val="20"/>
                <w:szCs w:val="20"/>
                <w:lang w:val="fr-CA"/>
              </w:rPr>
            </w:pPr>
          </w:p>
        </w:tc>
      </w:tr>
      <w:tr w:rsidR="002D7B0D" w:rsidRPr="007C5A5B" w:rsidTr="00F47A67">
        <w:tc>
          <w:tcPr>
            <w:tcW w:w="5000" w:type="pct"/>
            <w:gridSpan w:val="3"/>
          </w:tcPr>
          <w:p w:rsidR="002D7B0D" w:rsidRPr="005E5DDD" w:rsidRDefault="002D7B0D" w:rsidP="00F47A67">
            <w:pPr>
              <w:jc w:val="both"/>
              <w:rPr>
                <w:rFonts w:eastAsia="Calibri"/>
                <w:sz w:val="20"/>
                <w:szCs w:val="20"/>
                <w:lang w:val="fr-CA"/>
              </w:rPr>
            </w:pPr>
            <w:r w:rsidRPr="005E5DDD">
              <w:rPr>
                <w:rFonts w:eastAsia="Calibri"/>
                <w:sz w:val="20"/>
                <w:szCs w:val="20"/>
                <w:lang w:val="fr-CA"/>
              </w:rPr>
              <w:t>Le demandeur a acheté une parcelle enclavée d'une superficie de 50 acres à proximité de Powell River, C.-B. pour une somme inférieure au prix d'évaluation. Même s'il n'avait pas d'accès routier, il y avait une réserve routière sur le terrain adjacent au sud qui reliait le terrain à une voie publique. Le titre à l'égard de la réserve routière appartient à la Province. Sur les lieux, il était évident qu'aucun chemin n'avait été construit.</w:t>
            </w:r>
          </w:p>
          <w:p w:rsidR="002D7B0D" w:rsidRPr="005E5DDD" w:rsidRDefault="002D7B0D" w:rsidP="00F47A67">
            <w:pPr>
              <w:jc w:val="both"/>
              <w:rPr>
                <w:rFonts w:eastAsia="Calibri"/>
                <w:sz w:val="20"/>
                <w:szCs w:val="20"/>
                <w:lang w:val="fr-CA"/>
              </w:rPr>
            </w:pPr>
          </w:p>
          <w:p w:rsidR="002D7B0D" w:rsidRPr="005E5DDD" w:rsidRDefault="002D7B0D" w:rsidP="00F47A67">
            <w:pPr>
              <w:jc w:val="both"/>
              <w:rPr>
                <w:rFonts w:eastAsia="Calibri"/>
                <w:sz w:val="20"/>
                <w:szCs w:val="20"/>
                <w:lang w:val="fr-CA"/>
              </w:rPr>
            </w:pPr>
            <w:r w:rsidRPr="005E5DDD">
              <w:rPr>
                <w:rFonts w:eastAsia="Calibri"/>
                <w:sz w:val="20"/>
                <w:szCs w:val="20"/>
                <w:lang w:val="fr-CA"/>
              </w:rPr>
              <w:t>Le demandeur a pris des mesures en vue d’obtenir l'approbation gouvernementale pour la construction d’un chemin sur la réserve. On l'a informé qu'il y avait des difficultés sur le plan environnemental, parce que la réserve routière croisait un ruisseau où frayait le saumon près de la voie publique. Le demandeur a tenté de négocier une servitude grevant un chemin situé sur un terrain adjacent appartenant aux personnes morales intimées. Lorsque les négociations ont échoué, le demandeur a intenté une action contre elles et contre la Province et l’agent approbateur provincial. Il a plaidé que le chemin situé sur le terrain adjacent était un chemin public. Subsidiairement, il a plaidé que la Couronne avait été négligente en approuvant un lotissement alors qu'un chemin ne pouvait être construit sur la réserve routière. La Cour suprême de la Colombie-Britannique a rejeté l'action du demandeur contre les intimés. La Cour d'appel de la Colombie-Britannique a rejeté son appel.</w:t>
            </w:r>
          </w:p>
          <w:p w:rsidR="002D7B0D" w:rsidRPr="005E5DDD" w:rsidRDefault="002D7B0D" w:rsidP="00F47A67">
            <w:pPr>
              <w:jc w:val="both"/>
              <w:rPr>
                <w:rFonts w:eastAsia="Calibri"/>
                <w:sz w:val="20"/>
                <w:szCs w:val="20"/>
                <w:lang w:val="fr-CA"/>
              </w:rPr>
            </w:pPr>
          </w:p>
        </w:tc>
      </w:tr>
      <w:tr w:rsidR="002D7B0D" w:rsidRPr="005E5DDD" w:rsidTr="009A7078">
        <w:trPr>
          <w:cantSplit/>
        </w:trPr>
        <w:tc>
          <w:tcPr>
            <w:tcW w:w="2427"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13 juillet 2011</w:t>
            </w:r>
          </w:p>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Cour suprême de la Colombie-Britannique </w:t>
            </w:r>
          </w:p>
          <w:p w:rsidR="002D7B0D" w:rsidRPr="005E5DDD" w:rsidRDefault="002D7B0D" w:rsidP="00F47A67">
            <w:pPr>
              <w:jc w:val="both"/>
              <w:rPr>
                <w:rFonts w:eastAsia="Calibri"/>
                <w:sz w:val="20"/>
                <w:szCs w:val="20"/>
                <w:lang w:val="fr-CA"/>
              </w:rPr>
            </w:pPr>
            <w:r w:rsidRPr="005E5DDD">
              <w:rPr>
                <w:rFonts w:eastAsia="Calibri"/>
                <w:sz w:val="20"/>
                <w:szCs w:val="20"/>
                <w:lang w:val="fr-CA"/>
              </w:rPr>
              <w:t>(Juge Griffin)</w:t>
            </w:r>
          </w:p>
          <w:p w:rsidR="002D7B0D" w:rsidRPr="005E5DDD" w:rsidRDefault="002D7B0D" w:rsidP="00F47A67">
            <w:pPr>
              <w:jc w:val="both"/>
              <w:rPr>
                <w:rFonts w:eastAsia="Calibri"/>
                <w:sz w:val="20"/>
                <w:szCs w:val="20"/>
                <w:lang w:val="fr-CA"/>
              </w:rPr>
            </w:pPr>
            <w:r w:rsidRPr="005E5DDD">
              <w:rPr>
                <w:rFonts w:eastAsia="Calibri"/>
                <w:sz w:val="20"/>
                <w:szCs w:val="20"/>
                <w:lang w:val="fr-CA"/>
              </w:rPr>
              <w:t>2011 BCSC 941; S1992</w:t>
            </w:r>
          </w:p>
          <w:p w:rsidR="002D7B0D" w:rsidRPr="005E5DDD" w:rsidRDefault="002D7B0D" w:rsidP="00F47A67">
            <w:pPr>
              <w:jc w:val="both"/>
              <w:rPr>
                <w:rFonts w:eastAsia="Calibri"/>
                <w:sz w:val="20"/>
                <w:szCs w:val="20"/>
                <w:lang w:val="fr-CA"/>
              </w:rPr>
            </w:pPr>
          </w:p>
        </w:tc>
        <w:tc>
          <w:tcPr>
            <w:tcW w:w="243" w:type="pct"/>
          </w:tcPr>
          <w:p w:rsidR="002D7B0D" w:rsidRPr="005E5DDD" w:rsidRDefault="002D7B0D" w:rsidP="00F47A67">
            <w:pPr>
              <w:jc w:val="both"/>
              <w:rPr>
                <w:rFonts w:eastAsia="Calibri"/>
                <w:sz w:val="20"/>
                <w:szCs w:val="20"/>
                <w:lang w:val="fr-CA"/>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Action du demandeur rejetée</w:t>
            </w:r>
          </w:p>
          <w:p w:rsidR="002D7B0D" w:rsidRPr="005E5DDD" w:rsidRDefault="002D7B0D" w:rsidP="00F47A67">
            <w:pPr>
              <w:jc w:val="both"/>
              <w:rPr>
                <w:rFonts w:eastAsia="Calibri"/>
                <w:sz w:val="20"/>
                <w:szCs w:val="20"/>
                <w:lang w:val="fr-CA"/>
              </w:rPr>
            </w:pPr>
          </w:p>
        </w:tc>
      </w:tr>
      <w:tr w:rsidR="002D7B0D" w:rsidRPr="005E5DDD" w:rsidTr="009A7078">
        <w:trPr>
          <w:cantSplit/>
        </w:trPr>
        <w:tc>
          <w:tcPr>
            <w:tcW w:w="2427"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lastRenderedPageBreak/>
              <w:t>8 janvier 2013</w:t>
            </w:r>
          </w:p>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Cour d'appel de la Colombie-Britannique </w:t>
            </w:r>
          </w:p>
          <w:p w:rsidR="002D7B0D" w:rsidRPr="005E5DDD" w:rsidRDefault="002D7B0D" w:rsidP="00F47A67">
            <w:pPr>
              <w:jc w:val="both"/>
              <w:rPr>
                <w:rFonts w:eastAsia="Calibri"/>
                <w:sz w:val="20"/>
                <w:szCs w:val="20"/>
                <w:lang w:val="fr-CA"/>
              </w:rPr>
            </w:pPr>
            <w:r w:rsidRPr="005E5DDD">
              <w:rPr>
                <w:rFonts w:eastAsia="Calibri"/>
                <w:sz w:val="20"/>
                <w:szCs w:val="20"/>
                <w:lang w:val="fr-CA"/>
              </w:rPr>
              <w:t>(Vancouver)</w:t>
            </w:r>
          </w:p>
          <w:p w:rsidR="002D7B0D" w:rsidRPr="005E5DDD" w:rsidRDefault="002D7B0D" w:rsidP="00F47A67">
            <w:pPr>
              <w:jc w:val="both"/>
              <w:rPr>
                <w:rFonts w:eastAsia="Calibri"/>
                <w:sz w:val="20"/>
                <w:szCs w:val="20"/>
                <w:lang w:val="fr-CA"/>
              </w:rPr>
            </w:pPr>
            <w:r w:rsidRPr="005E5DDD">
              <w:rPr>
                <w:rFonts w:eastAsia="Calibri"/>
                <w:sz w:val="20"/>
                <w:szCs w:val="20"/>
                <w:lang w:val="fr-CA"/>
              </w:rPr>
              <w:t>(Juges Low, Smith et MacKenzie)</w:t>
            </w:r>
          </w:p>
          <w:p w:rsidR="002D7B0D" w:rsidRPr="005E5DDD" w:rsidRDefault="002D7B0D" w:rsidP="00F47A67">
            <w:pPr>
              <w:jc w:val="both"/>
              <w:rPr>
                <w:rFonts w:eastAsia="Calibri"/>
                <w:sz w:val="20"/>
                <w:szCs w:val="20"/>
                <w:lang w:val="fr-CA"/>
              </w:rPr>
            </w:pPr>
            <w:r w:rsidRPr="005E5DDD">
              <w:rPr>
                <w:rFonts w:eastAsia="Calibri"/>
                <w:sz w:val="20"/>
                <w:szCs w:val="20"/>
                <w:lang w:val="fr-CA"/>
              </w:rPr>
              <w:t>2013 BCCA 10; CA039247</w:t>
            </w:r>
          </w:p>
          <w:p w:rsidR="002D7B0D" w:rsidRPr="005E5DDD" w:rsidRDefault="002D7B0D" w:rsidP="00F47A67">
            <w:pPr>
              <w:jc w:val="both"/>
              <w:rPr>
                <w:rFonts w:eastAsia="Calibri"/>
                <w:sz w:val="20"/>
                <w:szCs w:val="20"/>
                <w:lang w:val="fr-CA"/>
              </w:rPr>
            </w:pPr>
          </w:p>
        </w:tc>
        <w:tc>
          <w:tcPr>
            <w:tcW w:w="243" w:type="pct"/>
          </w:tcPr>
          <w:p w:rsidR="002D7B0D" w:rsidRPr="005E5DDD" w:rsidRDefault="002D7B0D" w:rsidP="00F47A67">
            <w:pPr>
              <w:jc w:val="both"/>
              <w:rPr>
                <w:rFonts w:eastAsia="Calibri"/>
                <w:sz w:val="20"/>
                <w:szCs w:val="20"/>
                <w:lang w:val="fr-CA"/>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Appel rejeté</w:t>
            </w:r>
          </w:p>
          <w:p w:rsidR="002D7B0D" w:rsidRPr="005E5DDD" w:rsidRDefault="002D7B0D" w:rsidP="00F47A67">
            <w:pPr>
              <w:jc w:val="both"/>
              <w:rPr>
                <w:rFonts w:eastAsia="Calibri"/>
                <w:sz w:val="20"/>
                <w:szCs w:val="20"/>
                <w:lang w:val="fr-CA"/>
              </w:rPr>
            </w:pPr>
          </w:p>
        </w:tc>
      </w:tr>
      <w:tr w:rsidR="002D7B0D" w:rsidRPr="005E5DDD" w:rsidTr="009A7078">
        <w:trPr>
          <w:cantSplit/>
        </w:trPr>
        <w:tc>
          <w:tcPr>
            <w:tcW w:w="2427"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13 mars 2013 </w:t>
            </w:r>
          </w:p>
          <w:p w:rsidR="002D7B0D" w:rsidRPr="005E5DDD" w:rsidRDefault="002D7B0D" w:rsidP="00F47A67">
            <w:pPr>
              <w:jc w:val="both"/>
              <w:rPr>
                <w:rFonts w:eastAsia="Calibri"/>
                <w:sz w:val="20"/>
                <w:szCs w:val="20"/>
                <w:lang w:val="fr-CA"/>
              </w:rPr>
            </w:pPr>
            <w:r w:rsidRPr="005E5DDD">
              <w:rPr>
                <w:rFonts w:eastAsia="Calibri"/>
                <w:sz w:val="20"/>
                <w:szCs w:val="20"/>
                <w:lang w:val="fr-CA"/>
              </w:rPr>
              <w:t>Cour suprême du Canada</w:t>
            </w:r>
          </w:p>
          <w:p w:rsidR="002D7B0D" w:rsidRPr="005E5DDD" w:rsidRDefault="002D7B0D" w:rsidP="00F47A67">
            <w:pPr>
              <w:jc w:val="both"/>
              <w:rPr>
                <w:rFonts w:eastAsia="Calibri"/>
                <w:sz w:val="20"/>
                <w:szCs w:val="20"/>
                <w:lang w:val="fr-CA"/>
              </w:rPr>
            </w:pPr>
          </w:p>
        </w:tc>
        <w:tc>
          <w:tcPr>
            <w:tcW w:w="243" w:type="pct"/>
          </w:tcPr>
          <w:p w:rsidR="002D7B0D" w:rsidRPr="005E5DDD" w:rsidRDefault="002D7B0D" w:rsidP="00F47A67">
            <w:pPr>
              <w:jc w:val="both"/>
              <w:rPr>
                <w:rFonts w:eastAsia="Calibri"/>
                <w:sz w:val="20"/>
                <w:szCs w:val="20"/>
                <w:lang w:val="fr-CA"/>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Demande d'autorisation d'appel, déposée</w:t>
            </w:r>
          </w:p>
        </w:tc>
      </w:tr>
      <w:tr w:rsidR="002D7B0D" w:rsidRPr="007C5A5B" w:rsidTr="009A7078">
        <w:trPr>
          <w:cantSplit/>
        </w:trPr>
        <w:tc>
          <w:tcPr>
            <w:tcW w:w="2427"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28 mars 2013</w:t>
            </w:r>
          </w:p>
          <w:p w:rsidR="002D7B0D" w:rsidRPr="005E5DDD" w:rsidRDefault="002D7B0D" w:rsidP="00F47A67">
            <w:pPr>
              <w:jc w:val="both"/>
              <w:rPr>
                <w:rFonts w:eastAsia="Calibri"/>
                <w:sz w:val="20"/>
                <w:szCs w:val="20"/>
                <w:lang w:val="fr-CA"/>
              </w:rPr>
            </w:pPr>
            <w:r w:rsidRPr="005E5DDD">
              <w:rPr>
                <w:rFonts w:eastAsia="Calibri"/>
                <w:sz w:val="20"/>
                <w:szCs w:val="20"/>
                <w:lang w:val="fr-CA"/>
              </w:rPr>
              <w:t>Cour suprême du Canada</w:t>
            </w:r>
          </w:p>
        </w:tc>
        <w:tc>
          <w:tcPr>
            <w:tcW w:w="243" w:type="pct"/>
          </w:tcPr>
          <w:p w:rsidR="002D7B0D" w:rsidRPr="005E5DDD" w:rsidRDefault="002D7B0D" w:rsidP="00F47A67">
            <w:pPr>
              <w:jc w:val="both"/>
              <w:rPr>
                <w:rFonts w:eastAsia="Calibri"/>
                <w:sz w:val="20"/>
                <w:szCs w:val="20"/>
                <w:lang w:val="fr-CA"/>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Requête en prorogation du délai de signification et de dépôt de la demande, déposée</w:t>
            </w:r>
          </w:p>
        </w:tc>
      </w:tr>
    </w:tbl>
    <w:p w:rsidR="009D08C5" w:rsidRPr="002D7B0D" w:rsidRDefault="009D08C5" w:rsidP="009D08C5">
      <w:pPr>
        <w:rPr>
          <w:sz w:val="20"/>
          <w:szCs w:val="20"/>
          <w:lang w:val="fr-CA"/>
        </w:rPr>
      </w:pPr>
    </w:p>
    <w:p w:rsidR="009D08C5" w:rsidRDefault="005F2BA7" w:rsidP="009D08C5">
      <w:pPr>
        <w:rPr>
          <w:sz w:val="20"/>
          <w:szCs w:val="20"/>
          <w:lang w:val="fr-CA"/>
        </w:rPr>
      </w:pPr>
      <w:r w:rsidRPr="005F2BA7">
        <w:rPr>
          <w:sz w:val="20"/>
          <w:szCs w:val="20"/>
          <w:lang w:val="fr-CA"/>
        </w:rPr>
        <w:pict>
          <v:rect id="_x0000_i1101" style="width:2in;height:1pt" o:hrpct="0" o:hralign="center" o:hrstd="t" o:hrnoshade="t" o:hr="t" fillcolor="black [3213]" stroked="f"/>
        </w:pict>
      </w:r>
    </w:p>
    <w:p w:rsidR="009D08C5" w:rsidRDefault="009D08C5" w:rsidP="009D08C5">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A7078" w:rsidRPr="007C5A5B" w:rsidTr="009A7078">
        <w:trPr>
          <w:cantSplit/>
        </w:trPr>
        <w:tc>
          <w:tcPr>
            <w:tcW w:w="1458" w:type="dxa"/>
          </w:tcPr>
          <w:p w:rsidR="009A7078" w:rsidRPr="00DD6605" w:rsidRDefault="009A7078" w:rsidP="009A7078">
            <w:pPr>
              <w:rPr>
                <w:sz w:val="20"/>
                <w:szCs w:val="20"/>
              </w:rPr>
            </w:pPr>
            <w:r w:rsidRPr="00DD6605">
              <w:rPr>
                <w:rStyle w:val="SCCFileNumberChar"/>
                <w:sz w:val="20"/>
                <w:szCs w:val="20"/>
              </w:rPr>
              <w:t>35352</w:t>
            </w:r>
          </w:p>
          <w:p w:rsidR="009A7078" w:rsidRPr="00DD6605" w:rsidRDefault="009A7078" w:rsidP="009A7078">
            <w:pPr>
              <w:rPr>
                <w:b/>
                <w:sz w:val="20"/>
                <w:szCs w:val="20"/>
                <w:lang w:val="fr-CA"/>
              </w:rPr>
            </w:pPr>
          </w:p>
        </w:tc>
        <w:tc>
          <w:tcPr>
            <w:tcW w:w="8118" w:type="dxa"/>
          </w:tcPr>
          <w:p w:rsidR="009A7078" w:rsidRPr="00DD6605" w:rsidRDefault="009A7078" w:rsidP="009A7078">
            <w:pPr>
              <w:rPr>
                <w:sz w:val="20"/>
                <w:szCs w:val="20"/>
                <w:lang w:val="fr-CA"/>
              </w:rPr>
            </w:pPr>
            <w:r w:rsidRPr="00DD6605">
              <w:rPr>
                <w:rStyle w:val="SCCLsocChar"/>
                <w:sz w:val="20"/>
                <w:szCs w:val="20"/>
              </w:rPr>
              <w:t>Georges Lebel</w:t>
            </w:r>
            <w:r w:rsidR="006C72D1">
              <w:rPr>
                <w:rStyle w:val="SCCLsocChar"/>
                <w:sz w:val="20"/>
                <w:szCs w:val="20"/>
              </w:rPr>
              <w:t xml:space="preserve"> et</w:t>
            </w:r>
            <w:r w:rsidRPr="00DD6605">
              <w:rPr>
                <w:rStyle w:val="SCCLsocChar"/>
                <w:sz w:val="20"/>
                <w:szCs w:val="20"/>
              </w:rPr>
              <w:t xml:space="preserve"> Gilbert Gagnon c. Sa Majesté la Reine</w:t>
            </w:r>
            <w:r w:rsidRPr="00DD6605">
              <w:rPr>
                <w:sz w:val="20"/>
                <w:szCs w:val="20"/>
                <w:lang w:val="fr-CA"/>
              </w:rPr>
              <w:t xml:space="preserve"> (Qc) (Criminelle) (Autorisation)</w:t>
            </w:r>
          </w:p>
          <w:p w:rsidR="009A7078" w:rsidRPr="00DD6605" w:rsidRDefault="009A7078" w:rsidP="009A7078">
            <w:pPr>
              <w:rPr>
                <w:sz w:val="20"/>
                <w:szCs w:val="20"/>
                <w:lang w:val="fr-CA"/>
              </w:rPr>
            </w:pPr>
          </w:p>
        </w:tc>
      </w:tr>
      <w:tr w:rsidR="009A7078" w:rsidRPr="007C5A5B" w:rsidTr="009A7078">
        <w:trPr>
          <w:cantSplit/>
        </w:trPr>
        <w:tc>
          <w:tcPr>
            <w:tcW w:w="1458" w:type="dxa"/>
          </w:tcPr>
          <w:p w:rsidR="009A7078" w:rsidRPr="00DD6605" w:rsidRDefault="009A7078" w:rsidP="009A7078">
            <w:pPr>
              <w:rPr>
                <w:sz w:val="20"/>
                <w:szCs w:val="20"/>
              </w:rPr>
            </w:pPr>
            <w:r w:rsidRPr="00DD6605">
              <w:rPr>
                <w:sz w:val="20"/>
                <w:szCs w:val="20"/>
              </w:rPr>
              <w:t>Coram :</w:t>
            </w:r>
          </w:p>
        </w:tc>
        <w:tc>
          <w:tcPr>
            <w:tcW w:w="8118" w:type="dxa"/>
          </w:tcPr>
          <w:p w:rsidR="009A7078" w:rsidRPr="00DD6605" w:rsidRDefault="009A7078" w:rsidP="009A7078">
            <w:pPr>
              <w:rPr>
                <w:sz w:val="20"/>
                <w:szCs w:val="20"/>
                <w:lang w:val="fr-CA"/>
              </w:rPr>
            </w:pPr>
            <w:r w:rsidRPr="00DD6605">
              <w:rPr>
                <w:rStyle w:val="SCCCoramChar"/>
                <w:sz w:val="20"/>
                <w:szCs w:val="20"/>
              </w:rPr>
              <w:t>La juge en chef McLachlin et les juges Abella et Cromwell</w:t>
            </w:r>
          </w:p>
          <w:p w:rsidR="009A7078" w:rsidRPr="00DD6605" w:rsidRDefault="009A7078" w:rsidP="009A7078">
            <w:pPr>
              <w:rPr>
                <w:sz w:val="20"/>
                <w:szCs w:val="20"/>
                <w:u w:val="single"/>
                <w:lang w:val="fr-CA"/>
              </w:rPr>
            </w:pPr>
          </w:p>
        </w:tc>
      </w:tr>
      <w:tr w:rsidR="009A7078" w:rsidRPr="00DD6605" w:rsidTr="009A7078">
        <w:trPr>
          <w:cantSplit/>
        </w:trPr>
        <w:tc>
          <w:tcPr>
            <w:tcW w:w="9576" w:type="dxa"/>
            <w:gridSpan w:val="2"/>
          </w:tcPr>
          <w:p w:rsidR="009A7078" w:rsidRPr="00DD6605" w:rsidRDefault="009A7078" w:rsidP="009A7078">
            <w:pPr>
              <w:pStyle w:val="SCCShortJudgment"/>
              <w:rPr>
                <w:szCs w:val="20"/>
                <w:lang w:val="fr-CA"/>
              </w:rPr>
            </w:pPr>
            <w:r w:rsidRPr="00DD6605">
              <w:rPr>
                <w:szCs w:val="20"/>
                <w:lang w:val="fr-CA"/>
              </w:rPr>
              <w:t>La demande d’autorisation d’appel de l’arrêt de la Cour d’appel du Québec (Québec), numéro 200-10-002682-115, 2013 QCCA 403, daté du 6 mars 2013, est rejetée sans dépens.</w:t>
            </w:r>
          </w:p>
          <w:p w:rsidR="009A7078" w:rsidRPr="00DD6605" w:rsidRDefault="009A7078" w:rsidP="009A7078">
            <w:pPr>
              <w:pStyle w:val="SCCShortJudgment"/>
              <w:ind w:firstLine="0"/>
              <w:rPr>
                <w:szCs w:val="20"/>
                <w:lang w:val="fr-CA"/>
              </w:rPr>
            </w:pPr>
          </w:p>
          <w:p w:rsidR="009A7078" w:rsidRPr="00DD6605" w:rsidRDefault="009A7078" w:rsidP="009A7078">
            <w:pPr>
              <w:pStyle w:val="SCCShortJudgment"/>
              <w:rPr>
                <w:szCs w:val="20"/>
              </w:rPr>
            </w:pPr>
            <w:r w:rsidRPr="00DD6605">
              <w:rPr>
                <w:szCs w:val="20"/>
              </w:rPr>
              <w:t>The application for leave to appeal from the judgment of the Court of Appeal of Quebec (Québec), Number 200-10-002682-115, 2013 QCCA 403, dated March 6, 2013, is dismissed without costs.</w:t>
            </w:r>
          </w:p>
        </w:tc>
      </w:tr>
    </w:tbl>
    <w:p w:rsidR="009D08C5" w:rsidRPr="009A7078" w:rsidRDefault="009D08C5" w:rsidP="009D08C5">
      <w:pPr>
        <w:rPr>
          <w:sz w:val="20"/>
          <w:szCs w:val="20"/>
        </w:rPr>
      </w:pPr>
    </w:p>
    <w:p w:rsidR="009D08C5" w:rsidRPr="001B157C" w:rsidRDefault="009D08C5" w:rsidP="009D08C5">
      <w:pPr>
        <w:rPr>
          <w:sz w:val="20"/>
          <w:szCs w:val="20"/>
          <w:u w:val="single"/>
        </w:rPr>
      </w:pPr>
      <w:r w:rsidRPr="001B157C">
        <w:rPr>
          <w:sz w:val="20"/>
          <w:szCs w:val="20"/>
          <w:u w:val="single"/>
        </w:rPr>
        <w:t>CASE SUMMARY</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5E5DDD" w:rsidTr="00F47A67">
        <w:tc>
          <w:tcPr>
            <w:tcW w:w="5000" w:type="pct"/>
            <w:gridSpan w:val="3"/>
          </w:tcPr>
          <w:p w:rsidR="002D7B0D" w:rsidRPr="005E5DDD" w:rsidRDefault="002D7B0D" w:rsidP="00F47A67">
            <w:pPr>
              <w:jc w:val="both"/>
              <w:rPr>
                <w:rFonts w:eastAsia="Calibri"/>
                <w:sz w:val="20"/>
                <w:szCs w:val="20"/>
              </w:rPr>
            </w:pPr>
            <w:r w:rsidRPr="005E5DDD">
              <w:rPr>
                <w:rFonts w:eastAsia="Calibri"/>
                <w:sz w:val="20"/>
                <w:szCs w:val="20"/>
              </w:rPr>
              <w:t>Charter of rights — Criminal law — Right to be tried within reasonable time — Private prosecution in 2005 for forged document and obstruction of justice — Prosecution by Crown in 2008 for perjury and obstruction of justice — Whether Court of Appeal erred in law in determining starting point for computation of time under s. 11(</w:t>
            </w:r>
            <w:r w:rsidRPr="005E5DDD">
              <w:rPr>
                <w:rFonts w:eastAsia="Calibri"/>
                <w:i/>
                <w:sz w:val="20"/>
                <w:szCs w:val="20"/>
              </w:rPr>
              <w:t>b</w:t>
            </w:r>
            <w:r w:rsidRPr="005E5DDD">
              <w:rPr>
                <w:rFonts w:eastAsia="Calibri"/>
                <w:sz w:val="20"/>
                <w:szCs w:val="20"/>
              </w:rPr>
              <w:t xml:space="preserve">) of </w:t>
            </w:r>
            <w:r w:rsidRPr="005E5DDD">
              <w:rPr>
                <w:rFonts w:eastAsia="Calibri"/>
                <w:i/>
                <w:sz w:val="20"/>
                <w:szCs w:val="20"/>
              </w:rPr>
              <w:t>Charter</w:t>
            </w:r>
            <w:r w:rsidRPr="005E5DDD">
              <w:rPr>
                <w:rFonts w:eastAsia="Calibri"/>
                <w:sz w:val="20"/>
                <w:szCs w:val="20"/>
              </w:rPr>
              <w:t xml:space="preserve"> — Whether Court of Appeal erred in law in analysing prejudice suffered by applicants — Whether Court of Appeal erred in law in failing to consider impact of pre</w:t>
            </w:r>
            <w:r w:rsidRPr="005E5DDD">
              <w:rPr>
                <w:rFonts w:eastAsia="Calibri"/>
                <w:sz w:val="20"/>
                <w:szCs w:val="20"/>
              </w:rPr>
              <w:noBreakHyphen/>
              <w:t>charge delay on fairness of trial.</w:t>
            </w:r>
          </w:p>
        </w:tc>
      </w:tr>
      <w:tr w:rsidR="002D7B0D" w:rsidRPr="005E5DDD" w:rsidTr="00F47A67">
        <w:tc>
          <w:tcPr>
            <w:tcW w:w="5000" w:type="pct"/>
            <w:gridSpan w:val="3"/>
          </w:tcPr>
          <w:p w:rsidR="002D7B0D" w:rsidRPr="005E5DDD" w:rsidRDefault="002D7B0D" w:rsidP="00F47A67">
            <w:pPr>
              <w:jc w:val="both"/>
              <w:rPr>
                <w:rFonts w:eastAsia="Calibri"/>
                <w:sz w:val="20"/>
                <w:szCs w:val="20"/>
              </w:rPr>
            </w:pPr>
          </w:p>
        </w:tc>
      </w:tr>
      <w:tr w:rsidR="002D7B0D" w:rsidRPr="005E5DDD" w:rsidTr="00F47A67">
        <w:tc>
          <w:tcPr>
            <w:tcW w:w="5000" w:type="pct"/>
            <w:gridSpan w:val="3"/>
          </w:tcPr>
          <w:p w:rsidR="002D7B0D" w:rsidRPr="005E5DDD" w:rsidRDefault="002D7B0D" w:rsidP="00F47A67">
            <w:pPr>
              <w:jc w:val="both"/>
              <w:rPr>
                <w:rFonts w:eastAsia="Calibri"/>
                <w:sz w:val="20"/>
                <w:szCs w:val="20"/>
              </w:rPr>
            </w:pPr>
            <w:r w:rsidRPr="005E5DDD">
              <w:rPr>
                <w:rFonts w:eastAsia="Calibri"/>
                <w:sz w:val="20"/>
                <w:szCs w:val="20"/>
              </w:rPr>
              <w:t>On February 2, 2001, the applicants were called to the home of Daniel Audet in the course of their work as police officers.  It was the production of a document entitled [</w:t>
            </w:r>
            <w:r w:rsidRPr="005E5DDD">
              <w:rPr>
                <w:rFonts w:eastAsia="Calibri"/>
                <w:smallCaps/>
                <w:sz w:val="20"/>
                <w:szCs w:val="20"/>
              </w:rPr>
              <w:t>translation</w:t>
            </w:r>
            <w:r w:rsidRPr="005E5DDD">
              <w:rPr>
                <w:rFonts w:eastAsia="Calibri"/>
                <w:sz w:val="20"/>
                <w:szCs w:val="20"/>
              </w:rPr>
              <w:t xml:space="preserve">] “authorization to search” that gave rise to multiple civil and criminal proceedings.  The applicants said that Mr. Audet had signed the authorization in front of them, but Mr. Audet denied that the signature was his.  He therefore filed a complaint against the applicants for perjury, making a false document and uttering a forged document.  When the Attorney General refused to lay charges against the applicants, Mr. Audet filed a private complaint.  On April 22, 2005, the Court of Québec authorized the issuance of a summons against the applicants containing charges based on ss. 368 and 139 </w:t>
            </w:r>
            <w:r w:rsidRPr="005E5DDD">
              <w:rPr>
                <w:rFonts w:eastAsia="Calibri"/>
                <w:i/>
                <w:sz w:val="20"/>
                <w:szCs w:val="20"/>
              </w:rPr>
              <w:t>Cr.C.</w:t>
            </w:r>
            <w:r w:rsidRPr="005E5DDD">
              <w:rPr>
                <w:rFonts w:eastAsia="Calibri"/>
                <w:sz w:val="20"/>
                <w:szCs w:val="20"/>
              </w:rPr>
              <w:t>, namely using a forged document and obstructing justice during the events in February 2001.  The Attorney General immediately filed a stay of proceedings (</w:t>
            </w:r>
            <w:r w:rsidRPr="005E5DDD">
              <w:rPr>
                <w:rFonts w:eastAsia="Calibri"/>
                <w:i/>
                <w:sz w:val="20"/>
                <w:szCs w:val="20"/>
              </w:rPr>
              <w:t>nolle prosequi</w:t>
            </w:r>
            <w:r w:rsidRPr="005E5DDD">
              <w:rPr>
                <w:rFonts w:eastAsia="Calibri"/>
                <w:sz w:val="20"/>
                <w:szCs w:val="20"/>
              </w:rPr>
              <w:t xml:space="preserve">).  Mr. Audet tried to have that decision set aside in the Superior Court and the Court of Appeal.  On October 9, 2008, the day scheduled for the hearing in the Court of Appeal, the Attorney General told the Court that he had charged the applicants with perjury (s. 132 </w:t>
            </w:r>
            <w:r w:rsidRPr="005E5DDD">
              <w:rPr>
                <w:rFonts w:eastAsia="Calibri"/>
                <w:i/>
                <w:sz w:val="20"/>
                <w:szCs w:val="20"/>
              </w:rPr>
              <w:t>Cr.C.</w:t>
            </w:r>
            <w:r w:rsidRPr="005E5DDD">
              <w:rPr>
                <w:rFonts w:eastAsia="Calibri"/>
                <w:sz w:val="20"/>
                <w:szCs w:val="20"/>
              </w:rPr>
              <w:t xml:space="preserve">) and obstruction of justice (s. 139 </w:t>
            </w:r>
            <w:r w:rsidRPr="005E5DDD">
              <w:rPr>
                <w:rFonts w:eastAsia="Calibri"/>
                <w:i/>
                <w:sz w:val="20"/>
                <w:szCs w:val="20"/>
              </w:rPr>
              <w:t>Cr.C.</w:t>
            </w:r>
            <w:r w:rsidRPr="005E5DDD">
              <w:rPr>
                <w:rFonts w:eastAsia="Calibri"/>
                <w:sz w:val="20"/>
                <w:szCs w:val="20"/>
              </w:rPr>
              <w:t>) based on their testimony on November 27, 2001 during Mr. Audet’s criminal trial and on September 25, 2003 during the civil action in damages instituted by Mr. Audet against the City of Québec as the employer of the two police officers.  After finding that the charges laid by the prosecution were similar to the charges for which there had been a stay of proceedings, the Court of Appeal declared Mr. Audet’s appeal moot and dismissed it.</w:t>
            </w:r>
          </w:p>
          <w:p w:rsidR="002D7B0D" w:rsidRPr="005E5DDD" w:rsidRDefault="002D7B0D" w:rsidP="00F47A67">
            <w:pPr>
              <w:jc w:val="both"/>
              <w:rPr>
                <w:rFonts w:eastAsia="Calibri"/>
                <w:sz w:val="20"/>
                <w:szCs w:val="20"/>
              </w:rPr>
            </w:pPr>
          </w:p>
          <w:p w:rsidR="002D7B0D" w:rsidRPr="005E5DDD" w:rsidRDefault="002D7B0D" w:rsidP="00F47A67">
            <w:pPr>
              <w:jc w:val="both"/>
              <w:rPr>
                <w:rFonts w:eastAsia="Calibri"/>
                <w:sz w:val="20"/>
                <w:szCs w:val="20"/>
              </w:rPr>
            </w:pPr>
            <w:r w:rsidRPr="005E5DDD">
              <w:rPr>
                <w:rFonts w:eastAsia="Calibri"/>
                <w:sz w:val="20"/>
                <w:szCs w:val="20"/>
              </w:rPr>
              <w:t xml:space="preserve">On October 1, 2010, during the prosecution by the Crown, Judge Couture of the Court of Québec dismissed the applicants’ motion for a stay of proceedings for unreasonable delay.  Judge Couture recused himself from the case and </w:t>
            </w:r>
            <w:r w:rsidRPr="005E5DDD">
              <w:rPr>
                <w:rFonts w:eastAsia="Calibri"/>
                <w:sz w:val="20"/>
                <w:szCs w:val="20"/>
              </w:rPr>
              <w:lastRenderedPageBreak/>
              <w:t>Judge Côté then heard a new motion for a stay of proceedings on May 10, 2011.</w:t>
            </w:r>
          </w:p>
          <w:p w:rsidR="002D7B0D" w:rsidRPr="005E5DDD" w:rsidRDefault="002D7B0D" w:rsidP="00F47A67">
            <w:pPr>
              <w:jc w:val="both"/>
              <w:rPr>
                <w:rFonts w:eastAsia="Calibri"/>
                <w:sz w:val="20"/>
                <w:szCs w:val="20"/>
              </w:rPr>
            </w:pP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lastRenderedPageBreak/>
              <w:t>June 23, 2011</w:t>
            </w:r>
          </w:p>
          <w:p w:rsidR="002D7B0D" w:rsidRPr="005E5DDD" w:rsidRDefault="002D7B0D" w:rsidP="00F47A67">
            <w:pPr>
              <w:jc w:val="both"/>
              <w:rPr>
                <w:rFonts w:eastAsia="Calibri"/>
                <w:sz w:val="20"/>
                <w:szCs w:val="20"/>
              </w:rPr>
            </w:pPr>
            <w:r w:rsidRPr="005E5DDD">
              <w:rPr>
                <w:rFonts w:eastAsia="Calibri"/>
                <w:sz w:val="20"/>
                <w:szCs w:val="20"/>
              </w:rPr>
              <w:t>Court of Québec, Criminal Division</w:t>
            </w:r>
          </w:p>
          <w:p w:rsidR="002D7B0D" w:rsidRPr="005E5DDD" w:rsidRDefault="002D7B0D" w:rsidP="00F47A67">
            <w:pPr>
              <w:jc w:val="both"/>
              <w:rPr>
                <w:rFonts w:eastAsia="Calibri"/>
                <w:sz w:val="20"/>
                <w:szCs w:val="20"/>
              </w:rPr>
            </w:pPr>
            <w:r w:rsidRPr="005E5DDD">
              <w:rPr>
                <w:rFonts w:eastAsia="Calibri"/>
                <w:sz w:val="20"/>
                <w:szCs w:val="20"/>
              </w:rPr>
              <w:t>(Judge Côté)</w:t>
            </w:r>
          </w:p>
          <w:p w:rsidR="002D7B0D" w:rsidRPr="005E5DDD" w:rsidRDefault="002D7B0D" w:rsidP="00F47A67">
            <w:pPr>
              <w:jc w:val="both"/>
              <w:rPr>
                <w:rFonts w:eastAsia="Calibri"/>
                <w:sz w:val="20"/>
                <w:szCs w:val="20"/>
              </w:rPr>
            </w:pPr>
            <w:r w:rsidRPr="005E5DDD">
              <w:rPr>
                <w:rFonts w:eastAsia="Calibri"/>
                <w:sz w:val="20"/>
                <w:szCs w:val="20"/>
              </w:rPr>
              <w:t>2011 QCCQ 7000</w:t>
            </w:r>
          </w:p>
          <w:p w:rsidR="002D7B0D" w:rsidRPr="005E5DDD" w:rsidRDefault="002D7B0D" w:rsidP="00F47A67">
            <w:pPr>
              <w:jc w:val="both"/>
              <w:rPr>
                <w:rFonts w:eastAsia="Calibri"/>
                <w:sz w:val="20"/>
                <w:szCs w:val="20"/>
              </w:rPr>
            </w:pP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Motion for stay of proceedings allowed: 77</w:t>
            </w:r>
            <w:r w:rsidRPr="005E5DDD">
              <w:rPr>
                <w:rFonts w:eastAsia="Calibri"/>
                <w:sz w:val="20"/>
                <w:szCs w:val="20"/>
              </w:rPr>
              <w:noBreakHyphen/>
              <w:t>month delay found unreasonable</w:t>
            </w:r>
          </w:p>
          <w:p w:rsidR="002D7B0D" w:rsidRPr="005E5DDD" w:rsidRDefault="002D7B0D" w:rsidP="00F47A67">
            <w:pPr>
              <w:jc w:val="both"/>
              <w:rPr>
                <w:rFonts w:eastAsia="Calibri"/>
                <w:sz w:val="20"/>
                <w:szCs w:val="20"/>
              </w:rPr>
            </w:pP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t>March 6, 2013</w:t>
            </w:r>
          </w:p>
          <w:p w:rsidR="002D7B0D" w:rsidRPr="005E5DDD" w:rsidRDefault="002D7B0D" w:rsidP="00F47A67">
            <w:pPr>
              <w:jc w:val="both"/>
              <w:rPr>
                <w:rFonts w:eastAsia="Calibri"/>
                <w:sz w:val="20"/>
                <w:szCs w:val="20"/>
              </w:rPr>
            </w:pPr>
            <w:r w:rsidRPr="005E5DDD">
              <w:rPr>
                <w:rFonts w:eastAsia="Calibri"/>
                <w:sz w:val="20"/>
                <w:szCs w:val="20"/>
              </w:rPr>
              <w:t xml:space="preserve">Quebec Court of Appeal (Québec) </w:t>
            </w:r>
          </w:p>
          <w:p w:rsidR="002D7B0D" w:rsidRPr="005E5DDD" w:rsidRDefault="002D7B0D" w:rsidP="00F47A67">
            <w:pPr>
              <w:jc w:val="both"/>
              <w:rPr>
                <w:rFonts w:eastAsia="Calibri"/>
                <w:sz w:val="20"/>
                <w:szCs w:val="20"/>
              </w:rPr>
            </w:pPr>
            <w:r w:rsidRPr="005E5DDD">
              <w:rPr>
                <w:rFonts w:eastAsia="Calibri"/>
                <w:sz w:val="20"/>
                <w:szCs w:val="20"/>
              </w:rPr>
              <w:t>(Morin, Hilton and Gagnon JJ.A.)</w:t>
            </w:r>
          </w:p>
          <w:p w:rsidR="002D7B0D" w:rsidRPr="005E5DDD" w:rsidRDefault="002D7B0D" w:rsidP="00F47A67">
            <w:pPr>
              <w:jc w:val="both"/>
              <w:rPr>
                <w:rFonts w:eastAsia="Calibri"/>
                <w:sz w:val="20"/>
                <w:szCs w:val="20"/>
              </w:rPr>
            </w:pPr>
            <w:r w:rsidRPr="005E5DDD">
              <w:rPr>
                <w:rFonts w:eastAsia="Calibri"/>
                <w:sz w:val="20"/>
                <w:szCs w:val="20"/>
              </w:rPr>
              <w:t>2013 QCCA 403</w:t>
            </w:r>
          </w:p>
          <w:p w:rsidR="002D7B0D" w:rsidRPr="005E5DDD" w:rsidRDefault="002D7B0D" w:rsidP="00F47A67">
            <w:pPr>
              <w:jc w:val="both"/>
              <w:rPr>
                <w:rFonts w:eastAsia="Calibri"/>
                <w:sz w:val="20"/>
                <w:szCs w:val="20"/>
              </w:rPr>
            </w:pPr>
            <w:r w:rsidRPr="005E5DDD">
              <w:rPr>
                <w:rFonts w:eastAsia="Calibri"/>
                <w:sz w:val="20"/>
                <w:szCs w:val="20"/>
              </w:rPr>
              <w:t xml:space="preserve"> </w:t>
            </w: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Appeal allowed, motion for stay of proceedings dismissed and file returned to Court of Québec for continuation of proceedings: 31</w:t>
            </w:r>
            <w:r w:rsidRPr="005E5DDD">
              <w:rPr>
                <w:rFonts w:eastAsia="Calibri"/>
                <w:sz w:val="20"/>
                <w:szCs w:val="20"/>
              </w:rPr>
              <w:noBreakHyphen/>
              <w:t>month delay found unreasonable but no prejudice</w:t>
            </w:r>
          </w:p>
          <w:p w:rsidR="002D7B0D" w:rsidRPr="005E5DDD" w:rsidRDefault="002D7B0D" w:rsidP="00F47A67">
            <w:pPr>
              <w:jc w:val="both"/>
              <w:rPr>
                <w:rFonts w:eastAsia="Calibri"/>
                <w:sz w:val="20"/>
                <w:szCs w:val="20"/>
              </w:rPr>
            </w:pPr>
          </w:p>
        </w:tc>
      </w:tr>
      <w:tr w:rsidR="002D7B0D" w:rsidRPr="005E5DDD" w:rsidTr="00F47A67">
        <w:tc>
          <w:tcPr>
            <w:tcW w:w="2427" w:type="pct"/>
          </w:tcPr>
          <w:p w:rsidR="002D7B0D" w:rsidRPr="005E5DDD" w:rsidRDefault="002D7B0D" w:rsidP="00F47A67">
            <w:pPr>
              <w:jc w:val="both"/>
              <w:rPr>
                <w:rFonts w:eastAsia="Calibri"/>
                <w:sz w:val="20"/>
                <w:szCs w:val="20"/>
              </w:rPr>
            </w:pPr>
            <w:r w:rsidRPr="005E5DDD">
              <w:rPr>
                <w:rFonts w:eastAsia="Calibri"/>
                <w:sz w:val="20"/>
                <w:szCs w:val="20"/>
              </w:rPr>
              <w:t>May 3, 2013</w:t>
            </w:r>
          </w:p>
          <w:p w:rsidR="002D7B0D" w:rsidRPr="005E5DDD" w:rsidRDefault="002D7B0D" w:rsidP="00F47A67">
            <w:pPr>
              <w:jc w:val="both"/>
              <w:rPr>
                <w:rFonts w:eastAsia="Calibri"/>
                <w:sz w:val="20"/>
                <w:szCs w:val="20"/>
              </w:rPr>
            </w:pPr>
            <w:r w:rsidRPr="005E5DDD">
              <w:rPr>
                <w:rFonts w:eastAsia="Calibri"/>
                <w:sz w:val="20"/>
                <w:szCs w:val="20"/>
              </w:rPr>
              <w:t>Supreme Court of Canada</w:t>
            </w:r>
          </w:p>
        </w:tc>
        <w:tc>
          <w:tcPr>
            <w:tcW w:w="243" w:type="pct"/>
          </w:tcPr>
          <w:p w:rsidR="002D7B0D" w:rsidRPr="005E5DDD" w:rsidRDefault="002D7B0D" w:rsidP="00F47A67">
            <w:pPr>
              <w:jc w:val="both"/>
              <w:rPr>
                <w:rFonts w:eastAsia="Calibri"/>
                <w:sz w:val="20"/>
                <w:szCs w:val="20"/>
              </w:rPr>
            </w:pPr>
          </w:p>
        </w:tc>
        <w:tc>
          <w:tcPr>
            <w:tcW w:w="2330" w:type="pct"/>
          </w:tcPr>
          <w:p w:rsidR="002D7B0D" w:rsidRPr="005E5DDD" w:rsidRDefault="002D7B0D" w:rsidP="00F47A67">
            <w:pPr>
              <w:jc w:val="both"/>
              <w:rPr>
                <w:rFonts w:eastAsia="Calibri"/>
                <w:sz w:val="20"/>
                <w:szCs w:val="20"/>
              </w:rPr>
            </w:pPr>
            <w:r w:rsidRPr="005E5DDD">
              <w:rPr>
                <w:rFonts w:eastAsia="Calibri"/>
                <w:sz w:val="20"/>
                <w:szCs w:val="20"/>
              </w:rPr>
              <w:t>Application for leave to appeal filed</w:t>
            </w:r>
          </w:p>
          <w:p w:rsidR="002D7B0D" w:rsidRPr="005E5DDD" w:rsidRDefault="002D7B0D" w:rsidP="00F47A67">
            <w:pPr>
              <w:jc w:val="both"/>
              <w:rPr>
                <w:rFonts w:eastAsia="Calibri"/>
                <w:sz w:val="20"/>
                <w:szCs w:val="20"/>
              </w:rPr>
            </w:pPr>
          </w:p>
        </w:tc>
      </w:tr>
    </w:tbl>
    <w:p w:rsidR="009D08C5" w:rsidRDefault="009D08C5" w:rsidP="009D08C5">
      <w:pPr>
        <w:rPr>
          <w:sz w:val="20"/>
          <w:szCs w:val="20"/>
        </w:rPr>
      </w:pPr>
    </w:p>
    <w:p w:rsidR="009D08C5" w:rsidRPr="00C50A5C" w:rsidRDefault="005F2BA7" w:rsidP="009D08C5">
      <w:pPr>
        <w:rPr>
          <w:sz w:val="20"/>
          <w:szCs w:val="20"/>
        </w:rPr>
      </w:pPr>
      <w:r w:rsidRPr="005F2BA7">
        <w:rPr>
          <w:sz w:val="20"/>
          <w:szCs w:val="20"/>
          <w:lang w:val="fr-CA"/>
        </w:rPr>
        <w:pict>
          <v:rect id="_x0000_i1102" style="width:2in;height:1pt" o:hrpct="0" o:hralign="center" o:hrstd="t" o:hrnoshade="t" o:hr="t" fillcolor="black [3213]" stroked="f"/>
        </w:pict>
      </w:r>
    </w:p>
    <w:p w:rsidR="009D08C5" w:rsidRDefault="009D08C5" w:rsidP="009D08C5">
      <w:pPr>
        <w:rPr>
          <w:sz w:val="20"/>
          <w:szCs w:val="20"/>
        </w:rPr>
      </w:pPr>
    </w:p>
    <w:p w:rsidR="009D08C5" w:rsidRPr="001B157C" w:rsidRDefault="009D08C5" w:rsidP="009D08C5">
      <w:pPr>
        <w:rPr>
          <w:sz w:val="20"/>
          <w:szCs w:val="20"/>
          <w:u w:val="single"/>
          <w:lang w:val="fr-CA"/>
        </w:rPr>
      </w:pPr>
      <w:r w:rsidRPr="001B157C">
        <w:rPr>
          <w:sz w:val="20"/>
          <w:szCs w:val="20"/>
          <w:u w:val="single"/>
          <w:lang w:val="fr-CA"/>
        </w:rPr>
        <w:t>RÉSUMÉ DE L’AFFAIRE</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7C5A5B" w:rsidTr="00F47A67">
        <w:tc>
          <w:tcPr>
            <w:tcW w:w="5000" w:type="pct"/>
            <w:gridSpan w:val="3"/>
          </w:tcPr>
          <w:p w:rsidR="002D7B0D" w:rsidRPr="005E5DDD" w:rsidRDefault="002D7B0D" w:rsidP="00F47A67">
            <w:pPr>
              <w:jc w:val="both"/>
              <w:rPr>
                <w:rFonts w:eastAsia="Calibri"/>
                <w:sz w:val="20"/>
                <w:szCs w:val="20"/>
                <w:lang w:val="fr-CA"/>
              </w:rPr>
            </w:pPr>
            <w:r w:rsidRPr="005E5DDD">
              <w:rPr>
                <w:rFonts w:eastAsia="Calibri"/>
                <w:sz w:val="20"/>
                <w:szCs w:val="20"/>
                <w:lang w:val="fr-CA"/>
              </w:rPr>
              <w:t>Charte des droits — Droit criminel — Procès dans un délai raisonnable — Poursuite privée en 2005 pour document contrefait et entrave à la justice — Poursuite du ministère public en 2008 pour parjure et entrave à la justice — La Cour d’appel a-t-elle erré en droit en déterminant le point de départ du calcul du délai selon l’al. 11</w:t>
            </w:r>
            <w:r w:rsidRPr="005E5DDD">
              <w:rPr>
                <w:rFonts w:eastAsia="Calibri"/>
                <w:i/>
                <w:sz w:val="20"/>
                <w:szCs w:val="20"/>
                <w:lang w:val="fr-CA"/>
              </w:rPr>
              <w:t>b</w:t>
            </w:r>
            <w:r w:rsidRPr="005E5DDD">
              <w:rPr>
                <w:rFonts w:eastAsia="Calibri"/>
                <w:sz w:val="20"/>
                <w:szCs w:val="20"/>
                <w:lang w:val="fr-CA"/>
              </w:rPr>
              <w:t xml:space="preserve">) de la </w:t>
            </w:r>
            <w:r w:rsidRPr="005E5DDD">
              <w:rPr>
                <w:rFonts w:eastAsia="Calibri"/>
                <w:i/>
                <w:sz w:val="20"/>
                <w:szCs w:val="20"/>
                <w:lang w:val="fr-CA"/>
              </w:rPr>
              <w:t>Charte</w:t>
            </w:r>
            <w:r w:rsidRPr="005E5DDD">
              <w:rPr>
                <w:rFonts w:eastAsia="Calibri"/>
                <w:sz w:val="20"/>
                <w:szCs w:val="20"/>
                <w:lang w:val="fr-CA"/>
              </w:rPr>
              <w:t>? — La Cour d’appel a-t-elle erré en droit dans son analyse des préjudices subis par les demandeurs? — La Cour d’appel a-t-elle erré en droit en omettant de considérer l’incidence du délai pré-inculpatoire sur l’équité du procès?</w:t>
            </w:r>
          </w:p>
        </w:tc>
      </w:tr>
      <w:tr w:rsidR="002D7B0D" w:rsidRPr="007C5A5B" w:rsidTr="00F47A67">
        <w:tc>
          <w:tcPr>
            <w:tcW w:w="5000" w:type="pct"/>
            <w:gridSpan w:val="3"/>
          </w:tcPr>
          <w:p w:rsidR="002D7B0D" w:rsidRPr="005E5DDD" w:rsidRDefault="002D7B0D" w:rsidP="00F47A67">
            <w:pPr>
              <w:jc w:val="both"/>
              <w:rPr>
                <w:rFonts w:eastAsia="Calibri"/>
                <w:sz w:val="20"/>
                <w:szCs w:val="20"/>
                <w:lang w:val="fr-CA"/>
              </w:rPr>
            </w:pPr>
          </w:p>
        </w:tc>
      </w:tr>
      <w:tr w:rsidR="002D7B0D" w:rsidRPr="007C5A5B" w:rsidTr="00F47A67">
        <w:tc>
          <w:tcPr>
            <w:tcW w:w="5000" w:type="pct"/>
            <w:gridSpan w:val="3"/>
          </w:tcPr>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Le 2 février 2001, les demandeurs sont appelés dans le cadre de leurs fonctions de policier à se rendre au domicile de Daniel Audet.  C’est la production d’un document intitulé « Autorisation de perquisitionner » qui sera à l’origine de multiples procédures tant civiles que pénales.  Selon les demandeurs, M. Audet aurait signé devant eux ladite autorisation alors que ce dernier nie qu’il s’agit de sa signature.  Il dépose ainsi une plainte pour parjure, fabrication d’un faux document et usage de faux contre les demandeurs.  Devant le refus du procureur général de porter des accusations contre les demandeurs, M. Audet procède par plainte privée.  Le 22 avril 2005, la Cour du Québec autorise l’émission d’une sommation contre les demandeurs contenant des chefs d’accusation fondés sur </w:t>
            </w:r>
            <w:proofErr w:type="gramStart"/>
            <w:r w:rsidRPr="005E5DDD">
              <w:rPr>
                <w:rFonts w:eastAsia="Calibri"/>
                <w:sz w:val="20"/>
                <w:szCs w:val="20"/>
                <w:lang w:val="fr-CA"/>
              </w:rPr>
              <w:t>les art</w:t>
            </w:r>
            <w:proofErr w:type="gramEnd"/>
            <w:r w:rsidRPr="005E5DDD">
              <w:rPr>
                <w:rFonts w:eastAsia="Calibri"/>
                <w:sz w:val="20"/>
                <w:szCs w:val="20"/>
                <w:lang w:val="fr-CA"/>
              </w:rPr>
              <w:t xml:space="preserve">. 368 et 139 </w:t>
            </w:r>
            <w:r w:rsidRPr="005E5DDD">
              <w:rPr>
                <w:rFonts w:eastAsia="Calibri"/>
                <w:i/>
                <w:sz w:val="20"/>
                <w:szCs w:val="20"/>
                <w:lang w:val="fr-CA"/>
              </w:rPr>
              <w:t xml:space="preserve">C. </w:t>
            </w:r>
            <w:proofErr w:type="gramStart"/>
            <w:r w:rsidRPr="005E5DDD">
              <w:rPr>
                <w:rFonts w:eastAsia="Calibri"/>
                <w:i/>
                <w:sz w:val="20"/>
                <w:szCs w:val="20"/>
                <w:lang w:val="fr-CA"/>
              </w:rPr>
              <w:t>cr.</w:t>
            </w:r>
            <w:r w:rsidRPr="005E5DDD">
              <w:rPr>
                <w:rFonts w:eastAsia="Calibri"/>
                <w:sz w:val="20"/>
                <w:szCs w:val="20"/>
                <w:lang w:val="fr-CA"/>
              </w:rPr>
              <w:t>,</w:t>
            </w:r>
            <w:proofErr w:type="gramEnd"/>
            <w:r w:rsidRPr="005E5DDD">
              <w:rPr>
                <w:rFonts w:eastAsia="Calibri"/>
                <w:sz w:val="20"/>
                <w:szCs w:val="20"/>
                <w:lang w:val="fr-CA"/>
              </w:rPr>
              <w:t xml:space="preserve"> soit utilisation d’un document contrefait et entrave à la justice lors des événements de février 2001.  Le procureur général dépose immédiatement un arrêt des procédures (</w:t>
            </w:r>
            <w:r w:rsidRPr="005E5DDD">
              <w:rPr>
                <w:rFonts w:eastAsia="Calibri"/>
                <w:i/>
                <w:sz w:val="20"/>
                <w:szCs w:val="20"/>
                <w:lang w:val="fr-CA"/>
              </w:rPr>
              <w:t>nolle prosequi</w:t>
            </w:r>
            <w:r w:rsidRPr="005E5DDD">
              <w:rPr>
                <w:rFonts w:eastAsia="Calibri"/>
                <w:sz w:val="20"/>
                <w:szCs w:val="20"/>
                <w:lang w:val="fr-CA"/>
              </w:rPr>
              <w:t xml:space="preserve">). M. Audet tente de faire annuler cette décision devant la Cour supérieure et la Cour d’appel.  Le jour prévu pour l’audition en Cour d’appel, soit le 9 octobre 2008, le procureur général annonce à la Cour qu’il a déposé contre les demandeurs des accusations de parjure (art. 132 </w:t>
            </w:r>
            <w:r w:rsidRPr="005E5DDD">
              <w:rPr>
                <w:rFonts w:eastAsia="Calibri"/>
                <w:i/>
                <w:sz w:val="20"/>
                <w:szCs w:val="20"/>
                <w:lang w:val="fr-CA"/>
              </w:rPr>
              <w:t>C. cr.</w:t>
            </w:r>
            <w:r w:rsidRPr="005E5DDD">
              <w:rPr>
                <w:rFonts w:eastAsia="Calibri"/>
                <w:sz w:val="20"/>
                <w:szCs w:val="20"/>
                <w:lang w:val="fr-CA"/>
              </w:rPr>
              <w:t xml:space="preserve">) et d’entrave à la justice (art. 139 </w:t>
            </w:r>
            <w:r w:rsidRPr="005E5DDD">
              <w:rPr>
                <w:rFonts w:eastAsia="Calibri"/>
                <w:i/>
                <w:sz w:val="20"/>
                <w:szCs w:val="20"/>
                <w:lang w:val="fr-CA"/>
              </w:rPr>
              <w:t>C. cr.</w:t>
            </w:r>
            <w:r w:rsidRPr="005E5DDD">
              <w:rPr>
                <w:rFonts w:eastAsia="Calibri"/>
                <w:sz w:val="20"/>
                <w:szCs w:val="20"/>
                <w:lang w:val="fr-CA"/>
              </w:rPr>
              <w:t>) relativement à leurs témoignages rendus le 27 novembre 2001 lors du procès criminel de M. Audet et le 25 septembre 2003 lors du procès civil en dommages-intérêts intenté par ce dernier contre la Ville de Québec à titre d’employeur des deux policiers.  La Cour d’appel, après avoir constaté que les chefs d’accusation déposés par la poursuite sont de nature similaire aux chefs d’accusation ayant fait l’objet de l’arrêt des procédures, déclare le pourvoi de M. Audet sans objet et rejette l’appel.</w:t>
            </w:r>
          </w:p>
          <w:p w:rsidR="002D7B0D" w:rsidRPr="005E5DDD" w:rsidRDefault="002D7B0D" w:rsidP="00F47A67">
            <w:pPr>
              <w:jc w:val="both"/>
              <w:rPr>
                <w:rFonts w:eastAsia="Calibri"/>
                <w:sz w:val="20"/>
                <w:szCs w:val="20"/>
                <w:lang w:val="fr-CA"/>
              </w:rPr>
            </w:pPr>
          </w:p>
          <w:p w:rsidR="002D7B0D" w:rsidRPr="005E5DDD" w:rsidRDefault="002D7B0D" w:rsidP="00F47A67">
            <w:pPr>
              <w:jc w:val="both"/>
              <w:rPr>
                <w:rFonts w:eastAsia="Calibri"/>
                <w:sz w:val="20"/>
                <w:szCs w:val="20"/>
                <w:lang w:val="fr-CA"/>
              </w:rPr>
            </w:pPr>
            <w:r w:rsidRPr="005E5DDD">
              <w:rPr>
                <w:rFonts w:eastAsia="Calibri"/>
                <w:sz w:val="20"/>
                <w:szCs w:val="20"/>
                <w:lang w:val="fr-CA"/>
              </w:rPr>
              <w:t>Le 1</w:t>
            </w:r>
            <w:r w:rsidRPr="005E5DDD">
              <w:rPr>
                <w:rFonts w:eastAsia="Calibri"/>
                <w:sz w:val="20"/>
                <w:szCs w:val="20"/>
                <w:vertAlign w:val="superscript"/>
                <w:lang w:val="fr-CA"/>
              </w:rPr>
              <w:t>er</w:t>
            </w:r>
            <w:r w:rsidRPr="005E5DDD">
              <w:rPr>
                <w:rFonts w:eastAsia="Calibri"/>
                <w:sz w:val="20"/>
                <w:szCs w:val="20"/>
                <w:lang w:val="fr-CA"/>
              </w:rPr>
              <w:t> octobre 2010, dans le cadre de la poursuite du ministère public, le juge Couture de la Cour du Québec rejette la requête en arrêt des procédures pour délai déraisonnable présentée par les demandeurs. Ce dernier se récuse du dossier et le juge Côté est alors saisi d’une nouvelle requête en arrêt des procédures le 10 mai 2011.</w:t>
            </w:r>
          </w:p>
          <w:p w:rsidR="002D7B0D" w:rsidRPr="005E5DDD" w:rsidRDefault="002D7B0D" w:rsidP="00F47A67">
            <w:pPr>
              <w:jc w:val="both"/>
              <w:rPr>
                <w:rFonts w:eastAsia="Calibri"/>
                <w:sz w:val="20"/>
                <w:szCs w:val="20"/>
                <w:lang w:val="fr-CA"/>
              </w:rPr>
            </w:pPr>
          </w:p>
        </w:tc>
      </w:tr>
      <w:tr w:rsidR="002D7B0D" w:rsidRPr="007C5A5B" w:rsidTr="00F47A67">
        <w:tc>
          <w:tcPr>
            <w:tcW w:w="2427"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Le 23 juin 2011</w:t>
            </w:r>
          </w:p>
          <w:p w:rsidR="002D7B0D" w:rsidRPr="005E5DDD" w:rsidRDefault="002D7B0D" w:rsidP="00F47A67">
            <w:pPr>
              <w:jc w:val="both"/>
              <w:rPr>
                <w:rFonts w:eastAsia="Calibri"/>
                <w:sz w:val="20"/>
                <w:szCs w:val="20"/>
                <w:lang w:val="fr-CA"/>
              </w:rPr>
            </w:pPr>
            <w:r w:rsidRPr="005E5DDD">
              <w:rPr>
                <w:rFonts w:eastAsia="Calibri"/>
                <w:sz w:val="20"/>
                <w:szCs w:val="20"/>
                <w:lang w:val="fr-CA"/>
              </w:rPr>
              <w:t>Cour du Québec, chambre criminelle</w:t>
            </w:r>
          </w:p>
          <w:p w:rsidR="002D7B0D" w:rsidRPr="005E5DDD" w:rsidRDefault="002D7B0D" w:rsidP="00F47A67">
            <w:pPr>
              <w:jc w:val="both"/>
              <w:rPr>
                <w:rFonts w:eastAsia="Calibri"/>
                <w:sz w:val="20"/>
                <w:szCs w:val="20"/>
                <w:lang w:val="fr-CA"/>
              </w:rPr>
            </w:pPr>
            <w:r w:rsidRPr="005E5DDD">
              <w:rPr>
                <w:rFonts w:eastAsia="Calibri"/>
                <w:sz w:val="20"/>
                <w:szCs w:val="20"/>
                <w:lang w:val="fr-CA"/>
              </w:rPr>
              <w:t>(Le juge Côté)</w:t>
            </w:r>
          </w:p>
          <w:p w:rsidR="002D7B0D" w:rsidRPr="005E5DDD" w:rsidRDefault="002D7B0D" w:rsidP="00F47A67">
            <w:pPr>
              <w:jc w:val="both"/>
              <w:rPr>
                <w:rFonts w:eastAsia="Calibri"/>
                <w:sz w:val="20"/>
                <w:szCs w:val="20"/>
                <w:lang w:val="fr-CA"/>
              </w:rPr>
            </w:pPr>
            <w:r w:rsidRPr="005E5DDD">
              <w:rPr>
                <w:rFonts w:eastAsia="Calibri"/>
                <w:sz w:val="20"/>
                <w:szCs w:val="20"/>
                <w:lang w:val="fr-CA"/>
              </w:rPr>
              <w:t>2011 QCCQ 7000</w:t>
            </w:r>
          </w:p>
          <w:p w:rsidR="002D7B0D" w:rsidRPr="005E5DDD" w:rsidRDefault="002D7B0D" w:rsidP="00F47A67">
            <w:pPr>
              <w:jc w:val="both"/>
              <w:rPr>
                <w:rFonts w:eastAsia="Calibri"/>
                <w:sz w:val="20"/>
                <w:szCs w:val="20"/>
                <w:lang w:val="fr-FR"/>
              </w:rPr>
            </w:pPr>
          </w:p>
        </w:tc>
        <w:tc>
          <w:tcPr>
            <w:tcW w:w="243" w:type="pct"/>
          </w:tcPr>
          <w:p w:rsidR="002D7B0D" w:rsidRPr="005E5DDD" w:rsidRDefault="002D7B0D" w:rsidP="00F47A67">
            <w:pPr>
              <w:jc w:val="both"/>
              <w:rPr>
                <w:rFonts w:eastAsia="Calibri"/>
                <w:sz w:val="20"/>
                <w:szCs w:val="20"/>
                <w:lang w:val="fr-FR"/>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Requête en arrêt des procédures accueillie : délai de 77 mois jugé déraisonnable</w:t>
            </w:r>
          </w:p>
          <w:p w:rsidR="002D7B0D" w:rsidRPr="005E5DDD" w:rsidRDefault="002D7B0D" w:rsidP="00F47A67">
            <w:pPr>
              <w:jc w:val="both"/>
              <w:rPr>
                <w:rFonts w:eastAsia="Calibri"/>
                <w:sz w:val="20"/>
                <w:szCs w:val="20"/>
                <w:lang w:val="fr-CA"/>
              </w:rPr>
            </w:pPr>
          </w:p>
        </w:tc>
      </w:tr>
      <w:tr w:rsidR="002D7B0D" w:rsidRPr="00B86261" w:rsidTr="00F47A67">
        <w:tc>
          <w:tcPr>
            <w:tcW w:w="2427"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lastRenderedPageBreak/>
              <w:t>Le 6 mars 2013</w:t>
            </w:r>
          </w:p>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Cour d’appel du Québec (Québec) </w:t>
            </w:r>
          </w:p>
          <w:p w:rsidR="002D7B0D" w:rsidRPr="005E5DDD" w:rsidRDefault="002D7B0D" w:rsidP="00F47A67">
            <w:pPr>
              <w:jc w:val="both"/>
              <w:rPr>
                <w:rFonts w:eastAsia="Calibri"/>
                <w:sz w:val="20"/>
                <w:szCs w:val="20"/>
                <w:lang w:val="fr-CA"/>
              </w:rPr>
            </w:pPr>
            <w:r w:rsidRPr="005E5DDD">
              <w:rPr>
                <w:rFonts w:eastAsia="Calibri"/>
                <w:sz w:val="20"/>
                <w:szCs w:val="20"/>
                <w:lang w:val="fr-CA"/>
              </w:rPr>
              <w:t>(Les juges Morin, Hilton et Gagnon)</w:t>
            </w:r>
          </w:p>
          <w:p w:rsidR="002D7B0D" w:rsidRPr="005E5DDD" w:rsidRDefault="002D7B0D" w:rsidP="00F47A67">
            <w:pPr>
              <w:jc w:val="both"/>
              <w:rPr>
                <w:rFonts w:eastAsia="Calibri"/>
                <w:sz w:val="20"/>
                <w:szCs w:val="20"/>
                <w:lang w:val="fr-CA"/>
              </w:rPr>
            </w:pPr>
            <w:r w:rsidRPr="005E5DDD">
              <w:rPr>
                <w:rFonts w:eastAsia="Calibri"/>
                <w:sz w:val="20"/>
                <w:szCs w:val="20"/>
                <w:lang w:val="fr-CA"/>
              </w:rPr>
              <w:t>2013 QCCA 403</w:t>
            </w:r>
          </w:p>
          <w:p w:rsidR="002D7B0D" w:rsidRPr="005E5DDD" w:rsidRDefault="002D7B0D" w:rsidP="00F47A67">
            <w:pPr>
              <w:jc w:val="both"/>
              <w:rPr>
                <w:rFonts w:eastAsia="Calibri"/>
                <w:sz w:val="20"/>
                <w:szCs w:val="20"/>
                <w:lang w:val="fr-FR"/>
              </w:rPr>
            </w:pPr>
            <w:r w:rsidRPr="005E5DDD">
              <w:rPr>
                <w:rFonts w:eastAsia="Calibri"/>
                <w:sz w:val="20"/>
                <w:szCs w:val="20"/>
                <w:lang w:val="fr-FR"/>
              </w:rPr>
              <w:t xml:space="preserve"> </w:t>
            </w:r>
          </w:p>
        </w:tc>
        <w:tc>
          <w:tcPr>
            <w:tcW w:w="243" w:type="pct"/>
          </w:tcPr>
          <w:p w:rsidR="002D7B0D" w:rsidRPr="005E5DDD" w:rsidRDefault="002D7B0D" w:rsidP="00F47A67">
            <w:pPr>
              <w:jc w:val="both"/>
              <w:rPr>
                <w:rFonts w:eastAsia="Calibri"/>
                <w:sz w:val="20"/>
                <w:szCs w:val="20"/>
                <w:lang w:val="fr-FR"/>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 xml:space="preserve">Appel accueilli, requête en arrêt </w:t>
            </w:r>
            <w:proofErr w:type="gramStart"/>
            <w:r w:rsidRPr="005E5DDD">
              <w:rPr>
                <w:rFonts w:eastAsia="Calibri"/>
                <w:sz w:val="20"/>
                <w:szCs w:val="20"/>
                <w:lang w:val="fr-CA"/>
              </w:rPr>
              <w:t>des procédures rejetée</w:t>
            </w:r>
            <w:proofErr w:type="gramEnd"/>
            <w:r w:rsidRPr="005E5DDD">
              <w:rPr>
                <w:rFonts w:eastAsia="Calibri"/>
                <w:sz w:val="20"/>
                <w:szCs w:val="20"/>
                <w:lang w:val="fr-CA"/>
              </w:rPr>
              <w:t xml:space="preserve"> et dossier retourné à la Cour du Québec pour la continuation des procédures : délai de 31 mois jugé déraisonnable mais absence de préjudice</w:t>
            </w:r>
          </w:p>
          <w:p w:rsidR="002D7B0D" w:rsidRPr="005E5DDD" w:rsidRDefault="002D7B0D" w:rsidP="00F47A67">
            <w:pPr>
              <w:jc w:val="both"/>
              <w:rPr>
                <w:rFonts w:eastAsia="Calibri"/>
                <w:sz w:val="20"/>
                <w:szCs w:val="20"/>
                <w:lang w:val="fr-CA"/>
              </w:rPr>
            </w:pPr>
          </w:p>
        </w:tc>
      </w:tr>
      <w:tr w:rsidR="002D7B0D" w:rsidRPr="005E5DDD" w:rsidTr="00F47A67">
        <w:tc>
          <w:tcPr>
            <w:tcW w:w="2427"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Le 3 mai 2013</w:t>
            </w:r>
          </w:p>
          <w:p w:rsidR="002D7B0D" w:rsidRPr="005E5DDD" w:rsidRDefault="002D7B0D" w:rsidP="00F47A67">
            <w:pPr>
              <w:jc w:val="both"/>
              <w:rPr>
                <w:rFonts w:eastAsia="Calibri"/>
                <w:sz w:val="20"/>
                <w:szCs w:val="20"/>
                <w:lang w:val="fr-CA"/>
              </w:rPr>
            </w:pPr>
            <w:r w:rsidRPr="005E5DDD">
              <w:rPr>
                <w:rFonts w:eastAsia="Calibri"/>
                <w:sz w:val="20"/>
                <w:szCs w:val="20"/>
                <w:lang w:val="fr-CA"/>
              </w:rPr>
              <w:t>Cour suprême du Canada</w:t>
            </w:r>
          </w:p>
        </w:tc>
        <w:tc>
          <w:tcPr>
            <w:tcW w:w="243" w:type="pct"/>
          </w:tcPr>
          <w:p w:rsidR="002D7B0D" w:rsidRPr="005E5DDD" w:rsidRDefault="002D7B0D" w:rsidP="00F47A67">
            <w:pPr>
              <w:jc w:val="both"/>
              <w:rPr>
                <w:rFonts w:eastAsia="Calibri"/>
                <w:sz w:val="20"/>
                <w:szCs w:val="20"/>
                <w:lang w:val="fr-FR"/>
              </w:rPr>
            </w:pPr>
          </w:p>
        </w:tc>
        <w:tc>
          <w:tcPr>
            <w:tcW w:w="2330" w:type="pct"/>
          </w:tcPr>
          <w:p w:rsidR="002D7B0D" w:rsidRPr="005E5DDD" w:rsidRDefault="002D7B0D" w:rsidP="00F47A67">
            <w:pPr>
              <w:jc w:val="both"/>
              <w:rPr>
                <w:rFonts w:eastAsia="Calibri"/>
                <w:sz w:val="20"/>
                <w:szCs w:val="20"/>
                <w:lang w:val="fr-CA"/>
              </w:rPr>
            </w:pPr>
            <w:r w:rsidRPr="005E5DDD">
              <w:rPr>
                <w:rFonts w:eastAsia="Calibri"/>
                <w:sz w:val="20"/>
                <w:szCs w:val="20"/>
                <w:lang w:val="fr-CA"/>
              </w:rPr>
              <w:t>Demande d’autorisation d’appel déposée</w:t>
            </w:r>
          </w:p>
          <w:p w:rsidR="002D7B0D" w:rsidRPr="005E5DDD" w:rsidRDefault="002D7B0D" w:rsidP="00F47A67">
            <w:pPr>
              <w:jc w:val="both"/>
              <w:rPr>
                <w:rFonts w:eastAsia="Calibri"/>
                <w:sz w:val="20"/>
                <w:szCs w:val="20"/>
                <w:lang w:val="fr-CA"/>
              </w:rPr>
            </w:pPr>
          </w:p>
        </w:tc>
      </w:tr>
    </w:tbl>
    <w:p w:rsidR="009D08C5" w:rsidRDefault="009D08C5" w:rsidP="009D08C5">
      <w:pPr>
        <w:rPr>
          <w:sz w:val="20"/>
          <w:szCs w:val="20"/>
        </w:rPr>
      </w:pPr>
    </w:p>
    <w:p w:rsidR="009D08C5" w:rsidRDefault="005F2BA7" w:rsidP="009D08C5">
      <w:pPr>
        <w:rPr>
          <w:sz w:val="20"/>
          <w:szCs w:val="20"/>
          <w:lang w:val="fr-CA"/>
        </w:rPr>
      </w:pPr>
      <w:r w:rsidRPr="005F2BA7">
        <w:rPr>
          <w:sz w:val="20"/>
          <w:szCs w:val="20"/>
          <w:lang w:val="fr-CA"/>
        </w:rPr>
        <w:pict>
          <v:rect id="_x0000_i1103" style="width:2in;height:1pt" o:hrpct="0" o:hralign="center" o:hrstd="t" o:hrnoshade="t" o:hr="t" fillcolor="black [3213]" stroked="f"/>
        </w:pict>
      </w:r>
    </w:p>
    <w:p w:rsidR="009D08C5" w:rsidRDefault="009D08C5" w:rsidP="009D08C5">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A7078" w:rsidRPr="00DD6605" w:rsidTr="009A7078">
        <w:trPr>
          <w:cantSplit/>
        </w:trPr>
        <w:tc>
          <w:tcPr>
            <w:tcW w:w="1458" w:type="dxa"/>
          </w:tcPr>
          <w:p w:rsidR="009A7078" w:rsidRPr="00DD6605" w:rsidRDefault="009A7078" w:rsidP="009A7078">
            <w:pPr>
              <w:rPr>
                <w:sz w:val="20"/>
                <w:szCs w:val="20"/>
              </w:rPr>
            </w:pPr>
            <w:r w:rsidRPr="00DD6605">
              <w:rPr>
                <w:rStyle w:val="SCCFileNumberChar"/>
                <w:sz w:val="20"/>
                <w:szCs w:val="20"/>
              </w:rPr>
              <w:t>35363</w:t>
            </w:r>
          </w:p>
          <w:p w:rsidR="009A7078" w:rsidRPr="00DD6605" w:rsidRDefault="009A7078" w:rsidP="009A7078">
            <w:pPr>
              <w:rPr>
                <w:b/>
                <w:sz w:val="20"/>
                <w:szCs w:val="20"/>
                <w:lang w:val="fr-CA"/>
              </w:rPr>
            </w:pPr>
          </w:p>
        </w:tc>
        <w:tc>
          <w:tcPr>
            <w:tcW w:w="8118" w:type="dxa"/>
          </w:tcPr>
          <w:p w:rsidR="009A7078" w:rsidRPr="00DD6605" w:rsidRDefault="009A7078" w:rsidP="009A7078">
            <w:pPr>
              <w:jc w:val="both"/>
              <w:rPr>
                <w:sz w:val="20"/>
                <w:szCs w:val="20"/>
              </w:rPr>
            </w:pPr>
            <w:r w:rsidRPr="009A7078">
              <w:rPr>
                <w:rStyle w:val="SCCLsocChar"/>
                <w:sz w:val="20"/>
                <w:szCs w:val="20"/>
                <w:lang w:val="en-CA"/>
              </w:rPr>
              <w:t>Florence Becker v. Workplace Safety and Insurance Appeals Tribunal</w:t>
            </w:r>
            <w:r w:rsidRPr="00DD6605">
              <w:rPr>
                <w:sz w:val="20"/>
                <w:szCs w:val="20"/>
              </w:rPr>
              <w:t xml:space="preserve"> (Ont.) (Civil) (By</w:t>
            </w:r>
            <w:r>
              <w:rPr>
                <w:sz w:val="20"/>
                <w:szCs w:val="20"/>
              </w:rPr>
              <w:t> </w:t>
            </w:r>
            <w:r w:rsidRPr="00DD6605">
              <w:rPr>
                <w:sz w:val="20"/>
                <w:szCs w:val="20"/>
              </w:rPr>
              <w:t>Leave)</w:t>
            </w:r>
          </w:p>
          <w:p w:rsidR="009A7078" w:rsidRPr="00DD6605" w:rsidRDefault="009A7078" w:rsidP="009A7078">
            <w:pPr>
              <w:jc w:val="both"/>
              <w:rPr>
                <w:sz w:val="20"/>
                <w:szCs w:val="20"/>
              </w:rPr>
            </w:pPr>
          </w:p>
        </w:tc>
      </w:tr>
      <w:tr w:rsidR="009A7078" w:rsidRPr="00DD6605" w:rsidTr="009A7078">
        <w:trPr>
          <w:cantSplit/>
        </w:trPr>
        <w:tc>
          <w:tcPr>
            <w:tcW w:w="1458" w:type="dxa"/>
          </w:tcPr>
          <w:p w:rsidR="009A7078" w:rsidRPr="00DD6605" w:rsidRDefault="009A7078" w:rsidP="009A7078">
            <w:pPr>
              <w:rPr>
                <w:sz w:val="20"/>
                <w:szCs w:val="20"/>
              </w:rPr>
            </w:pPr>
            <w:r w:rsidRPr="00DD6605">
              <w:rPr>
                <w:sz w:val="20"/>
                <w:szCs w:val="20"/>
              </w:rPr>
              <w:t>Coram :</w:t>
            </w:r>
          </w:p>
        </w:tc>
        <w:tc>
          <w:tcPr>
            <w:tcW w:w="8118" w:type="dxa"/>
          </w:tcPr>
          <w:p w:rsidR="009A7078" w:rsidRPr="00DD6605" w:rsidRDefault="009A7078" w:rsidP="009A7078">
            <w:pPr>
              <w:rPr>
                <w:sz w:val="20"/>
                <w:szCs w:val="20"/>
              </w:rPr>
            </w:pPr>
            <w:r w:rsidRPr="009A7078">
              <w:rPr>
                <w:rStyle w:val="SCCCoramChar"/>
                <w:sz w:val="20"/>
                <w:szCs w:val="20"/>
                <w:lang w:val="en-CA"/>
              </w:rPr>
              <w:t>McLachlin C.J. and Abella and Cromwell JJ.</w:t>
            </w:r>
          </w:p>
          <w:p w:rsidR="009A7078" w:rsidRPr="00DD6605" w:rsidRDefault="009A7078" w:rsidP="009A7078">
            <w:pPr>
              <w:rPr>
                <w:sz w:val="20"/>
                <w:szCs w:val="20"/>
                <w:u w:val="single"/>
              </w:rPr>
            </w:pPr>
          </w:p>
        </w:tc>
      </w:tr>
      <w:tr w:rsidR="009A7078" w:rsidRPr="007C5A5B" w:rsidTr="009A7078">
        <w:trPr>
          <w:cantSplit/>
        </w:trPr>
        <w:tc>
          <w:tcPr>
            <w:tcW w:w="9576" w:type="dxa"/>
            <w:gridSpan w:val="2"/>
          </w:tcPr>
          <w:p w:rsidR="009A7078" w:rsidRPr="00DD6605" w:rsidRDefault="009A7078" w:rsidP="009A7078">
            <w:pPr>
              <w:pStyle w:val="SCCShortJudgment"/>
              <w:rPr>
                <w:szCs w:val="20"/>
              </w:rPr>
            </w:pPr>
            <w:r w:rsidRPr="00DD6605">
              <w:rPr>
                <w:szCs w:val="20"/>
              </w:rPr>
              <w:t>The application for leave to appeal from the judgment of the Court of Appeal for Ontario, Number M42043, dated March 15, 2013, is dismissed without costs.</w:t>
            </w:r>
          </w:p>
          <w:p w:rsidR="009A7078" w:rsidRPr="00DD6605" w:rsidRDefault="009A7078" w:rsidP="009A7078">
            <w:pPr>
              <w:pStyle w:val="SCCShortJudgment"/>
              <w:ind w:firstLine="0"/>
              <w:rPr>
                <w:szCs w:val="20"/>
              </w:rPr>
            </w:pPr>
          </w:p>
          <w:p w:rsidR="009A7078" w:rsidRPr="00DD6605" w:rsidRDefault="009A7078" w:rsidP="009A7078">
            <w:pPr>
              <w:pStyle w:val="SCCShortJudgment"/>
              <w:rPr>
                <w:szCs w:val="20"/>
                <w:lang w:val="fr-CA"/>
              </w:rPr>
            </w:pPr>
            <w:r w:rsidRPr="00DD6605">
              <w:rPr>
                <w:szCs w:val="20"/>
                <w:lang w:val="fr-CA"/>
              </w:rPr>
              <w:t>La demande d’autorisation d’appel de l’arrêt de la Cour d’appel de l’Ontario, numéro M42043, daté du 15 mars 2013, est rejetée sans dépens.</w:t>
            </w:r>
          </w:p>
        </w:tc>
      </w:tr>
    </w:tbl>
    <w:p w:rsidR="009D08C5" w:rsidRPr="0016547E" w:rsidRDefault="009D08C5" w:rsidP="009D08C5">
      <w:pPr>
        <w:rPr>
          <w:sz w:val="20"/>
          <w:szCs w:val="20"/>
          <w:lang w:val="fr-CA"/>
        </w:rPr>
      </w:pPr>
    </w:p>
    <w:p w:rsidR="009D08C5" w:rsidRPr="001B157C" w:rsidRDefault="009D08C5" w:rsidP="009D08C5">
      <w:pPr>
        <w:rPr>
          <w:sz w:val="20"/>
          <w:szCs w:val="20"/>
          <w:u w:val="single"/>
        </w:rPr>
      </w:pPr>
      <w:r w:rsidRPr="001B157C">
        <w:rPr>
          <w:sz w:val="20"/>
          <w:szCs w:val="20"/>
          <w:u w:val="single"/>
        </w:rPr>
        <w:t>CASE SUMMARY</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5E5DDD" w:rsidTr="00F47A67">
        <w:tc>
          <w:tcPr>
            <w:tcW w:w="5000" w:type="pct"/>
            <w:gridSpan w:val="3"/>
          </w:tcPr>
          <w:p w:rsidR="002D7B0D" w:rsidRPr="005E5DDD" w:rsidRDefault="002D7B0D" w:rsidP="00F47A67">
            <w:pPr>
              <w:jc w:val="both"/>
              <w:rPr>
                <w:rFonts w:eastAsia="Calibri"/>
                <w:sz w:val="20"/>
              </w:rPr>
            </w:pPr>
            <w:r w:rsidRPr="005E5DDD">
              <w:rPr>
                <w:rFonts w:eastAsia="Calibri"/>
                <w:sz w:val="20"/>
              </w:rPr>
              <w:t>Administrative law – Judicial review – Boards and tribunals – Standing – Applicant bringing judicial review application of decision of Workplace Safety and Insurance Appeals Tribunal more than ten years after tribunal’s decision – Tribunal bringing motion to dismiss application for judicial review due to delay – Divisional Court granting motion and dismissing application for judicial review – Court of Appeal dismissing motion for leave to appeal – Whether the Divisional Court erred by granting standing to the tribunal to bring a preliminary motion to dismiss the application for judicial review on the basis of delay.</w:t>
            </w:r>
          </w:p>
        </w:tc>
      </w:tr>
      <w:tr w:rsidR="002D7B0D" w:rsidRPr="005E5DDD" w:rsidTr="00F47A67">
        <w:tc>
          <w:tcPr>
            <w:tcW w:w="5000" w:type="pct"/>
            <w:gridSpan w:val="3"/>
          </w:tcPr>
          <w:p w:rsidR="002D7B0D" w:rsidRPr="005E5DDD" w:rsidRDefault="002D7B0D" w:rsidP="00F47A67">
            <w:pPr>
              <w:jc w:val="both"/>
              <w:rPr>
                <w:rFonts w:eastAsia="Calibri"/>
                <w:sz w:val="20"/>
              </w:rPr>
            </w:pPr>
          </w:p>
        </w:tc>
      </w:tr>
      <w:tr w:rsidR="002D7B0D" w:rsidRPr="005E5DDD" w:rsidTr="00F47A67">
        <w:tc>
          <w:tcPr>
            <w:tcW w:w="5000" w:type="pct"/>
            <w:gridSpan w:val="3"/>
          </w:tcPr>
          <w:p w:rsidR="002D7B0D" w:rsidRPr="005E5DDD" w:rsidRDefault="002D7B0D" w:rsidP="00F47A67">
            <w:pPr>
              <w:jc w:val="both"/>
              <w:rPr>
                <w:rFonts w:eastAsia="Calibri"/>
                <w:sz w:val="20"/>
              </w:rPr>
            </w:pPr>
            <w:r w:rsidRPr="005E5DDD">
              <w:rPr>
                <w:rFonts w:eastAsia="Calibri"/>
                <w:sz w:val="20"/>
              </w:rPr>
              <w:t xml:space="preserve">The applicant suffered a lower back injury while at work in 1994.  Her injury was recognized as compensable by the Workplace Safety and Insurance Board and temporary total disability benefits were granted until May </w:t>
            </w:r>
            <w:proofErr w:type="gramStart"/>
            <w:r w:rsidRPr="005E5DDD">
              <w:rPr>
                <w:rFonts w:eastAsia="Calibri"/>
                <w:sz w:val="20"/>
              </w:rPr>
              <w:t>1994,</w:t>
            </w:r>
            <w:proofErr w:type="gramEnd"/>
            <w:r w:rsidRPr="005E5DDD">
              <w:rPr>
                <w:rFonts w:eastAsia="Calibri"/>
                <w:sz w:val="20"/>
              </w:rPr>
              <w:t xml:space="preserve"> and from September 1994 to April 1995.  The applicant appealed the denial of entitlement to benefits after April 1995.  In May 1998, the Appeals Resolution Officer allowed her appeal in part and granted her temporary compensation benefits for lost time between April 1995 and September 1997 but denied her entitlement to Future Economic Loss award and further Vocational Rehabilitation assistance.  In August 1997, the applicant advised her employer that she was experiencing an elbow condition related to her job duties.  She was denied ongoing entitlement for her elbow condition.  She appealed the denial, also requesting benefits for fibromyalgia.  In February 2000, the Appeals Resolution Officer denied her appeal.  She appealed both decisions to the Workplace Safety and Insurance Appeals Tribunal (“WSIAT”).  In December 2000, her appeal was allowed in part:  she was entitled to be assessed for a Future Economic Loss award relating to the back injury and to be offered Vocational Rehabilitation assistance, but she was denied benefits for fibromyalgia or ongoing entitlement for her elbow condition.  After the December 2000 decision of the WSIAT, the applicant brought six reconsideration requests to the WSIAT, which were dismissed in decisions rendered in March 2001, May 2002, August 2002, June 2003, June 2005 and November 2007.  She then commenced an application for judicial review in January 2011.  The respondent brought a motion to dismiss the application for judicial review due to delay, which was granted by the Divisional Court.  The Ontario Court of Appeal dismissed the applicant’s motion for leave to appeal.</w:t>
            </w:r>
          </w:p>
          <w:p w:rsidR="002D7B0D" w:rsidRPr="005E5DDD" w:rsidRDefault="002D7B0D" w:rsidP="00F47A67">
            <w:pPr>
              <w:jc w:val="both"/>
              <w:rPr>
                <w:rFonts w:eastAsia="Calibri"/>
                <w:sz w:val="20"/>
              </w:rPr>
            </w:pPr>
          </w:p>
        </w:tc>
      </w:tr>
      <w:tr w:rsidR="002D7B0D" w:rsidRPr="005E5DDD" w:rsidTr="005E3D99">
        <w:trPr>
          <w:cantSplit/>
        </w:trPr>
        <w:tc>
          <w:tcPr>
            <w:tcW w:w="2427" w:type="pct"/>
          </w:tcPr>
          <w:p w:rsidR="002D7B0D" w:rsidRPr="005E5DDD" w:rsidRDefault="002D7B0D" w:rsidP="00F47A67">
            <w:pPr>
              <w:jc w:val="both"/>
              <w:rPr>
                <w:rFonts w:eastAsia="Calibri"/>
                <w:sz w:val="20"/>
              </w:rPr>
            </w:pPr>
            <w:r w:rsidRPr="005E5DDD">
              <w:rPr>
                <w:rFonts w:eastAsia="Calibri"/>
                <w:sz w:val="20"/>
              </w:rPr>
              <w:lastRenderedPageBreak/>
              <w:t>December 5, 2012</w:t>
            </w:r>
          </w:p>
          <w:p w:rsidR="002D7B0D" w:rsidRPr="005E5DDD" w:rsidRDefault="002D7B0D" w:rsidP="00F47A67">
            <w:pPr>
              <w:jc w:val="both"/>
              <w:rPr>
                <w:rFonts w:eastAsia="Calibri"/>
                <w:sz w:val="20"/>
              </w:rPr>
            </w:pPr>
            <w:r w:rsidRPr="005E5DDD">
              <w:rPr>
                <w:rFonts w:eastAsia="Calibri"/>
                <w:sz w:val="20"/>
              </w:rPr>
              <w:t>Divisional Court of Ontario</w:t>
            </w:r>
          </w:p>
          <w:p w:rsidR="002D7B0D" w:rsidRPr="005E5DDD" w:rsidRDefault="002D7B0D" w:rsidP="00F47A67">
            <w:pPr>
              <w:jc w:val="both"/>
              <w:rPr>
                <w:rFonts w:eastAsia="Calibri"/>
                <w:sz w:val="20"/>
              </w:rPr>
            </w:pPr>
            <w:r w:rsidRPr="005E5DDD">
              <w:rPr>
                <w:rFonts w:eastAsia="Calibri"/>
                <w:sz w:val="20"/>
              </w:rPr>
              <w:t>(Hackland, Aston and Lederer JJ.)</w:t>
            </w:r>
          </w:p>
          <w:p w:rsidR="002D7B0D" w:rsidRPr="005E5DDD" w:rsidRDefault="002D7B0D" w:rsidP="00F47A67">
            <w:pPr>
              <w:jc w:val="both"/>
              <w:rPr>
                <w:rFonts w:eastAsia="Calibri"/>
                <w:sz w:val="20"/>
              </w:rPr>
            </w:pPr>
            <w:r w:rsidRPr="005E5DDD">
              <w:rPr>
                <w:rFonts w:eastAsia="Calibri"/>
                <w:sz w:val="20"/>
              </w:rPr>
              <w:t>2012 ONSC 6946</w:t>
            </w:r>
          </w:p>
          <w:p w:rsidR="002D7B0D" w:rsidRPr="005E5DDD" w:rsidRDefault="002D7B0D" w:rsidP="00F47A67">
            <w:pPr>
              <w:jc w:val="both"/>
              <w:rPr>
                <w:rFonts w:eastAsia="Calibri"/>
                <w:sz w:val="20"/>
              </w:rPr>
            </w:pP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Respondent’s motion to dismiss application for judicial review due to delay granted</w:t>
            </w:r>
          </w:p>
          <w:p w:rsidR="002D7B0D" w:rsidRPr="005E5DDD" w:rsidRDefault="002D7B0D" w:rsidP="00F47A67">
            <w:pPr>
              <w:jc w:val="both"/>
              <w:rPr>
                <w:rFonts w:eastAsia="Calibri"/>
                <w:sz w:val="20"/>
              </w:rPr>
            </w:pPr>
          </w:p>
        </w:tc>
      </w:tr>
      <w:tr w:rsidR="002D7B0D" w:rsidRPr="005E5DDD" w:rsidTr="005E3D99">
        <w:trPr>
          <w:cantSplit/>
        </w:trPr>
        <w:tc>
          <w:tcPr>
            <w:tcW w:w="2427" w:type="pct"/>
          </w:tcPr>
          <w:p w:rsidR="002D7B0D" w:rsidRPr="005E5DDD" w:rsidRDefault="002D7B0D" w:rsidP="00F47A67">
            <w:pPr>
              <w:jc w:val="both"/>
              <w:rPr>
                <w:rFonts w:eastAsia="Calibri"/>
                <w:sz w:val="20"/>
              </w:rPr>
            </w:pPr>
            <w:r w:rsidRPr="005E5DDD">
              <w:rPr>
                <w:rFonts w:eastAsia="Calibri"/>
                <w:sz w:val="20"/>
              </w:rPr>
              <w:t>March 15, 2013</w:t>
            </w:r>
          </w:p>
          <w:p w:rsidR="002D7B0D" w:rsidRPr="005E5DDD" w:rsidRDefault="002D7B0D" w:rsidP="00F47A67">
            <w:pPr>
              <w:jc w:val="both"/>
              <w:rPr>
                <w:rFonts w:eastAsia="Calibri"/>
                <w:sz w:val="20"/>
              </w:rPr>
            </w:pPr>
            <w:r w:rsidRPr="005E5DDD">
              <w:rPr>
                <w:rFonts w:eastAsia="Calibri"/>
                <w:sz w:val="20"/>
              </w:rPr>
              <w:t>Court of Appeal for Ontario</w:t>
            </w:r>
          </w:p>
          <w:p w:rsidR="002D7B0D" w:rsidRPr="005E5DDD" w:rsidRDefault="002D7B0D" w:rsidP="00F47A67">
            <w:pPr>
              <w:jc w:val="both"/>
              <w:rPr>
                <w:rFonts w:eastAsia="Calibri"/>
                <w:sz w:val="20"/>
              </w:rPr>
            </w:pPr>
            <w:r w:rsidRPr="005E5DDD">
              <w:rPr>
                <w:rFonts w:eastAsia="Calibri"/>
                <w:sz w:val="20"/>
              </w:rPr>
              <w:t>(Sharpe, Epstein and Pepall JJ.A.)</w:t>
            </w:r>
          </w:p>
          <w:p w:rsidR="002D7B0D" w:rsidRPr="005E5DDD" w:rsidRDefault="002D7B0D" w:rsidP="00F47A67">
            <w:pPr>
              <w:jc w:val="both"/>
              <w:rPr>
                <w:rFonts w:eastAsia="Calibri"/>
                <w:sz w:val="20"/>
              </w:rPr>
            </w:pP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Motion for leave to appeal dismissed</w:t>
            </w:r>
          </w:p>
          <w:p w:rsidR="002D7B0D" w:rsidRPr="005E5DDD" w:rsidRDefault="002D7B0D" w:rsidP="00F47A67">
            <w:pPr>
              <w:jc w:val="both"/>
              <w:rPr>
                <w:rFonts w:eastAsia="Calibri"/>
                <w:sz w:val="20"/>
              </w:rPr>
            </w:pPr>
          </w:p>
        </w:tc>
      </w:tr>
      <w:tr w:rsidR="002D7B0D" w:rsidRPr="005E5DDD" w:rsidTr="005E3D99">
        <w:trPr>
          <w:cantSplit/>
        </w:trPr>
        <w:tc>
          <w:tcPr>
            <w:tcW w:w="2427" w:type="pct"/>
          </w:tcPr>
          <w:p w:rsidR="002D7B0D" w:rsidRPr="005E5DDD" w:rsidRDefault="002D7B0D" w:rsidP="00F47A67">
            <w:pPr>
              <w:jc w:val="both"/>
              <w:rPr>
                <w:rFonts w:eastAsia="Calibri"/>
                <w:sz w:val="20"/>
              </w:rPr>
            </w:pPr>
            <w:r w:rsidRPr="005E5DDD">
              <w:rPr>
                <w:rFonts w:eastAsia="Calibri"/>
                <w:sz w:val="20"/>
              </w:rPr>
              <w:t>May 10, 2013</w:t>
            </w:r>
          </w:p>
          <w:p w:rsidR="002D7B0D" w:rsidRPr="005E5DDD" w:rsidRDefault="002D7B0D" w:rsidP="00F47A67">
            <w:pPr>
              <w:jc w:val="both"/>
              <w:rPr>
                <w:rFonts w:eastAsia="Calibri"/>
                <w:sz w:val="20"/>
              </w:rPr>
            </w:pPr>
            <w:r w:rsidRPr="005E5DDD">
              <w:rPr>
                <w:rFonts w:eastAsia="Calibri"/>
                <w:sz w:val="20"/>
              </w:rPr>
              <w:t>Supreme Court of Canada</w:t>
            </w: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Application for leave to appeal filed</w:t>
            </w:r>
          </w:p>
        </w:tc>
      </w:tr>
    </w:tbl>
    <w:p w:rsidR="009D08C5" w:rsidRDefault="009D08C5" w:rsidP="009D08C5">
      <w:pPr>
        <w:rPr>
          <w:sz w:val="20"/>
          <w:szCs w:val="20"/>
        </w:rPr>
      </w:pPr>
    </w:p>
    <w:p w:rsidR="009D08C5" w:rsidRPr="00C50A5C" w:rsidRDefault="005F2BA7" w:rsidP="009D08C5">
      <w:pPr>
        <w:rPr>
          <w:sz w:val="20"/>
          <w:szCs w:val="20"/>
        </w:rPr>
      </w:pPr>
      <w:r w:rsidRPr="005F2BA7">
        <w:rPr>
          <w:sz w:val="20"/>
          <w:szCs w:val="20"/>
          <w:lang w:val="fr-CA"/>
        </w:rPr>
        <w:pict>
          <v:rect id="_x0000_i1104" style="width:2in;height:1pt" o:hrpct="0" o:hralign="center" o:hrstd="t" o:hrnoshade="t" o:hr="t" fillcolor="black [3213]" stroked="f"/>
        </w:pict>
      </w:r>
    </w:p>
    <w:p w:rsidR="009D08C5" w:rsidRDefault="009D08C5" w:rsidP="009D08C5">
      <w:pPr>
        <w:rPr>
          <w:sz w:val="20"/>
          <w:szCs w:val="20"/>
        </w:rPr>
      </w:pPr>
    </w:p>
    <w:p w:rsidR="009D08C5" w:rsidRPr="001B157C" w:rsidRDefault="009D08C5" w:rsidP="009D08C5">
      <w:pPr>
        <w:rPr>
          <w:sz w:val="20"/>
          <w:szCs w:val="20"/>
          <w:u w:val="single"/>
          <w:lang w:val="fr-CA"/>
        </w:rPr>
      </w:pPr>
      <w:r w:rsidRPr="001B157C">
        <w:rPr>
          <w:sz w:val="20"/>
          <w:szCs w:val="20"/>
          <w:u w:val="single"/>
          <w:lang w:val="fr-CA"/>
        </w:rPr>
        <w:t>RÉSUMÉ DE L’AFFAIRE</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7C5A5B" w:rsidTr="00F47A67">
        <w:tc>
          <w:tcPr>
            <w:tcW w:w="5000" w:type="pct"/>
            <w:gridSpan w:val="3"/>
          </w:tcPr>
          <w:p w:rsidR="002D7B0D" w:rsidRPr="005E5DDD" w:rsidRDefault="002D7B0D" w:rsidP="00F47A67">
            <w:pPr>
              <w:jc w:val="both"/>
              <w:rPr>
                <w:rFonts w:eastAsia="Calibri"/>
                <w:sz w:val="20"/>
                <w:lang w:val="fr-CA"/>
              </w:rPr>
            </w:pPr>
            <w:r w:rsidRPr="005E5DDD">
              <w:rPr>
                <w:rFonts w:eastAsia="Calibri"/>
                <w:sz w:val="20"/>
                <w:lang w:val="fr-CA"/>
              </w:rPr>
              <w:t>Droit administratif – Contrôle judiciaire – Organismes et tribunaux administratifs – Qualité pour agir – La demanderesse a présenté une demande de contrôle judiciaire d'une décision du Tribunal d'appel de la sécurité professionnelle et de l'assurance contre les accidents du travail plus de dix ans après la décision du Tribunal – Le Tribunal a présenté une motion en rejet de la demande de contrôle judiciaire pour cause de retard – La Cour divisionnaire a accueilli la motion et a rejeté la demande de contrôle judiciaire – La Cour d'appel a rejeté la motion en autorisation d'appel – La Cour divisionnaire a-t-elle eu tort d'accorder au Tribunal la qualité pour présenter une motion préliminaire en rejet de la demande de contrôle judiciaire pour cause de retard?</w:t>
            </w:r>
          </w:p>
        </w:tc>
      </w:tr>
      <w:tr w:rsidR="002D7B0D" w:rsidRPr="007C5A5B" w:rsidTr="00F47A67">
        <w:tc>
          <w:tcPr>
            <w:tcW w:w="5000" w:type="pct"/>
            <w:gridSpan w:val="3"/>
          </w:tcPr>
          <w:p w:rsidR="002D7B0D" w:rsidRPr="005E5DDD" w:rsidRDefault="002D7B0D" w:rsidP="00F47A67">
            <w:pPr>
              <w:jc w:val="both"/>
              <w:rPr>
                <w:rFonts w:eastAsia="Calibri"/>
                <w:sz w:val="20"/>
                <w:lang w:val="fr-CA"/>
              </w:rPr>
            </w:pPr>
          </w:p>
        </w:tc>
      </w:tr>
      <w:tr w:rsidR="002D7B0D" w:rsidRPr="007C5A5B" w:rsidTr="00F47A67">
        <w:tc>
          <w:tcPr>
            <w:tcW w:w="5000" w:type="pct"/>
            <w:gridSpan w:val="3"/>
          </w:tcPr>
          <w:p w:rsidR="002D7B0D" w:rsidRPr="005E5DDD" w:rsidRDefault="002D7B0D" w:rsidP="00F47A67">
            <w:pPr>
              <w:jc w:val="both"/>
              <w:rPr>
                <w:rFonts w:eastAsia="Calibri"/>
                <w:sz w:val="20"/>
                <w:lang w:val="fr-CA"/>
              </w:rPr>
            </w:pPr>
            <w:r w:rsidRPr="005E5DDD">
              <w:rPr>
                <w:rFonts w:eastAsia="Calibri"/>
                <w:sz w:val="20"/>
                <w:lang w:val="fr-CA"/>
              </w:rPr>
              <w:t>La demanderesse a subi une blessure lombaire au travail en 1994.  La Commission de la sécurité professionnelle et de l'assurance contre les accidents du travail a reconnu que sa blessure était indemnisable et lui a accordé des prestations d'invalidité totale temporaire jusqu'en mai 1994 et de septembre 1994 à avril 1995.  La demanderesse a interjeté appel du refus de lui accorder des prestations après avril 1995.  En mai 1998, le Commissaire aux appels a accueilli son appel en partie et il lui a accordé des prestations d'indemnisation temporaire pour le temps perdu entre avril 1995 et septembre 1997, mais il lui a refusé son droit à une indemnité pour perte économique future et à une aide supplémentaire sous forme de réadaptation professionnelle.  En août 1997, la demanderesse a informé son employeur qu'elle éprouvait un trouble au coude lié aux fonctions de son poste.  On lui a refusé une indemnité continue pour son trouble au coude. Elle a interjeté appel du refus, et a demandé en outre des prestations pour une fibromyalgie.  En février 2000, le Commissaire aux appels a rejeté son appel.  Elle a interjeté appel des deux décisions au</w:t>
            </w:r>
            <w:r w:rsidRPr="005E5DDD">
              <w:rPr>
                <w:rFonts w:eastAsia="Calibri"/>
                <w:smallCaps/>
                <w:sz w:val="20"/>
                <w:lang w:val="fr-CA"/>
              </w:rPr>
              <w:t xml:space="preserve"> </w:t>
            </w:r>
            <w:r w:rsidRPr="005E5DDD">
              <w:rPr>
                <w:rFonts w:eastAsia="Calibri"/>
                <w:sz w:val="20"/>
                <w:lang w:val="fr-CA"/>
              </w:rPr>
              <w:t>Tribunal d'appel de la sécurité professionnelle et de l'assurance contre les accidents du travail (« le Tribunal »).  En décembre 2000, son appel a été accueilli en partie : elle avait droit à une évaluation pour déterminer son droit à une indemnité pour perte économique future liée à la blessure lombaire et de recevoir une aide sous forme de réadaptation professionnelle, mais on lui a refusé des prestations pour la fibromyalgie ou une indemnité continue pour son trouble au coude.  Après la décision rendue par le Tribunal en décembre 2000, la demanderesse a présenté au Tribunal six demandes de réexamen qui ont été rejetées par des décisions rendues en mars 2001, mai 2002, août 2002, juin 2003, juin 2005 et novembre 2007.  Elle a ensuite introduit une demande de contrôle judiciaire en janvier 2011.  L'intimé a présenté une motion en rejet de la demande de contrôle judiciaire pour cause de retard, motion qui a été accueillie par la Cour divisionnaire.  La Cour d'appel de l'Ontario a rejeté la motion en autorisation d'appel présentée par la demanderesse.</w:t>
            </w:r>
          </w:p>
          <w:p w:rsidR="002D7B0D" w:rsidRPr="005E5DDD" w:rsidRDefault="002D7B0D" w:rsidP="00F47A67">
            <w:pPr>
              <w:jc w:val="both"/>
              <w:rPr>
                <w:rFonts w:eastAsia="Calibri"/>
                <w:sz w:val="20"/>
                <w:lang w:val="fr-CA"/>
              </w:rPr>
            </w:pPr>
          </w:p>
        </w:tc>
      </w:tr>
      <w:tr w:rsidR="002D7B0D" w:rsidRPr="007C5A5B" w:rsidTr="009A7078">
        <w:trPr>
          <w:cantSplit/>
        </w:trPr>
        <w:tc>
          <w:tcPr>
            <w:tcW w:w="2427" w:type="pct"/>
          </w:tcPr>
          <w:p w:rsidR="002D7B0D" w:rsidRPr="005E5DDD" w:rsidRDefault="002D7B0D" w:rsidP="00F47A67">
            <w:pPr>
              <w:jc w:val="both"/>
              <w:rPr>
                <w:rFonts w:eastAsia="Calibri"/>
                <w:sz w:val="20"/>
                <w:lang w:val="fr-CA"/>
              </w:rPr>
            </w:pPr>
            <w:r w:rsidRPr="005E5DDD">
              <w:rPr>
                <w:rFonts w:eastAsia="Calibri"/>
                <w:sz w:val="20"/>
                <w:lang w:val="fr-CA"/>
              </w:rPr>
              <w:t>5 décembre 2012</w:t>
            </w:r>
          </w:p>
          <w:p w:rsidR="002D7B0D" w:rsidRPr="005E5DDD" w:rsidRDefault="002D7B0D" w:rsidP="00F47A67">
            <w:pPr>
              <w:jc w:val="both"/>
              <w:rPr>
                <w:rFonts w:eastAsia="Calibri"/>
                <w:sz w:val="20"/>
                <w:lang w:val="fr-CA"/>
              </w:rPr>
            </w:pPr>
            <w:r w:rsidRPr="005E5DDD">
              <w:rPr>
                <w:rFonts w:eastAsia="Calibri"/>
                <w:sz w:val="20"/>
                <w:lang w:val="fr-CA"/>
              </w:rPr>
              <w:t xml:space="preserve">Cour divisionnaire de l'Ontario </w:t>
            </w:r>
          </w:p>
          <w:p w:rsidR="002D7B0D" w:rsidRPr="005E5DDD" w:rsidRDefault="002D7B0D" w:rsidP="00F47A67">
            <w:pPr>
              <w:jc w:val="both"/>
              <w:rPr>
                <w:rFonts w:eastAsia="Calibri"/>
                <w:sz w:val="20"/>
                <w:lang w:val="fr-CA"/>
              </w:rPr>
            </w:pPr>
            <w:r w:rsidRPr="005E5DDD">
              <w:rPr>
                <w:rFonts w:eastAsia="Calibri"/>
                <w:sz w:val="20"/>
                <w:lang w:val="fr-CA"/>
              </w:rPr>
              <w:t>(Juges Hackland, Aston et Lederer)</w:t>
            </w:r>
          </w:p>
          <w:p w:rsidR="002D7B0D" w:rsidRPr="005E5DDD" w:rsidRDefault="002D7B0D" w:rsidP="00F47A67">
            <w:pPr>
              <w:jc w:val="both"/>
              <w:rPr>
                <w:rFonts w:eastAsia="Calibri"/>
                <w:sz w:val="20"/>
                <w:lang w:val="fr-CA"/>
              </w:rPr>
            </w:pPr>
            <w:r w:rsidRPr="005E5DDD">
              <w:rPr>
                <w:rFonts w:eastAsia="Calibri"/>
                <w:sz w:val="20"/>
                <w:lang w:val="fr-CA"/>
              </w:rPr>
              <w:t>2012 ONSC 6946</w:t>
            </w:r>
          </w:p>
          <w:p w:rsidR="002D7B0D" w:rsidRPr="005E5DDD" w:rsidRDefault="002D7B0D" w:rsidP="00F47A67">
            <w:pPr>
              <w:jc w:val="both"/>
              <w:rPr>
                <w:rFonts w:eastAsia="Calibri"/>
                <w:sz w:val="20"/>
                <w:lang w:val="fr-CA"/>
              </w:rPr>
            </w:pPr>
          </w:p>
        </w:tc>
        <w:tc>
          <w:tcPr>
            <w:tcW w:w="243" w:type="pct"/>
          </w:tcPr>
          <w:p w:rsidR="002D7B0D" w:rsidRPr="005E5DDD" w:rsidRDefault="002D7B0D" w:rsidP="00F47A67">
            <w:pPr>
              <w:jc w:val="both"/>
              <w:rPr>
                <w:rFonts w:eastAsia="Calibri"/>
                <w:sz w:val="20"/>
                <w:lang w:val="fr-CA"/>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Motion de l'intimé en rejet de la demande de contrôle judiciaire pour cause de retard, accueillie</w:t>
            </w:r>
          </w:p>
          <w:p w:rsidR="002D7B0D" w:rsidRPr="005E5DDD" w:rsidRDefault="002D7B0D" w:rsidP="00F47A67">
            <w:pPr>
              <w:jc w:val="both"/>
              <w:rPr>
                <w:rFonts w:eastAsia="Calibri"/>
                <w:sz w:val="20"/>
                <w:lang w:val="fr-CA"/>
              </w:rPr>
            </w:pPr>
          </w:p>
        </w:tc>
      </w:tr>
      <w:tr w:rsidR="002D7B0D" w:rsidRPr="005E5DDD" w:rsidTr="009A7078">
        <w:trPr>
          <w:cantSplit/>
        </w:trPr>
        <w:tc>
          <w:tcPr>
            <w:tcW w:w="2427" w:type="pct"/>
          </w:tcPr>
          <w:p w:rsidR="002D7B0D" w:rsidRPr="005E5DDD" w:rsidRDefault="002D7B0D" w:rsidP="00F47A67">
            <w:pPr>
              <w:jc w:val="both"/>
              <w:rPr>
                <w:rFonts w:eastAsia="Calibri"/>
                <w:sz w:val="20"/>
                <w:lang w:val="fr-CA"/>
              </w:rPr>
            </w:pPr>
            <w:r w:rsidRPr="005E5DDD">
              <w:rPr>
                <w:rFonts w:eastAsia="Calibri"/>
                <w:sz w:val="20"/>
                <w:lang w:val="fr-CA"/>
              </w:rPr>
              <w:lastRenderedPageBreak/>
              <w:t>15 mars 2013</w:t>
            </w:r>
          </w:p>
          <w:p w:rsidR="002D7B0D" w:rsidRPr="005E5DDD" w:rsidRDefault="002D7B0D" w:rsidP="00F47A67">
            <w:pPr>
              <w:jc w:val="both"/>
              <w:rPr>
                <w:rFonts w:eastAsia="Calibri"/>
                <w:sz w:val="20"/>
                <w:lang w:val="fr-CA"/>
              </w:rPr>
            </w:pPr>
            <w:r w:rsidRPr="005E5DDD">
              <w:rPr>
                <w:rFonts w:eastAsia="Calibri"/>
                <w:sz w:val="20"/>
                <w:lang w:val="fr-CA"/>
              </w:rPr>
              <w:t xml:space="preserve">Cour d'appel de l'Ontario </w:t>
            </w:r>
          </w:p>
          <w:p w:rsidR="002D7B0D" w:rsidRPr="005E5DDD" w:rsidRDefault="002D7B0D" w:rsidP="00F47A67">
            <w:pPr>
              <w:jc w:val="both"/>
              <w:rPr>
                <w:rFonts w:eastAsia="Calibri"/>
                <w:sz w:val="20"/>
                <w:lang w:val="fr-CA"/>
              </w:rPr>
            </w:pPr>
            <w:r w:rsidRPr="005E5DDD">
              <w:rPr>
                <w:rFonts w:eastAsia="Calibri"/>
                <w:sz w:val="20"/>
                <w:lang w:val="fr-CA"/>
              </w:rPr>
              <w:t>(Juges Sharpe, Epstein et Pepall)</w:t>
            </w:r>
          </w:p>
          <w:p w:rsidR="002D7B0D" w:rsidRPr="005E5DDD" w:rsidRDefault="002D7B0D" w:rsidP="00F47A67">
            <w:pPr>
              <w:jc w:val="both"/>
              <w:rPr>
                <w:rFonts w:eastAsia="Calibri"/>
                <w:sz w:val="20"/>
                <w:lang w:val="fr-CA"/>
              </w:rPr>
            </w:pPr>
          </w:p>
        </w:tc>
        <w:tc>
          <w:tcPr>
            <w:tcW w:w="243" w:type="pct"/>
          </w:tcPr>
          <w:p w:rsidR="002D7B0D" w:rsidRPr="005E5DDD" w:rsidRDefault="002D7B0D" w:rsidP="00F47A67">
            <w:pPr>
              <w:jc w:val="both"/>
              <w:rPr>
                <w:rFonts w:eastAsia="Calibri"/>
                <w:sz w:val="20"/>
                <w:lang w:val="fr-CA"/>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Motion en autorisation d'appel, rejetée</w:t>
            </w:r>
          </w:p>
          <w:p w:rsidR="002D7B0D" w:rsidRPr="005E5DDD" w:rsidRDefault="002D7B0D" w:rsidP="00F47A67">
            <w:pPr>
              <w:jc w:val="both"/>
              <w:rPr>
                <w:rFonts w:eastAsia="Calibri"/>
                <w:sz w:val="20"/>
                <w:lang w:val="fr-CA"/>
              </w:rPr>
            </w:pPr>
          </w:p>
        </w:tc>
      </w:tr>
      <w:tr w:rsidR="002D7B0D" w:rsidRPr="005E5DDD" w:rsidTr="009A7078">
        <w:trPr>
          <w:cantSplit/>
        </w:trPr>
        <w:tc>
          <w:tcPr>
            <w:tcW w:w="2427" w:type="pct"/>
          </w:tcPr>
          <w:p w:rsidR="002D7B0D" w:rsidRPr="005E5DDD" w:rsidRDefault="002D7B0D" w:rsidP="00F47A67">
            <w:pPr>
              <w:jc w:val="both"/>
              <w:rPr>
                <w:rFonts w:eastAsia="Calibri"/>
                <w:sz w:val="20"/>
                <w:lang w:val="fr-CA"/>
              </w:rPr>
            </w:pPr>
            <w:r w:rsidRPr="005E5DDD">
              <w:rPr>
                <w:rFonts w:eastAsia="Calibri"/>
                <w:sz w:val="20"/>
                <w:lang w:val="fr-CA"/>
              </w:rPr>
              <w:t>10 mai 2013</w:t>
            </w:r>
          </w:p>
          <w:p w:rsidR="002D7B0D" w:rsidRPr="005E5DDD" w:rsidRDefault="002D7B0D" w:rsidP="00F47A67">
            <w:pPr>
              <w:jc w:val="both"/>
              <w:rPr>
                <w:rFonts w:eastAsia="Calibri"/>
                <w:sz w:val="20"/>
                <w:lang w:val="fr-CA"/>
              </w:rPr>
            </w:pPr>
            <w:r w:rsidRPr="005E5DDD">
              <w:rPr>
                <w:rFonts w:eastAsia="Calibri"/>
                <w:sz w:val="20"/>
                <w:lang w:val="fr-CA"/>
              </w:rPr>
              <w:t>Cour suprême du Canada</w:t>
            </w:r>
          </w:p>
        </w:tc>
        <w:tc>
          <w:tcPr>
            <w:tcW w:w="243" w:type="pct"/>
          </w:tcPr>
          <w:p w:rsidR="002D7B0D" w:rsidRPr="005E5DDD" w:rsidRDefault="002D7B0D" w:rsidP="00F47A67">
            <w:pPr>
              <w:jc w:val="both"/>
              <w:rPr>
                <w:rFonts w:eastAsia="Calibri"/>
                <w:sz w:val="20"/>
                <w:lang w:val="fr-CA"/>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Demande d'autorisation d'appel, déposée</w:t>
            </w:r>
          </w:p>
        </w:tc>
      </w:tr>
    </w:tbl>
    <w:p w:rsidR="009D08C5" w:rsidRDefault="009D08C5" w:rsidP="009D08C5">
      <w:pPr>
        <w:rPr>
          <w:sz w:val="20"/>
          <w:szCs w:val="20"/>
        </w:rPr>
      </w:pPr>
    </w:p>
    <w:p w:rsidR="009D08C5" w:rsidRDefault="005F2BA7" w:rsidP="009D08C5">
      <w:pPr>
        <w:rPr>
          <w:sz w:val="20"/>
          <w:szCs w:val="20"/>
          <w:lang w:val="fr-CA"/>
        </w:rPr>
      </w:pPr>
      <w:r w:rsidRPr="005F2BA7">
        <w:rPr>
          <w:sz w:val="20"/>
          <w:szCs w:val="20"/>
          <w:lang w:val="fr-CA"/>
        </w:rPr>
        <w:pict>
          <v:rect id="_x0000_i1105" style="width:2in;height:1pt" o:hrpct="0" o:hralign="center" o:hrstd="t" o:hrnoshade="t" o:hr="t" fillcolor="black [3213]" stroked="f"/>
        </w:pict>
      </w:r>
    </w:p>
    <w:p w:rsidR="009D08C5" w:rsidRDefault="009D08C5" w:rsidP="009D08C5">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A7078" w:rsidRPr="00DD6605" w:rsidTr="009A7078">
        <w:trPr>
          <w:cantSplit/>
        </w:trPr>
        <w:tc>
          <w:tcPr>
            <w:tcW w:w="1458" w:type="dxa"/>
          </w:tcPr>
          <w:p w:rsidR="009A7078" w:rsidRPr="00DD6605" w:rsidRDefault="009A7078" w:rsidP="009A7078">
            <w:pPr>
              <w:rPr>
                <w:sz w:val="20"/>
                <w:szCs w:val="20"/>
              </w:rPr>
            </w:pPr>
            <w:r w:rsidRPr="00DD6605">
              <w:rPr>
                <w:rStyle w:val="SCCFileNumberChar"/>
                <w:sz w:val="20"/>
                <w:szCs w:val="20"/>
              </w:rPr>
              <w:t>35364</w:t>
            </w:r>
          </w:p>
          <w:p w:rsidR="009A7078" w:rsidRPr="00DD6605" w:rsidRDefault="009A7078" w:rsidP="009A7078">
            <w:pPr>
              <w:rPr>
                <w:b/>
                <w:sz w:val="20"/>
                <w:szCs w:val="20"/>
                <w:lang w:val="fr-CA"/>
              </w:rPr>
            </w:pPr>
          </w:p>
        </w:tc>
        <w:tc>
          <w:tcPr>
            <w:tcW w:w="8118" w:type="dxa"/>
          </w:tcPr>
          <w:p w:rsidR="009A7078" w:rsidRPr="00DD6605" w:rsidRDefault="009A7078" w:rsidP="009A7078">
            <w:pPr>
              <w:rPr>
                <w:sz w:val="20"/>
                <w:szCs w:val="20"/>
              </w:rPr>
            </w:pPr>
            <w:r w:rsidRPr="009A7078">
              <w:rPr>
                <w:rStyle w:val="SCCLsocChar"/>
                <w:sz w:val="20"/>
                <w:szCs w:val="20"/>
                <w:lang w:val="en-CA"/>
              </w:rPr>
              <w:t>Her Majesty the Queen v. John Melville Steele</w:t>
            </w:r>
            <w:r w:rsidRPr="00DD6605">
              <w:rPr>
                <w:sz w:val="20"/>
                <w:szCs w:val="20"/>
              </w:rPr>
              <w:t xml:space="preserve"> (Man.) (Criminal) (By Leave)</w:t>
            </w:r>
          </w:p>
          <w:p w:rsidR="009A7078" w:rsidRPr="00DD6605" w:rsidRDefault="009A7078" w:rsidP="009A7078">
            <w:pPr>
              <w:rPr>
                <w:sz w:val="20"/>
                <w:szCs w:val="20"/>
              </w:rPr>
            </w:pPr>
          </w:p>
        </w:tc>
      </w:tr>
      <w:tr w:rsidR="009A7078" w:rsidRPr="00DD6605" w:rsidTr="009A7078">
        <w:trPr>
          <w:cantSplit/>
        </w:trPr>
        <w:tc>
          <w:tcPr>
            <w:tcW w:w="1458" w:type="dxa"/>
          </w:tcPr>
          <w:p w:rsidR="009A7078" w:rsidRPr="00DD6605" w:rsidRDefault="009A7078" w:rsidP="009A7078">
            <w:pPr>
              <w:rPr>
                <w:sz w:val="20"/>
                <w:szCs w:val="20"/>
              </w:rPr>
            </w:pPr>
            <w:r w:rsidRPr="00DD6605">
              <w:rPr>
                <w:sz w:val="20"/>
                <w:szCs w:val="20"/>
              </w:rPr>
              <w:t>Coram :</w:t>
            </w:r>
          </w:p>
        </w:tc>
        <w:tc>
          <w:tcPr>
            <w:tcW w:w="8118" w:type="dxa"/>
          </w:tcPr>
          <w:p w:rsidR="009A7078" w:rsidRPr="00DD6605" w:rsidRDefault="009A7078" w:rsidP="009A7078">
            <w:pPr>
              <w:rPr>
                <w:sz w:val="20"/>
                <w:szCs w:val="20"/>
              </w:rPr>
            </w:pPr>
            <w:r w:rsidRPr="009A7078">
              <w:rPr>
                <w:rStyle w:val="SCCCoramChar"/>
                <w:sz w:val="20"/>
                <w:szCs w:val="20"/>
                <w:lang w:val="en-CA"/>
              </w:rPr>
              <w:t>McLachlin C.J. and Abella and Cromwell JJ.</w:t>
            </w:r>
          </w:p>
          <w:p w:rsidR="009A7078" w:rsidRPr="00DD6605" w:rsidRDefault="009A7078" w:rsidP="009A7078">
            <w:pPr>
              <w:rPr>
                <w:sz w:val="20"/>
                <w:szCs w:val="20"/>
                <w:u w:val="single"/>
              </w:rPr>
            </w:pPr>
          </w:p>
        </w:tc>
      </w:tr>
      <w:tr w:rsidR="009A7078" w:rsidRPr="007C5A5B" w:rsidTr="009A7078">
        <w:trPr>
          <w:cantSplit/>
        </w:trPr>
        <w:tc>
          <w:tcPr>
            <w:tcW w:w="9576" w:type="dxa"/>
            <w:gridSpan w:val="2"/>
          </w:tcPr>
          <w:p w:rsidR="009A7078" w:rsidRPr="00DD6605" w:rsidRDefault="009A7078" w:rsidP="009A7078">
            <w:pPr>
              <w:pStyle w:val="SCCShortJudgment"/>
              <w:rPr>
                <w:szCs w:val="20"/>
              </w:rPr>
            </w:pPr>
            <w:r w:rsidRPr="00DD6605">
              <w:rPr>
                <w:szCs w:val="20"/>
              </w:rPr>
              <w:t>The application for leave to appeal from the judgment of the Court of Appeal of Manitoba, Number AR 11-30-07625, 2013 MBCA 21, dated March 13, 2013, is granted without costs.</w:t>
            </w:r>
          </w:p>
          <w:p w:rsidR="009A7078" w:rsidRPr="00DD6605" w:rsidRDefault="009A7078" w:rsidP="009A7078">
            <w:pPr>
              <w:pStyle w:val="SCCShortJudgment"/>
              <w:ind w:firstLine="0"/>
              <w:rPr>
                <w:szCs w:val="20"/>
              </w:rPr>
            </w:pPr>
          </w:p>
          <w:p w:rsidR="009A7078" w:rsidRPr="00DD6605" w:rsidRDefault="009A7078" w:rsidP="009A7078">
            <w:pPr>
              <w:pStyle w:val="SCCShortJudgment"/>
              <w:rPr>
                <w:szCs w:val="20"/>
                <w:lang w:val="fr-CA"/>
              </w:rPr>
            </w:pPr>
            <w:r w:rsidRPr="00DD6605">
              <w:rPr>
                <w:szCs w:val="20"/>
                <w:lang w:val="fr-CA"/>
              </w:rPr>
              <w:t>La demande d’autorisation d’appel de l’arrêt de la Cour d’appel du Manitoba, numéro AR 11-30-07625, 2013 MBCA 21, daté du 13 mars 2013, est accueillie sans dépens.</w:t>
            </w:r>
          </w:p>
        </w:tc>
      </w:tr>
    </w:tbl>
    <w:p w:rsidR="009D08C5" w:rsidRPr="0016547E" w:rsidRDefault="009D08C5" w:rsidP="009D08C5">
      <w:pPr>
        <w:rPr>
          <w:sz w:val="20"/>
          <w:szCs w:val="20"/>
          <w:lang w:val="fr-CA"/>
        </w:rPr>
      </w:pPr>
    </w:p>
    <w:p w:rsidR="009D08C5" w:rsidRPr="001B157C" w:rsidRDefault="009D08C5" w:rsidP="009D08C5">
      <w:pPr>
        <w:rPr>
          <w:sz w:val="20"/>
          <w:szCs w:val="20"/>
          <w:u w:val="single"/>
        </w:rPr>
      </w:pPr>
      <w:r w:rsidRPr="001B157C">
        <w:rPr>
          <w:sz w:val="20"/>
          <w:szCs w:val="20"/>
          <w:u w:val="single"/>
        </w:rPr>
        <w:t>CASE SUMMARY</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5E5DDD" w:rsidTr="00F47A67">
        <w:tc>
          <w:tcPr>
            <w:tcW w:w="5000" w:type="pct"/>
            <w:gridSpan w:val="3"/>
          </w:tcPr>
          <w:p w:rsidR="002D7B0D" w:rsidRPr="005E5DDD" w:rsidRDefault="002D7B0D" w:rsidP="00F47A67">
            <w:pPr>
              <w:jc w:val="both"/>
              <w:rPr>
                <w:rFonts w:eastAsia="Calibri"/>
                <w:sz w:val="20"/>
              </w:rPr>
            </w:pPr>
            <w:r w:rsidRPr="005E5DDD">
              <w:rPr>
                <w:rFonts w:eastAsia="Calibri"/>
                <w:sz w:val="20"/>
              </w:rPr>
              <w:t xml:space="preserve">Criminal law – Sentencing – Robbery – Crown brought an application for remand for assessment of the respondent pursuant to s. 752.1(1) of the </w:t>
            </w:r>
            <w:r w:rsidRPr="005E5DDD">
              <w:rPr>
                <w:rFonts w:eastAsia="Calibri"/>
                <w:i/>
                <w:sz w:val="20"/>
              </w:rPr>
              <w:t>Criminal Code</w:t>
            </w:r>
            <w:r w:rsidRPr="005E5DDD">
              <w:rPr>
                <w:rFonts w:eastAsia="Calibri"/>
                <w:sz w:val="20"/>
              </w:rPr>
              <w:t xml:space="preserve"> – Assessment, if granted, would have formed the basis of an application to declare the respondent a dangerous or long-term offender – Crown’s application denied – Whether the Court of Appeal erred in holding that the respondent’s offence was not a “serious personal injury offence” under s. 752 of the </w:t>
            </w:r>
            <w:r w:rsidRPr="005E5DDD">
              <w:rPr>
                <w:rFonts w:eastAsia="Calibri"/>
                <w:i/>
                <w:sz w:val="20"/>
              </w:rPr>
              <w:t xml:space="preserve">Criminal Code </w:t>
            </w:r>
            <w:r w:rsidRPr="005E5DDD">
              <w:rPr>
                <w:rFonts w:eastAsia="Calibri"/>
                <w:sz w:val="20"/>
              </w:rPr>
              <w:t>because it did not “involv[e] the use or attempted use of violence”.</w:t>
            </w:r>
          </w:p>
          <w:p w:rsidR="002D7B0D" w:rsidRPr="005E5DDD" w:rsidRDefault="002D7B0D" w:rsidP="00F47A67">
            <w:pPr>
              <w:jc w:val="both"/>
              <w:rPr>
                <w:rFonts w:eastAsia="Calibri"/>
                <w:sz w:val="20"/>
              </w:rPr>
            </w:pPr>
          </w:p>
        </w:tc>
      </w:tr>
      <w:tr w:rsidR="002D7B0D" w:rsidRPr="005E5DDD" w:rsidTr="00F47A67">
        <w:tc>
          <w:tcPr>
            <w:tcW w:w="5000" w:type="pct"/>
            <w:gridSpan w:val="3"/>
          </w:tcPr>
          <w:p w:rsidR="002D7B0D" w:rsidRPr="005E5DDD" w:rsidRDefault="002D7B0D" w:rsidP="00F47A67">
            <w:pPr>
              <w:jc w:val="both"/>
              <w:rPr>
                <w:rFonts w:eastAsia="Calibri"/>
                <w:sz w:val="20"/>
              </w:rPr>
            </w:pPr>
            <w:r w:rsidRPr="005E5DDD">
              <w:rPr>
                <w:rFonts w:eastAsia="Calibri"/>
                <w:sz w:val="20"/>
              </w:rPr>
              <w:t xml:space="preserve">The respondent entered a drug store with his face concealed by a hoodie.  His hands were in his pockets.  He told the cashiers that he had a gun.  He told the cashier, “Give me the money. . . [i]t’s a robbery. . . I have a gun,” or similar words.  Three other store employees heard the words. When the cashier on duty could not open the till, another cashier assisted.  Neither cashier was physically touched by the respondent, and, at all times, the check-out counter constituted a barrier between them.  A clerk on duty testified that she was “real scared” during the encounter, and the clerk who assisted stated that she was in shock.  No weapon was ever seen in the respondent’s possession and no injuries were sustained.  The respondent was convicted of robbery, disguise with intent and failing to comply with probation orders.  The Crown gave notice of an intention to apply for remand for an assessment report pursuant to s. 752.1(1) of the </w:t>
            </w:r>
            <w:r w:rsidRPr="005E5DDD">
              <w:rPr>
                <w:rFonts w:eastAsia="Calibri"/>
                <w:i/>
                <w:sz w:val="20"/>
              </w:rPr>
              <w:t>Code</w:t>
            </w:r>
            <w:r w:rsidRPr="005E5DDD">
              <w:rPr>
                <w:rFonts w:eastAsia="Calibri"/>
                <w:sz w:val="20"/>
              </w:rPr>
              <w:t>.  The assessment, if granted, would have formed the basis of an application to declare the respondent a dangerous or long-term offender.  The trial judge concluded that, on the facts before her, at most, there was an “implied threat of violence”, rather than the use or attempted use of violence” found in the definition of a serious personal injury offence in s. 752, as a result of which the Crown’s application for remand for an assessment was denied.  The Court of Appeal dismissed the appeal.</w:t>
            </w:r>
          </w:p>
        </w:tc>
      </w:tr>
      <w:tr w:rsidR="002D7B0D" w:rsidRPr="005E5DDD" w:rsidTr="00F47A67">
        <w:tc>
          <w:tcPr>
            <w:tcW w:w="5000" w:type="pct"/>
            <w:gridSpan w:val="3"/>
          </w:tcPr>
          <w:p w:rsidR="002D7B0D" w:rsidRPr="005E5DDD" w:rsidRDefault="002D7B0D" w:rsidP="00F47A67">
            <w:pPr>
              <w:jc w:val="both"/>
              <w:rPr>
                <w:rFonts w:eastAsia="Calibri"/>
                <w:sz w:val="20"/>
              </w:rPr>
            </w:pPr>
          </w:p>
        </w:tc>
      </w:tr>
      <w:tr w:rsidR="002D7B0D" w:rsidRPr="005E5DDD" w:rsidTr="00F47A67">
        <w:tc>
          <w:tcPr>
            <w:tcW w:w="2427" w:type="pct"/>
          </w:tcPr>
          <w:p w:rsidR="002D7B0D" w:rsidRPr="005E5DDD" w:rsidRDefault="002D7B0D" w:rsidP="00F47A67">
            <w:pPr>
              <w:jc w:val="both"/>
              <w:rPr>
                <w:rFonts w:eastAsia="Calibri"/>
                <w:sz w:val="20"/>
              </w:rPr>
            </w:pPr>
            <w:r w:rsidRPr="005E5DDD">
              <w:rPr>
                <w:rFonts w:eastAsia="Calibri"/>
                <w:sz w:val="20"/>
              </w:rPr>
              <w:t>July 26, 2011</w:t>
            </w:r>
          </w:p>
          <w:p w:rsidR="002D7B0D" w:rsidRPr="005E5DDD" w:rsidRDefault="002D7B0D" w:rsidP="00F47A67">
            <w:pPr>
              <w:jc w:val="both"/>
              <w:rPr>
                <w:rFonts w:eastAsia="Calibri"/>
                <w:sz w:val="20"/>
              </w:rPr>
            </w:pPr>
            <w:r w:rsidRPr="005E5DDD">
              <w:rPr>
                <w:rFonts w:eastAsia="Calibri"/>
                <w:sz w:val="20"/>
              </w:rPr>
              <w:t>Court of Queen’s Bench of Manitoba</w:t>
            </w:r>
          </w:p>
          <w:p w:rsidR="002D7B0D" w:rsidRPr="005E5DDD" w:rsidRDefault="002D7B0D" w:rsidP="00F47A67">
            <w:pPr>
              <w:jc w:val="both"/>
              <w:rPr>
                <w:rFonts w:eastAsia="Calibri"/>
                <w:sz w:val="20"/>
              </w:rPr>
            </w:pPr>
            <w:r w:rsidRPr="005E5DDD">
              <w:rPr>
                <w:rFonts w:eastAsia="Calibri"/>
                <w:sz w:val="20"/>
              </w:rPr>
              <w:t>(McKelvey J.)</w:t>
            </w:r>
          </w:p>
          <w:p w:rsidR="002D7B0D" w:rsidRPr="005E5DDD" w:rsidRDefault="002D7B0D" w:rsidP="00F47A67">
            <w:pPr>
              <w:jc w:val="both"/>
              <w:rPr>
                <w:rFonts w:eastAsia="Calibri"/>
                <w:sz w:val="20"/>
              </w:rPr>
            </w:pPr>
            <w:r w:rsidRPr="005E5DDD">
              <w:rPr>
                <w:rFonts w:eastAsia="Calibri"/>
                <w:sz w:val="20"/>
              </w:rPr>
              <w:t>2011 MBQB 181</w:t>
            </w: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 xml:space="preserve">Conviction for robbery, disguise with intent and two counts of failing to comply with probation orders; Crown’s application for remand for assessment under s. 752.1(1) of the </w:t>
            </w:r>
            <w:r w:rsidRPr="005E5DDD">
              <w:rPr>
                <w:rFonts w:eastAsia="Calibri"/>
                <w:i/>
                <w:sz w:val="20"/>
              </w:rPr>
              <w:t>Criminal Code</w:t>
            </w:r>
            <w:r w:rsidRPr="005E5DDD">
              <w:rPr>
                <w:rFonts w:eastAsia="Calibri"/>
                <w:sz w:val="20"/>
              </w:rPr>
              <w:t xml:space="preserve"> denied</w:t>
            </w:r>
          </w:p>
          <w:p w:rsidR="002D7B0D" w:rsidRPr="005E5DDD" w:rsidRDefault="002D7B0D" w:rsidP="00F47A67">
            <w:pPr>
              <w:jc w:val="both"/>
              <w:rPr>
                <w:rFonts w:eastAsia="Calibri"/>
                <w:sz w:val="20"/>
              </w:rPr>
            </w:pPr>
          </w:p>
        </w:tc>
      </w:tr>
      <w:tr w:rsidR="002D7B0D" w:rsidRPr="005E5DDD" w:rsidTr="005E3D99">
        <w:trPr>
          <w:cantSplit/>
        </w:trPr>
        <w:tc>
          <w:tcPr>
            <w:tcW w:w="2427" w:type="pct"/>
          </w:tcPr>
          <w:p w:rsidR="002D7B0D" w:rsidRPr="005E5DDD" w:rsidRDefault="002D7B0D" w:rsidP="00F47A67">
            <w:pPr>
              <w:jc w:val="both"/>
              <w:rPr>
                <w:rFonts w:eastAsia="Calibri"/>
                <w:sz w:val="20"/>
              </w:rPr>
            </w:pPr>
            <w:r w:rsidRPr="005E5DDD">
              <w:rPr>
                <w:rFonts w:eastAsia="Calibri"/>
                <w:sz w:val="20"/>
              </w:rPr>
              <w:lastRenderedPageBreak/>
              <w:t>March 13, 2013</w:t>
            </w:r>
          </w:p>
          <w:p w:rsidR="002D7B0D" w:rsidRPr="005E5DDD" w:rsidRDefault="002D7B0D" w:rsidP="00F47A67">
            <w:pPr>
              <w:jc w:val="both"/>
              <w:rPr>
                <w:rFonts w:eastAsia="Calibri"/>
                <w:sz w:val="20"/>
              </w:rPr>
            </w:pPr>
            <w:r w:rsidRPr="005E5DDD">
              <w:rPr>
                <w:rFonts w:eastAsia="Calibri"/>
                <w:sz w:val="20"/>
              </w:rPr>
              <w:t>Court of Appeal of Manitoba</w:t>
            </w:r>
          </w:p>
          <w:p w:rsidR="002D7B0D" w:rsidRPr="005E5DDD" w:rsidRDefault="002D7B0D" w:rsidP="00F47A67">
            <w:pPr>
              <w:jc w:val="both"/>
              <w:rPr>
                <w:rFonts w:eastAsia="Calibri"/>
                <w:sz w:val="20"/>
              </w:rPr>
            </w:pPr>
            <w:r w:rsidRPr="005E5DDD">
              <w:rPr>
                <w:rFonts w:eastAsia="Calibri"/>
                <w:sz w:val="20"/>
              </w:rPr>
              <w:t>(Scott C.J.M., Beard and Monnin JJ.A.)</w:t>
            </w:r>
          </w:p>
          <w:p w:rsidR="002D7B0D" w:rsidRPr="005E5DDD" w:rsidRDefault="002D7B0D" w:rsidP="00F47A67">
            <w:pPr>
              <w:jc w:val="both"/>
              <w:rPr>
                <w:rFonts w:eastAsia="Calibri"/>
                <w:sz w:val="20"/>
              </w:rPr>
            </w:pPr>
            <w:r w:rsidRPr="005E5DDD">
              <w:rPr>
                <w:rFonts w:eastAsia="Calibri"/>
                <w:sz w:val="20"/>
              </w:rPr>
              <w:t>2013 MBCA 21</w:t>
            </w:r>
          </w:p>
          <w:p w:rsidR="002D7B0D" w:rsidRPr="005E5DDD" w:rsidRDefault="002D7B0D" w:rsidP="00F47A67">
            <w:pPr>
              <w:jc w:val="both"/>
              <w:rPr>
                <w:rFonts w:eastAsia="Calibri"/>
                <w:sz w:val="20"/>
              </w:rPr>
            </w:pP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Appeal dismissed</w:t>
            </w:r>
          </w:p>
          <w:p w:rsidR="002D7B0D" w:rsidRPr="005E5DDD" w:rsidRDefault="002D7B0D" w:rsidP="00F47A67">
            <w:pPr>
              <w:jc w:val="both"/>
              <w:rPr>
                <w:rFonts w:eastAsia="Calibri"/>
                <w:sz w:val="20"/>
              </w:rPr>
            </w:pPr>
          </w:p>
        </w:tc>
      </w:tr>
      <w:tr w:rsidR="002D7B0D" w:rsidRPr="005E5DDD" w:rsidTr="005E3D99">
        <w:trPr>
          <w:cantSplit/>
        </w:trPr>
        <w:tc>
          <w:tcPr>
            <w:tcW w:w="2427" w:type="pct"/>
          </w:tcPr>
          <w:p w:rsidR="002D7B0D" w:rsidRPr="005E5DDD" w:rsidRDefault="002D7B0D" w:rsidP="00F47A67">
            <w:pPr>
              <w:jc w:val="both"/>
              <w:rPr>
                <w:rFonts w:eastAsia="Calibri"/>
                <w:sz w:val="20"/>
              </w:rPr>
            </w:pPr>
            <w:r w:rsidRPr="005E5DDD">
              <w:rPr>
                <w:rFonts w:eastAsia="Calibri"/>
                <w:sz w:val="20"/>
              </w:rPr>
              <w:t>May 10, 2013</w:t>
            </w:r>
          </w:p>
          <w:p w:rsidR="002D7B0D" w:rsidRPr="005E5DDD" w:rsidRDefault="002D7B0D" w:rsidP="00F47A67">
            <w:pPr>
              <w:jc w:val="both"/>
              <w:rPr>
                <w:rFonts w:eastAsia="Calibri"/>
                <w:sz w:val="20"/>
              </w:rPr>
            </w:pPr>
            <w:r w:rsidRPr="005E5DDD">
              <w:rPr>
                <w:rFonts w:eastAsia="Calibri"/>
                <w:sz w:val="20"/>
              </w:rPr>
              <w:t>Supreme Court of Canada</w:t>
            </w: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Application for leave to appeal filed</w:t>
            </w:r>
          </w:p>
          <w:p w:rsidR="002D7B0D" w:rsidRPr="005E5DDD" w:rsidRDefault="002D7B0D" w:rsidP="00F47A67">
            <w:pPr>
              <w:jc w:val="both"/>
              <w:rPr>
                <w:rFonts w:eastAsia="Calibri"/>
                <w:sz w:val="20"/>
              </w:rPr>
            </w:pPr>
          </w:p>
        </w:tc>
      </w:tr>
    </w:tbl>
    <w:p w:rsidR="009D08C5" w:rsidRDefault="009D08C5" w:rsidP="009D08C5">
      <w:pPr>
        <w:rPr>
          <w:sz w:val="20"/>
          <w:szCs w:val="20"/>
        </w:rPr>
      </w:pPr>
    </w:p>
    <w:p w:rsidR="009D08C5" w:rsidRPr="00C50A5C" w:rsidRDefault="005F2BA7" w:rsidP="009D08C5">
      <w:pPr>
        <w:rPr>
          <w:sz w:val="20"/>
          <w:szCs w:val="20"/>
        </w:rPr>
      </w:pPr>
      <w:r w:rsidRPr="005F2BA7">
        <w:rPr>
          <w:sz w:val="20"/>
          <w:szCs w:val="20"/>
          <w:lang w:val="fr-CA"/>
        </w:rPr>
        <w:pict>
          <v:rect id="_x0000_i1106" style="width:2in;height:1pt" o:hrpct="0" o:hralign="center" o:hrstd="t" o:hrnoshade="t" o:hr="t" fillcolor="black [3213]" stroked="f"/>
        </w:pict>
      </w:r>
    </w:p>
    <w:p w:rsidR="009D08C5" w:rsidRDefault="009D08C5" w:rsidP="009D08C5">
      <w:pPr>
        <w:rPr>
          <w:sz w:val="20"/>
          <w:szCs w:val="20"/>
        </w:rPr>
      </w:pPr>
    </w:p>
    <w:p w:rsidR="009D08C5" w:rsidRPr="001B157C" w:rsidRDefault="009D08C5" w:rsidP="009D08C5">
      <w:pPr>
        <w:rPr>
          <w:sz w:val="20"/>
          <w:szCs w:val="20"/>
          <w:u w:val="single"/>
          <w:lang w:val="fr-CA"/>
        </w:rPr>
      </w:pPr>
      <w:r w:rsidRPr="001B157C">
        <w:rPr>
          <w:sz w:val="20"/>
          <w:szCs w:val="20"/>
          <w:u w:val="single"/>
          <w:lang w:val="fr-CA"/>
        </w:rPr>
        <w:t>RÉSUMÉ DE L’AFFAIRE</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7C5A5B" w:rsidTr="00F47A67">
        <w:tc>
          <w:tcPr>
            <w:tcW w:w="5000" w:type="pct"/>
            <w:gridSpan w:val="3"/>
          </w:tcPr>
          <w:p w:rsidR="002D7B0D" w:rsidRPr="005E5DDD" w:rsidRDefault="002D7B0D" w:rsidP="00F47A67">
            <w:pPr>
              <w:jc w:val="both"/>
              <w:rPr>
                <w:sz w:val="20"/>
                <w:lang w:val="fr-CA"/>
              </w:rPr>
            </w:pPr>
            <w:r w:rsidRPr="005E5DDD">
              <w:rPr>
                <w:sz w:val="20"/>
                <w:lang w:val="fr-CA"/>
              </w:rPr>
              <w:t>Droit criminel – Détermination de la peine – Vol qualifié – Le ministère public a présenté une demande de renvoi pour évaluation de l'intimé en application du par. 752.1(1) du</w:t>
            </w:r>
            <w:r w:rsidRPr="005E5DDD">
              <w:rPr>
                <w:i/>
                <w:sz w:val="20"/>
                <w:lang w:val="fr-CA"/>
              </w:rPr>
              <w:t xml:space="preserve"> Code criminel </w:t>
            </w:r>
            <w:r w:rsidRPr="005E5DDD">
              <w:rPr>
                <w:sz w:val="20"/>
                <w:lang w:val="fr-CA"/>
              </w:rPr>
              <w:t>– L'évaluation, si elle avait été autorisée, aurait servi de fondement à une demande en vue de faire déclarer l'intimé délinquant dangereux ou à contrôler – La demande du ministère public a été rejetée – La Cour d'appel a</w:t>
            </w:r>
            <w:r w:rsidRPr="005E5DDD">
              <w:rPr>
                <w:sz w:val="20"/>
                <w:lang w:val="fr-CA"/>
              </w:rPr>
              <w:noBreakHyphen/>
              <w:t>t</w:t>
            </w:r>
            <w:r w:rsidRPr="005E5DDD">
              <w:rPr>
                <w:sz w:val="20"/>
                <w:lang w:val="fr-CA"/>
              </w:rPr>
              <w:noBreakHyphen/>
              <w:t>elle eu tort de conclure que l'infraction commise par l'intimé ne constituait pas des « sévices graves à la personne » au sens de l'art. 752 du</w:t>
            </w:r>
            <w:r w:rsidRPr="005E5DDD">
              <w:rPr>
                <w:i/>
                <w:sz w:val="20"/>
                <w:lang w:val="fr-CA"/>
              </w:rPr>
              <w:t xml:space="preserve"> Code criminel</w:t>
            </w:r>
            <w:r w:rsidRPr="005E5DDD">
              <w:rPr>
                <w:sz w:val="20"/>
                <w:lang w:val="fr-CA"/>
              </w:rPr>
              <w:t xml:space="preserve"> parce qu'elle n’impliquait pas « l’emploi, ou une tentative d’emploi, de la violence »?</w:t>
            </w:r>
          </w:p>
          <w:p w:rsidR="002D7B0D" w:rsidRPr="005E5DDD" w:rsidRDefault="002D7B0D" w:rsidP="00F47A67">
            <w:pPr>
              <w:jc w:val="both"/>
              <w:rPr>
                <w:sz w:val="20"/>
                <w:lang w:val="fr-CA"/>
              </w:rPr>
            </w:pPr>
          </w:p>
        </w:tc>
      </w:tr>
      <w:tr w:rsidR="002D7B0D" w:rsidRPr="005E5DDD" w:rsidTr="00F47A67">
        <w:tc>
          <w:tcPr>
            <w:tcW w:w="5000" w:type="pct"/>
            <w:gridSpan w:val="3"/>
          </w:tcPr>
          <w:p w:rsidR="002D7B0D" w:rsidRPr="005E5DDD" w:rsidRDefault="002D7B0D" w:rsidP="00F47A67">
            <w:pPr>
              <w:jc w:val="both"/>
              <w:rPr>
                <w:sz w:val="20"/>
                <w:lang w:val="fr-CA"/>
              </w:rPr>
            </w:pPr>
            <w:r w:rsidRPr="005E5DDD">
              <w:rPr>
                <w:sz w:val="20"/>
                <w:lang w:val="fr-CA"/>
              </w:rPr>
              <w:t>L'intimé est entré dans une pharmacie, le visage dissimulé par une capuche.  Il avait les mains dans les poches.  Il a dit aux caissières qu'il avait une arme à feu.  Il a dit à la caissière [</w:t>
            </w:r>
            <w:r w:rsidRPr="005E5DDD">
              <w:rPr>
                <w:smallCaps/>
                <w:sz w:val="20"/>
                <w:lang w:val="fr-CA"/>
              </w:rPr>
              <w:t>traduction</w:t>
            </w:r>
            <w:r w:rsidRPr="005E5DDD">
              <w:rPr>
                <w:sz w:val="20"/>
                <w:lang w:val="fr-CA"/>
              </w:rPr>
              <w:t>] « Donne</w:t>
            </w:r>
            <w:r w:rsidRPr="005E5DDD">
              <w:rPr>
                <w:sz w:val="20"/>
                <w:lang w:val="fr-CA"/>
              </w:rPr>
              <w:noBreakHyphen/>
              <w:t>moi l'argent [. . .] c'est un vol [. . .] j'ai un fusil » ou des mots semblables. Trois autres employés du magasin ont entendu les mots.  Parce que la caissière de service ne pouvait pas ouvrir le tiroir</w:t>
            </w:r>
            <w:r w:rsidRPr="005E5DDD">
              <w:rPr>
                <w:sz w:val="20"/>
                <w:lang w:val="fr-CA"/>
              </w:rPr>
              <w:noBreakHyphen/>
              <w:t>caisse, une autre caissière l’a aidée.  Aucune des caissières n’a été physiquement touchée par l’intimé et la caisse de sortie a toujours constitué un obstacle entre eux.  Dans son témoignage, une préposée de service a affirmé qu'elle avait eu [</w:t>
            </w:r>
            <w:r w:rsidRPr="005E5DDD">
              <w:rPr>
                <w:smallCaps/>
                <w:sz w:val="20"/>
                <w:lang w:val="fr-CA"/>
              </w:rPr>
              <w:t>traduction</w:t>
            </w:r>
            <w:r w:rsidRPr="005E5DDD">
              <w:rPr>
                <w:sz w:val="20"/>
                <w:lang w:val="fr-CA"/>
              </w:rPr>
              <w:t xml:space="preserve">] « vraiment peur » pendant l'événement, et la préposée qui lui est venue en aide a affirmé qu'elle était sous le choc.  Aucune arme n'a été vue en la possession de l'intimé et aucune blessure n'a été subie.  L'intimé a été déclaré coupable de vol qualifié, de déguisement dans un dessein criminel et de violation des conditions d’ordonnances de probation.  Le ministère public a donné un avis de son intention de présenter une demande de renvoi pour évaluation en application du par. 752.1(1) du </w:t>
            </w:r>
            <w:r w:rsidRPr="005E5DDD">
              <w:rPr>
                <w:i/>
                <w:sz w:val="20"/>
                <w:lang w:val="fr-CA"/>
              </w:rPr>
              <w:t>Code</w:t>
            </w:r>
            <w:r w:rsidRPr="005E5DDD">
              <w:rPr>
                <w:sz w:val="20"/>
                <w:lang w:val="fr-CA"/>
              </w:rPr>
              <w:t>.  L'évaluation, si elle avait été autorisée, aurait servi de fondement à une demande en vue de faire déclarer l'intimé délinquant dangereux ou à contrôler. La juge du procès a conclu qu’au vu des faits qui lui avaient été présentés, il y avait eu, tout au plus, [</w:t>
            </w:r>
            <w:r w:rsidRPr="005E5DDD">
              <w:rPr>
                <w:smallCaps/>
                <w:sz w:val="20"/>
                <w:lang w:val="fr-CA"/>
              </w:rPr>
              <w:t>traduction</w:t>
            </w:r>
            <w:r w:rsidRPr="005E5DDD">
              <w:rPr>
                <w:sz w:val="20"/>
                <w:lang w:val="fr-CA"/>
              </w:rPr>
              <w:t>] « menace implicite de violence », plutôt que « l’emploi, ou une tentative d’emploi, de la violence », l'expression que l'on trouve dans la définition de sévices graves à la personne à l'art. 752, si bien que la demande de renvoi pour évaluation, présentée par le ministère public, a été rejetée.  La Cour d'appel a rejeté l'appel.</w:t>
            </w:r>
          </w:p>
        </w:tc>
      </w:tr>
      <w:tr w:rsidR="002D7B0D" w:rsidRPr="005E5DDD" w:rsidTr="00F47A67">
        <w:tc>
          <w:tcPr>
            <w:tcW w:w="5000" w:type="pct"/>
            <w:gridSpan w:val="3"/>
          </w:tcPr>
          <w:p w:rsidR="002D7B0D" w:rsidRPr="005E5DDD" w:rsidRDefault="002D7B0D" w:rsidP="00F47A67">
            <w:pPr>
              <w:jc w:val="both"/>
              <w:rPr>
                <w:sz w:val="20"/>
                <w:lang w:val="fr-CA"/>
              </w:rPr>
            </w:pPr>
          </w:p>
        </w:tc>
      </w:tr>
      <w:tr w:rsidR="002D7B0D" w:rsidRPr="007C5A5B" w:rsidTr="00F47A67">
        <w:tc>
          <w:tcPr>
            <w:tcW w:w="2427" w:type="pct"/>
          </w:tcPr>
          <w:p w:rsidR="002D7B0D" w:rsidRPr="005E5DDD" w:rsidRDefault="002D7B0D" w:rsidP="00F47A67">
            <w:pPr>
              <w:jc w:val="both"/>
              <w:rPr>
                <w:sz w:val="20"/>
                <w:lang w:val="fr-CA"/>
              </w:rPr>
            </w:pPr>
            <w:r w:rsidRPr="005E5DDD">
              <w:rPr>
                <w:sz w:val="20"/>
                <w:lang w:val="fr-CA"/>
              </w:rPr>
              <w:t>26 juillet 2011</w:t>
            </w:r>
          </w:p>
          <w:p w:rsidR="002D7B0D" w:rsidRPr="005E5DDD" w:rsidRDefault="002D7B0D" w:rsidP="00F47A67">
            <w:pPr>
              <w:jc w:val="both"/>
              <w:rPr>
                <w:sz w:val="20"/>
                <w:lang w:val="fr-CA"/>
              </w:rPr>
            </w:pPr>
            <w:r w:rsidRPr="005E5DDD">
              <w:rPr>
                <w:sz w:val="20"/>
                <w:lang w:val="fr-CA"/>
              </w:rPr>
              <w:t xml:space="preserve">Cour du Banc de la Reine du Manitoba </w:t>
            </w:r>
          </w:p>
          <w:p w:rsidR="002D7B0D" w:rsidRPr="005E5DDD" w:rsidRDefault="002D7B0D" w:rsidP="00F47A67">
            <w:pPr>
              <w:jc w:val="both"/>
              <w:rPr>
                <w:sz w:val="20"/>
                <w:lang w:val="fr-CA"/>
              </w:rPr>
            </w:pPr>
            <w:r w:rsidRPr="005E5DDD">
              <w:rPr>
                <w:sz w:val="20"/>
                <w:lang w:val="fr-CA"/>
              </w:rPr>
              <w:t>(Juge McKelvey)</w:t>
            </w:r>
          </w:p>
          <w:p w:rsidR="002D7B0D" w:rsidRPr="005E5DDD" w:rsidRDefault="002D7B0D" w:rsidP="00F47A67">
            <w:pPr>
              <w:jc w:val="both"/>
              <w:rPr>
                <w:sz w:val="20"/>
                <w:lang w:val="fr-CA"/>
              </w:rPr>
            </w:pPr>
            <w:r w:rsidRPr="005E5DDD">
              <w:rPr>
                <w:sz w:val="20"/>
                <w:lang w:val="fr-CA"/>
              </w:rPr>
              <w:t>2011 MBQB 181</w:t>
            </w:r>
          </w:p>
        </w:tc>
        <w:tc>
          <w:tcPr>
            <w:tcW w:w="243" w:type="pct"/>
          </w:tcPr>
          <w:p w:rsidR="002D7B0D" w:rsidRPr="005E5DDD" w:rsidRDefault="002D7B0D" w:rsidP="00F47A67">
            <w:pPr>
              <w:rPr>
                <w:sz w:val="20"/>
                <w:lang w:val="fr-CA"/>
              </w:rPr>
            </w:pPr>
          </w:p>
        </w:tc>
        <w:tc>
          <w:tcPr>
            <w:tcW w:w="2330" w:type="pct"/>
          </w:tcPr>
          <w:p w:rsidR="002D7B0D" w:rsidRPr="005E5DDD" w:rsidRDefault="002D7B0D" w:rsidP="00F47A67">
            <w:pPr>
              <w:jc w:val="both"/>
              <w:rPr>
                <w:sz w:val="20"/>
                <w:lang w:val="fr-CA"/>
              </w:rPr>
            </w:pPr>
            <w:r w:rsidRPr="005E5DDD">
              <w:rPr>
                <w:sz w:val="20"/>
                <w:lang w:val="fr-CA"/>
              </w:rPr>
              <w:t>Déclaration de culpabilité pour vol qualifié, déguisement dans un dessein criminel et sous deux chefs de violation des conditions d’ordonnances de probation; demande de renvoi pour évaluation, présentée par le ministère public en application du par. 752.1(1) du</w:t>
            </w:r>
            <w:r w:rsidRPr="005E5DDD">
              <w:rPr>
                <w:i/>
                <w:sz w:val="20"/>
                <w:lang w:val="fr-CA"/>
              </w:rPr>
              <w:t xml:space="preserve"> Code criminel</w:t>
            </w:r>
            <w:r w:rsidRPr="005E5DDD">
              <w:rPr>
                <w:sz w:val="20"/>
                <w:lang w:val="fr-CA"/>
              </w:rPr>
              <w:t>, rejetée</w:t>
            </w:r>
          </w:p>
          <w:p w:rsidR="002D7B0D" w:rsidRPr="005E5DDD" w:rsidRDefault="002D7B0D" w:rsidP="00F47A67">
            <w:pPr>
              <w:jc w:val="both"/>
              <w:rPr>
                <w:sz w:val="20"/>
                <w:lang w:val="fr-CA"/>
              </w:rPr>
            </w:pPr>
          </w:p>
        </w:tc>
      </w:tr>
      <w:tr w:rsidR="002D7B0D" w:rsidRPr="005E5DDD" w:rsidTr="00F47A67">
        <w:tc>
          <w:tcPr>
            <w:tcW w:w="2427" w:type="pct"/>
          </w:tcPr>
          <w:p w:rsidR="002D7B0D" w:rsidRPr="005E5DDD" w:rsidRDefault="002D7B0D" w:rsidP="00F47A67">
            <w:pPr>
              <w:jc w:val="both"/>
              <w:rPr>
                <w:sz w:val="20"/>
                <w:lang w:val="fr-CA"/>
              </w:rPr>
            </w:pPr>
            <w:r w:rsidRPr="005E5DDD">
              <w:rPr>
                <w:sz w:val="20"/>
                <w:lang w:val="fr-CA"/>
              </w:rPr>
              <w:t>13 mars 2013</w:t>
            </w:r>
          </w:p>
          <w:p w:rsidR="002D7B0D" w:rsidRPr="005E5DDD" w:rsidRDefault="002D7B0D" w:rsidP="00F47A67">
            <w:pPr>
              <w:jc w:val="both"/>
              <w:rPr>
                <w:sz w:val="20"/>
                <w:lang w:val="fr-CA"/>
              </w:rPr>
            </w:pPr>
            <w:r w:rsidRPr="005E5DDD">
              <w:rPr>
                <w:sz w:val="20"/>
                <w:lang w:val="fr-CA"/>
              </w:rPr>
              <w:t>Cour d'appel du Manitoba</w:t>
            </w:r>
          </w:p>
          <w:p w:rsidR="002D7B0D" w:rsidRPr="005E5DDD" w:rsidRDefault="002D7B0D" w:rsidP="00F47A67">
            <w:pPr>
              <w:jc w:val="both"/>
              <w:rPr>
                <w:sz w:val="20"/>
                <w:lang w:val="fr-CA"/>
              </w:rPr>
            </w:pPr>
            <w:r w:rsidRPr="005E5DDD">
              <w:rPr>
                <w:sz w:val="20"/>
                <w:lang w:val="fr-CA"/>
              </w:rPr>
              <w:t>(Juge en chef Scott, juges Beard et Monnin)</w:t>
            </w:r>
          </w:p>
          <w:p w:rsidR="002D7B0D" w:rsidRPr="005E5DDD" w:rsidRDefault="002D7B0D" w:rsidP="005E3D99">
            <w:pPr>
              <w:jc w:val="both"/>
              <w:rPr>
                <w:sz w:val="20"/>
                <w:lang w:val="fr-CA"/>
              </w:rPr>
            </w:pPr>
            <w:r w:rsidRPr="005E5DDD">
              <w:rPr>
                <w:sz w:val="20"/>
                <w:lang w:val="fr-CA"/>
              </w:rPr>
              <w:t>2013 MBCA 21</w:t>
            </w:r>
          </w:p>
        </w:tc>
        <w:tc>
          <w:tcPr>
            <w:tcW w:w="243" w:type="pct"/>
          </w:tcPr>
          <w:p w:rsidR="002D7B0D" w:rsidRPr="005E5DDD" w:rsidRDefault="002D7B0D" w:rsidP="00F47A67">
            <w:pPr>
              <w:rPr>
                <w:sz w:val="20"/>
                <w:lang w:val="fr-CA"/>
              </w:rPr>
            </w:pPr>
          </w:p>
        </w:tc>
        <w:tc>
          <w:tcPr>
            <w:tcW w:w="2330" w:type="pct"/>
          </w:tcPr>
          <w:p w:rsidR="002D7B0D" w:rsidRPr="005E5DDD" w:rsidRDefault="002D7B0D" w:rsidP="00F47A67">
            <w:pPr>
              <w:jc w:val="both"/>
              <w:rPr>
                <w:sz w:val="20"/>
                <w:lang w:val="fr-CA"/>
              </w:rPr>
            </w:pPr>
            <w:r w:rsidRPr="005E5DDD">
              <w:rPr>
                <w:sz w:val="20"/>
                <w:lang w:val="fr-CA"/>
              </w:rPr>
              <w:t>Appel rejeté</w:t>
            </w:r>
          </w:p>
          <w:p w:rsidR="002D7B0D" w:rsidRPr="005E5DDD" w:rsidRDefault="002D7B0D" w:rsidP="00F47A67">
            <w:pPr>
              <w:jc w:val="both"/>
              <w:rPr>
                <w:sz w:val="20"/>
                <w:lang w:val="fr-CA"/>
              </w:rPr>
            </w:pPr>
          </w:p>
        </w:tc>
      </w:tr>
    </w:tbl>
    <w:p w:rsidR="005E3D99" w:rsidRDefault="005E3D99"/>
    <w:p w:rsidR="005E3D99" w:rsidRDefault="005E3D99">
      <w:r>
        <w:br w:type="page"/>
      </w:r>
    </w:p>
    <w:tbl>
      <w:tblPr>
        <w:tblW w:w="4952" w:type="pct"/>
        <w:tblLayout w:type="fixed"/>
        <w:tblCellMar>
          <w:left w:w="0" w:type="dxa"/>
          <w:bottom w:w="99" w:type="dxa"/>
          <w:right w:w="0" w:type="dxa"/>
        </w:tblCellMar>
        <w:tblLook w:val="04A0"/>
      </w:tblPr>
      <w:tblGrid>
        <w:gridCol w:w="4624"/>
        <w:gridCol w:w="463"/>
        <w:gridCol w:w="4440"/>
      </w:tblGrid>
      <w:tr w:rsidR="002D7B0D" w:rsidRPr="005E5DDD" w:rsidTr="005E3D99">
        <w:tc>
          <w:tcPr>
            <w:tcW w:w="2427" w:type="pct"/>
          </w:tcPr>
          <w:p w:rsidR="002D7B0D" w:rsidRPr="005E5DDD" w:rsidRDefault="002D7B0D" w:rsidP="00F47A67">
            <w:pPr>
              <w:jc w:val="both"/>
              <w:rPr>
                <w:sz w:val="20"/>
                <w:lang w:val="fr-CA"/>
              </w:rPr>
            </w:pPr>
            <w:r w:rsidRPr="005E5DDD">
              <w:rPr>
                <w:sz w:val="20"/>
                <w:lang w:val="fr-CA"/>
              </w:rPr>
              <w:lastRenderedPageBreak/>
              <w:t>10 mai 2013</w:t>
            </w:r>
          </w:p>
          <w:p w:rsidR="002D7B0D" w:rsidRPr="005E5DDD" w:rsidRDefault="002D7B0D" w:rsidP="00F47A67">
            <w:pPr>
              <w:jc w:val="both"/>
              <w:rPr>
                <w:sz w:val="20"/>
                <w:lang w:val="fr-CA"/>
              </w:rPr>
            </w:pPr>
            <w:r w:rsidRPr="005E5DDD">
              <w:rPr>
                <w:sz w:val="20"/>
                <w:lang w:val="fr-CA"/>
              </w:rPr>
              <w:t>Cour suprême du Canada</w:t>
            </w:r>
          </w:p>
        </w:tc>
        <w:tc>
          <w:tcPr>
            <w:tcW w:w="243" w:type="pct"/>
          </w:tcPr>
          <w:p w:rsidR="002D7B0D" w:rsidRPr="005E5DDD" w:rsidRDefault="002D7B0D" w:rsidP="00F47A67">
            <w:pPr>
              <w:rPr>
                <w:sz w:val="20"/>
                <w:lang w:val="fr-CA"/>
              </w:rPr>
            </w:pPr>
          </w:p>
        </w:tc>
        <w:tc>
          <w:tcPr>
            <w:tcW w:w="2330" w:type="pct"/>
          </w:tcPr>
          <w:p w:rsidR="002D7B0D" w:rsidRPr="005E5DDD" w:rsidRDefault="002D7B0D" w:rsidP="00F47A67">
            <w:pPr>
              <w:jc w:val="both"/>
              <w:rPr>
                <w:sz w:val="20"/>
                <w:lang w:val="fr-CA"/>
              </w:rPr>
            </w:pPr>
            <w:r w:rsidRPr="005E5DDD">
              <w:rPr>
                <w:sz w:val="20"/>
                <w:lang w:val="fr-CA"/>
              </w:rPr>
              <w:t>Demande d'autorisation d'appel, déposée</w:t>
            </w:r>
          </w:p>
          <w:p w:rsidR="002D7B0D" w:rsidRPr="005E5DDD" w:rsidRDefault="002D7B0D" w:rsidP="00F47A67">
            <w:pPr>
              <w:jc w:val="both"/>
              <w:rPr>
                <w:sz w:val="20"/>
                <w:lang w:val="fr-CA"/>
              </w:rPr>
            </w:pPr>
          </w:p>
        </w:tc>
      </w:tr>
    </w:tbl>
    <w:p w:rsidR="009D08C5" w:rsidRDefault="009D08C5" w:rsidP="009D08C5">
      <w:pPr>
        <w:rPr>
          <w:sz w:val="20"/>
          <w:szCs w:val="20"/>
        </w:rPr>
      </w:pPr>
    </w:p>
    <w:p w:rsidR="009D08C5" w:rsidRDefault="005F2BA7" w:rsidP="009D08C5">
      <w:pPr>
        <w:rPr>
          <w:sz w:val="20"/>
          <w:szCs w:val="20"/>
          <w:lang w:val="fr-CA"/>
        </w:rPr>
      </w:pPr>
      <w:r w:rsidRPr="005F2BA7">
        <w:rPr>
          <w:sz w:val="20"/>
          <w:szCs w:val="20"/>
          <w:lang w:val="fr-CA"/>
        </w:rPr>
        <w:pict>
          <v:rect id="_x0000_i1107" style="width:2in;height:1pt" o:hrpct="0" o:hralign="center" o:hrstd="t" o:hrnoshade="t" o:hr="t" fillcolor="black [3213]" stroked="f"/>
        </w:pict>
      </w:r>
    </w:p>
    <w:p w:rsidR="009D08C5" w:rsidRDefault="009D08C5" w:rsidP="009D08C5">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A7078" w:rsidRPr="007C5A5B" w:rsidTr="009A7078">
        <w:trPr>
          <w:cantSplit/>
        </w:trPr>
        <w:tc>
          <w:tcPr>
            <w:tcW w:w="1458" w:type="dxa"/>
          </w:tcPr>
          <w:p w:rsidR="009A7078" w:rsidRPr="00DD6605" w:rsidRDefault="009A7078" w:rsidP="009A7078">
            <w:pPr>
              <w:rPr>
                <w:sz w:val="20"/>
                <w:szCs w:val="20"/>
              </w:rPr>
            </w:pPr>
            <w:r w:rsidRPr="00DD6605">
              <w:rPr>
                <w:rStyle w:val="SCCFileNumberChar"/>
                <w:sz w:val="20"/>
                <w:szCs w:val="20"/>
              </w:rPr>
              <w:t>35371</w:t>
            </w:r>
          </w:p>
          <w:p w:rsidR="009A7078" w:rsidRPr="00DD6605" w:rsidRDefault="009A7078" w:rsidP="009A7078">
            <w:pPr>
              <w:rPr>
                <w:b/>
                <w:sz w:val="20"/>
                <w:szCs w:val="20"/>
                <w:lang w:val="fr-CA"/>
              </w:rPr>
            </w:pPr>
          </w:p>
        </w:tc>
        <w:tc>
          <w:tcPr>
            <w:tcW w:w="8118" w:type="dxa"/>
          </w:tcPr>
          <w:p w:rsidR="009A7078" w:rsidRPr="00DD6605" w:rsidRDefault="009A7078" w:rsidP="009A7078">
            <w:pPr>
              <w:rPr>
                <w:sz w:val="20"/>
                <w:szCs w:val="20"/>
                <w:lang w:val="fr-CA"/>
              </w:rPr>
            </w:pPr>
            <w:r w:rsidRPr="00DD6605">
              <w:rPr>
                <w:rStyle w:val="SCCLsocChar"/>
                <w:sz w:val="20"/>
                <w:szCs w:val="20"/>
              </w:rPr>
              <w:t>Guillaume Boutin c. Air Canada</w:t>
            </w:r>
            <w:r w:rsidRPr="00DD6605">
              <w:rPr>
                <w:sz w:val="20"/>
                <w:szCs w:val="20"/>
                <w:lang w:val="fr-CA"/>
              </w:rPr>
              <w:t xml:space="preserve"> (C.F.) (Civile) (Autorisation)</w:t>
            </w:r>
          </w:p>
          <w:p w:rsidR="009A7078" w:rsidRPr="00DD6605" w:rsidRDefault="009A7078" w:rsidP="009A7078">
            <w:pPr>
              <w:rPr>
                <w:sz w:val="20"/>
                <w:szCs w:val="20"/>
                <w:lang w:val="fr-CA"/>
              </w:rPr>
            </w:pPr>
          </w:p>
        </w:tc>
      </w:tr>
      <w:tr w:rsidR="009A7078" w:rsidRPr="007C5A5B" w:rsidTr="009A7078">
        <w:trPr>
          <w:cantSplit/>
        </w:trPr>
        <w:tc>
          <w:tcPr>
            <w:tcW w:w="1458" w:type="dxa"/>
          </w:tcPr>
          <w:p w:rsidR="009A7078" w:rsidRPr="00DD6605" w:rsidRDefault="009A7078" w:rsidP="009A7078">
            <w:pPr>
              <w:rPr>
                <w:sz w:val="20"/>
                <w:szCs w:val="20"/>
                <w:lang w:val="fr-CA"/>
              </w:rPr>
            </w:pPr>
            <w:r w:rsidRPr="00DD6605">
              <w:rPr>
                <w:sz w:val="20"/>
                <w:szCs w:val="20"/>
                <w:lang w:val="fr-CA"/>
              </w:rPr>
              <w:t>Coram :</w:t>
            </w:r>
          </w:p>
        </w:tc>
        <w:tc>
          <w:tcPr>
            <w:tcW w:w="8118" w:type="dxa"/>
          </w:tcPr>
          <w:p w:rsidR="009A7078" w:rsidRPr="00DD6605" w:rsidRDefault="009A7078" w:rsidP="009A7078">
            <w:pPr>
              <w:rPr>
                <w:sz w:val="20"/>
                <w:szCs w:val="20"/>
                <w:lang w:val="fr-CA"/>
              </w:rPr>
            </w:pPr>
            <w:r w:rsidRPr="00DD6605">
              <w:rPr>
                <w:rStyle w:val="SCCCoramChar"/>
                <w:sz w:val="20"/>
                <w:szCs w:val="20"/>
              </w:rPr>
              <w:t>La juge en chef McLachlin et les juges Abella et Cromwell</w:t>
            </w:r>
          </w:p>
          <w:p w:rsidR="009A7078" w:rsidRPr="00DD6605" w:rsidRDefault="009A7078" w:rsidP="009A7078">
            <w:pPr>
              <w:rPr>
                <w:sz w:val="20"/>
                <w:szCs w:val="20"/>
                <w:u w:val="single"/>
                <w:lang w:val="fr-CA"/>
              </w:rPr>
            </w:pPr>
          </w:p>
        </w:tc>
      </w:tr>
      <w:tr w:rsidR="009A7078" w:rsidRPr="00DD6605" w:rsidTr="009A7078">
        <w:trPr>
          <w:cantSplit/>
        </w:trPr>
        <w:tc>
          <w:tcPr>
            <w:tcW w:w="9576" w:type="dxa"/>
            <w:gridSpan w:val="2"/>
          </w:tcPr>
          <w:p w:rsidR="009A7078" w:rsidRPr="00DD6605" w:rsidRDefault="009A7078" w:rsidP="009A7078">
            <w:pPr>
              <w:pStyle w:val="SCCShortJudgment"/>
              <w:rPr>
                <w:szCs w:val="20"/>
                <w:lang w:val="fr-CA"/>
              </w:rPr>
            </w:pPr>
            <w:r w:rsidRPr="00DD6605">
              <w:rPr>
                <w:szCs w:val="20"/>
                <w:lang w:val="fr-CA"/>
              </w:rPr>
              <w:t>La demande d’autorisation d’appel de l’arrêt de la Cour d’appel fédérale, numéro A-561-12, 2013 CAF 82, daté du 14 mars 2013, est rejetée avec dépens.</w:t>
            </w:r>
          </w:p>
          <w:p w:rsidR="009A7078" w:rsidRPr="00DD6605" w:rsidRDefault="009A7078" w:rsidP="009A7078">
            <w:pPr>
              <w:pStyle w:val="SCCShortJudgment"/>
              <w:ind w:firstLine="0"/>
              <w:rPr>
                <w:szCs w:val="20"/>
                <w:lang w:val="fr-CA"/>
              </w:rPr>
            </w:pPr>
          </w:p>
          <w:p w:rsidR="009A7078" w:rsidRPr="00DD6605" w:rsidRDefault="009A7078" w:rsidP="009A7078">
            <w:pPr>
              <w:pStyle w:val="SCCShortJudgment"/>
              <w:rPr>
                <w:szCs w:val="20"/>
              </w:rPr>
            </w:pPr>
            <w:r w:rsidRPr="00DD6605">
              <w:rPr>
                <w:szCs w:val="20"/>
              </w:rPr>
              <w:t>The application for leave to appeal from the judgment of the Federal Court of Appeal, Number A-561-12, 2013 FCA 82, dated March 14, 2013, is dismissed with costs.</w:t>
            </w:r>
          </w:p>
        </w:tc>
      </w:tr>
    </w:tbl>
    <w:p w:rsidR="009D08C5" w:rsidRPr="002D7B0D" w:rsidRDefault="009D08C5" w:rsidP="009D08C5">
      <w:pPr>
        <w:rPr>
          <w:sz w:val="20"/>
          <w:szCs w:val="20"/>
        </w:rPr>
      </w:pPr>
    </w:p>
    <w:p w:rsidR="009D08C5" w:rsidRPr="001B157C" w:rsidRDefault="009D08C5" w:rsidP="009D08C5">
      <w:pPr>
        <w:rPr>
          <w:sz w:val="20"/>
          <w:szCs w:val="20"/>
          <w:u w:val="single"/>
        </w:rPr>
      </w:pPr>
      <w:r w:rsidRPr="001B157C">
        <w:rPr>
          <w:sz w:val="20"/>
          <w:szCs w:val="20"/>
          <w:u w:val="single"/>
        </w:rPr>
        <w:t>CASE SUMMARY</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5E5DDD" w:rsidTr="00F47A67">
        <w:tc>
          <w:tcPr>
            <w:tcW w:w="5000" w:type="pct"/>
            <w:gridSpan w:val="3"/>
          </w:tcPr>
          <w:p w:rsidR="002D7B0D" w:rsidRPr="005E5DDD" w:rsidRDefault="002D7B0D" w:rsidP="00F47A67">
            <w:pPr>
              <w:jc w:val="both"/>
              <w:rPr>
                <w:rFonts w:eastAsia="Calibri"/>
                <w:sz w:val="20"/>
              </w:rPr>
            </w:pPr>
            <w:r w:rsidRPr="005E5DDD">
              <w:rPr>
                <w:rFonts w:eastAsia="Calibri"/>
                <w:sz w:val="20"/>
              </w:rPr>
              <w:t>Administrative law — Judicial review — Jurisdiction — Respondent moving to dismiss application for judicial review filed by applicant — Federal Court of Appeal allowing motion — Whether Court of Appeal erred in finding that it had no jurisdiction — Whether Court of Appeal concluded that all decisions of Canadian Transportation Agency could be challenged only by way of application for leave to appeal — Whether Court of Appeal erred in finding that applicant required to proceed by way of application for leave to appeal.</w:t>
            </w:r>
          </w:p>
        </w:tc>
      </w:tr>
      <w:tr w:rsidR="002D7B0D" w:rsidRPr="005E5DDD" w:rsidTr="00F47A67">
        <w:tc>
          <w:tcPr>
            <w:tcW w:w="5000" w:type="pct"/>
            <w:gridSpan w:val="3"/>
          </w:tcPr>
          <w:p w:rsidR="002D7B0D" w:rsidRPr="005E5DDD" w:rsidRDefault="002D7B0D" w:rsidP="00F47A67">
            <w:pPr>
              <w:jc w:val="both"/>
              <w:rPr>
                <w:rFonts w:eastAsia="Calibri"/>
                <w:sz w:val="20"/>
              </w:rPr>
            </w:pPr>
          </w:p>
        </w:tc>
      </w:tr>
      <w:tr w:rsidR="002D7B0D" w:rsidRPr="005E5DDD" w:rsidTr="00F47A67">
        <w:tc>
          <w:tcPr>
            <w:tcW w:w="5000" w:type="pct"/>
            <w:gridSpan w:val="3"/>
          </w:tcPr>
          <w:p w:rsidR="002D7B0D" w:rsidRPr="005E5DDD" w:rsidRDefault="002D7B0D" w:rsidP="00F47A67">
            <w:pPr>
              <w:jc w:val="both"/>
              <w:rPr>
                <w:rFonts w:eastAsia="Calibri"/>
                <w:sz w:val="20"/>
              </w:rPr>
            </w:pPr>
            <w:r w:rsidRPr="005E5DDD">
              <w:rPr>
                <w:rFonts w:eastAsia="Calibri"/>
                <w:sz w:val="20"/>
              </w:rPr>
              <w:t xml:space="preserve">In May 2012, Air Canada imposed a permanent travel ban on the applicant because of an incident a few months earlier at an airport abroad just prior to a flight to Canada. </w:t>
            </w:r>
          </w:p>
          <w:p w:rsidR="002D7B0D" w:rsidRPr="005E5DDD" w:rsidRDefault="002D7B0D" w:rsidP="00F47A67">
            <w:pPr>
              <w:jc w:val="both"/>
              <w:rPr>
                <w:rFonts w:eastAsia="Calibri"/>
                <w:sz w:val="20"/>
              </w:rPr>
            </w:pPr>
          </w:p>
          <w:p w:rsidR="002D7B0D" w:rsidRPr="005E5DDD" w:rsidRDefault="002D7B0D" w:rsidP="00F47A67">
            <w:pPr>
              <w:jc w:val="both"/>
              <w:rPr>
                <w:rFonts w:eastAsia="Calibri"/>
                <w:sz w:val="20"/>
              </w:rPr>
            </w:pPr>
            <w:r w:rsidRPr="005E5DDD">
              <w:rPr>
                <w:rFonts w:eastAsia="Calibri"/>
                <w:sz w:val="20"/>
              </w:rPr>
              <w:t xml:space="preserve">The applicant filed a complaint against Air Canada with the Canadian Transportation Agency. He asked that the travel ban be lifted, and he requested damages and a letter of apology.  In November 2012, the Agency dismissed the applicant’s complaint and found that Air Canada had not contravened the terms and conditions of carriage when it banned the applicant from travelling on its flights. </w:t>
            </w:r>
          </w:p>
          <w:p w:rsidR="002D7B0D" w:rsidRPr="005E5DDD" w:rsidRDefault="002D7B0D" w:rsidP="00F47A67">
            <w:pPr>
              <w:jc w:val="both"/>
              <w:rPr>
                <w:rFonts w:eastAsia="Calibri"/>
                <w:sz w:val="20"/>
              </w:rPr>
            </w:pPr>
          </w:p>
          <w:p w:rsidR="002D7B0D" w:rsidRPr="005E5DDD" w:rsidRDefault="002D7B0D" w:rsidP="00F47A67">
            <w:pPr>
              <w:jc w:val="both"/>
              <w:rPr>
                <w:rFonts w:eastAsia="Calibri"/>
                <w:sz w:val="20"/>
              </w:rPr>
            </w:pPr>
            <w:r w:rsidRPr="005E5DDD">
              <w:rPr>
                <w:rFonts w:eastAsia="Calibri"/>
                <w:sz w:val="20"/>
              </w:rPr>
              <w:t>In December 2012, the applicant applied to the Federal Court of Appeal for judicial review of the Agency’s decision.  In January 2013, Air Canada filed a notice of motion to dismiss the application for judicial review.</w:t>
            </w:r>
          </w:p>
          <w:p w:rsidR="002D7B0D" w:rsidRPr="005E5DDD" w:rsidRDefault="002D7B0D" w:rsidP="00F47A67">
            <w:pPr>
              <w:jc w:val="both"/>
              <w:rPr>
                <w:rFonts w:eastAsia="Calibri"/>
                <w:sz w:val="20"/>
              </w:rPr>
            </w:pPr>
          </w:p>
        </w:tc>
      </w:tr>
      <w:tr w:rsidR="002D7B0D" w:rsidRPr="005E5DDD" w:rsidTr="00F47A67">
        <w:tc>
          <w:tcPr>
            <w:tcW w:w="2427" w:type="pct"/>
          </w:tcPr>
          <w:p w:rsidR="002D7B0D" w:rsidRPr="005E5DDD" w:rsidRDefault="002D7B0D" w:rsidP="00F47A67">
            <w:pPr>
              <w:jc w:val="both"/>
              <w:rPr>
                <w:rFonts w:eastAsia="Calibri"/>
                <w:sz w:val="20"/>
              </w:rPr>
            </w:pPr>
            <w:r w:rsidRPr="005E5DDD">
              <w:rPr>
                <w:rFonts w:eastAsia="Calibri"/>
                <w:sz w:val="20"/>
              </w:rPr>
              <w:t>March 14, 2013</w:t>
            </w:r>
          </w:p>
          <w:p w:rsidR="002D7B0D" w:rsidRPr="005E5DDD" w:rsidRDefault="002D7B0D" w:rsidP="00F47A67">
            <w:pPr>
              <w:jc w:val="both"/>
              <w:rPr>
                <w:rFonts w:eastAsia="Calibri"/>
                <w:sz w:val="20"/>
              </w:rPr>
            </w:pPr>
            <w:r w:rsidRPr="005E5DDD">
              <w:rPr>
                <w:rFonts w:eastAsia="Calibri"/>
                <w:sz w:val="20"/>
              </w:rPr>
              <w:t>Federal Court of Appeal</w:t>
            </w:r>
          </w:p>
          <w:p w:rsidR="002D7B0D" w:rsidRPr="005E5DDD" w:rsidRDefault="002D7B0D" w:rsidP="00F47A67">
            <w:pPr>
              <w:jc w:val="both"/>
              <w:rPr>
                <w:rFonts w:eastAsia="Calibri"/>
                <w:sz w:val="20"/>
              </w:rPr>
            </w:pPr>
            <w:r w:rsidRPr="005E5DDD">
              <w:rPr>
                <w:rFonts w:eastAsia="Calibri"/>
                <w:sz w:val="20"/>
              </w:rPr>
              <w:t>(Pelletier, Trudel and Mainville JJ.A.)</w:t>
            </w:r>
          </w:p>
          <w:p w:rsidR="002D7B0D" w:rsidRPr="005E5DDD" w:rsidRDefault="002D7B0D" w:rsidP="00F47A67">
            <w:pPr>
              <w:jc w:val="both"/>
              <w:rPr>
                <w:rFonts w:eastAsia="Calibri"/>
                <w:sz w:val="20"/>
              </w:rPr>
            </w:pPr>
            <w:r w:rsidRPr="005E5DDD">
              <w:rPr>
                <w:rFonts w:eastAsia="Calibri"/>
                <w:sz w:val="20"/>
              </w:rPr>
              <w:t>2013 FCA 82</w:t>
            </w:r>
          </w:p>
          <w:p w:rsidR="002D7B0D" w:rsidRPr="005E5DDD" w:rsidRDefault="002D7B0D" w:rsidP="00F47A67">
            <w:pPr>
              <w:jc w:val="both"/>
              <w:rPr>
                <w:rFonts w:eastAsia="Calibri"/>
                <w:sz w:val="20"/>
              </w:rPr>
            </w:pP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 xml:space="preserve">Motion to dismiss application for judicial review of decision of Canadian Transportation Agency allowed </w:t>
            </w:r>
          </w:p>
          <w:p w:rsidR="002D7B0D" w:rsidRPr="005E5DDD" w:rsidRDefault="002D7B0D" w:rsidP="00F47A67">
            <w:pPr>
              <w:jc w:val="both"/>
              <w:rPr>
                <w:rFonts w:eastAsia="Calibri"/>
                <w:sz w:val="20"/>
              </w:rPr>
            </w:pPr>
          </w:p>
        </w:tc>
      </w:tr>
      <w:tr w:rsidR="002D7B0D" w:rsidRPr="005E5DDD" w:rsidTr="00F47A67">
        <w:tc>
          <w:tcPr>
            <w:tcW w:w="2427" w:type="pct"/>
          </w:tcPr>
          <w:p w:rsidR="002D7B0D" w:rsidRPr="005E5DDD" w:rsidRDefault="002D7B0D" w:rsidP="00F47A67">
            <w:pPr>
              <w:jc w:val="both"/>
              <w:rPr>
                <w:rFonts w:eastAsia="Calibri"/>
                <w:sz w:val="20"/>
              </w:rPr>
            </w:pPr>
            <w:r w:rsidRPr="005E5DDD">
              <w:rPr>
                <w:rFonts w:eastAsia="Calibri"/>
                <w:sz w:val="20"/>
              </w:rPr>
              <w:t>May 13, 2013</w:t>
            </w:r>
          </w:p>
          <w:p w:rsidR="002D7B0D" w:rsidRPr="005E5DDD" w:rsidRDefault="002D7B0D" w:rsidP="00F47A67">
            <w:pPr>
              <w:jc w:val="both"/>
              <w:rPr>
                <w:rFonts w:eastAsia="Calibri"/>
                <w:sz w:val="20"/>
              </w:rPr>
            </w:pPr>
            <w:r w:rsidRPr="005E5DDD">
              <w:rPr>
                <w:rFonts w:eastAsia="Calibri"/>
                <w:sz w:val="20"/>
              </w:rPr>
              <w:t>Supreme Court of Canada</w:t>
            </w: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Application for leave to appeal filed</w:t>
            </w:r>
          </w:p>
          <w:p w:rsidR="002D7B0D" w:rsidRPr="005E5DDD" w:rsidRDefault="002D7B0D" w:rsidP="00F47A67">
            <w:pPr>
              <w:jc w:val="both"/>
              <w:rPr>
                <w:rFonts w:eastAsia="Calibri"/>
                <w:sz w:val="20"/>
              </w:rPr>
            </w:pPr>
          </w:p>
        </w:tc>
      </w:tr>
    </w:tbl>
    <w:p w:rsidR="009D08C5" w:rsidRDefault="009D08C5" w:rsidP="009D08C5">
      <w:pPr>
        <w:rPr>
          <w:sz w:val="20"/>
          <w:szCs w:val="20"/>
        </w:rPr>
      </w:pPr>
    </w:p>
    <w:p w:rsidR="009D08C5" w:rsidRPr="00C50A5C" w:rsidRDefault="005F2BA7" w:rsidP="009D08C5">
      <w:pPr>
        <w:rPr>
          <w:sz w:val="20"/>
          <w:szCs w:val="20"/>
        </w:rPr>
      </w:pPr>
      <w:r w:rsidRPr="005F2BA7">
        <w:rPr>
          <w:sz w:val="20"/>
          <w:szCs w:val="20"/>
          <w:lang w:val="fr-CA"/>
        </w:rPr>
        <w:pict>
          <v:rect id="_x0000_i1108" style="width:2in;height:1pt" o:hrpct="0" o:hralign="center" o:hrstd="t" o:hrnoshade="t" o:hr="t" fillcolor="black [3213]" stroked="f"/>
        </w:pict>
      </w:r>
    </w:p>
    <w:p w:rsidR="009D08C5" w:rsidRDefault="009D08C5" w:rsidP="009D08C5">
      <w:pPr>
        <w:rPr>
          <w:sz w:val="20"/>
          <w:szCs w:val="20"/>
        </w:rPr>
      </w:pPr>
    </w:p>
    <w:p w:rsidR="009D08C5" w:rsidRPr="001B157C" w:rsidRDefault="009D08C5" w:rsidP="009D08C5">
      <w:pPr>
        <w:rPr>
          <w:sz w:val="20"/>
          <w:szCs w:val="20"/>
          <w:u w:val="single"/>
          <w:lang w:val="fr-CA"/>
        </w:rPr>
      </w:pPr>
      <w:r w:rsidRPr="001B157C">
        <w:rPr>
          <w:sz w:val="20"/>
          <w:szCs w:val="20"/>
          <w:u w:val="single"/>
          <w:lang w:val="fr-CA"/>
        </w:rPr>
        <w:t>RÉSUMÉ DE L’AFFAIRE</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7C5A5B" w:rsidTr="00F47A67">
        <w:tc>
          <w:tcPr>
            <w:tcW w:w="5000" w:type="pct"/>
            <w:gridSpan w:val="3"/>
          </w:tcPr>
          <w:p w:rsidR="002D7B0D" w:rsidRPr="005E5DDD" w:rsidRDefault="002D7B0D" w:rsidP="00F47A67">
            <w:pPr>
              <w:jc w:val="both"/>
              <w:rPr>
                <w:rFonts w:eastAsia="Calibri"/>
                <w:sz w:val="20"/>
                <w:lang w:val="fr-CA"/>
              </w:rPr>
            </w:pPr>
            <w:r w:rsidRPr="005E5DDD">
              <w:rPr>
                <w:rFonts w:eastAsia="Calibri"/>
                <w:sz w:val="20"/>
                <w:lang w:val="fr-CA"/>
              </w:rPr>
              <w:t>Droit administratif — Contrôle judiciaire — Compétence — Défenderesse déposant requête en rejet de demande de contrôle judiciaire déposée par demandeur — Cour d’appel fédérale accueillant requête — Cour d’appel a-t-elle erré en concluant qu’elle n’avait pas compétence  — Cour d’appel a-t-elle conclue que toutes décisions d’Office des transports du Canada ne peuvent être contestées que par voie de demande d’autorisation d’appel — Cour d’appel a-t-</w:t>
            </w:r>
            <w:r w:rsidRPr="005E5DDD">
              <w:rPr>
                <w:rFonts w:eastAsia="Calibri"/>
                <w:sz w:val="20"/>
                <w:lang w:val="fr-CA"/>
              </w:rPr>
              <w:lastRenderedPageBreak/>
              <w:t>elle erré en concluant que demandeur était tenu de procéder par voie de demande d’autorisation d’appel</w:t>
            </w:r>
          </w:p>
        </w:tc>
      </w:tr>
      <w:tr w:rsidR="002D7B0D" w:rsidRPr="007C5A5B" w:rsidTr="00F47A67">
        <w:tc>
          <w:tcPr>
            <w:tcW w:w="5000" w:type="pct"/>
            <w:gridSpan w:val="3"/>
          </w:tcPr>
          <w:p w:rsidR="002D7B0D" w:rsidRPr="005E5DDD" w:rsidRDefault="002D7B0D" w:rsidP="00F47A67">
            <w:pPr>
              <w:jc w:val="both"/>
              <w:rPr>
                <w:rFonts w:eastAsia="Calibri"/>
                <w:sz w:val="20"/>
                <w:lang w:val="fr-CA"/>
              </w:rPr>
            </w:pPr>
          </w:p>
        </w:tc>
      </w:tr>
      <w:tr w:rsidR="002D7B0D" w:rsidRPr="007C5A5B" w:rsidTr="00F47A67">
        <w:tc>
          <w:tcPr>
            <w:tcW w:w="5000" w:type="pct"/>
            <w:gridSpan w:val="3"/>
          </w:tcPr>
          <w:p w:rsidR="002D7B0D" w:rsidRPr="005E5DDD" w:rsidRDefault="002D7B0D" w:rsidP="00F47A67">
            <w:pPr>
              <w:jc w:val="both"/>
              <w:rPr>
                <w:rFonts w:eastAsia="Calibri"/>
                <w:sz w:val="20"/>
                <w:lang w:val="fr-CA"/>
              </w:rPr>
            </w:pPr>
            <w:r w:rsidRPr="005E5DDD">
              <w:rPr>
                <w:rFonts w:eastAsia="Calibri"/>
                <w:sz w:val="20"/>
                <w:lang w:val="fr-CA"/>
              </w:rPr>
              <w:t xml:space="preserve">En mai 2012, Air Canada a émis une interdiction permanente de voyager à l’encontre du demandeur à la suite d’un incident étant survenu quelques mois auparavant à un aéroport à l’étranger, en prévision d’un vol vers le Canada. </w:t>
            </w:r>
          </w:p>
          <w:p w:rsidR="002D7B0D" w:rsidRPr="005E5DDD" w:rsidRDefault="002D7B0D" w:rsidP="00F47A67">
            <w:pPr>
              <w:jc w:val="both"/>
              <w:rPr>
                <w:rFonts w:eastAsia="Calibri"/>
                <w:sz w:val="20"/>
                <w:lang w:val="fr-CA"/>
              </w:rPr>
            </w:pPr>
          </w:p>
          <w:p w:rsidR="002D7B0D" w:rsidRPr="005E5DDD" w:rsidRDefault="002D7B0D" w:rsidP="00F47A67">
            <w:pPr>
              <w:jc w:val="both"/>
              <w:rPr>
                <w:rFonts w:eastAsia="Calibri"/>
                <w:sz w:val="20"/>
                <w:lang w:val="fr-CA"/>
              </w:rPr>
            </w:pPr>
            <w:r w:rsidRPr="005E5DDD">
              <w:rPr>
                <w:rFonts w:eastAsia="Calibri"/>
                <w:sz w:val="20"/>
                <w:lang w:val="fr-CA"/>
              </w:rPr>
              <w:t xml:space="preserve">Le demandeur déposa une plainte contre Air Canada auprès de l’Office des transports du Canada.  Il demanda la levée de l’interdiction de voyager, une indemnité et une lettre d’excuse. En novembre 2012, l’Office rejeta la plainte du demandeur et conclut qu’Air Canada n’avait pas contrevenu aux conditions de transport lorsqu’elle imposa au demandeur une interdiction de voyager à bord de ses vols. </w:t>
            </w:r>
          </w:p>
          <w:p w:rsidR="002D7B0D" w:rsidRPr="005E5DDD" w:rsidRDefault="002D7B0D" w:rsidP="00F47A67">
            <w:pPr>
              <w:jc w:val="both"/>
              <w:rPr>
                <w:rFonts w:eastAsia="Calibri"/>
                <w:sz w:val="20"/>
                <w:lang w:val="fr-CA"/>
              </w:rPr>
            </w:pPr>
          </w:p>
          <w:p w:rsidR="002D7B0D" w:rsidRPr="005E5DDD" w:rsidRDefault="002D7B0D" w:rsidP="00F47A67">
            <w:pPr>
              <w:jc w:val="both"/>
              <w:rPr>
                <w:rFonts w:eastAsia="Calibri"/>
                <w:sz w:val="20"/>
                <w:lang w:val="fr-CA"/>
              </w:rPr>
            </w:pPr>
            <w:r w:rsidRPr="005E5DDD">
              <w:rPr>
                <w:rFonts w:eastAsia="Calibri"/>
                <w:sz w:val="20"/>
                <w:lang w:val="fr-CA"/>
              </w:rPr>
              <w:t xml:space="preserve">En décembre 2012, le demandeur a déposé une demande de contrôle judiciaire de la décision de l’Office auprès de la Cour d’appel fédérale.  En janvier 2013, Air Canada a déposé un avis de requête en rejet de la demande de contrôle judiciaire.  </w:t>
            </w:r>
          </w:p>
          <w:p w:rsidR="002D7B0D" w:rsidRPr="005E5DDD" w:rsidRDefault="002D7B0D" w:rsidP="00F47A67">
            <w:pPr>
              <w:jc w:val="both"/>
              <w:rPr>
                <w:rFonts w:eastAsia="Calibri"/>
                <w:sz w:val="20"/>
                <w:lang w:val="fr-CA"/>
              </w:rPr>
            </w:pPr>
          </w:p>
        </w:tc>
      </w:tr>
      <w:tr w:rsidR="002D7B0D" w:rsidRPr="007C5A5B" w:rsidTr="00F47A67">
        <w:tc>
          <w:tcPr>
            <w:tcW w:w="2427" w:type="pct"/>
          </w:tcPr>
          <w:p w:rsidR="002D7B0D" w:rsidRPr="005E5DDD" w:rsidRDefault="002D7B0D" w:rsidP="00F47A67">
            <w:pPr>
              <w:jc w:val="both"/>
              <w:rPr>
                <w:rFonts w:eastAsia="Calibri"/>
                <w:sz w:val="20"/>
                <w:lang w:val="fr-CA"/>
              </w:rPr>
            </w:pPr>
            <w:r w:rsidRPr="005E5DDD">
              <w:rPr>
                <w:rFonts w:eastAsia="Calibri"/>
                <w:sz w:val="20"/>
                <w:lang w:val="fr-CA"/>
              </w:rPr>
              <w:t>Le 14 mars 2013</w:t>
            </w:r>
          </w:p>
          <w:p w:rsidR="002D7B0D" w:rsidRPr="005E5DDD" w:rsidRDefault="002D7B0D" w:rsidP="00F47A67">
            <w:pPr>
              <w:jc w:val="both"/>
              <w:rPr>
                <w:rFonts w:eastAsia="Calibri"/>
                <w:sz w:val="20"/>
                <w:lang w:val="fr-CA"/>
              </w:rPr>
            </w:pPr>
            <w:r w:rsidRPr="005E5DDD">
              <w:rPr>
                <w:rFonts w:eastAsia="Calibri"/>
                <w:sz w:val="20"/>
                <w:lang w:val="fr-CA"/>
              </w:rPr>
              <w:t>Cour d’appel fédérale</w:t>
            </w:r>
          </w:p>
          <w:p w:rsidR="002D7B0D" w:rsidRPr="005E5DDD" w:rsidRDefault="002D7B0D" w:rsidP="00F47A67">
            <w:pPr>
              <w:jc w:val="both"/>
              <w:rPr>
                <w:rFonts w:eastAsia="Calibri"/>
                <w:sz w:val="20"/>
                <w:lang w:val="fr-CA"/>
              </w:rPr>
            </w:pPr>
            <w:r w:rsidRPr="005E5DDD">
              <w:rPr>
                <w:rFonts w:eastAsia="Calibri"/>
                <w:sz w:val="20"/>
                <w:lang w:val="fr-CA"/>
              </w:rPr>
              <w:t>(Les juges Pelletier, Trudel et Mainville)</w:t>
            </w:r>
          </w:p>
          <w:p w:rsidR="002D7B0D" w:rsidRPr="005E5DDD" w:rsidRDefault="002D7B0D" w:rsidP="00F47A67">
            <w:pPr>
              <w:jc w:val="both"/>
              <w:rPr>
                <w:rFonts w:eastAsia="Calibri"/>
                <w:sz w:val="20"/>
                <w:lang w:val="fr-CA"/>
              </w:rPr>
            </w:pPr>
            <w:r w:rsidRPr="005E5DDD">
              <w:rPr>
                <w:rFonts w:eastAsia="Calibri"/>
                <w:sz w:val="20"/>
                <w:lang w:val="fr-CA"/>
              </w:rPr>
              <w:t>2013 CAF 82</w:t>
            </w:r>
          </w:p>
          <w:p w:rsidR="002D7B0D" w:rsidRPr="005E5DDD" w:rsidRDefault="002D7B0D" w:rsidP="00F47A67">
            <w:pPr>
              <w:jc w:val="both"/>
              <w:rPr>
                <w:rFonts w:eastAsia="Calibri"/>
                <w:sz w:val="20"/>
                <w:lang w:val="fr-FR"/>
              </w:rPr>
            </w:pPr>
          </w:p>
        </w:tc>
        <w:tc>
          <w:tcPr>
            <w:tcW w:w="243" w:type="pct"/>
          </w:tcPr>
          <w:p w:rsidR="002D7B0D" w:rsidRPr="005E5DDD" w:rsidRDefault="002D7B0D" w:rsidP="00F47A67">
            <w:pPr>
              <w:jc w:val="both"/>
              <w:rPr>
                <w:rFonts w:eastAsia="Calibri"/>
                <w:sz w:val="20"/>
                <w:lang w:val="fr-FR"/>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 xml:space="preserve">Requête en rejet d’une demande de contrôle judiciaire d’une décision de l’Office des transports du Canada, accueillie </w:t>
            </w:r>
          </w:p>
          <w:p w:rsidR="002D7B0D" w:rsidRPr="005E5DDD" w:rsidRDefault="002D7B0D" w:rsidP="00F47A67">
            <w:pPr>
              <w:jc w:val="both"/>
              <w:rPr>
                <w:rFonts w:eastAsia="Calibri"/>
                <w:sz w:val="20"/>
                <w:lang w:val="fr-CA"/>
              </w:rPr>
            </w:pPr>
          </w:p>
        </w:tc>
      </w:tr>
      <w:tr w:rsidR="002D7B0D" w:rsidRPr="005E5DDD" w:rsidTr="00F47A67">
        <w:tc>
          <w:tcPr>
            <w:tcW w:w="2427" w:type="pct"/>
          </w:tcPr>
          <w:p w:rsidR="002D7B0D" w:rsidRPr="005E5DDD" w:rsidRDefault="002D7B0D" w:rsidP="00F47A67">
            <w:pPr>
              <w:jc w:val="both"/>
              <w:rPr>
                <w:rFonts w:eastAsia="Calibri"/>
                <w:sz w:val="20"/>
                <w:lang w:val="fr-CA"/>
              </w:rPr>
            </w:pPr>
            <w:r w:rsidRPr="005E5DDD">
              <w:rPr>
                <w:rFonts w:eastAsia="Calibri"/>
                <w:sz w:val="20"/>
                <w:lang w:val="fr-CA"/>
              </w:rPr>
              <w:t>Le 13 mai 2013</w:t>
            </w:r>
          </w:p>
          <w:p w:rsidR="002D7B0D" w:rsidRPr="005E5DDD" w:rsidRDefault="002D7B0D" w:rsidP="00F47A67">
            <w:pPr>
              <w:jc w:val="both"/>
              <w:rPr>
                <w:rFonts w:eastAsia="Calibri"/>
                <w:sz w:val="20"/>
                <w:lang w:val="fr-FR"/>
              </w:rPr>
            </w:pPr>
            <w:r w:rsidRPr="005E5DDD">
              <w:rPr>
                <w:rFonts w:eastAsia="Calibri"/>
                <w:sz w:val="20"/>
                <w:lang w:val="fr-CA"/>
              </w:rPr>
              <w:t>Cour suprême du Canada</w:t>
            </w:r>
          </w:p>
        </w:tc>
        <w:tc>
          <w:tcPr>
            <w:tcW w:w="243" w:type="pct"/>
          </w:tcPr>
          <w:p w:rsidR="002D7B0D" w:rsidRPr="005E5DDD" w:rsidRDefault="002D7B0D" w:rsidP="00F47A67">
            <w:pPr>
              <w:jc w:val="both"/>
              <w:rPr>
                <w:rFonts w:eastAsia="Calibri"/>
                <w:sz w:val="20"/>
                <w:lang w:val="fr-FR"/>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Demande d'autorisation d'appel déposée</w:t>
            </w:r>
          </w:p>
          <w:p w:rsidR="002D7B0D" w:rsidRPr="005E5DDD" w:rsidRDefault="002D7B0D" w:rsidP="00F47A67">
            <w:pPr>
              <w:jc w:val="both"/>
              <w:rPr>
                <w:rFonts w:eastAsia="Calibri"/>
                <w:sz w:val="20"/>
                <w:lang w:val="fr-CA"/>
              </w:rPr>
            </w:pPr>
          </w:p>
        </w:tc>
      </w:tr>
    </w:tbl>
    <w:p w:rsidR="009D08C5" w:rsidRDefault="009D08C5" w:rsidP="009D08C5">
      <w:pPr>
        <w:rPr>
          <w:sz w:val="20"/>
          <w:szCs w:val="20"/>
        </w:rPr>
      </w:pPr>
    </w:p>
    <w:p w:rsidR="009D08C5" w:rsidRDefault="005F2BA7" w:rsidP="009D08C5">
      <w:pPr>
        <w:rPr>
          <w:sz w:val="20"/>
          <w:szCs w:val="20"/>
          <w:lang w:val="fr-CA"/>
        </w:rPr>
      </w:pPr>
      <w:r w:rsidRPr="005F2BA7">
        <w:rPr>
          <w:sz w:val="20"/>
          <w:szCs w:val="20"/>
          <w:lang w:val="fr-CA"/>
        </w:rPr>
        <w:pict>
          <v:rect id="_x0000_i1109" style="width:2in;height:1pt" o:hrpct="0" o:hralign="center" o:hrstd="t" o:hrnoshade="t" o:hr="t" fillcolor="black [3213]" stroked="f"/>
        </w:pict>
      </w:r>
    </w:p>
    <w:p w:rsidR="009D08C5" w:rsidRDefault="009D08C5" w:rsidP="009D08C5">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A7078" w:rsidRPr="00DD6605" w:rsidTr="009A7078">
        <w:trPr>
          <w:cantSplit/>
        </w:trPr>
        <w:tc>
          <w:tcPr>
            <w:tcW w:w="1458" w:type="dxa"/>
          </w:tcPr>
          <w:p w:rsidR="009A7078" w:rsidRPr="00DD6605" w:rsidRDefault="009A7078" w:rsidP="009A7078">
            <w:pPr>
              <w:rPr>
                <w:sz w:val="20"/>
                <w:szCs w:val="20"/>
              </w:rPr>
            </w:pPr>
            <w:r w:rsidRPr="00DD6605">
              <w:rPr>
                <w:rStyle w:val="SCCFileNumberChar"/>
                <w:sz w:val="20"/>
                <w:szCs w:val="20"/>
              </w:rPr>
              <w:t>35380</w:t>
            </w:r>
          </w:p>
          <w:p w:rsidR="009A7078" w:rsidRPr="00DD6605" w:rsidRDefault="009A7078" w:rsidP="009A7078">
            <w:pPr>
              <w:rPr>
                <w:b/>
                <w:sz w:val="20"/>
                <w:szCs w:val="20"/>
                <w:lang w:val="fr-CA"/>
              </w:rPr>
            </w:pPr>
          </w:p>
        </w:tc>
        <w:tc>
          <w:tcPr>
            <w:tcW w:w="8118" w:type="dxa"/>
          </w:tcPr>
          <w:p w:rsidR="009A7078" w:rsidRPr="00DD6605" w:rsidRDefault="009A7078" w:rsidP="009A7078">
            <w:pPr>
              <w:jc w:val="both"/>
              <w:rPr>
                <w:sz w:val="20"/>
                <w:szCs w:val="20"/>
              </w:rPr>
            </w:pPr>
            <w:r w:rsidRPr="009A7078">
              <w:rPr>
                <w:rStyle w:val="SCCLsocChar"/>
                <w:sz w:val="20"/>
                <w:szCs w:val="20"/>
                <w:lang w:val="en-CA"/>
              </w:rPr>
              <w:t xml:space="preserve">Harish Bhasin, carrying on business as Bhasin &amp; Associates v. Larry Hrynew, Canadian American Financial Corp. </w:t>
            </w:r>
            <w:r w:rsidRPr="00DD6605">
              <w:rPr>
                <w:rStyle w:val="SCCLsocChar"/>
                <w:sz w:val="20"/>
                <w:szCs w:val="20"/>
                <w:lang w:val="en-CA"/>
              </w:rPr>
              <w:t>(Canada) Limited, a subsidiary of Allianz Life Insurance Company of North America</w:t>
            </w:r>
            <w:r w:rsidR="00203481">
              <w:rPr>
                <w:rStyle w:val="SCCLsocChar"/>
                <w:sz w:val="20"/>
                <w:szCs w:val="20"/>
                <w:lang w:val="en-CA"/>
              </w:rPr>
              <w:t xml:space="preserve"> and</w:t>
            </w:r>
            <w:r w:rsidRPr="00DD6605">
              <w:rPr>
                <w:rStyle w:val="SCCLsocChar"/>
                <w:sz w:val="20"/>
                <w:szCs w:val="20"/>
                <w:lang w:val="en-CA"/>
              </w:rPr>
              <w:t xml:space="preserve"> Allianz Education Funds Inc.</w:t>
            </w:r>
            <w:r w:rsidRPr="00DD6605">
              <w:rPr>
                <w:sz w:val="20"/>
                <w:szCs w:val="20"/>
              </w:rPr>
              <w:t xml:space="preserve"> (Alta.) (Civil) (By Leave)</w:t>
            </w:r>
          </w:p>
          <w:p w:rsidR="009A7078" w:rsidRPr="00DD6605" w:rsidRDefault="009A7078" w:rsidP="009A7078">
            <w:pPr>
              <w:jc w:val="both"/>
              <w:rPr>
                <w:sz w:val="20"/>
                <w:szCs w:val="20"/>
              </w:rPr>
            </w:pPr>
          </w:p>
        </w:tc>
      </w:tr>
      <w:tr w:rsidR="009A7078" w:rsidRPr="00DD6605" w:rsidTr="009A7078">
        <w:trPr>
          <w:cantSplit/>
        </w:trPr>
        <w:tc>
          <w:tcPr>
            <w:tcW w:w="1458" w:type="dxa"/>
          </w:tcPr>
          <w:p w:rsidR="009A7078" w:rsidRPr="00DD6605" w:rsidRDefault="009A7078" w:rsidP="009A7078">
            <w:pPr>
              <w:rPr>
                <w:sz w:val="20"/>
                <w:szCs w:val="20"/>
              </w:rPr>
            </w:pPr>
            <w:r w:rsidRPr="00DD6605">
              <w:rPr>
                <w:sz w:val="20"/>
                <w:szCs w:val="20"/>
              </w:rPr>
              <w:t>Coram :</w:t>
            </w:r>
          </w:p>
        </w:tc>
        <w:tc>
          <w:tcPr>
            <w:tcW w:w="8118" w:type="dxa"/>
          </w:tcPr>
          <w:p w:rsidR="009A7078" w:rsidRPr="00DD6605" w:rsidRDefault="009A7078" w:rsidP="009A7078">
            <w:pPr>
              <w:rPr>
                <w:sz w:val="20"/>
                <w:szCs w:val="20"/>
              </w:rPr>
            </w:pPr>
            <w:r w:rsidRPr="009A7078">
              <w:rPr>
                <w:rStyle w:val="SCCCoramChar"/>
                <w:sz w:val="20"/>
                <w:szCs w:val="20"/>
                <w:lang w:val="en-CA"/>
              </w:rPr>
              <w:t>McLachlin C.J. and Abella and Cromwell JJ.</w:t>
            </w:r>
          </w:p>
          <w:p w:rsidR="009A7078" w:rsidRPr="00DD6605" w:rsidRDefault="009A7078" w:rsidP="009A7078">
            <w:pPr>
              <w:rPr>
                <w:sz w:val="20"/>
                <w:szCs w:val="20"/>
                <w:u w:val="single"/>
              </w:rPr>
            </w:pPr>
          </w:p>
        </w:tc>
      </w:tr>
      <w:tr w:rsidR="009A7078" w:rsidRPr="007C5A5B" w:rsidTr="009A7078">
        <w:trPr>
          <w:cantSplit/>
        </w:trPr>
        <w:tc>
          <w:tcPr>
            <w:tcW w:w="9576" w:type="dxa"/>
            <w:gridSpan w:val="2"/>
          </w:tcPr>
          <w:p w:rsidR="009A7078" w:rsidRPr="00DD6605" w:rsidRDefault="009A7078" w:rsidP="009A7078">
            <w:pPr>
              <w:pStyle w:val="SCCShortJudgment"/>
              <w:rPr>
                <w:szCs w:val="20"/>
              </w:rPr>
            </w:pPr>
            <w:r w:rsidRPr="00DD6605">
              <w:rPr>
                <w:szCs w:val="20"/>
              </w:rPr>
              <w:t xml:space="preserve">The application for leave to appeal from the judgment of the Court of Appeal of Alberta (Edmonton), Number 1203-0178-AC, </w:t>
            </w:r>
            <w:proofErr w:type="gramStart"/>
            <w:r w:rsidRPr="00DD6605">
              <w:rPr>
                <w:szCs w:val="20"/>
              </w:rPr>
              <w:t>2013</w:t>
            </w:r>
            <w:proofErr w:type="gramEnd"/>
            <w:r w:rsidRPr="00DD6605">
              <w:rPr>
                <w:szCs w:val="20"/>
              </w:rPr>
              <w:t xml:space="preserve"> ABCA 98, dated March 18, 2013, is granted with costs in the cause.</w:t>
            </w:r>
          </w:p>
          <w:p w:rsidR="009A7078" w:rsidRPr="00DD6605" w:rsidRDefault="009A7078" w:rsidP="009A7078">
            <w:pPr>
              <w:pStyle w:val="SCCShortJudgment"/>
              <w:ind w:firstLine="0"/>
              <w:rPr>
                <w:szCs w:val="20"/>
              </w:rPr>
            </w:pPr>
          </w:p>
          <w:p w:rsidR="009A7078" w:rsidRPr="00DD6605" w:rsidRDefault="009A7078" w:rsidP="009A7078">
            <w:pPr>
              <w:pStyle w:val="SCCShortJudgment"/>
              <w:rPr>
                <w:szCs w:val="20"/>
                <w:lang w:val="fr-CA"/>
              </w:rPr>
            </w:pPr>
            <w:r w:rsidRPr="00DD6605">
              <w:rPr>
                <w:szCs w:val="20"/>
                <w:lang w:val="fr-CA"/>
              </w:rPr>
              <w:t>La demande d’autorisation d’appel de l’arrêt de la Cour d’appel de l’Alberta (Edmonton), numéro 1203-0178-AC, 2013 ABCA 98, daté du 18 mars 2013, est accueillie avec dépens suivant l’issue de la cause.</w:t>
            </w:r>
          </w:p>
        </w:tc>
      </w:tr>
    </w:tbl>
    <w:p w:rsidR="009D08C5" w:rsidRPr="0016547E" w:rsidRDefault="009D08C5" w:rsidP="009D08C5">
      <w:pPr>
        <w:rPr>
          <w:sz w:val="20"/>
          <w:szCs w:val="20"/>
          <w:lang w:val="fr-CA"/>
        </w:rPr>
      </w:pPr>
    </w:p>
    <w:p w:rsidR="009D08C5" w:rsidRPr="001B157C" w:rsidRDefault="009D08C5" w:rsidP="009D08C5">
      <w:pPr>
        <w:rPr>
          <w:sz w:val="20"/>
          <w:szCs w:val="20"/>
          <w:u w:val="single"/>
        </w:rPr>
      </w:pPr>
      <w:r w:rsidRPr="001B157C">
        <w:rPr>
          <w:sz w:val="20"/>
          <w:szCs w:val="20"/>
          <w:u w:val="single"/>
        </w:rPr>
        <w:t>CASE SUMMARY</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5E5DDD" w:rsidTr="00F47A67">
        <w:tc>
          <w:tcPr>
            <w:tcW w:w="5000" w:type="pct"/>
            <w:gridSpan w:val="3"/>
          </w:tcPr>
          <w:p w:rsidR="002D7B0D" w:rsidRPr="005E5DDD" w:rsidRDefault="002D7B0D" w:rsidP="00F47A67">
            <w:pPr>
              <w:jc w:val="both"/>
              <w:rPr>
                <w:rFonts w:eastAsia="Calibri"/>
                <w:sz w:val="20"/>
              </w:rPr>
            </w:pPr>
            <w:r w:rsidRPr="005E5DDD">
              <w:rPr>
                <w:rFonts w:eastAsia="Calibri"/>
                <w:sz w:val="20"/>
              </w:rPr>
              <w:t xml:space="preserve">Contracts </w:t>
            </w:r>
            <w:r w:rsidRPr="005E5DDD">
              <w:rPr>
                <w:rFonts w:eastAsia="Calibri"/>
                <w:sz w:val="20"/>
              </w:rPr>
              <w:noBreakHyphen/>
              <w:t xml:space="preserve"> Interpretation </w:t>
            </w:r>
            <w:r w:rsidRPr="005E5DDD">
              <w:rPr>
                <w:rFonts w:eastAsia="Calibri"/>
                <w:sz w:val="20"/>
              </w:rPr>
              <w:noBreakHyphen/>
              <w:t xml:space="preserve"> Parol Evidence </w:t>
            </w:r>
            <w:r w:rsidRPr="005E5DDD">
              <w:rPr>
                <w:rFonts w:eastAsia="Calibri"/>
                <w:sz w:val="20"/>
              </w:rPr>
              <w:noBreakHyphen/>
              <w:t xml:space="preserve"> Breach </w:t>
            </w:r>
            <w:r w:rsidRPr="005E5DDD">
              <w:rPr>
                <w:rFonts w:eastAsia="Calibri"/>
                <w:sz w:val="20"/>
              </w:rPr>
              <w:noBreakHyphen/>
              <w:t xml:space="preserve"> Termination </w:t>
            </w:r>
            <w:r w:rsidRPr="005E5DDD">
              <w:rPr>
                <w:rFonts w:eastAsia="Calibri"/>
                <w:sz w:val="20"/>
              </w:rPr>
              <w:noBreakHyphen/>
              <w:t xml:space="preserve"> Sufficiency of pleadings </w:t>
            </w:r>
            <w:r w:rsidRPr="005E5DDD">
              <w:rPr>
                <w:rFonts w:eastAsia="Calibri"/>
                <w:sz w:val="20"/>
              </w:rPr>
              <w:noBreakHyphen/>
              <w:t xml:space="preserve"> Corporate respondent giving notice that applicant’s contract would not be renewed upon its expiration </w:t>
            </w:r>
            <w:r w:rsidRPr="005E5DDD">
              <w:rPr>
                <w:rFonts w:eastAsia="Calibri"/>
                <w:sz w:val="20"/>
              </w:rPr>
              <w:noBreakHyphen/>
              <w:t xml:space="preserve"> When is a duty of good faith implied in commercial contracts </w:t>
            </w:r>
            <w:r w:rsidRPr="005E5DDD">
              <w:rPr>
                <w:rFonts w:eastAsia="Calibri"/>
                <w:sz w:val="20"/>
              </w:rPr>
              <w:noBreakHyphen/>
              <w:t xml:space="preserve"> Can the duty be excluded by an entire agreement clause.</w:t>
            </w:r>
          </w:p>
        </w:tc>
      </w:tr>
      <w:tr w:rsidR="002D7B0D" w:rsidRPr="005E5DDD" w:rsidTr="00F47A67">
        <w:tc>
          <w:tcPr>
            <w:tcW w:w="5000" w:type="pct"/>
            <w:gridSpan w:val="3"/>
          </w:tcPr>
          <w:p w:rsidR="002D7B0D" w:rsidRPr="005E5DDD" w:rsidRDefault="002D7B0D" w:rsidP="00F47A67">
            <w:pPr>
              <w:jc w:val="both"/>
              <w:rPr>
                <w:rFonts w:eastAsia="Calibri"/>
                <w:sz w:val="20"/>
              </w:rPr>
            </w:pPr>
          </w:p>
        </w:tc>
      </w:tr>
      <w:tr w:rsidR="002D7B0D" w:rsidRPr="005E5DDD" w:rsidTr="00F47A67">
        <w:tc>
          <w:tcPr>
            <w:tcW w:w="5000" w:type="pct"/>
            <w:gridSpan w:val="3"/>
          </w:tcPr>
          <w:p w:rsidR="002D7B0D" w:rsidRPr="005E5DDD" w:rsidRDefault="002D7B0D" w:rsidP="00F47A67">
            <w:pPr>
              <w:jc w:val="both"/>
              <w:rPr>
                <w:rFonts w:eastAsia="Calibri"/>
                <w:sz w:val="20"/>
              </w:rPr>
            </w:pPr>
            <w:r w:rsidRPr="005E5DDD">
              <w:rPr>
                <w:rFonts w:eastAsia="Calibri"/>
                <w:sz w:val="20"/>
              </w:rPr>
              <w:t>The corporate respondent (“CAFC) markets registered education savings plans for parent</w:t>
            </w:r>
            <w:r w:rsidRPr="005E5DDD">
              <w:rPr>
                <w:rFonts w:eastAsia="Calibri"/>
                <w:sz w:val="20"/>
              </w:rPr>
              <w:noBreakHyphen/>
              <w:t>investors through retail dealers such as the applicant and the individual respondent.  After many years, CAFC changed the wording of its standard contract with input from dealers, and the applicant executed the new contract.  A new renewal clause stated that either party could trigger non</w:t>
            </w:r>
            <w:r w:rsidRPr="005E5DDD">
              <w:rPr>
                <w:rFonts w:eastAsia="Calibri"/>
                <w:sz w:val="20"/>
              </w:rPr>
              <w:noBreakHyphen/>
              <w:t xml:space="preserve">renewal of the contract by giving timely notice before the expiry of a term. </w:t>
            </w:r>
          </w:p>
          <w:p w:rsidR="002D7B0D" w:rsidRPr="005E5DDD" w:rsidRDefault="002D7B0D" w:rsidP="00F47A67">
            <w:pPr>
              <w:jc w:val="both"/>
              <w:rPr>
                <w:rFonts w:eastAsia="Calibri"/>
                <w:sz w:val="20"/>
              </w:rPr>
            </w:pPr>
          </w:p>
          <w:p w:rsidR="002D7B0D" w:rsidRPr="005E5DDD" w:rsidRDefault="002D7B0D" w:rsidP="00F47A67">
            <w:pPr>
              <w:jc w:val="both"/>
              <w:rPr>
                <w:rFonts w:eastAsia="Calibri"/>
                <w:sz w:val="20"/>
              </w:rPr>
            </w:pPr>
            <w:r w:rsidRPr="005E5DDD">
              <w:rPr>
                <w:rFonts w:eastAsia="Calibri"/>
                <w:sz w:val="20"/>
              </w:rPr>
              <w:t xml:space="preserve">When CAFC sought to have the individual respondent audit the applicant’s business, the latter refused to give Mr. Hrynew access to his confidential information.  Mr. Hrynew was a competitor and was interested in merging with the </w:t>
            </w:r>
            <w:r w:rsidRPr="005E5DDD">
              <w:rPr>
                <w:rFonts w:eastAsia="Calibri"/>
                <w:sz w:val="20"/>
              </w:rPr>
              <w:lastRenderedPageBreak/>
              <w:t>applicant’s business.  CACF subsequently gave notice to the applicant that it would not be renewing his contract.  The applicant brought a lawsuit against CACF and Mr. Hrynew.  The Court of Queen’s Bench of Alberta found that it was an implied term of the contract that decisions of whether to renew contract would be carried out in good faith.  The Court held CACF in breach of the implied term of good faith, that Mr. Hrynew had intentionally induced breach of contract, and that the respondents were liable for civil conspiracy.  The Court of Appeal of Alberta allowed an appeal and dismissed the applicant’s lawsuit.  The Court found the applicant’s pleadings to be insufficient and held that the lower court erred by implying a term of good faith in the context of an unambiguous contract containing an entire agreement clause.</w:t>
            </w:r>
          </w:p>
          <w:p w:rsidR="002D7B0D" w:rsidRPr="005E5DDD" w:rsidRDefault="002D7B0D" w:rsidP="00F47A67">
            <w:pPr>
              <w:jc w:val="both"/>
              <w:rPr>
                <w:rFonts w:eastAsia="Calibri"/>
                <w:sz w:val="20"/>
              </w:rPr>
            </w:pPr>
          </w:p>
        </w:tc>
      </w:tr>
      <w:tr w:rsidR="002D7B0D" w:rsidRPr="005E5DDD" w:rsidTr="00F47A67">
        <w:tc>
          <w:tcPr>
            <w:tcW w:w="2427" w:type="pct"/>
          </w:tcPr>
          <w:p w:rsidR="002D7B0D" w:rsidRPr="005E5DDD" w:rsidRDefault="002D7B0D" w:rsidP="00F47A67">
            <w:pPr>
              <w:jc w:val="both"/>
              <w:rPr>
                <w:rFonts w:eastAsia="Calibri"/>
                <w:sz w:val="20"/>
              </w:rPr>
            </w:pPr>
            <w:r w:rsidRPr="005E5DDD">
              <w:rPr>
                <w:rFonts w:eastAsia="Calibri"/>
                <w:sz w:val="20"/>
              </w:rPr>
              <w:lastRenderedPageBreak/>
              <w:t>June 29, 2012</w:t>
            </w:r>
          </w:p>
          <w:p w:rsidR="002D7B0D" w:rsidRPr="005E5DDD" w:rsidRDefault="002D7B0D" w:rsidP="00F47A67">
            <w:pPr>
              <w:jc w:val="both"/>
              <w:rPr>
                <w:rFonts w:eastAsia="Calibri"/>
                <w:sz w:val="20"/>
              </w:rPr>
            </w:pPr>
            <w:r w:rsidRPr="005E5DDD">
              <w:rPr>
                <w:rFonts w:eastAsia="Calibri"/>
                <w:sz w:val="20"/>
              </w:rPr>
              <w:t>Court of Queen’s Bench of Alberta</w:t>
            </w:r>
          </w:p>
          <w:p w:rsidR="002D7B0D" w:rsidRPr="005E5DDD" w:rsidRDefault="002D7B0D" w:rsidP="00F47A67">
            <w:pPr>
              <w:jc w:val="both"/>
              <w:rPr>
                <w:rFonts w:eastAsia="Calibri"/>
                <w:sz w:val="20"/>
              </w:rPr>
            </w:pPr>
            <w:r w:rsidRPr="005E5DDD">
              <w:rPr>
                <w:rFonts w:eastAsia="Calibri"/>
                <w:sz w:val="20"/>
              </w:rPr>
              <w:t>(Moen J.)</w:t>
            </w:r>
          </w:p>
          <w:p w:rsidR="002D7B0D" w:rsidRPr="005E5DDD" w:rsidRDefault="002D7B0D" w:rsidP="00F47A67">
            <w:pPr>
              <w:jc w:val="both"/>
              <w:rPr>
                <w:rFonts w:eastAsia="Calibri"/>
                <w:sz w:val="20"/>
              </w:rPr>
            </w:pPr>
            <w:r w:rsidRPr="005E5DDD">
              <w:rPr>
                <w:rFonts w:eastAsia="Calibri"/>
                <w:sz w:val="20"/>
              </w:rPr>
              <w:t>2011 ABQB 637; 0203</w:t>
            </w:r>
            <w:r w:rsidRPr="005E5DDD">
              <w:rPr>
                <w:rFonts w:eastAsia="Calibri"/>
                <w:sz w:val="20"/>
              </w:rPr>
              <w:noBreakHyphen/>
              <w:t>02295</w:t>
            </w:r>
          </w:p>
          <w:p w:rsidR="002D7B0D" w:rsidRPr="005E5DDD" w:rsidRDefault="002D7B0D" w:rsidP="00F47A67">
            <w:pPr>
              <w:jc w:val="both"/>
              <w:rPr>
                <w:rFonts w:eastAsia="Calibri"/>
                <w:sz w:val="20"/>
              </w:rPr>
            </w:pP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 xml:space="preserve">Judgment against the respondents, jointly and severally, for damages of $380,597.00 plus interest and costs </w:t>
            </w:r>
          </w:p>
        </w:tc>
      </w:tr>
      <w:tr w:rsidR="002D7B0D" w:rsidRPr="005E5DDD" w:rsidTr="00F47A67">
        <w:tc>
          <w:tcPr>
            <w:tcW w:w="2427" w:type="pct"/>
          </w:tcPr>
          <w:p w:rsidR="002D7B0D" w:rsidRPr="005E5DDD" w:rsidRDefault="002D7B0D" w:rsidP="00F47A67">
            <w:pPr>
              <w:jc w:val="both"/>
              <w:rPr>
                <w:rFonts w:eastAsia="Calibri"/>
                <w:sz w:val="20"/>
              </w:rPr>
            </w:pPr>
            <w:r w:rsidRPr="005E5DDD">
              <w:rPr>
                <w:rFonts w:eastAsia="Calibri"/>
                <w:sz w:val="20"/>
              </w:rPr>
              <w:t>March 18, 2013</w:t>
            </w:r>
          </w:p>
          <w:p w:rsidR="002D7B0D" w:rsidRPr="005E5DDD" w:rsidRDefault="002D7B0D" w:rsidP="00F47A67">
            <w:pPr>
              <w:jc w:val="both"/>
              <w:rPr>
                <w:rFonts w:eastAsia="Calibri"/>
                <w:sz w:val="20"/>
              </w:rPr>
            </w:pPr>
            <w:r w:rsidRPr="005E5DDD">
              <w:rPr>
                <w:rFonts w:eastAsia="Calibri"/>
                <w:sz w:val="20"/>
              </w:rPr>
              <w:t>Court of Appeal of Alberta (Edmonton)</w:t>
            </w:r>
          </w:p>
          <w:p w:rsidR="002D7B0D" w:rsidRPr="005E5DDD" w:rsidRDefault="002D7B0D" w:rsidP="00F47A67">
            <w:pPr>
              <w:jc w:val="both"/>
              <w:rPr>
                <w:rFonts w:eastAsia="Calibri"/>
                <w:sz w:val="20"/>
              </w:rPr>
            </w:pPr>
            <w:r w:rsidRPr="005E5DDD">
              <w:rPr>
                <w:rFonts w:eastAsia="Calibri"/>
                <w:sz w:val="20"/>
              </w:rPr>
              <w:t>(Côté, Paperny and Belzil JJ.A.)</w:t>
            </w:r>
          </w:p>
          <w:p w:rsidR="002D7B0D" w:rsidRPr="005E5DDD" w:rsidRDefault="002D7B0D" w:rsidP="00F47A67">
            <w:pPr>
              <w:jc w:val="both"/>
              <w:rPr>
                <w:rFonts w:eastAsia="Calibri"/>
                <w:sz w:val="20"/>
              </w:rPr>
            </w:pPr>
            <w:r w:rsidRPr="005E5DDD">
              <w:rPr>
                <w:rFonts w:eastAsia="Calibri"/>
                <w:sz w:val="20"/>
              </w:rPr>
              <w:t>2013 ABCA 98; 1203</w:t>
            </w:r>
            <w:r w:rsidRPr="005E5DDD">
              <w:rPr>
                <w:rFonts w:eastAsia="Calibri"/>
                <w:sz w:val="20"/>
              </w:rPr>
              <w:noBreakHyphen/>
              <w:t>0178</w:t>
            </w:r>
            <w:r w:rsidRPr="005E5DDD">
              <w:rPr>
                <w:rFonts w:eastAsia="Calibri"/>
                <w:sz w:val="20"/>
              </w:rPr>
              <w:noBreakHyphen/>
              <w:t xml:space="preserve">AC </w:t>
            </w:r>
          </w:p>
          <w:p w:rsidR="002D7B0D" w:rsidRPr="005E5DDD" w:rsidRDefault="002D7B0D" w:rsidP="00F47A67">
            <w:pPr>
              <w:jc w:val="both"/>
              <w:rPr>
                <w:rFonts w:eastAsia="Calibri"/>
                <w:sz w:val="20"/>
                <w:lang w:val="fr-CA"/>
              </w:rPr>
            </w:pPr>
          </w:p>
        </w:tc>
        <w:tc>
          <w:tcPr>
            <w:tcW w:w="243" w:type="pct"/>
          </w:tcPr>
          <w:p w:rsidR="002D7B0D" w:rsidRPr="005E5DDD" w:rsidRDefault="002D7B0D" w:rsidP="00F47A67">
            <w:pPr>
              <w:jc w:val="both"/>
              <w:rPr>
                <w:rFonts w:eastAsia="Calibri"/>
                <w:sz w:val="20"/>
                <w:lang w:val="fr-CA"/>
              </w:rPr>
            </w:pPr>
          </w:p>
        </w:tc>
        <w:tc>
          <w:tcPr>
            <w:tcW w:w="2330" w:type="pct"/>
          </w:tcPr>
          <w:p w:rsidR="002D7B0D" w:rsidRPr="005E5DDD" w:rsidRDefault="002D7B0D" w:rsidP="00F47A67">
            <w:pPr>
              <w:jc w:val="both"/>
              <w:rPr>
                <w:rFonts w:eastAsia="Calibri"/>
                <w:sz w:val="20"/>
              </w:rPr>
            </w:pPr>
            <w:r w:rsidRPr="005E5DDD">
              <w:rPr>
                <w:rFonts w:eastAsia="Calibri"/>
                <w:sz w:val="20"/>
              </w:rPr>
              <w:t>Appeal allowed and applicant’s lawsuit dismissed</w:t>
            </w:r>
          </w:p>
          <w:p w:rsidR="002D7B0D" w:rsidRPr="005E5DDD" w:rsidRDefault="002D7B0D" w:rsidP="00F47A67">
            <w:pPr>
              <w:jc w:val="both"/>
              <w:rPr>
                <w:rFonts w:eastAsia="Calibri"/>
                <w:sz w:val="20"/>
              </w:rPr>
            </w:pPr>
          </w:p>
        </w:tc>
      </w:tr>
      <w:tr w:rsidR="002D7B0D" w:rsidRPr="005E5DDD" w:rsidTr="00F47A67">
        <w:tc>
          <w:tcPr>
            <w:tcW w:w="2427" w:type="pct"/>
          </w:tcPr>
          <w:p w:rsidR="002D7B0D" w:rsidRPr="005E5DDD" w:rsidRDefault="002D7B0D" w:rsidP="00F47A67">
            <w:pPr>
              <w:jc w:val="both"/>
              <w:rPr>
                <w:rFonts w:eastAsia="Calibri"/>
                <w:sz w:val="20"/>
              </w:rPr>
            </w:pPr>
            <w:r w:rsidRPr="005E5DDD">
              <w:rPr>
                <w:rFonts w:eastAsia="Calibri"/>
                <w:sz w:val="20"/>
              </w:rPr>
              <w:t>May 16, 2013</w:t>
            </w:r>
          </w:p>
          <w:p w:rsidR="002D7B0D" w:rsidRPr="005E5DDD" w:rsidRDefault="002D7B0D" w:rsidP="00F47A67">
            <w:pPr>
              <w:jc w:val="both"/>
              <w:rPr>
                <w:rFonts w:eastAsia="Calibri"/>
                <w:sz w:val="20"/>
              </w:rPr>
            </w:pPr>
            <w:r w:rsidRPr="005E5DDD">
              <w:rPr>
                <w:rFonts w:eastAsia="Calibri"/>
                <w:sz w:val="20"/>
              </w:rPr>
              <w:t>Supreme Court of Canada</w:t>
            </w: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Application for leave to appeal filed</w:t>
            </w:r>
          </w:p>
          <w:p w:rsidR="002D7B0D" w:rsidRPr="005E5DDD" w:rsidRDefault="002D7B0D" w:rsidP="00F47A67">
            <w:pPr>
              <w:jc w:val="both"/>
              <w:rPr>
                <w:rFonts w:eastAsia="Calibri"/>
                <w:sz w:val="20"/>
              </w:rPr>
            </w:pPr>
          </w:p>
        </w:tc>
      </w:tr>
    </w:tbl>
    <w:p w:rsidR="009D08C5" w:rsidRDefault="009D08C5" w:rsidP="009D08C5">
      <w:pPr>
        <w:rPr>
          <w:sz w:val="20"/>
          <w:szCs w:val="20"/>
        </w:rPr>
      </w:pPr>
    </w:p>
    <w:p w:rsidR="009D08C5" w:rsidRPr="00C50A5C" w:rsidRDefault="005F2BA7" w:rsidP="009D08C5">
      <w:pPr>
        <w:rPr>
          <w:sz w:val="20"/>
          <w:szCs w:val="20"/>
        </w:rPr>
      </w:pPr>
      <w:r w:rsidRPr="005F2BA7">
        <w:rPr>
          <w:sz w:val="20"/>
          <w:szCs w:val="20"/>
          <w:lang w:val="fr-CA"/>
        </w:rPr>
        <w:pict>
          <v:rect id="_x0000_i1110" style="width:2in;height:1pt" o:hrpct="0" o:hralign="center" o:hrstd="t" o:hrnoshade="t" o:hr="t" fillcolor="black [3213]" stroked="f"/>
        </w:pict>
      </w:r>
    </w:p>
    <w:p w:rsidR="009D08C5" w:rsidRDefault="009D08C5" w:rsidP="009D08C5">
      <w:pPr>
        <w:rPr>
          <w:sz w:val="20"/>
          <w:szCs w:val="20"/>
        </w:rPr>
      </w:pPr>
    </w:p>
    <w:p w:rsidR="009D08C5" w:rsidRPr="001B157C" w:rsidRDefault="009D08C5" w:rsidP="009D08C5">
      <w:pPr>
        <w:rPr>
          <w:sz w:val="20"/>
          <w:szCs w:val="20"/>
          <w:u w:val="single"/>
          <w:lang w:val="fr-CA"/>
        </w:rPr>
      </w:pPr>
      <w:r w:rsidRPr="001B157C">
        <w:rPr>
          <w:sz w:val="20"/>
          <w:szCs w:val="20"/>
          <w:u w:val="single"/>
          <w:lang w:val="fr-CA"/>
        </w:rPr>
        <w:t>RÉSUMÉ DE L’AFFAIRE</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7C5A5B" w:rsidTr="00F47A67">
        <w:tc>
          <w:tcPr>
            <w:tcW w:w="5000" w:type="pct"/>
            <w:gridSpan w:val="3"/>
          </w:tcPr>
          <w:p w:rsidR="002D7B0D" w:rsidRPr="005E5DDD" w:rsidRDefault="002D7B0D" w:rsidP="00F47A67">
            <w:pPr>
              <w:jc w:val="both"/>
              <w:rPr>
                <w:rFonts w:eastAsia="Calibri"/>
                <w:sz w:val="20"/>
                <w:lang w:val="fr-CA"/>
              </w:rPr>
            </w:pPr>
            <w:r w:rsidRPr="005E5DDD">
              <w:rPr>
                <w:rFonts w:eastAsia="Calibri"/>
                <w:sz w:val="20"/>
                <w:lang w:val="fr-CA"/>
              </w:rPr>
              <w:t xml:space="preserve">Contrats </w:t>
            </w:r>
            <w:r w:rsidRPr="005E5DDD">
              <w:rPr>
                <w:rFonts w:eastAsia="Calibri"/>
                <w:sz w:val="20"/>
                <w:lang w:val="fr-CA"/>
              </w:rPr>
              <w:noBreakHyphen/>
              <w:t xml:space="preserve"> Interprétation </w:t>
            </w:r>
            <w:r w:rsidRPr="005E5DDD">
              <w:rPr>
                <w:rFonts w:eastAsia="Calibri"/>
                <w:sz w:val="20"/>
                <w:lang w:val="fr-CA"/>
              </w:rPr>
              <w:noBreakHyphen/>
              <w:t xml:space="preserve"> Preuve extrinsèque </w:t>
            </w:r>
            <w:r w:rsidRPr="005E5DDD">
              <w:rPr>
                <w:rFonts w:eastAsia="Calibri"/>
                <w:sz w:val="20"/>
                <w:lang w:val="fr-CA"/>
              </w:rPr>
              <w:noBreakHyphen/>
              <w:t xml:space="preserve"> Violation </w:t>
            </w:r>
            <w:r w:rsidRPr="005E5DDD">
              <w:rPr>
                <w:rFonts w:eastAsia="Calibri"/>
                <w:sz w:val="20"/>
                <w:lang w:val="fr-CA"/>
              </w:rPr>
              <w:noBreakHyphen/>
              <w:t xml:space="preserve"> Résiliation </w:t>
            </w:r>
            <w:r w:rsidRPr="005E5DDD">
              <w:rPr>
                <w:rFonts w:eastAsia="Calibri"/>
                <w:sz w:val="20"/>
                <w:lang w:val="fr-CA"/>
              </w:rPr>
              <w:noBreakHyphen/>
              <w:t xml:space="preserve"> Suffisance des actes de procédure </w:t>
            </w:r>
            <w:r w:rsidRPr="005E5DDD">
              <w:rPr>
                <w:rFonts w:eastAsia="Calibri"/>
                <w:sz w:val="20"/>
                <w:lang w:val="fr-CA"/>
              </w:rPr>
              <w:noBreakHyphen/>
              <w:t xml:space="preserve"> La personne morale intimée a donné avis que le contrat du demandeur ne serait pas renouvelé à échéance. </w:t>
            </w:r>
            <w:r w:rsidRPr="005E5DDD">
              <w:rPr>
                <w:rFonts w:eastAsia="Calibri"/>
                <w:sz w:val="20"/>
                <w:lang w:val="fr-CA"/>
              </w:rPr>
              <w:noBreakHyphen/>
              <w:t xml:space="preserve"> Dans quelles situations l’obligation d’agir de bonne foi est</w:t>
            </w:r>
            <w:r w:rsidRPr="005E5DDD">
              <w:rPr>
                <w:rFonts w:eastAsia="Calibri"/>
                <w:sz w:val="20"/>
                <w:lang w:val="fr-CA"/>
              </w:rPr>
              <w:noBreakHyphen/>
              <w:t xml:space="preserve">elle implicite dans les contrats commerciaux? </w:t>
            </w:r>
            <w:r w:rsidRPr="005E5DDD">
              <w:rPr>
                <w:rFonts w:eastAsia="Calibri"/>
                <w:sz w:val="20"/>
                <w:lang w:val="fr-CA"/>
              </w:rPr>
              <w:noBreakHyphen/>
              <w:t xml:space="preserve"> L’obligation peut</w:t>
            </w:r>
            <w:r w:rsidRPr="005E5DDD">
              <w:rPr>
                <w:rFonts w:eastAsia="Calibri"/>
                <w:sz w:val="20"/>
                <w:lang w:val="fr-CA"/>
              </w:rPr>
              <w:noBreakHyphen/>
              <w:t>elle être exclue par une clause du type « intégralité de l’entente »?</w:t>
            </w:r>
          </w:p>
        </w:tc>
      </w:tr>
      <w:tr w:rsidR="002D7B0D" w:rsidRPr="007C5A5B" w:rsidTr="00F47A67">
        <w:tc>
          <w:tcPr>
            <w:tcW w:w="5000" w:type="pct"/>
            <w:gridSpan w:val="3"/>
          </w:tcPr>
          <w:p w:rsidR="002D7B0D" w:rsidRPr="005E5DDD" w:rsidRDefault="002D7B0D" w:rsidP="00F47A67">
            <w:pPr>
              <w:jc w:val="both"/>
              <w:rPr>
                <w:rFonts w:eastAsia="Calibri"/>
                <w:sz w:val="20"/>
                <w:lang w:val="fr-CA"/>
              </w:rPr>
            </w:pPr>
          </w:p>
        </w:tc>
      </w:tr>
      <w:tr w:rsidR="002D7B0D" w:rsidRPr="007C5A5B" w:rsidTr="00F47A67">
        <w:tc>
          <w:tcPr>
            <w:tcW w:w="5000" w:type="pct"/>
            <w:gridSpan w:val="3"/>
          </w:tcPr>
          <w:p w:rsidR="002D7B0D" w:rsidRPr="005E5DDD" w:rsidRDefault="002D7B0D" w:rsidP="00F47A67">
            <w:pPr>
              <w:jc w:val="both"/>
              <w:rPr>
                <w:rFonts w:eastAsia="Calibri"/>
                <w:sz w:val="20"/>
                <w:lang w:val="fr-CA"/>
              </w:rPr>
            </w:pPr>
            <w:r w:rsidRPr="005E5DDD">
              <w:rPr>
                <w:rFonts w:eastAsia="Calibri"/>
                <w:sz w:val="20"/>
                <w:lang w:val="fr-CA"/>
              </w:rPr>
              <w:t>La personne morale intimée (« CAFC ») met en marché des régimes enregistrés d’épargne</w:t>
            </w:r>
            <w:r w:rsidRPr="005E5DDD">
              <w:rPr>
                <w:rFonts w:eastAsia="Calibri"/>
                <w:sz w:val="20"/>
                <w:lang w:val="fr-CA"/>
              </w:rPr>
              <w:noBreakHyphen/>
              <w:t>études destinés aux parents</w:t>
            </w:r>
            <w:r w:rsidRPr="005E5DDD">
              <w:rPr>
                <w:rFonts w:eastAsia="Calibri"/>
                <w:sz w:val="20"/>
                <w:lang w:val="fr-CA"/>
              </w:rPr>
              <w:noBreakHyphen/>
              <w:t>épargnants par l’entremise de détaillants comme le demandeur et l’intimé, M. Hrynew.  Après plusieurs années, CAFC a modifié le libellé de son contrat type après avoir obtenu des commentaires et suggestions de détaillants, et le demandeur a signé le nouveau contrat.  Une nouvelle clause de renouvellement stipulait qu’une partie pouvait obtenir le non</w:t>
            </w:r>
            <w:r w:rsidRPr="005E5DDD">
              <w:rPr>
                <w:rFonts w:eastAsia="Calibri"/>
                <w:sz w:val="20"/>
                <w:lang w:val="fr-CA"/>
              </w:rPr>
              <w:noBreakHyphen/>
              <w:t xml:space="preserve">renouvellement du contrat en donnant un avis en temps opportun avant la date d’échéance. </w:t>
            </w:r>
          </w:p>
          <w:p w:rsidR="002D7B0D" w:rsidRPr="005E5DDD" w:rsidRDefault="002D7B0D" w:rsidP="00F47A67">
            <w:pPr>
              <w:jc w:val="both"/>
              <w:rPr>
                <w:rFonts w:eastAsia="Calibri"/>
                <w:sz w:val="20"/>
                <w:lang w:val="fr-CA"/>
              </w:rPr>
            </w:pPr>
          </w:p>
          <w:p w:rsidR="002D7B0D" w:rsidRPr="005E5DDD" w:rsidRDefault="002D7B0D" w:rsidP="00F47A67">
            <w:pPr>
              <w:jc w:val="both"/>
              <w:rPr>
                <w:rFonts w:eastAsia="Calibri"/>
                <w:sz w:val="20"/>
                <w:lang w:val="fr-CA"/>
              </w:rPr>
            </w:pPr>
            <w:r w:rsidRPr="005E5DDD">
              <w:rPr>
                <w:rFonts w:eastAsia="Calibri"/>
                <w:sz w:val="20"/>
                <w:lang w:val="fr-CA"/>
              </w:rPr>
              <w:t>Lorsque CAFC a demandé à l’intimé, M. Hrynew, de faire une vérification de l’entreprise du demandeur, ce dernier a refusé de donner à M. Hrynew l’accès à ses renseignements confidentiels.  Monsieur Hrynew était un concurrent et il était intéressé à se fusionner avec l’entreprise du demandeur.  Par la suite, CAFC a donné avis au demandeur qu’elle ne renouvellera pas son contrat.  Le demandeur a intenté une poursuite contre CAFC et M. Hrynew.  La Cour du Banc de la Reine de l’Alberta a conclu que le contrat renfermait une disposition implicite selon laquelle les décisions de renouveler ou non un contrat devaient être prises de bonne foi.  La Cour a conclu CAFC avait violé la condition implicite d’agir de bonne foi, que M. Hrynew avait intentionnellement incité à la violation du contrat et que les intimés avaient engagé leur responsabilité pour complot civil.  La Cour d’appel de l’Alberta a accueilli l’appel et rejeté la poursuite du demandeur.  La Cour a conclu que les actes de procédure du demandeur étaient insuffisants et que la cour de première instance avait eu tort de conclure à l’existence d’une condition implicite d’agir de bonne foi dans le contexte d’un contrat non ambigu renfermant une clause du type « intégralité de l’entente ».</w:t>
            </w:r>
          </w:p>
          <w:p w:rsidR="002D7B0D" w:rsidRPr="005E5DDD" w:rsidRDefault="002D7B0D" w:rsidP="00F47A67">
            <w:pPr>
              <w:jc w:val="both"/>
              <w:rPr>
                <w:rFonts w:eastAsia="Calibri"/>
                <w:sz w:val="20"/>
                <w:lang w:val="fr-CA"/>
              </w:rPr>
            </w:pPr>
          </w:p>
        </w:tc>
      </w:tr>
      <w:tr w:rsidR="002D7B0D" w:rsidRPr="007C5A5B" w:rsidTr="009A7078">
        <w:trPr>
          <w:cantSplit/>
        </w:trPr>
        <w:tc>
          <w:tcPr>
            <w:tcW w:w="2427" w:type="pct"/>
          </w:tcPr>
          <w:p w:rsidR="002D7B0D" w:rsidRPr="005E5DDD" w:rsidRDefault="002D7B0D" w:rsidP="00F47A67">
            <w:pPr>
              <w:jc w:val="both"/>
              <w:rPr>
                <w:rFonts w:eastAsia="Calibri"/>
                <w:sz w:val="20"/>
                <w:lang w:val="fr-CA"/>
              </w:rPr>
            </w:pPr>
            <w:r w:rsidRPr="005E5DDD">
              <w:rPr>
                <w:rFonts w:eastAsia="Calibri"/>
                <w:sz w:val="20"/>
                <w:lang w:val="fr-CA"/>
              </w:rPr>
              <w:lastRenderedPageBreak/>
              <w:t>29 juin 2012</w:t>
            </w:r>
          </w:p>
          <w:p w:rsidR="002D7B0D" w:rsidRPr="005E5DDD" w:rsidRDefault="002D7B0D" w:rsidP="00F47A67">
            <w:pPr>
              <w:jc w:val="both"/>
              <w:rPr>
                <w:rFonts w:eastAsia="Calibri"/>
                <w:sz w:val="20"/>
                <w:lang w:val="fr-CA"/>
              </w:rPr>
            </w:pPr>
            <w:r w:rsidRPr="005E5DDD">
              <w:rPr>
                <w:rFonts w:eastAsia="Calibri"/>
                <w:sz w:val="20"/>
                <w:lang w:val="fr-CA"/>
              </w:rPr>
              <w:t xml:space="preserve">Cour du Banc de la Reine de l’Alberta </w:t>
            </w:r>
          </w:p>
          <w:p w:rsidR="002D7B0D" w:rsidRPr="005E5DDD" w:rsidRDefault="002D7B0D" w:rsidP="00F47A67">
            <w:pPr>
              <w:jc w:val="both"/>
              <w:rPr>
                <w:rFonts w:eastAsia="Calibri"/>
                <w:sz w:val="20"/>
                <w:lang w:val="fr-CA"/>
              </w:rPr>
            </w:pPr>
            <w:r w:rsidRPr="005E5DDD">
              <w:rPr>
                <w:rFonts w:eastAsia="Calibri"/>
                <w:sz w:val="20"/>
                <w:lang w:val="fr-CA"/>
              </w:rPr>
              <w:t>(Juge Moen)</w:t>
            </w:r>
          </w:p>
          <w:p w:rsidR="002D7B0D" w:rsidRPr="005E5DDD" w:rsidRDefault="002D7B0D" w:rsidP="00F47A67">
            <w:pPr>
              <w:jc w:val="both"/>
              <w:rPr>
                <w:rFonts w:eastAsia="Calibri"/>
                <w:sz w:val="20"/>
                <w:lang w:val="fr-CA"/>
              </w:rPr>
            </w:pPr>
            <w:r w:rsidRPr="005E5DDD">
              <w:rPr>
                <w:rFonts w:eastAsia="Calibri"/>
                <w:sz w:val="20"/>
                <w:lang w:val="fr-CA"/>
              </w:rPr>
              <w:t>2011 ABQB 637; 0203</w:t>
            </w:r>
            <w:r w:rsidRPr="005E5DDD">
              <w:rPr>
                <w:rFonts w:eastAsia="Calibri"/>
                <w:sz w:val="20"/>
                <w:lang w:val="fr-CA"/>
              </w:rPr>
              <w:noBreakHyphen/>
              <w:t>02295</w:t>
            </w:r>
          </w:p>
          <w:p w:rsidR="002D7B0D" w:rsidRPr="005E5DDD" w:rsidRDefault="002D7B0D" w:rsidP="00F47A67">
            <w:pPr>
              <w:jc w:val="both"/>
              <w:rPr>
                <w:rFonts w:eastAsia="Calibri"/>
                <w:sz w:val="20"/>
                <w:lang w:val="fr-CA"/>
              </w:rPr>
            </w:pPr>
          </w:p>
        </w:tc>
        <w:tc>
          <w:tcPr>
            <w:tcW w:w="243" w:type="pct"/>
          </w:tcPr>
          <w:p w:rsidR="002D7B0D" w:rsidRPr="005E5DDD" w:rsidRDefault="002D7B0D" w:rsidP="00F47A67">
            <w:pPr>
              <w:jc w:val="both"/>
              <w:rPr>
                <w:rFonts w:eastAsia="Calibri"/>
                <w:sz w:val="20"/>
                <w:lang w:val="fr-CA"/>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Intimés condamnés solidairement à verser des dommages</w:t>
            </w:r>
            <w:r w:rsidRPr="005E5DDD">
              <w:rPr>
                <w:rFonts w:eastAsia="Calibri"/>
                <w:sz w:val="20"/>
                <w:lang w:val="fr-CA"/>
              </w:rPr>
              <w:noBreakHyphen/>
              <w:t>intérêts de 380 597 $ plus les intérêts et les dépens</w:t>
            </w:r>
          </w:p>
        </w:tc>
      </w:tr>
      <w:tr w:rsidR="002D7B0D" w:rsidRPr="007C5A5B" w:rsidTr="009A7078">
        <w:trPr>
          <w:cantSplit/>
        </w:trPr>
        <w:tc>
          <w:tcPr>
            <w:tcW w:w="2427" w:type="pct"/>
          </w:tcPr>
          <w:p w:rsidR="002D7B0D" w:rsidRPr="005E5DDD" w:rsidRDefault="002D7B0D" w:rsidP="00F47A67">
            <w:pPr>
              <w:jc w:val="both"/>
              <w:rPr>
                <w:rFonts w:eastAsia="Calibri"/>
                <w:sz w:val="20"/>
                <w:lang w:val="fr-CA"/>
              </w:rPr>
            </w:pPr>
            <w:r w:rsidRPr="005E5DDD">
              <w:rPr>
                <w:rFonts w:eastAsia="Calibri"/>
                <w:sz w:val="20"/>
                <w:lang w:val="fr-CA"/>
              </w:rPr>
              <w:t>18 mars 2013</w:t>
            </w:r>
          </w:p>
          <w:p w:rsidR="002D7B0D" w:rsidRPr="005E5DDD" w:rsidRDefault="002D7B0D" w:rsidP="00F47A67">
            <w:pPr>
              <w:jc w:val="both"/>
              <w:rPr>
                <w:rFonts w:eastAsia="Calibri"/>
                <w:sz w:val="20"/>
                <w:lang w:val="fr-CA"/>
              </w:rPr>
            </w:pPr>
            <w:r w:rsidRPr="005E5DDD">
              <w:rPr>
                <w:rFonts w:eastAsia="Calibri"/>
                <w:sz w:val="20"/>
                <w:lang w:val="fr-CA"/>
              </w:rPr>
              <w:t>Cour d’appel de l’Alberta (Edmonton)</w:t>
            </w:r>
          </w:p>
          <w:p w:rsidR="002D7B0D" w:rsidRPr="005E5DDD" w:rsidRDefault="002D7B0D" w:rsidP="00F47A67">
            <w:pPr>
              <w:jc w:val="both"/>
              <w:rPr>
                <w:rFonts w:eastAsia="Calibri"/>
                <w:sz w:val="20"/>
                <w:lang w:val="fr-CA"/>
              </w:rPr>
            </w:pPr>
            <w:r w:rsidRPr="005E5DDD">
              <w:rPr>
                <w:rFonts w:eastAsia="Calibri"/>
                <w:sz w:val="20"/>
                <w:lang w:val="fr-CA"/>
              </w:rPr>
              <w:t>(Juges Côté, Paperny et Belzil)</w:t>
            </w:r>
          </w:p>
          <w:p w:rsidR="002D7B0D" w:rsidRPr="005E5DDD" w:rsidRDefault="002D7B0D" w:rsidP="00F47A67">
            <w:pPr>
              <w:jc w:val="both"/>
              <w:rPr>
                <w:rFonts w:eastAsia="Calibri"/>
                <w:sz w:val="20"/>
                <w:lang w:val="fr-CA"/>
              </w:rPr>
            </w:pPr>
            <w:r w:rsidRPr="005E5DDD">
              <w:rPr>
                <w:rFonts w:eastAsia="Calibri"/>
                <w:sz w:val="20"/>
                <w:lang w:val="fr-CA"/>
              </w:rPr>
              <w:t>2013 ABCA 98; 1203</w:t>
            </w:r>
            <w:r w:rsidRPr="005E5DDD">
              <w:rPr>
                <w:rFonts w:eastAsia="Calibri"/>
                <w:sz w:val="20"/>
                <w:lang w:val="fr-CA"/>
              </w:rPr>
              <w:noBreakHyphen/>
              <w:t>0178</w:t>
            </w:r>
            <w:r w:rsidRPr="005E5DDD">
              <w:rPr>
                <w:rFonts w:eastAsia="Calibri"/>
                <w:sz w:val="20"/>
                <w:lang w:val="fr-CA"/>
              </w:rPr>
              <w:noBreakHyphen/>
              <w:t xml:space="preserve">AC </w:t>
            </w:r>
          </w:p>
          <w:p w:rsidR="002D7B0D" w:rsidRPr="005E5DDD" w:rsidRDefault="002D7B0D" w:rsidP="00F47A67">
            <w:pPr>
              <w:jc w:val="both"/>
              <w:rPr>
                <w:rFonts w:eastAsia="Calibri"/>
                <w:sz w:val="20"/>
                <w:lang w:val="fr-CA"/>
              </w:rPr>
            </w:pPr>
          </w:p>
        </w:tc>
        <w:tc>
          <w:tcPr>
            <w:tcW w:w="243" w:type="pct"/>
          </w:tcPr>
          <w:p w:rsidR="002D7B0D" w:rsidRPr="005E5DDD" w:rsidRDefault="002D7B0D" w:rsidP="00F47A67">
            <w:pPr>
              <w:jc w:val="both"/>
              <w:rPr>
                <w:rFonts w:eastAsia="Calibri"/>
                <w:sz w:val="20"/>
                <w:lang w:val="fr-CA"/>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Appel accueilli et poursuite du demandeur rejetée</w:t>
            </w:r>
          </w:p>
          <w:p w:rsidR="002D7B0D" w:rsidRPr="005E5DDD" w:rsidRDefault="002D7B0D" w:rsidP="00F47A67">
            <w:pPr>
              <w:jc w:val="both"/>
              <w:rPr>
                <w:rFonts w:eastAsia="Calibri"/>
                <w:sz w:val="20"/>
                <w:lang w:val="fr-CA"/>
              </w:rPr>
            </w:pPr>
          </w:p>
        </w:tc>
      </w:tr>
      <w:tr w:rsidR="002D7B0D" w:rsidRPr="005E5DDD" w:rsidTr="009A7078">
        <w:trPr>
          <w:cantSplit/>
        </w:trPr>
        <w:tc>
          <w:tcPr>
            <w:tcW w:w="2427" w:type="pct"/>
          </w:tcPr>
          <w:p w:rsidR="002D7B0D" w:rsidRPr="005E5DDD" w:rsidRDefault="002D7B0D" w:rsidP="00F47A67">
            <w:pPr>
              <w:jc w:val="both"/>
              <w:rPr>
                <w:rFonts w:eastAsia="Calibri"/>
                <w:sz w:val="20"/>
                <w:lang w:val="fr-CA"/>
              </w:rPr>
            </w:pPr>
            <w:r w:rsidRPr="005E5DDD">
              <w:rPr>
                <w:rFonts w:eastAsia="Calibri"/>
                <w:sz w:val="20"/>
                <w:lang w:val="fr-CA"/>
              </w:rPr>
              <w:t>16 mai 2013</w:t>
            </w:r>
          </w:p>
          <w:p w:rsidR="002D7B0D" w:rsidRPr="005E5DDD" w:rsidRDefault="002D7B0D" w:rsidP="00F47A67">
            <w:pPr>
              <w:jc w:val="both"/>
              <w:rPr>
                <w:rFonts w:eastAsia="Calibri"/>
                <w:sz w:val="20"/>
                <w:lang w:val="fr-CA"/>
              </w:rPr>
            </w:pPr>
            <w:r w:rsidRPr="005E5DDD">
              <w:rPr>
                <w:rFonts w:eastAsia="Calibri"/>
                <w:sz w:val="20"/>
                <w:lang w:val="fr-CA"/>
              </w:rPr>
              <w:t>Cour suprême du Canada</w:t>
            </w:r>
          </w:p>
        </w:tc>
        <w:tc>
          <w:tcPr>
            <w:tcW w:w="243" w:type="pct"/>
          </w:tcPr>
          <w:p w:rsidR="002D7B0D" w:rsidRPr="005E5DDD" w:rsidRDefault="002D7B0D" w:rsidP="00F47A67">
            <w:pPr>
              <w:jc w:val="both"/>
              <w:rPr>
                <w:rFonts w:eastAsia="Calibri"/>
                <w:sz w:val="20"/>
                <w:lang w:val="fr-CA"/>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Demande d’autorisation d’appel, déposée</w:t>
            </w:r>
          </w:p>
          <w:p w:rsidR="002D7B0D" w:rsidRPr="005E5DDD" w:rsidRDefault="002D7B0D" w:rsidP="00F47A67">
            <w:pPr>
              <w:jc w:val="both"/>
              <w:rPr>
                <w:rFonts w:eastAsia="Calibri"/>
                <w:sz w:val="20"/>
                <w:lang w:val="fr-CA"/>
              </w:rPr>
            </w:pPr>
          </w:p>
        </w:tc>
      </w:tr>
    </w:tbl>
    <w:p w:rsidR="009D08C5" w:rsidRDefault="009D08C5" w:rsidP="009D08C5">
      <w:pPr>
        <w:rPr>
          <w:sz w:val="20"/>
          <w:szCs w:val="20"/>
        </w:rPr>
      </w:pPr>
    </w:p>
    <w:p w:rsidR="009D08C5" w:rsidRDefault="005F2BA7" w:rsidP="009D08C5">
      <w:pPr>
        <w:rPr>
          <w:sz w:val="20"/>
          <w:szCs w:val="20"/>
          <w:lang w:val="fr-CA"/>
        </w:rPr>
      </w:pPr>
      <w:r w:rsidRPr="005F2BA7">
        <w:rPr>
          <w:sz w:val="20"/>
          <w:szCs w:val="20"/>
          <w:lang w:val="fr-CA"/>
        </w:rPr>
        <w:pict>
          <v:rect id="_x0000_i1111" style="width:2in;height:1pt" o:hrpct="0" o:hralign="center" o:hrstd="t" o:hrnoshade="t" o:hr="t" fillcolor="black [3213]" stroked="f"/>
        </w:pict>
      </w:r>
    </w:p>
    <w:p w:rsidR="009D08C5" w:rsidRDefault="009D08C5" w:rsidP="009D08C5">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A7078" w:rsidRPr="007C5A5B" w:rsidTr="009A7078">
        <w:trPr>
          <w:cantSplit/>
        </w:trPr>
        <w:tc>
          <w:tcPr>
            <w:tcW w:w="1458" w:type="dxa"/>
          </w:tcPr>
          <w:p w:rsidR="009A7078" w:rsidRPr="00DD6605" w:rsidRDefault="009A7078" w:rsidP="009A7078">
            <w:pPr>
              <w:rPr>
                <w:sz w:val="20"/>
                <w:szCs w:val="20"/>
              </w:rPr>
            </w:pPr>
            <w:r w:rsidRPr="00DD6605">
              <w:rPr>
                <w:rStyle w:val="SCCFileNumberChar"/>
                <w:sz w:val="20"/>
                <w:szCs w:val="20"/>
              </w:rPr>
              <w:t>35383</w:t>
            </w:r>
          </w:p>
          <w:p w:rsidR="009A7078" w:rsidRPr="00DD6605" w:rsidRDefault="009A7078" w:rsidP="009A7078">
            <w:pPr>
              <w:rPr>
                <w:b/>
                <w:sz w:val="20"/>
                <w:szCs w:val="20"/>
                <w:lang w:val="fr-CA"/>
              </w:rPr>
            </w:pPr>
          </w:p>
        </w:tc>
        <w:tc>
          <w:tcPr>
            <w:tcW w:w="8118" w:type="dxa"/>
          </w:tcPr>
          <w:p w:rsidR="009A7078" w:rsidRPr="00DD6605" w:rsidRDefault="009A7078" w:rsidP="009A7078">
            <w:pPr>
              <w:jc w:val="both"/>
              <w:rPr>
                <w:sz w:val="20"/>
                <w:szCs w:val="20"/>
                <w:lang w:val="fr-CA"/>
              </w:rPr>
            </w:pPr>
            <w:r w:rsidRPr="00DD6605">
              <w:rPr>
                <w:rStyle w:val="SCCLsocChar"/>
                <w:sz w:val="20"/>
                <w:szCs w:val="20"/>
              </w:rPr>
              <w:t>Luc Vallée c. Léna Thibault, en sa qualité de syndic de la Chambre de la sécurité financière</w:t>
            </w:r>
            <w:r w:rsidR="00203481">
              <w:rPr>
                <w:rStyle w:val="SCCLsocChar"/>
                <w:sz w:val="20"/>
                <w:szCs w:val="20"/>
              </w:rPr>
              <w:t xml:space="preserve"> et</w:t>
            </w:r>
            <w:r w:rsidRPr="00DD6605">
              <w:rPr>
                <w:rStyle w:val="SCCLsocChar"/>
                <w:sz w:val="20"/>
                <w:szCs w:val="20"/>
              </w:rPr>
              <w:t xml:space="preserve"> Chambre de la sécurité financière (Comité de discipline)</w:t>
            </w:r>
            <w:r w:rsidRPr="00DD6605">
              <w:rPr>
                <w:sz w:val="20"/>
                <w:szCs w:val="20"/>
                <w:lang w:val="fr-CA"/>
              </w:rPr>
              <w:t xml:space="preserve"> (Qc) (Civile) (Autorisation)</w:t>
            </w:r>
          </w:p>
          <w:p w:rsidR="009A7078" w:rsidRPr="00DD6605" w:rsidRDefault="009A7078" w:rsidP="009A7078">
            <w:pPr>
              <w:jc w:val="both"/>
              <w:rPr>
                <w:sz w:val="20"/>
                <w:szCs w:val="20"/>
                <w:lang w:val="fr-CA"/>
              </w:rPr>
            </w:pPr>
          </w:p>
        </w:tc>
      </w:tr>
      <w:tr w:rsidR="009A7078" w:rsidRPr="007C5A5B" w:rsidTr="009A7078">
        <w:trPr>
          <w:cantSplit/>
        </w:trPr>
        <w:tc>
          <w:tcPr>
            <w:tcW w:w="1458" w:type="dxa"/>
          </w:tcPr>
          <w:p w:rsidR="009A7078" w:rsidRPr="00DD6605" w:rsidRDefault="009A7078" w:rsidP="009A7078">
            <w:pPr>
              <w:rPr>
                <w:sz w:val="20"/>
                <w:szCs w:val="20"/>
              </w:rPr>
            </w:pPr>
            <w:r w:rsidRPr="00DD6605">
              <w:rPr>
                <w:sz w:val="20"/>
                <w:szCs w:val="20"/>
              </w:rPr>
              <w:t>Coram :</w:t>
            </w:r>
          </w:p>
        </w:tc>
        <w:tc>
          <w:tcPr>
            <w:tcW w:w="8118" w:type="dxa"/>
          </w:tcPr>
          <w:p w:rsidR="009A7078" w:rsidRPr="00DD6605" w:rsidRDefault="009A7078" w:rsidP="009A7078">
            <w:pPr>
              <w:rPr>
                <w:sz w:val="20"/>
                <w:szCs w:val="20"/>
                <w:lang w:val="fr-CA"/>
              </w:rPr>
            </w:pPr>
            <w:r w:rsidRPr="00DD6605">
              <w:rPr>
                <w:rStyle w:val="SCCCoramChar"/>
                <w:sz w:val="20"/>
                <w:szCs w:val="20"/>
              </w:rPr>
              <w:t>La juge en chef McLachlin et les juges Abella et Cromwell</w:t>
            </w:r>
          </w:p>
          <w:p w:rsidR="009A7078" w:rsidRPr="00DD6605" w:rsidRDefault="009A7078" w:rsidP="009A7078">
            <w:pPr>
              <w:rPr>
                <w:sz w:val="20"/>
                <w:szCs w:val="20"/>
                <w:u w:val="single"/>
                <w:lang w:val="fr-CA"/>
              </w:rPr>
            </w:pPr>
          </w:p>
        </w:tc>
      </w:tr>
      <w:tr w:rsidR="009A7078" w:rsidRPr="00DD6605" w:rsidTr="009A7078">
        <w:trPr>
          <w:cantSplit/>
        </w:trPr>
        <w:tc>
          <w:tcPr>
            <w:tcW w:w="9576" w:type="dxa"/>
            <w:gridSpan w:val="2"/>
          </w:tcPr>
          <w:p w:rsidR="009A7078" w:rsidRPr="00DD6605" w:rsidRDefault="009A7078" w:rsidP="009A7078">
            <w:pPr>
              <w:pStyle w:val="SCCShortJudgment"/>
              <w:rPr>
                <w:szCs w:val="20"/>
                <w:lang w:val="fr-CA"/>
              </w:rPr>
            </w:pPr>
            <w:r w:rsidRPr="00DD6605">
              <w:rPr>
                <w:szCs w:val="20"/>
                <w:lang w:val="fr-CA"/>
              </w:rPr>
              <w:t>La demande d’autorisation d’appel de l’arrêt de la Cour d’appel du Québec (Montréal), numéro 500-09-021735-113, 2013 QCCA 535, daté du 22 mars 2013, est rejetée avec dépens en faveur de l’intimée Léna Thibault, en sa qualité de syndic de la Chambre de la sécurité financière.</w:t>
            </w:r>
          </w:p>
          <w:p w:rsidR="009A7078" w:rsidRPr="00DD6605" w:rsidRDefault="009A7078" w:rsidP="009A7078">
            <w:pPr>
              <w:pStyle w:val="SCCShortJudgment"/>
              <w:ind w:firstLine="0"/>
              <w:rPr>
                <w:szCs w:val="20"/>
                <w:lang w:val="fr-CA"/>
              </w:rPr>
            </w:pPr>
          </w:p>
          <w:p w:rsidR="009A7078" w:rsidRPr="00DD6605" w:rsidRDefault="009A7078" w:rsidP="009A7078">
            <w:pPr>
              <w:pStyle w:val="SCCShortJudgment"/>
              <w:rPr>
                <w:szCs w:val="20"/>
              </w:rPr>
            </w:pPr>
            <w:r w:rsidRPr="00DD6605">
              <w:rPr>
                <w:szCs w:val="20"/>
              </w:rPr>
              <w:t>The application for leave to appeal from the judgment of the Court of Appeal of Quebec (Montréal), Number 500-09-021735-113, 2013 QCCA 535, dated March 22, 2013, is dismissed with costs to the respondent Léna Thibault, en sa qualité de syndic de la Chambre de la sécurité financière.</w:t>
            </w:r>
          </w:p>
        </w:tc>
      </w:tr>
    </w:tbl>
    <w:p w:rsidR="009D08C5" w:rsidRPr="009A7078" w:rsidRDefault="009D08C5" w:rsidP="009D08C5">
      <w:pPr>
        <w:rPr>
          <w:sz w:val="20"/>
          <w:szCs w:val="20"/>
        </w:rPr>
      </w:pPr>
    </w:p>
    <w:p w:rsidR="009D08C5" w:rsidRPr="001B157C" w:rsidRDefault="009D08C5" w:rsidP="009D08C5">
      <w:pPr>
        <w:rPr>
          <w:sz w:val="20"/>
          <w:szCs w:val="20"/>
          <w:u w:val="single"/>
        </w:rPr>
      </w:pPr>
      <w:r w:rsidRPr="001B157C">
        <w:rPr>
          <w:sz w:val="20"/>
          <w:szCs w:val="20"/>
          <w:u w:val="single"/>
        </w:rPr>
        <w:t>CASE SUMMARY</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5E5DDD" w:rsidTr="00F47A67">
        <w:tc>
          <w:tcPr>
            <w:tcW w:w="5000" w:type="pct"/>
            <w:gridSpan w:val="3"/>
          </w:tcPr>
          <w:p w:rsidR="002D7B0D" w:rsidRPr="005E5DDD" w:rsidRDefault="002D7B0D" w:rsidP="00F47A67">
            <w:pPr>
              <w:jc w:val="both"/>
              <w:rPr>
                <w:rFonts w:eastAsia="Calibri"/>
                <w:sz w:val="20"/>
              </w:rPr>
            </w:pPr>
            <w:r w:rsidRPr="005E5DDD">
              <w:rPr>
                <w:rFonts w:eastAsia="Calibri"/>
                <w:sz w:val="20"/>
              </w:rPr>
              <w:t>Law of professions — Discipline — Securities brokers — Evidence in disciplinary proceedings — Clear and convincing proof — Broker acquitted by discipline committee but subsequently found guilty by Court of Québec — Court of Appeal dismissing appeal — Whether Court of Appeal erred in concluding that contradictory evidence constituted clear and convincing proof.</w:t>
            </w:r>
          </w:p>
        </w:tc>
      </w:tr>
      <w:tr w:rsidR="002D7B0D" w:rsidRPr="005E5DDD" w:rsidTr="00F47A67">
        <w:tc>
          <w:tcPr>
            <w:tcW w:w="5000" w:type="pct"/>
            <w:gridSpan w:val="3"/>
          </w:tcPr>
          <w:p w:rsidR="002D7B0D" w:rsidRPr="005E5DDD" w:rsidRDefault="002D7B0D" w:rsidP="00F47A67">
            <w:pPr>
              <w:jc w:val="both"/>
              <w:rPr>
                <w:rFonts w:eastAsia="Calibri"/>
                <w:sz w:val="20"/>
              </w:rPr>
            </w:pPr>
          </w:p>
        </w:tc>
      </w:tr>
      <w:tr w:rsidR="002D7B0D" w:rsidRPr="005E5DDD" w:rsidTr="00F47A67">
        <w:tc>
          <w:tcPr>
            <w:tcW w:w="5000" w:type="pct"/>
            <w:gridSpan w:val="3"/>
          </w:tcPr>
          <w:p w:rsidR="002D7B0D" w:rsidRPr="005E5DDD" w:rsidRDefault="002D7B0D" w:rsidP="00F47A67">
            <w:pPr>
              <w:jc w:val="both"/>
              <w:rPr>
                <w:rFonts w:eastAsia="Calibri"/>
                <w:sz w:val="20"/>
              </w:rPr>
            </w:pPr>
            <w:r w:rsidRPr="005E5DDD">
              <w:rPr>
                <w:rFonts w:eastAsia="Calibri"/>
                <w:sz w:val="20"/>
              </w:rPr>
              <w:t xml:space="preserve">Mr. Vallée is a securities broker.  He acted as financial adviser for two clients who were also spouses.  At one point, Mr. Vallée advised these clients to transfer their funds to mutual funds with his new employer.  When the clients balked at completing the transaction because of the considerable deferred sales charges they would incur in doing so, Mr. Vallée proposed that each of them sign an agreement with him.  It was alleged that these agreements constituted a performance guarantee by Mr. Vallée with regard to the new investments he was proposing, which is prohibited under the regulations applicable to securities brokers.  </w:t>
            </w:r>
          </w:p>
          <w:p w:rsidR="002D7B0D" w:rsidRPr="005E5DDD" w:rsidRDefault="002D7B0D" w:rsidP="00F47A67">
            <w:pPr>
              <w:jc w:val="both"/>
              <w:rPr>
                <w:rFonts w:eastAsia="Calibri"/>
                <w:sz w:val="20"/>
              </w:rPr>
            </w:pPr>
          </w:p>
          <w:p w:rsidR="002D7B0D" w:rsidRPr="005E5DDD" w:rsidRDefault="002D7B0D" w:rsidP="00F47A67">
            <w:pPr>
              <w:jc w:val="both"/>
              <w:rPr>
                <w:rFonts w:eastAsia="Calibri"/>
                <w:sz w:val="20"/>
              </w:rPr>
            </w:pPr>
            <w:r w:rsidRPr="005E5DDD">
              <w:rPr>
                <w:rFonts w:eastAsia="Calibri"/>
                <w:sz w:val="20"/>
              </w:rPr>
              <w:t xml:space="preserve">A disciplinary complaint was filed against Mr. Vallée.  This complaint consisted of four counts, two of being a party to a performance guarantee agreement and two of failing to act with loyalty and integrity by not subordinating his interests to those of a client. </w:t>
            </w:r>
          </w:p>
          <w:p w:rsidR="002D7B0D" w:rsidRPr="005E5DDD" w:rsidRDefault="002D7B0D" w:rsidP="00F47A67">
            <w:pPr>
              <w:jc w:val="both"/>
              <w:rPr>
                <w:rFonts w:eastAsia="Calibri"/>
                <w:sz w:val="20"/>
              </w:rPr>
            </w:pPr>
          </w:p>
          <w:p w:rsidR="002D7B0D" w:rsidRPr="005E5DDD" w:rsidRDefault="002D7B0D" w:rsidP="00F47A67">
            <w:pPr>
              <w:jc w:val="both"/>
              <w:rPr>
                <w:rFonts w:eastAsia="Calibri"/>
                <w:sz w:val="20"/>
              </w:rPr>
            </w:pPr>
            <w:r w:rsidRPr="005E5DDD">
              <w:rPr>
                <w:rFonts w:eastAsia="Calibri"/>
                <w:sz w:val="20"/>
              </w:rPr>
              <w:t>In March 2010, the discipline committee of the Chambre de la sécurité financière acquitted Mr. Vallée on all four counts.</w:t>
            </w:r>
          </w:p>
          <w:p w:rsidR="002D7B0D" w:rsidRPr="005E5DDD" w:rsidRDefault="002D7B0D" w:rsidP="00F47A67">
            <w:pPr>
              <w:jc w:val="both"/>
              <w:rPr>
                <w:rFonts w:eastAsia="Calibri"/>
                <w:sz w:val="20"/>
              </w:rPr>
            </w:pPr>
          </w:p>
        </w:tc>
      </w:tr>
      <w:tr w:rsidR="002D7B0D" w:rsidRPr="005E5DDD" w:rsidTr="009A7078">
        <w:trPr>
          <w:cantSplit/>
        </w:trPr>
        <w:tc>
          <w:tcPr>
            <w:tcW w:w="2427" w:type="pct"/>
          </w:tcPr>
          <w:p w:rsidR="002D7B0D" w:rsidRPr="005E5DDD" w:rsidRDefault="002D7B0D" w:rsidP="00F47A67">
            <w:pPr>
              <w:jc w:val="both"/>
              <w:rPr>
                <w:rFonts w:eastAsia="Calibri"/>
                <w:sz w:val="20"/>
              </w:rPr>
            </w:pPr>
            <w:r w:rsidRPr="005E5DDD">
              <w:rPr>
                <w:rFonts w:eastAsia="Calibri"/>
                <w:sz w:val="20"/>
              </w:rPr>
              <w:lastRenderedPageBreak/>
              <w:t>May 9, 2011</w:t>
            </w:r>
          </w:p>
          <w:p w:rsidR="002D7B0D" w:rsidRPr="005E5DDD" w:rsidRDefault="002D7B0D" w:rsidP="00F47A67">
            <w:pPr>
              <w:jc w:val="both"/>
              <w:rPr>
                <w:rFonts w:eastAsia="Calibri"/>
                <w:sz w:val="20"/>
              </w:rPr>
            </w:pPr>
            <w:r w:rsidRPr="005E5DDD">
              <w:rPr>
                <w:rFonts w:eastAsia="Calibri"/>
                <w:sz w:val="20"/>
              </w:rPr>
              <w:t>Court of Québec</w:t>
            </w:r>
          </w:p>
          <w:p w:rsidR="002D7B0D" w:rsidRPr="005E5DDD" w:rsidRDefault="002D7B0D" w:rsidP="00F47A67">
            <w:pPr>
              <w:jc w:val="both"/>
              <w:rPr>
                <w:rFonts w:eastAsia="Calibri"/>
                <w:sz w:val="20"/>
              </w:rPr>
            </w:pPr>
            <w:r w:rsidRPr="005E5DDD">
              <w:rPr>
                <w:rFonts w:eastAsia="Calibri"/>
                <w:sz w:val="20"/>
              </w:rPr>
              <w:t>(Judge Pinsonneault)</w:t>
            </w:r>
          </w:p>
          <w:p w:rsidR="002D7B0D" w:rsidRPr="005E5DDD" w:rsidRDefault="002D7B0D" w:rsidP="00F47A67">
            <w:pPr>
              <w:jc w:val="both"/>
              <w:rPr>
                <w:rFonts w:eastAsia="Calibri"/>
                <w:sz w:val="20"/>
              </w:rPr>
            </w:pPr>
            <w:r w:rsidRPr="005E5DDD">
              <w:rPr>
                <w:rFonts w:eastAsia="Calibri"/>
                <w:sz w:val="20"/>
              </w:rPr>
              <w:t>2011 QCCQ 4741</w:t>
            </w:r>
          </w:p>
          <w:p w:rsidR="002D7B0D" w:rsidRPr="005E5DDD" w:rsidRDefault="002D7B0D" w:rsidP="00F47A67">
            <w:pPr>
              <w:jc w:val="both"/>
              <w:rPr>
                <w:rFonts w:eastAsia="Calibri"/>
                <w:sz w:val="20"/>
              </w:rPr>
            </w:pP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Decision of discipline committee of Chambre de la sécurité financière acquitting  applicant reversed; Applicant found guilty of four offences, and file referred back to  discipline committee to impose appropriate penalties</w:t>
            </w:r>
          </w:p>
          <w:p w:rsidR="002D7B0D" w:rsidRPr="005E5DDD" w:rsidRDefault="002D7B0D" w:rsidP="00F47A67">
            <w:pPr>
              <w:jc w:val="both"/>
              <w:rPr>
                <w:rFonts w:eastAsia="Calibri"/>
                <w:sz w:val="20"/>
              </w:rPr>
            </w:pPr>
          </w:p>
        </w:tc>
      </w:tr>
      <w:tr w:rsidR="002D7B0D" w:rsidRPr="005E5DDD" w:rsidTr="009A7078">
        <w:trPr>
          <w:cantSplit/>
        </w:trPr>
        <w:tc>
          <w:tcPr>
            <w:tcW w:w="2427" w:type="pct"/>
          </w:tcPr>
          <w:p w:rsidR="002D7B0D" w:rsidRPr="005E5DDD" w:rsidRDefault="002D7B0D" w:rsidP="00F47A67">
            <w:pPr>
              <w:jc w:val="both"/>
              <w:rPr>
                <w:rFonts w:eastAsia="Calibri"/>
                <w:sz w:val="20"/>
              </w:rPr>
            </w:pPr>
            <w:r w:rsidRPr="005E5DDD">
              <w:rPr>
                <w:rFonts w:eastAsia="Calibri"/>
                <w:sz w:val="20"/>
              </w:rPr>
              <w:t>March 22, 2013</w:t>
            </w:r>
          </w:p>
          <w:p w:rsidR="002D7B0D" w:rsidRPr="005E5DDD" w:rsidRDefault="002D7B0D" w:rsidP="00F47A67">
            <w:pPr>
              <w:jc w:val="both"/>
              <w:rPr>
                <w:rFonts w:eastAsia="Calibri"/>
                <w:sz w:val="20"/>
              </w:rPr>
            </w:pPr>
            <w:r w:rsidRPr="005E5DDD">
              <w:rPr>
                <w:rFonts w:eastAsia="Calibri"/>
                <w:sz w:val="20"/>
              </w:rPr>
              <w:t>Quebec Court of Appeal (Montréal)</w:t>
            </w:r>
          </w:p>
          <w:p w:rsidR="002D7B0D" w:rsidRPr="005E5DDD" w:rsidRDefault="002D7B0D" w:rsidP="00F47A67">
            <w:pPr>
              <w:jc w:val="both"/>
              <w:rPr>
                <w:rFonts w:eastAsia="Calibri"/>
                <w:sz w:val="20"/>
                <w:lang w:val="fr-CA"/>
              </w:rPr>
            </w:pPr>
            <w:r w:rsidRPr="005E5DDD">
              <w:rPr>
                <w:rFonts w:eastAsia="Calibri"/>
                <w:sz w:val="20"/>
                <w:lang w:val="fr-CA"/>
              </w:rPr>
              <w:t>(Morissette, Vézina and Léger JJ.A.)</w:t>
            </w:r>
          </w:p>
          <w:p w:rsidR="002D7B0D" w:rsidRPr="005E5DDD" w:rsidRDefault="002D7B0D" w:rsidP="00F47A67">
            <w:pPr>
              <w:jc w:val="both"/>
              <w:rPr>
                <w:rFonts w:eastAsia="Calibri"/>
                <w:sz w:val="20"/>
              </w:rPr>
            </w:pPr>
            <w:r w:rsidRPr="005E5DDD">
              <w:rPr>
                <w:rFonts w:eastAsia="Calibri"/>
                <w:sz w:val="20"/>
              </w:rPr>
              <w:t>2013 QCCA 535</w:t>
            </w:r>
          </w:p>
          <w:p w:rsidR="002D7B0D" w:rsidRPr="005E5DDD" w:rsidRDefault="002D7B0D" w:rsidP="00F47A67">
            <w:pPr>
              <w:jc w:val="both"/>
              <w:rPr>
                <w:rFonts w:eastAsia="Calibri"/>
                <w:sz w:val="20"/>
              </w:rPr>
            </w:pP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Appeal dismissed</w:t>
            </w:r>
          </w:p>
          <w:p w:rsidR="002D7B0D" w:rsidRPr="005E5DDD" w:rsidRDefault="002D7B0D" w:rsidP="00F47A67">
            <w:pPr>
              <w:jc w:val="both"/>
              <w:rPr>
                <w:rFonts w:eastAsia="Calibri"/>
                <w:sz w:val="20"/>
              </w:rPr>
            </w:pPr>
          </w:p>
        </w:tc>
      </w:tr>
      <w:tr w:rsidR="002D7B0D" w:rsidRPr="005E5DDD" w:rsidTr="009A7078">
        <w:trPr>
          <w:cantSplit/>
        </w:trPr>
        <w:tc>
          <w:tcPr>
            <w:tcW w:w="2427" w:type="pct"/>
          </w:tcPr>
          <w:p w:rsidR="002D7B0D" w:rsidRPr="005E5DDD" w:rsidRDefault="002D7B0D" w:rsidP="00F47A67">
            <w:pPr>
              <w:jc w:val="both"/>
              <w:rPr>
                <w:rFonts w:eastAsia="Calibri"/>
                <w:sz w:val="20"/>
              </w:rPr>
            </w:pPr>
            <w:r w:rsidRPr="005E5DDD">
              <w:rPr>
                <w:rFonts w:eastAsia="Calibri"/>
                <w:sz w:val="20"/>
              </w:rPr>
              <w:t>May 21, 2013</w:t>
            </w:r>
          </w:p>
          <w:p w:rsidR="002D7B0D" w:rsidRPr="005E5DDD" w:rsidRDefault="002D7B0D" w:rsidP="00F47A67">
            <w:pPr>
              <w:jc w:val="both"/>
              <w:rPr>
                <w:rFonts w:eastAsia="Calibri"/>
                <w:sz w:val="20"/>
              </w:rPr>
            </w:pPr>
            <w:r w:rsidRPr="005E5DDD">
              <w:rPr>
                <w:rFonts w:eastAsia="Calibri"/>
                <w:sz w:val="20"/>
              </w:rPr>
              <w:t>Supreme Court of Canada</w:t>
            </w: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Application for leave to appeal filed</w:t>
            </w:r>
          </w:p>
          <w:p w:rsidR="002D7B0D" w:rsidRPr="005E5DDD" w:rsidRDefault="002D7B0D" w:rsidP="00F47A67">
            <w:pPr>
              <w:jc w:val="both"/>
              <w:rPr>
                <w:rFonts w:eastAsia="Calibri"/>
                <w:sz w:val="20"/>
              </w:rPr>
            </w:pPr>
          </w:p>
        </w:tc>
      </w:tr>
    </w:tbl>
    <w:p w:rsidR="009D08C5" w:rsidRDefault="009D08C5" w:rsidP="009D08C5">
      <w:pPr>
        <w:rPr>
          <w:sz w:val="20"/>
          <w:szCs w:val="20"/>
        </w:rPr>
      </w:pPr>
    </w:p>
    <w:p w:rsidR="009D08C5" w:rsidRPr="00C50A5C" w:rsidRDefault="005F2BA7" w:rsidP="009D08C5">
      <w:pPr>
        <w:rPr>
          <w:sz w:val="20"/>
          <w:szCs w:val="20"/>
        </w:rPr>
      </w:pPr>
      <w:r w:rsidRPr="005F2BA7">
        <w:rPr>
          <w:sz w:val="20"/>
          <w:szCs w:val="20"/>
          <w:lang w:val="fr-CA"/>
        </w:rPr>
        <w:pict>
          <v:rect id="_x0000_i1112" style="width:2in;height:1pt" o:hrpct="0" o:hralign="center" o:hrstd="t" o:hrnoshade="t" o:hr="t" fillcolor="black [3213]" stroked="f"/>
        </w:pict>
      </w:r>
    </w:p>
    <w:p w:rsidR="009D08C5" w:rsidRDefault="009D08C5" w:rsidP="009D08C5">
      <w:pPr>
        <w:rPr>
          <w:sz w:val="20"/>
          <w:szCs w:val="20"/>
        </w:rPr>
      </w:pPr>
    </w:p>
    <w:p w:rsidR="009D08C5" w:rsidRPr="001B157C" w:rsidRDefault="009D08C5" w:rsidP="009D08C5">
      <w:pPr>
        <w:rPr>
          <w:sz w:val="20"/>
          <w:szCs w:val="20"/>
          <w:u w:val="single"/>
          <w:lang w:val="fr-CA"/>
        </w:rPr>
      </w:pPr>
      <w:r w:rsidRPr="001B157C">
        <w:rPr>
          <w:sz w:val="20"/>
          <w:szCs w:val="20"/>
          <w:u w:val="single"/>
          <w:lang w:val="fr-CA"/>
        </w:rPr>
        <w:t>RÉSUMÉ DE L’AFFAIRE</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7C5A5B" w:rsidTr="00F47A67">
        <w:tc>
          <w:tcPr>
            <w:tcW w:w="5000" w:type="pct"/>
            <w:gridSpan w:val="3"/>
          </w:tcPr>
          <w:p w:rsidR="002D7B0D" w:rsidRPr="005E5DDD" w:rsidRDefault="002D7B0D" w:rsidP="00F47A67">
            <w:pPr>
              <w:jc w:val="both"/>
              <w:rPr>
                <w:rFonts w:eastAsia="Calibri"/>
                <w:sz w:val="20"/>
                <w:lang w:val="fr-CA"/>
              </w:rPr>
            </w:pPr>
            <w:r w:rsidRPr="005E5DDD">
              <w:rPr>
                <w:rFonts w:eastAsia="Calibri"/>
                <w:sz w:val="20"/>
                <w:lang w:val="fr-CA"/>
              </w:rPr>
              <w:t>Droit des professions — Discipline — Courtier en valeurs mobilières — Preuve en matière disciplinaire — Preuve convaincante et sans ambigüité — Courtier acquitté par Comité de discipline mais subséquemment déclaré coupable par Cour du Québec — Cour d’appel rejetant appel — Cour d’appel a-t-elle erré en concluant qu’une preuve contradictoire constituait une preuve convaincante et sans ambigüité</w:t>
            </w:r>
          </w:p>
        </w:tc>
      </w:tr>
      <w:tr w:rsidR="002D7B0D" w:rsidRPr="007C5A5B" w:rsidTr="00F47A67">
        <w:tc>
          <w:tcPr>
            <w:tcW w:w="5000" w:type="pct"/>
            <w:gridSpan w:val="3"/>
          </w:tcPr>
          <w:p w:rsidR="002D7B0D" w:rsidRPr="005E5DDD" w:rsidRDefault="002D7B0D" w:rsidP="00F47A67">
            <w:pPr>
              <w:jc w:val="both"/>
              <w:rPr>
                <w:rFonts w:eastAsia="Calibri"/>
                <w:sz w:val="20"/>
                <w:lang w:val="fr-CA"/>
              </w:rPr>
            </w:pPr>
          </w:p>
        </w:tc>
      </w:tr>
      <w:tr w:rsidR="002D7B0D" w:rsidRPr="007C5A5B" w:rsidTr="00F47A67">
        <w:tc>
          <w:tcPr>
            <w:tcW w:w="5000" w:type="pct"/>
            <w:gridSpan w:val="3"/>
          </w:tcPr>
          <w:p w:rsidR="002D7B0D" w:rsidRPr="005E5DDD" w:rsidRDefault="002D7B0D" w:rsidP="00F47A67">
            <w:pPr>
              <w:jc w:val="both"/>
              <w:rPr>
                <w:rFonts w:eastAsia="Calibri"/>
                <w:sz w:val="20"/>
                <w:lang w:val="fr-CA"/>
              </w:rPr>
            </w:pPr>
            <w:r w:rsidRPr="005E5DDD">
              <w:rPr>
                <w:rFonts w:eastAsia="Calibri"/>
                <w:sz w:val="20"/>
                <w:lang w:val="fr-CA"/>
              </w:rPr>
              <w:t xml:space="preserve">M. Vallée est un courtier en valeurs mobilières.  Il était le conseiller financier de deux clients qui étaient aussi les conjoints l’un de l’autre.  À un certain moment, M. Vallée proposa à ces clients de transférer leurs fonds dans des fonds mutuels auprès de son nouvel employeur.  Lorsque ces clients hésitèrent à compléter la transaction en raison des frais de rachat importants qu’un tel transfert occasionnerait, M. Vallée proposa la signature d’ententes entre lui-même et chacun de ces clients.  Il est allégué que ces ententes constituaient une garantie de rendement de la part de M. Vallée relativement aux nouveaux placements qu’il proposait, ce qui est interdit en vertu de la règlementation applicable à la profession. </w:t>
            </w:r>
          </w:p>
          <w:p w:rsidR="002D7B0D" w:rsidRPr="005E5DDD" w:rsidRDefault="002D7B0D" w:rsidP="00F47A67">
            <w:pPr>
              <w:jc w:val="both"/>
              <w:rPr>
                <w:rFonts w:eastAsia="Calibri"/>
                <w:sz w:val="20"/>
                <w:lang w:val="fr-CA"/>
              </w:rPr>
            </w:pPr>
          </w:p>
          <w:p w:rsidR="002D7B0D" w:rsidRPr="005E5DDD" w:rsidRDefault="002D7B0D" w:rsidP="00F47A67">
            <w:pPr>
              <w:jc w:val="both"/>
              <w:rPr>
                <w:rFonts w:eastAsia="Calibri"/>
                <w:sz w:val="20"/>
                <w:lang w:val="fr-CA"/>
              </w:rPr>
            </w:pPr>
            <w:r w:rsidRPr="005E5DDD">
              <w:rPr>
                <w:rFonts w:eastAsia="Calibri"/>
                <w:sz w:val="20"/>
                <w:lang w:val="fr-CA"/>
              </w:rPr>
              <w:t xml:space="preserve">Une plainte disciplinaire fut portée contre M. Vallée.  Cette plainte comportait quatre chefs, dont deux chefs d’avoir été partie à une entente de garantie de rendement et deux chefs d’avoir fait défaut de loyauté et d’intégrité en ne subordonnant pas son intérêt à l’intérêt d’un client. </w:t>
            </w:r>
          </w:p>
          <w:p w:rsidR="002D7B0D" w:rsidRPr="005E5DDD" w:rsidRDefault="002D7B0D" w:rsidP="00F47A67">
            <w:pPr>
              <w:jc w:val="both"/>
              <w:rPr>
                <w:rFonts w:eastAsia="Calibri"/>
                <w:sz w:val="20"/>
                <w:lang w:val="fr-CA"/>
              </w:rPr>
            </w:pPr>
          </w:p>
          <w:p w:rsidR="002D7B0D" w:rsidRPr="005E5DDD" w:rsidRDefault="002D7B0D" w:rsidP="00F47A67">
            <w:pPr>
              <w:jc w:val="both"/>
              <w:rPr>
                <w:rFonts w:eastAsia="Calibri"/>
                <w:sz w:val="20"/>
                <w:lang w:val="fr-CA"/>
              </w:rPr>
            </w:pPr>
            <w:r w:rsidRPr="005E5DDD">
              <w:rPr>
                <w:rFonts w:eastAsia="Calibri"/>
                <w:sz w:val="20"/>
                <w:lang w:val="fr-CA"/>
              </w:rPr>
              <w:t>En mars 2010, le Comité de discipline de la Chambre de la sécurité financière a rejeté les quatre chefs formulés contre M. Vallée.</w:t>
            </w:r>
          </w:p>
          <w:p w:rsidR="002D7B0D" w:rsidRPr="005E5DDD" w:rsidRDefault="002D7B0D" w:rsidP="00F47A67">
            <w:pPr>
              <w:jc w:val="both"/>
              <w:rPr>
                <w:rFonts w:eastAsia="Calibri"/>
                <w:sz w:val="20"/>
                <w:lang w:val="fr-CA"/>
              </w:rPr>
            </w:pPr>
          </w:p>
        </w:tc>
      </w:tr>
      <w:tr w:rsidR="002D7B0D" w:rsidRPr="007C5A5B" w:rsidTr="00F47A67">
        <w:tc>
          <w:tcPr>
            <w:tcW w:w="2427" w:type="pct"/>
          </w:tcPr>
          <w:p w:rsidR="002D7B0D" w:rsidRPr="005E5DDD" w:rsidRDefault="002D7B0D" w:rsidP="00F47A67">
            <w:pPr>
              <w:jc w:val="both"/>
              <w:rPr>
                <w:rFonts w:eastAsia="Calibri"/>
                <w:sz w:val="20"/>
                <w:lang w:val="fr-CA"/>
              </w:rPr>
            </w:pPr>
            <w:r w:rsidRPr="005E5DDD">
              <w:rPr>
                <w:rFonts w:eastAsia="Calibri"/>
                <w:sz w:val="20"/>
                <w:lang w:val="fr-CA"/>
              </w:rPr>
              <w:t>Le 9 mai 2011</w:t>
            </w:r>
          </w:p>
          <w:p w:rsidR="002D7B0D" w:rsidRPr="005E5DDD" w:rsidRDefault="002D7B0D" w:rsidP="00F47A67">
            <w:pPr>
              <w:jc w:val="both"/>
              <w:rPr>
                <w:rFonts w:eastAsia="Calibri"/>
                <w:sz w:val="20"/>
                <w:lang w:val="fr-CA"/>
              </w:rPr>
            </w:pPr>
            <w:r w:rsidRPr="005E5DDD">
              <w:rPr>
                <w:rFonts w:eastAsia="Calibri"/>
                <w:sz w:val="20"/>
                <w:lang w:val="fr-CA"/>
              </w:rPr>
              <w:t>Cour du Québec</w:t>
            </w:r>
          </w:p>
          <w:p w:rsidR="002D7B0D" w:rsidRPr="005E5DDD" w:rsidRDefault="002D7B0D" w:rsidP="00F47A67">
            <w:pPr>
              <w:jc w:val="both"/>
              <w:rPr>
                <w:rFonts w:eastAsia="Calibri"/>
                <w:sz w:val="20"/>
                <w:lang w:val="fr-CA"/>
              </w:rPr>
            </w:pPr>
            <w:r w:rsidRPr="005E5DDD">
              <w:rPr>
                <w:rFonts w:eastAsia="Calibri"/>
                <w:sz w:val="20"/>
                <w:lang w:val="fr-CA"/>
              </w:rPr>
              <w:t>(Le juge Pinsonneault)</w:t>
            </w:r>
          </w:p>
          <w:p w:rsidR="002D7B0D" w:rsidRPr="005E5DDD" w:rsidRDefault="002D7B0D" w:rsidP="00F47A67">
            <w:pPr>
              <w:jc w:val="both"/>
              <w:rPr>
                <w:rFonts w:eastAsia="Calibri"/>
                <w:sz w:val="20"/>
                <w:lang w:val="fr-CA"/>
              </w:rPr>
            </w:pPr>
            <w:r w:rsidRPr="005E5DDD">
              <w:rPr>
                <w:rFonts w:eastAsia="Calibri"/>
                <w:sz w:val="20"/>
                <w:lang w:val="fr-CA"/>
              </w:rPr>
              <w:t>2011 QCCQ 4741</w:t>
            </w:r>
          </w:p>
          <w:p w:rsidR="002D7B0D" w:rsidRPr="005E5DDD" w:rsidRDefault="002D7B0D" w:rsidP="00F47A67">
            <w:pPr>
              <w:jc w:val="both"/>
              <w:rPr>
                <w:rFonts w:eastAsia="Calibri"/>
                <w:sz w:val="20"/>
                <w:lang w:val="fr-FR"/>
              </w:rPr>
            </w:pPr>
          </w:p>
        </w:tc>
        <w:tc>
          <w:tcPr>
            <w:tcW w:w="243" w:type="pct"/>
          </w:tcPr>
          <w:p w:rsidR="002D7B0D" w:rsidRPr="005E5DDD" w:rsidRDefault="002D7B0D" w:rsidP="00F47A67">
            <w:pPr>
              <w:jc w:val="both"/>
              <w:rPr>
                <w:rFonts w:eastAsia="Calibri"/>
                <w:sz w:val="20"/>
                <w:lang w:val="fr-FR"/>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Décision du Comité de discipline de la Chambre de la sécurité financière acquittant le demandeur, infirmée; Demandeur déclaré coupable de 4 infractions et le dossier retourné au Comité de discipline pour l’imposition des sanctions appropriées</w:t>
            </w:r>
          </w:p>
          <w:p w:rsidR="002D7B0D" w:rsidRPr="005E5DDD" w:rsidRDefault="002D7B0D" w:rsidP="00F47A67">
            <w:pPr>
              <w:jc w:val="both"/>
              <w:rPr>
                <w:rFonts w:eastAsia="Calibri"/>
                <w:sz w:val="20"/>
                <w:lang w:val="fr-CA"/>
              </w:rPr>
            </w:pPr>
          </w:p>
        </w:tc>
      </w:tr>
      <w:tr w:rsidR="002D7B0D" w:rsidRPr="005E5DDD" w:rsidTr="00F47A67">
        <w:tc>
          <w:tcPr>
            <w:tcW w:w="2427" w:type="pct"/>
          </w:tcPr>
          <w:p w:rsidR="002D7B0D" w:rsidRPr="005E5DDD" w:rsidRDefault="002D7B0D" w:rsidP="00F47A67">
            <w:pPr>
              <w:jc w:val="both"/>
              <w:rPr>
                <w:rFonts w:eastAsia="Calibri"/>
                <w:sz w:val="20"/>
                <w:lang w:val="fr-CA"/>
              </w:rPr>
            </w:pPr>
            <w:r w:rsidRPr="005E5DDD">
              <w:rPr>
                <w:rFonts w:eastAsia="Calibri"/>
                <w:sz w:val="20"/>
                <w:lang w:val="fr-CA"/>
              </w:rPr>
              <w:t>Le 22 mars 2013</w:t>
            </w:r>
          </w:p>
          <w:p w:rsidR="002D7B0D" w:rsidRPr="005E5DDD" w:rsidRDefault="002D7B0D" w:rsidP="00F47A67">
            <w:pPr>
              <w:jc w:val="both"/>
              <w:rPr>
                <w:rFonts w:eastAsia="Calibri"/>
                <w:sz w:val="20"/>
                <w:lang w:val="fr-CA"/>
              </w:rPr>
            </w:pPr>
            <w:r w:rsidRPr="005E5DDD">
              <w:rPr>
                <w:rFonts w:eastAsia="Calibri"/>
                <w:sz w:val="20"/>
                <w:lang w:val="fr-CA"/>
              </w:rPr>
              <w:t>Cour d’appel du Québec (Montréal)</w:t>
            </w:r>
          </w:p>
          <w:p w:rsidR="002D7B0D" w:rsidRPr="005E5DDD" w:rsidRDefault="002D7B0D" w:rsidP="00F47A67">
            <w:pPr>
              <w:jc w:val="both"/>
              <w:rPr>
                <w:rFonts w:eastAsia="Calibri"/>
                <w:sz w:val="20"/>
                <w:lang w:val="fr-CA"/>
              </w:rPr>
            </w:pPr>
            <w:r w:rsidRPr="005E5DDD">
              <w:rPr>
                <w:rFonts w:eastAsia="Calibri"/>
                <w:sz w:val="20"/>
                <w:lang w:val="fr-CA"/>
              </w:rPr>
              <w:t>(Les juges Morissette, Vézina et Léger)</w:t>
            </w:r>
          </w:p>
          <w:p w:rsidR="002D7B0D" w:rsidRPr="005E5DDD" w:rsidRDefault="002D7B0D" w:rsidP="00F47A67">
            <w:pPr>
              <w:jc w:val="both"/>
              <w:rPr>
                <w:rFonts w:eastAsia="Calibri"/>
                <w:sz w:val="20"/>
                <w:lang w:val="fr-CA"/>
              </w:rPr>
            </w:pPr>
            <w:r w:rsidRPr="005E5DDD">
              <w:rPr>
                <w:rFonts w:eastAsia="Calibri"/>
                <w:sz w:val="20"/>
                <w:lang w:val="fr-CA"/>
              </w:rPr>
              <w:t>2013 QCCA 535</w:t>
            </w:r>
          </w:p>
          <w:p w:rsidR="002D7B0D" w:rsidRPr="005E5DDD" w:rsidRDefault="002D7B0D" w:rsidP="00F47A67">
            <w:pPr>
              <w:jc w:val="both"/>
              <w:rPr>
                <w:rFonts w:eastAsia="Calibri"/>
                <w:sz w:val="20"/>
                <w:lang w:val="fr-FR"/>
              </w:rPr>
            </w:pPr>
          </w:p>
        </w:tc>
        <w:tc>
          <w:tcPr>
            <w:tcW w:w="243" w:type="pct"/>
          </w:tcPr>
          <w:p w:rsidR="002D7B0D" w:rsidRPr="005E5DDD" w:rsidRDefault="002D7B0D" w:rsidP="00F47A67">
            <w:pPr>
              <w:jc w:val="both"/>
              <w:rPr>
                <w:rFonts w:eastAsia="Calibri"/>
                <w:sz w:val="20"/>
                <w:lang w:val="fr-FR"/>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Appel rejeté</w:t>
            </w:r>
          </w:p>
          <w:p w:rsidR="002D7B0D" w:rsidRPr="005E5DDD" w:rsidRDefault="002D7B0D" w:rsidP="00F47A67">
            <w:pPr>
              <w:jc w:val="both"/>
              <w:rPr>
                <w:rFonts w:eastAsia="Calibri"/>
                <w:sz w:val="20"/>
                <w:lang w:val="fr-CA"/>
              </w:rPr>
            </w:pPr>
          </w:p>
        </w:tc>
      </w:tr>
      <w:tr w:rsidR="002D7B0D" w:rsidRPr="005E5DDD" w:rsidTr="009A7078">
        <w:trPr>
          <w:cantSplit/>
        </w:trPr>
        <w:tc>
          <w:tcPr>
            <w:tcW w:w="2427" w:type="pct"/>
          </w:tcPr>
          <w:p w:rsidR="002D7B0D" w:rsidRPr="005E5DDD" w:rsidRDefault="002D7B0D" w:rsidP="00F47A67">
            <w:pPr>
              <w:jc w:val="both"/>
              <w:rPr>
                <w:rFonts w:eastAsia="Calibri"/>
                <w:sz w:val="20"/>
                <w:lang w:val="fr-CA"/>
              </w:rPr>
            </w:pPr>
            <w:r w:rsidRPr="005E5DDD">
              <w:rPr>
                <w:rFonts w:eastAsia="Calibri"/>
                <w:sz w:val="20"/>
                <w:lang w:val="fr-CA"/>
              </w:rPr>
              <w:lastRenderedPageBreak/>
              <w:t>Le 21 mai 2013</w:t>
            </w:r>
          </w:p>
          <w:p w:rsidR="002D7B0D" w:rsidRPr="005E5DDD" w:rsidRDefault="002D7B0D" w:rsidP="00F47A67">
            <w:pPr>
              <w:jc w:val="both"/>
              <w:rPr>
                <w:rFonts w:eastAsia="Calibri"/>
                <w:sz w:val="20"/>
                <w:lang w:val="fr-FR"/>
              </w:rPr>
            </w:pPr>
            <w:r w:rsidRPr="005E5DDD">
              <w:rPr>
                <w:rFonts w:eastAsia="Calibri"/>
                <w:sz w:val="20"/>
                <w:lang w:val="fr-CA"/>
              </w:rPr>
              <w:t>Cour suprême du Canada</w:t>
            </w:r>
          </w:p>
        </w:tc>
        <w:tc>
          <w:tcPr>
            <w:tcW w:w="243" w:type="pct"/>
          </w:tcPr>
          <w:p w:rsidR="002D7B0D" w:rsidRPr="005E5DDD" w:rsidRDefault="002D7B0D" w:rsidP="00F47A67">
            <w:pPr>
              <w:jc w:val="both"/>
              <w:rPr>
                <w:rFonts w:eastAsia="Calibri"/>
                <w:sz w:val="20"/>
                <w:lang w:val="fr-FR"/>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Demande d'autorisation d'appel déposée</w:t>
            </w:r>
          </w:p>
          <w:p w:rsidR="002D7B0D" w:rsidRPr="005E5DDD" w:rsidRDefault="002D7B0D" w:rsidP="00F47A67">
            <w:pPr>
              <w:jc w:val="both"/>
              <w:rPr>
                <w:rFonts w:eastAsia="Calibri"/>
                <w:sz w:val="20"/>
                <w:lang w:val="fr-CA"/>
              </w:rPr>
            </w:pPr>
          </w:p>
        </w:tc>
      </w:tr>
    </w:tbl>
    <w:p w:rsidR="009D08C5" w:rsidRDefault="009D08C5" w:rsidP="009D08C5">
      <w:pPr>
        <w:rPr>
          <w:sz w:val="20"/>
          <w:szCs w:val="20"/>
        </w:rPr>
      </w:pPr>
    </w:p>
    <w:p w:rsidR="009D08C5" w:rsidRDefault="005F2BA7" w:rsidP="009D08C5">
      <w:pPr>
        <w:rPr>
          <w:sz w:val="20"/>
          <w:szCs w:val="20"/>
          <w:lang w:val="fr-CA"/>
        </w:rPr>
      </w:pPr>
      <w:r w:rsidRPr="005F2BA7">
        <w:rPr>
          <w:sz w:val="20"/>
          <w:szCs w:val="20"/>
          <w:lang w:val="fr-CA"/>
        </w:rPr>
        <w:pict>
          <v:rect id="_x0000_i1113" style="width:2in;height:1pt" o:hrpct="0" o:hralign="center" o:hrstd="t" o:hrnoshade="t" o:hr="t" fillcolor="black [3213]" stroked="f"/>
        </w:pict>
      </w:r>
    </w:p>
    <w:p w:rsidR="009D08C5" w:rsidRDefault="009D08C5" w:rsidP="009D08C5">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F6768" w:rsidRPr="00DD6605" w:rsidTr="00A87F19">
        <w:trPr>
          <w:cantSplit/>
        </w:trPr>
        <w:tc>
          <w:tcPr>
            <w:tcW w:w="1458" w:type="dxa"/>
          </w:tcPr>
          <w:p w:rsidR="002F6768" w:rsidRPr="00DD6605" w:rsidRDefault="002F6768" w:rsidP="00A87F19">
            <w:pPr>
              <w:rPr>
                <w:sz w:val="20"/>
                <w:szCs w:val="20"/>
              </w:rPr>
            </w:pPr>
            <w:r w:rsidRPr="00DD6605">
              <w:rPr>
                <w:rStyle w:val="SCCFileNumberChar"/>
                <w:sz w:val="20"/>
                <w:szCs w:val="20"/>
              </w:rPr>
              <w:t>35390</w:t>
            </w:r>
          </w:p>
          <w:p w:rsidR="002F6768" w:rsidRPr="00DD6605" w:rsidRDefault="002F6768" w:rsidP="00A87F19">
            <w:pPr>
              <w:rPr>
                <w:b/>
                <w:sz w:val="20"/>
                <w:szCs w:val="20"/>
                <w:lang w:val="fr-CA"/>
              </w:rPr>
            </w:pPr>
          </w:p>
        </w:tc>
        <w:tc>
          <w:tcPr>
            <w:tcW w:w="8118" w:type="dxa"/>
          </w:tcPr>
          <w:p w:rsidR="002F6768" w:rsidRPr="00DD6605" w:rsidRDefault="002F6768" w:rsidP="00A87F19">
            <w:pPr>
              <w:rPr>
                <w:sz w:val="20"/>
                <w:szCs w:val="20"/>
              </w:rPr>
            </w:pPr>
            <w:r w:rsidRPr="002F6768">
              <w:rPr>
                <w:rStyle w:val="SCCLsocChar"/>
                <w:sz w:val="20"/>
                <w:szCs w:val="20"/>
                <w:lang w:val="en-CA"/>
              </w:rPr>
              <w:t>Her Majesty the Queen v. Vincent Quesnelle</w:t>
            </w:r>
            <w:r w:rsidRPr="00DD6605">
              <w:rPr>
                <w:sz w:val="20"/>
                <w:szCs w:val="20"/>
              </w:rPr>
              <w:t xml:space="preserve"> (Ont.) (Criminal) (By Leave)</w:t>
            </w:r>
          </w:p>
          <w:p w:rsidR="002F6768" w:rsidRPr="00DD6605" w:rsidRDefault="002F6768" w:rsidP="00A87F19">
            <w:pPr>
              <w:rPr>
                <w:sz w:val="20"/>
                <w:szCs w:val="20"/>
              </w:rPr>
            </w:pPr>
          </w:p>
        </w:tc>
      </w:tr>
      <w:tr w:rsidR="002F6768" w:rsidRPr="00DD6605" w:rsidTr="00A87F19">
        <w:trPr>
          <w:cantSplit/>
        </w:trPr>
        <w:tc>
          <w:tcPr>
            <w:tcW w:w="1458" w:type="dxa"/>
          </w:tcPr>
          <w:p w:rsidR="002F6768" w:rsidRPr="00DD6605" w:rsidRDefault="002F6768" w:rsidP="00A87F19">
            <w:pPr>
              <w:rPr>
                <w:sz w:val="20"/>
                <w:szCs w:val="20"/>
              </w:rPr>
            </w:pPr>
            <w:r w:rsidRPr="00DD6605">
              <w:rPr>
                <w:sz w:val="20"/>
                <w:szCs w:val="20"/>
              </w:rPr>
              <w:t>Coram :</w:t>
            </w:r>
          </w:p>
        </w:tc>
        <w:tc>
          <w:tcPr>
            <w:tcW w:w="8118" w:type="dxa"/>
          </w:tcPr>
          <w:p w:rsidR="002F6768" w:rsidRPr="00DD6605" w:rsidRDefault="002F6768" w:rsidP="00A87F19">
            <w:pPr>
              <w:rPr>
                <w:sz w:val="20"/>
                <w:szCs w:val="20"/>
              </w:rPr>
            </w:pPr>
            <w:r w:rsidRPr="002F6768">
              <w:rPr>
                <w:rStyle w:val="SCCCoramChar"/>
                <w:sz w:val="20"/>
                <w:szCs w:val="20"/>
                <w:lang w:val="en-CA"/>
              </w:rPr>
              <w:t>McLachlin C.J. and Abella and Cromwell JJ.</w:t>
            </w:r>
          </w:p>
          <w:p w:rsidR="002F6768" w:rsidRPr="00DD6605" w:rsidRDefault="002F6768" w:rsidP="00A87F19">
            <w:pPr>
              <w:rPr>
                <w:sz w:val="20"/>
                <w:szCs w:val="20"/>
                <w:u w:val="single"/>
              </w:rPr>
            </w:pPr>
          </w:p>
        </w:tc>
      </w:tr>
      <w:tr w:rsidR="002F6768" w:rsidRPr="007C5A5B" w:rsidTr="00A87F19">
        <w:trPr>
          <w:cantSplit/>
        </w:trPr>
        <w:tc>
          <w:tcPr>
            <w:tcW w:w="9576" w:type="dxa"/>
            <w:gridSpan w:val="2"/>
          </w:tcPr>
          <w:p w:rsidR="002F6768" w:rsidRPr="00DD6605" w:rsidRDefault="002F6768" w:rsidP="00A87F19">
            <w:pPr>
              <w:pStyle w:val="SCCShortJudgment"/>
              <w:rPr>
                <w:szCs w:val="20"/>
              </w:rPr>
            </w:pPr>
            <w:r w:rsidRPr="00DD6605">
              <w:rPr>
                <w:szCs w:val="20"/>
              </w:rPr>
              <w:t>The application for leave to appeal from the judgment of the Court of Appeal for Ontario, Number C53116, 2013 ONCA 180, dated March 26, 2013, is granted without costs.</w:t>
            </w:r>
          </w:p>
          <w:p w:rsidR="002F6768" w:rsidRPr="00DD6605" w:rsidRDefault="002F6768" w:rsidP="00A87F19">
            <w:pPr>
              <w:pStyle w:val="SCCShortJudgment"/>
              <w:ind w:firstLine="0"/>
              <w:rPr>
                <w:szCs w:val="20"/>
              </w:rPr>
            </w:pPr>
          </w:p>
          <w:p w:rsidR="002F6768" w:rsidRPr="00DD6605" w:rsidRDefault="002F6768" w:rsidP="00A87F19">
            <w:pPr>
              <w:pStyle w:val="SCCShortJudgment"/>
              <w:rPr>
                <w:szCs w:val="20"/>
                <w:lang w:val="fr-CA"/>
              </w:rPr>
            </w:pPr>
            <w:r w:rsidRPr="00DD6605">
              <w:rPr>
                <w:szCs w:val="20"/>
                <w:lang w:val="fr-CA"/>
              </w:rPr>
              <w:t>La demande d’autorisation d’appel de l’arrêt de la Cour d’appel de l’Ontario, numéro C53116, 2013 ONCA 180, daté du 26 mars 2013, est accueillie sans dépens.</w:t>
            </w:r>
          </w:p>
        </w:tc>
      </w:tr>
    </w:tbl>
    <w:p w:rsidR="009D08C5" w:rsidRPr="0016547E" w:rsidRDefault="009D08C5" w:rsidP="009D08C5">
      <w:pPr>
        <w:rPr>
          <w:sz w:val="20"/>
          <w:szCs w:val="20"/>
          <w:lang w:val="fr-CA"/>
        </w:rPr>
      </w:pPr>
    </w:p>
    <w:p w:rsidR="009D08C5" w:rsidRPr="001B157C" w:rsidRDefault="009D08C5" w:rsidP="009D08C5">
      <w:pPr>
        <w:rPr>
          <w:sz w:val="20"/>
          <w:szCs w:val="20"/>
          <w:u w:val="single"/>
        </w:rPr>
      </w:pPr>
      <w:r w:rsidRPr="001B157C">
        <w:rPr>
          <w:sz w:val="20"/>
          <w:szCs w:val="20"/>
          <w:u w:val="single"/>
        </w:rPr>
        <w:t>CASE SUMMARY</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5E5DDD" w:rsidTr="00F47A67">
        <w:tc>
          <w:tcPr>
            <w:tcW w:w="5000" w:type="pct"/>
            <w:gridSpan w:val="3"/>
          </w:tcPr>
          <w:p w:rsidR="002D7B0D" w:rsidRPr="005E5DDD" w:rsidRDefault="002D7B0D" w:rsidP="00F47A67">
            <w:pPr>
              <w:jc w:val="both"/>
              <w:rPr>
                <w:rFonts w:eastAsia="Calibri"/>
                <w:smallCaps/>
                <w:sz w:val="20"/>
              </w:rPr>
            </w:pPr>
            <w:r w:rsidRPr="005E5DDD">
              <w:rPr>
                <w:rFonts w:eastAsia="Calibri"/>
                <w:smallCaps/>
                <w:sz w:val="20"/>
              </w:rPr>
              <w:t xml:space="preserve">(Publication </w:t>
            </w:r>
            <w:r>
              <w:rPr>
                <w:rFonts w:eastAsia="Calibri"/>
                <w:smallCaps/>
                <w:sz w:val="20"/>
              </w:rPr>
              <w:t>B</w:t>
            </w:r>
            <w:r w:rsidRPr="005E5DDD">
              <w:rPr>
                <w:rFonts w:eastAsia="Calibri"/>
                <w:smallCaps/>
                <w:sz w:val="20"/>
              </w:rPr>
              <w:t xml:space="preserve">an in </w:t>
            </w:r>
            <w:r>
              <w:rPr>
                <w:rFonts w:eastAsia="Calibri"/>
                <w:smallCaps/>
                <w:sz w:val="20"/>
              </w:rPr>
              <w:t>C</w:t>
            </w:r>
            <w:r w:rsidRPr="005E5DDD">
              <w:rPr>
                <w:rFonts w:eastAsia="Calibri"/>
                <w:smallCaps/>
                <w:sz w:val="20"/>
              </w:rPr>
              <w:t>ase)</w:t>
            </w:r>
          </w:p>
          <w:p w:rsidR="002D7B0D" w:rsidRPr="005E5DDD" w:rsidRDefault="002D7B0D" w:rsidP="00F47A67">
            <w:pPr>
              <w:jc w:val="both"/>
              <w:rPr>
                <w:rFonts w:eastAsia="Calibri"/>
                <w:sz w:val="20"/>
              </w:rPr>
            </w:pPr>
          </w:p>
          <w:p w:rsidR="002D7B0D" w:rsidRPr="005E5DDD" w:rsidRDefault="002D7B0D" w:rsidP="00F47A67">
            <w:pPr>
              <w:jc w:val="both"/>
              <w:rPr>
                <w:rFonts w:eastAsia="Calibri"/>
                <w:sz w:val="20"/>
              </w:rPr>
            </w:pPr>
            <w:r w:rsidRPr="005E5DDD">
              <w:rPr>
                <w:rFonts w:eastAsia="Calibri"/>
                <w:sz w:val="20"/>
              </w:rPr>
              <w:t xml:space="preserve">Criminal law – Evidence – Disclosure – Whether the definition of “record” under s. 278.1 of the </w:t>
            </w:r>
            <w:r w:rsidRPr="005E5DDD">
              <w:rPr>
                <w:rFonts w:eastAsia="Calibri"/>
                <w:i/>
                <w:sz w:val="20"/>
              </w:rPr>
              <w:t>Criminal Code</w:t>
            </w:r>
            <w:r w:rsidRPr="005E5DDD">
              <w:rPr>
                <w:rFonts w:eastAsia="Calibri"/>
                <w:sz w:val="20"/>
              </w:rPr>
              <w:t xml:space="preserve"> includes police “occurrence reports” that are unrelated to the case being prosecuted – Whether the Crown has a duty under </w:t>
            </w:r>
            <w:r w:rsidRPr="005E5DDD">
              <w:rPr>
                <w:rFonts w:eastAsia="Calibri"/>
                <w:i/>
                <w:sz w:val="20"/>
              </w:rPr>
              <w:t>Stinchcombe</w:t>
            </w:r>
            <w:r w:rsidRPr="005E5DDD">
              <w:rPr>
                <w:rFonts w:eastAsia="Calibri"/>
                <w:sz w:val="20"/>
              </w:rPr>
              <w:t xml:space="preserve"> to obtain and disclose police “occurrence reports” regarding witnesses in respect of matters unrelated to the case being prosecuted</w:t>
            </w:r>
          </w:p>
        </w:tc>
      </w:tr>
      <w:tr w:rsidR="002D7B0D" w:rsidRPr="005E5DDD" w:rsidTr="00F47A67">
        <w:tc>
          <w:tcPr>
            <w:tcW w:w="5000" w:type="pct"/>
            <w:gridSpan w:val="3"/>
          </w:tcPr>
          <w:p w:rsidR="002D7B0D" w:rsidRPr="005E5DDD" w:rsidRDefault="002D7B0D" w:rsidP="00F47A67">
            <w:pPr>
              <w:jc w:val="both"/>
              <w:rPr>
                <w:rFonts w:eastAsia="Calibri"/>
                <w:sz w:val="20"/>
              </w:rPr>
            </w:pPr>
          </w:p>
        </w:tc>
      </w:tr>
      <w:tr w:rsidR="002D7B0D" w:rsidRPr="005E5DDD" w:rsidTr="00F47A67">
        <w:tc>
          <w:tcPr>
            <w:tcW w:w="5000" w:type="pct"/>
            <w:gridSpan w:val="3"/>
          </w:tcPr>
          <w:p w:rsidR="002D7B0D" w:rsidRPr="005E5DDD" w:rsidRDefault="002D7B0D" w:rsidP="00F47A67">
            <w:pPr>
              <w:jc w:val="both"/>
              <w:rPr>
                <w:rFonts w:eastAsia="Calibri"/>
                <w:sz w:val="20"/>
              </w:rPr>
            </w:pPr>
            <w:r w:rsidRPr="005E5DDD">
              <w:rPr>
                <w:rFonts w:eastAsia="Calibri"/>
                <w:sz w:val="20"/>
              </w:rPr>
              <w:t xml:space="preserve">Quesnelle was charged with assault, sexual assault, sexual assault with a weapon, robbery, threatening to kill, and threatening serious bodily harm.  The charges stem from two separate incidents involving two complainants.  Quesnelle denied all charges against him.  The case turned on credibility.  </w:t>
            </w:r>
          </w:p>
          <w:p w:rsidR="002D7B0D" w:rsidRPr="005E5DDD" w:rsidRDefault="002D7B0D" w:rsidP="00F47A67">
            <w:pPr>
              <w:jc w:val="both"/>
              <w:rPr>
                <w:rFonts w:eastAsia="Calibri"/>
                <w:sz w:val="20"/>
              </w:rPr>
            </w:pPr>
          </w:p>
          <w:p w:rsidR="002D7B0D" w:rsidRPr="005E5DDD" w:rsidRDefault="002D7B0D" w:rsidP="00F47A67">
            <w:pPr>
              <w:jc w:val="both"/>
              <w:rPr>
                <w:rFonts w:eastAsia="Calibri"/>
                <w:sz w:val="20"/>
              </w:rPr>
            </w:pPr>
            <w:r w:rsidRPr="005E5DDD">
              <w:rPr>
                <w:rFonts w:eastAsia="Calibri"/>
                <w:sz w:val="20"/>
              </w:rPr>
              <w:t xml:space="preserve">During the course of the trial, Quesnelle sought disclosure of all police occurrence reports reviewed by the police that pertain to one of the complainants.  It was determined that the application must be brought pursuant to s. 278.2 of the </w:t>
            </w:r>
            <w:r w:rsidRPr="005E5DDD">
              <w:rPr>
                <w:rFonts w:eastAsia="Calibri"/>
                <w:i/>
                <w:sz w:val="20"/>
              </w:rPr>
              <w:t>Criminal Code</w:t>
            </w:r>
            <w:r w:rsidRPr="005E5DDD">
              <w:rPr>
                <w:rFonts w:eastAsia="Calibri"/>
                <w:sz w:val="20"/>
              </w:rPr>
              <w:t xml:space="preserve"> as there was a reasonable expectation of privacy in those reports and the only exception was for records pertaining to the offence in question.  The request for production of the reports was ultimately denied as it was found that there was no evidentiary basis upon which to conclude that the documents requested were likely relevant or that their production was necessary in the interest of justice.</w:t>
            </w:r>
          </w:p>
          <w:p w:rsidR="002D7B0D" w:rsidRPr="005E5DDD" w:rsidRDefault="002D7B0D" w:rsidP="00F47A67">
            <w:pPr>
              <w:jc w:val="both"/>
              <w:rPr>
                <w:rFonts w:eastAsia="Calibri"/>
                <w:sz w:val="20"/>
              </w:rPr>
            </w:pPr>
          </w:p>
          <w:p w:rsidR="002D7B0D" w:rsidRPr="005E5DDD" w:rsidRDefault="002D7B0D" w:rsidP="00F47A67">
            <w:pPr>
              <w:jc w:val="both"/>
              <w:rPr>
                <w:rFonts w:eastAsia="Calibri"/>
                <w:sz w:val="20"/>
              </w:rPr>
            </w:pPr>
            <w:r w:rsidRPr="005E5DDD">
              <w:rPr>
                <w:rFonts w:eastAsia="Calibri"/>
                <w:sz w:val="20"/>
              </w:rPr>
              <w:t xml:space="preserve">Quesnelle was convicted by a judge and jury of two charges of simple assault and two charges of sexual assault.  Quesnelle appealed his conviction and sentence.  The question raised on the appeal was whether the application was properly brought in accordance with the statutory protections set out in s. 278.2 of the </w:t>
            </w:r>
            <w:r w:rsidRPr="005E5DDD">
              <w:rPr>
                <w:rFonts w:eastAsia="Calibri"/>
                <w:i/>
                <w:sz w:val="20"/>
              </w:rPr>
              <w:t>Criminal Code</w:t>
            </w:r>
            <w:r w:rsidRPr="005E5DDD">
              <w:rPr>
                <w:rFonts w:eastAsia="Calibri"/>
                <w:sz w:val="20"/>
              </w:rPr>
              <w:t xml:space="preserve"> or whether the application should have proceeded pursuant to the lower threshold for disclosure set out in </w:t>
            </w:r>
            <w:r w:rsidRPr="005E5DDD">
              <w:rPr>
                <w:rFonts w:eastAsia="Calibri"/>
                <w:i/>
                <w:sz w:val="20"/>
              </w:rPr>
              <w:t>R. v. Stinchcombe</w:t>
            </w:r>
            <w:r w:rsidRPr="005E5DDD">
              <w:rPr>
                <w:rFonts w:eastAsia="Calibri"/>
                <w:sz w:val="20"/>
              </w:rPr>
              <w:t>, [1991] 3 S.C.R. 326.  The Court of Appeal allowed the appeal and ordered a new trial.</w:t>
            </w:r>
          </w:p>
          <w:p w:rsidR="002D7B0D" w:rsidRPr="005E5DDD" w:rsidRDefault="002D7B0D" w:rsidP="00F47A67">
            <w:pPr>
              <w:jc w:val="both"/>
              <w:rPr>
                <w:rFonts w:eastAsia="Calibri"/>
                <w:sz w:val="20"/>
              </w:rPr>
            </w:pPr>
          </w:p>
        </w:tc>
      </w:tr>
      <w:tr w:rsidR="002D7B0D" w:rsidRPr="005E5DDD" w:rsidTr="00F47A67">
        <w:tc>
          <w:tcPr>
            <w:tcW w:w="2427" w:type="pct"/>
          </w:tcPr>
          <w:p w:rsidR="002D7B0D" w:rsidRPr="005E5DDD" w:rsidRDefault="002D7B0D" w:rsidP="00F47A67">
            <w:pPr>
              <w:jc w:val="both"/>
              <w:rPr>
                <w:rFonts w:eastAsia="Calibri"/>
                <w:sz w:val="20"/>
              </w:rPr>
            </w:pPr>
            <w:r w:rsidRPr="005E5DDD">
              <w:rPr>
                <w:rFonts w:eastAsia="Calibri"/>
                <w:sz w:val="20"/>
              </w:rPr>
              <w:t>June 4, 2010</w:t>
            </w:r>
          </w:p>
          <w:p w:rsidR="002D7B0D" w:rsidRPr="005E5DDD" w:rsidRDefault="002D7B0D" w:rsidP="00F47A67">
            <w:pPr>
              <w:jc w:val="both"/>
              <w:rPr>
                <w:rFonts w:eastAsia="Calibri"/>
                <w:sz w:val="20"/>
              </w:rPr>
            </w:pPr>
            <w:r w:rsidRPr="005E5DDD">
              <w:rPr>
                <w:rFonts w:eastAsia="Calibri"/>
                <w:sz w:val="20"/>
              </w:rPr>
              <w:t>Ontario Superior Court of Justice</w:t>
            </w:r>
          </w:p>
          <w:p w:rsidR="002D7B0D" w:rsidRPr="005E5DDD" w:rsidRDefault="002D7B0D" w:rsidP="00F47A67">
            <w:pPr>
              <w:jc w:val="both"/>
              <w:rPr>
                <w:rFonts w:eastAsia="Calibri"/>
                <w:sz w:val="20"/>
              </w:rPr>
            </w:pPr>
            <w:r w:rsidRPr="005E5DDD">
              <w:rPr>
                <w:rFonts w:eastAsia="Calibri"/>
                <w:sz w:val="20"/>
              </w:rPr>
              <w:t>(Thorburn J.)</w:t>
            </w:r>
          </w:p>
          <w:p w:rsidR="002D7B0D" w:rsidRPr="005E5DDD" w:rsidRDefault="002D7B0D" w:rsidP="00F47A67">
            <w:pPr>
              <w:jc w:val="both"/>
              <w:rPr>
                <w:rFonts w:eastAsia="Calibri"/>
                <w:sz w:val="20"/>
              </w:rPr>
            </w:pP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Respondent convicted on two counts of sexual assault and two counts of assault</w:t>
            </w:r>
          </w:p>
          <w:p w:rsidR="002D7B0D" w:rsidRPr="005E5DDD" w:rsidRDefault="002D7B0D" w:rsidP="00F47A67">
            <w:pPr>
              <w:jc w:val="both"/>
              <w:rPr>
                <w:rFonts w:eastAsia="Calibri"/>
                <w:sz w:val="20"/>
              </w:rPr>
            </w:pPr>
          </w:p>
        </w:tc>
      </w:tr>
      <w:tr w:rsidR="002D7B0D" w:rsidRPr="005E5DDD" w:rsidTr="00F47A67">
        <w:tc>
          <w:tcPr>
            <w:tcW w:w="2427" w:type="pct"/>
          </w:tcPr>
          <w:p w:rsidR="002D7B0D" w:rsidRPr="005E5DDD" w:rsidRDefault="002D7B0D" w:rsidP="00F47A67">
            <w:pPr>
              <w:jc w:val="both"/>
              <w:rPr>
                <w:rFonts w:eastAsia="Calibri"/>
                <w:sz w:val="20"/>
              </w:rPr>
            </w:pPr>
            <w:r w:rsidRPr="005E5DDD">
              <w:rPr>
                <w:rFonts w:eastAsia="Calibri"/>
                <w:sz w:val="20"/>
              </w:rPr>
              <w:t>March 26, 2013</w:t>
            </w:r>
          </w:p>
          <w:p w:rsidR="002D7B0D" w:rsidRPr="005E5DDD" w:rsidRDefault="002D7B0D" w:rsidP="00F47A67">
            <w:pPr>
              <w:jc w:val="both"/>
              <w:rPr>
                <w:rFonts w:eastAsia="Calibri"/>
                <w:sz w:val="20"/>
              </w:rPr>
            </w:pPr>
            <w:r w:rsidRPr="005E5DDD">
              <w:rPr>
                <w:rFonts w:eastAsia="Calibri"/>
                <w:sz w:val="20"/>
              </w:rPr>
              <w:t>Court of Appeal for Ontario</w:t>
            </w:r>
          </w:p>
          <w:p w:rsidR="002D7B0D" w:rsidRPr="005E5DDD" w:rsidRDefault="002D7B0D" w:rsidP="00F47A67">
            <w:pPr>
              <w:jc w:val="both"/>
              <w:rPr>
                <w:rFonts w:eastAsia="Calibri"/>
                <w:sz w:val="20"/>
              </w:rPr>
            </w:pPr>
            <w:r w:rsidRPr="005E5DDD">
              <w:rPr>
                <w:rFonts w:eastAsia="Calibri"/>
                <w:sz w:val="20"/>
              </w:rPr>
              <w:t>(Rosenberg, Sharpe and MacFarland JJ.A.)</w:t>
            </w:r>
          </w:p>
          <w:p w:rsidR="002D7B0D" w:rsidRPr="005E5DDD" w:rsidRDefault="002D7B0D" w:rsidP="00F47A67">
            <w:pPr>
              <w:jc w:val="both"/>
              <w:rPr>
                <w:rFonts w:eastAsia="Calibri"/>
                <w:sz w:val="20"/>
              </w:rPr>
            </w:pPr>
            <w:r w:rsidRPr="005E5DDD">
              <w:rPr>
                <w:rFonts w:eastAsia="Calibri"/>
                <w:sz w:val="20"/>
              </w:rPr>
              <w:t>2013 ONCA 180; C53116</w:t>
            </w:r>
          </w:p>
          <w:p w:rsidR="002D7B0D" w:rsidRPr="005E5DDD" w:rsidRDefault="002D7B0D" w:rsidP="00F47A67">
            <w:pPr>
              <w:jc w:val="both"/>
              <w:rPr>
                <w:rFonts w:eastAsia="Calibri"/>
                <w:sz w:val="20"/>
                <w:lang w:val="fr-FR"/>
              </w:rPr>
            </w:pPr>
          </w:p>
        </w:tc>
        <w:tc>
          <w:tcPr>
            <w:tcW w:w="243" w:type="pct"/>
          </w:tcPr>
          <w:p w:rsidR="002D7B0D" w:rsidRPr="005E5DDD" w:rsidRDefault="002D7B0D" w:rsidP="00F47A67">
            <w:pPr>
              <w:jc w:val="both"/>
              <w:rPr>
                <w:rFonts w:eastAsia="Calibri"/>
                <w:sz w:val="20"/>
                <w:lang w:val="fr-FR"/>
              </w:rPr>
            </w:pPr>
          </w:p>
        </w:tc>
        <w:tc>
          <w:tcPr>
            <w:tcW w:w="2330" w:type="pct"/>
          </w:tcPr>
          <w:p w:rsidR="002D7B0D" w:rsidRPr="005E5DDD" w:rsidRDefault="002D7B0D" w:rsidP="00F47A67">
            <w:pPr>
              <w:jc w:val="both"/>
              <w:rPr>
                <w:rFonts w:eastAsia="Calibri"/>
                <w:sz w:val="20"/>
              </w:rPr>
            </w:pPr>
            <w:r w:rsidRPr="005E5DDD">
              <w:rPr>
                <w:rFonts w:eastAsia="Calibri"/>
                <w:sz w:val="20"/>
              </w:rPr>
              <w:t>Appeal allowed; new trial ordered</w:t>
            </w:r>
          </w:p>
          <w:p w:rsidR="002D7B0D" w:rsidRPr="005E5DDD" w:rsidRDefault="002D7B0D" w:rsidP="00F47A67">
            <w:pPr>
              <w:jc w:val="both"/>
              <w:rPr>
                <w:rFonts w:eastAsia="Calibri"/>
                <w:sz w:val="20"/>
              </w:rPr>
            </w:pPr>
          </w:p>
        </w:tc>
      </w:tr>
      <w:tr w:rsidR="002D7B0D" w:rsidRPr="005E5DDD" w:rsidTr="00F47A67">
        <w:tc>
          <w:tcPr>
            <w:tcW w:w="2427" w:type="pct"/>
          </w:tcPr>
          <w:p w:rsidR="002D7B0D" w:rsidRPr="005E5DDD" w:rsidRDefault="002D7B0D" w:rsidP="00F47A67">
            <w:pPr>
              <w:jc w:val="both"/>
              <w:rPr>
                <w:rFonts w:eastAsia="Calibri"/>
                <w:sz w:val="20"/>
              </w:rPr>
            </w:pPr>
            <w:r w:rsidRPr="005E5DDD">
              <w:rPr>
                <w:rFonts w:eastAsia="Calibri"/>
                <w:sz w:val="20"/>
              </w:rPr>
              <w:lastRenderedPageBreak/>
              <w:t>May 23, 2013</w:t>
            </w:r>
          </w:p>
          <w:p w:rsidR="002D7B0D" w:rsidRPr="005E5DDD" w:rsidRDefault="002D7B0D" w:rsidP="00F47A67">
            <w:pPr>
              <w:jc w:val="both"/>
              <w:rPr>
                <w:rFonts w:eastAsia="Calibri"/>
                <w:sz w:val="20"/>
              </w:rPr>
            </w:pPr>
            <w:r w:rsidRPr="005E5DDD">
              <w:rPr>
                <w:rFonts w:eastAsia="Calibri"/>
                <w:sz w:val="20"/>
              </w:rPr>
              <w:t>Supreme Court of Canada</w:t>
            </w:r>
          </w:p>
        </w:tc>
        <w:tc>
          <w:tcPr>
            <w:tcW w:w="243" w:type="pct"/>
          </w:tcPr>
          <w:p w:rsidR="002D7B0D" w:rsidRPr="005E5DDD" w:rsidRDefault="002D7B0D" w:rsidP="00F47A67">
            <w:pPr>
              <w:jc w:val="both"/>
              <w:rPr>
                <w:rFonts w:eastAsia="Calibri"/>
                <w:sz w:val="20"/>
              </w:rPr>
            </w:pPr>
          </w:p>
        </w:tc>
        <w:tc>
          <w:tcPr>
            <w:tcW w:w="2330" w:type="pct"/>
          </w:tcPr>
          <w:p w:rsidR="002D7B0D" w:rsidRPr="005E5DDD" w:rsidRDefault="002D7B0D" w:rsidP="00F47A67">
            <w:pPr>
              <w:jc w:val="both"/>
              <w:rPr>
                <w:rFonts w:eastAsia="Calibri"/>
                <w:sz w:val="20"/>
              </w:rPr>
            </w:pPr>
            <w:r w:rsidRPr="005E5DDD">
              <w:rPr>
                <w:rFonts w:eastAsia="Calibri"/>
                <w:sz w:val="20"/>
              </w:rPr>
              <w:t>Application for leave to appeal filed</w:t>
            </w:r>
          </w:p>
        </w:tc>
      </w:tr>
    </w:tbl>
    <w:p w:rsidR="009D08C5" w:rsidRDefault="009D08C5" w:rsidP="009D08C5">
      <w:pPr>
        <w:rPr>
          <w:sz w:val="20"/>
          <w:szCs w:val="20"/>
        </w:rPr>
      </w:pPr>
    </w:p>
    <w:p w:rsidR="009D08C5" w:rsidRPr="00C50A5C" w:rsidRDefault="005F2BA7" w:rsidP="009D08C5">
      <w:pPr>
        <w:rPr>
          <w:sz w:val="20"/>
          <w:szCs w:val="20"/>
        </w:rPr>
      </w:pPr>
      <w:r w:rsidRPr="005F2BA7">
        <w:rPr>
          <w:sz w:val="20"/>
          <w:szCs w:val="20"/>
          <w:lang w:val="fr-CA"/>
        </w:rPr>
        <w:pict>
          <v:rect id="_x0000_i1114" style="width:2in;height:1pt" o:hrpct="0" o:hralign="center" o:hrstd="t" o:hrnoshade="t" o:hr="t" fillcolor="black [3213]" stroked="f"/>
        </w:pict>
      </w:r>
    </w:p>
    <w:p w:rsidR="009D08C5" w:rsidRDefault="009D08C5" w:rsidP="009D08C5">
      <w:pPr>
        <w:rPr>
          <w:sz w:val="20"/>
          <w:szCs w:val="20"/>
        </w:rPr>
      </w:pPr>
    </w:p>
    <w:p w:rsidR="009D08C5" w:rsidRPr="001B157C" w:rsidRDefault="009D08C5" w:rsidP="009D08C5">
      <w:pPr>
        <w:rPr>
          <w:sz w:val="20"/>
          <w:szCs w:val="20"/>
          <w:u w:val="single"/>
          <w:lang w:val="fr-CA"/>
        </w:rPr>
      </w:pPr>
      <w:r w:rsidRPr="001B157C">
        <w:rPr>
          <w:sz w:val="20"/>
          <w:szCs w:val="20"/>
          <w:u w:val="single"/>
          <w:lang w:val="fr-CA"/>
        </w:rPr>
        <w:t>RÉSUMÉ DE L’AFFAIRE</w:t>
      </w:r>
    </w:p>
    <w:p w:rsidR="009D08C5" w:rsidRDefault="009D08C5" w:rsidP="009D08C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7B0D" w:rsidRPr="007C5A5B" w:rsidTr="00F47A67">
        <w:tc>
          <w:tcPr>
            <w:tcW w:w="5000" w:type="pct"/>
            <w:gridSpan w:val="3"/>
          </w:tcPr>
          <w:p w:rsidR="002D7B0D" w:rsidRPr="005E5DDD" w:rsidRDefault="002D7B0D" w:rsidP="00F47A67">
            <w:pPr>
              <w:jc w:val="both"/>
              <w:rPr>
                <w:rFonts w:eastAsia="Calibri"/>
                <w:smallCaps/>
                <w:sz w:val="20"/>
                <w:lang w:val="fr-CA"/>
              </w:rPr>
            </w:pPr>
            <w:r w:rsidRPr="005E5DDD">
              <w:rPr>
                <w:rFonts w:eastAsia="Calibri"/>
                <w:smallCaps/>
                <w:sz w:val="20"/>
                <w:lang w:val="fr-CA"/>
              </w:rPr>
              <w:t>(Ordonnance de non</w:t>
            </w:r>
            <w:r w:rsidRPr="005E5DDD">
              <w:rPr>
                <w:rFonts w:eastAsia="Calibri"/>
                <w:smallCaps/>
                <w:sz w:val="20"/>
                <w:lang w:val="fr-CA"/>
              </w:rPr>
              <w:noBreakHyphen/>
              <w:t>publication dans le dossier)</w:t>
            </w:r>
          </w:p>
          <w:p w:rsidR="002D7B0D" w:rsidRPr="005E5DDD" w:rsidRDefault="002D7B0D" w:rsidP="00F47A67">
            <w:pPr>
              <w:jc w:val="both"/>
              <w:rPr>
                <w:rFonts w:eastAsia="Calibri"/>
                <w:sz w:val="20"/>
                <w:lang w:val="fr-CA"/>
              </w:rPr>
            </w:pPr>
          </w:p>
          <w:p w:rsidR="002D7B0D" w:rsidRPr="005E5DDD" w:rsidRDefault="002D7B0D" w:rsidP="00F47A67">
            <w:pPr>
              <w:jc w:val="both"/>
              <w:rPr>
                <w:rFonts w:eastAsia="Calibri"/>
                <w:sz w:val="20"/>
                <w:lang w:val="fr-CA"/>
              </w:rPr>
            </w:pPr>
            <w:r w:rsidRPr="005E5DDD">
              <w:rPr>
                <w:rFonts w:eastAsia="Calibri"/>
                <w:sz w:val="20"/>
                <w:lang w:val="fr-CA"/>
              </w:rPr>
              <w:t>Droit criminel – Preuve – Communication de la preuve – La définition du mot « dossier » à l'art. 278.1 du</w:t>
            </w:r>
            <w:r w:rsidRPr="005E5DDD">
              <w:rPr>
                <w:rFonts w:eastAsia="Calibri"/>
                <w:i/>
                <w:sz w:val="20"/>
                <w:lang w:val="fr-CA"/>
              </w:rPr>
              <w:t xml:space="preserve"> Code criminel</w:t>
            </w:r>
            <w:r w:rsidRPr="005E5DDD">
              <w:rPr>
                <w:rFonts w:eastAsia="Calibri"/>
                <w:sz w:val="20"/>
                <w:lang w:val="fr-CA"/>
              </w:rPr>
              <w:t xml:space="preserve"> comprend</w:t>
            </w:r>
            <w:r w:rsidRPr="005E5DDD">
              <w:rPr>
                <w:rFonts w:eastAsia="Calibri"/>
                <w:sz w:val="20"/>
                <w:lang w:val="fr-CA"/>
              </w:rPr>
              <w:noBreakHyphen/>
              <w:t>t</w:t>
            </w:r>
            <w:r w:rsidRPr="005E5DDD">
              <w:rPr>
                <w:rFonts w:eastAsia="Calibri"/>
                <w:sz w:val="20"/>
                <w:lang w:val="fr-CA"/>
              </w:rPr>
              <w:noBreakHyphen/>
              <w:t>elle les « rapports d’événements » de la police qui ne sont pas liés à l'affaire en cours d’instance? – Le ministère public a</w:t>
            </w:r>
            <w:r w:rsidRPr="005E5DDD">
              <w:rPr>
                <w:rFonts w:eastAsia="Calibri"/>
                <w:sz w:val="20"/>
                <w:lang w:val="fr-CA"/>
              </w:rPr>
              <w:noBreakHyphen/>
              <w:t>t</w:t>
            </w:r>
            <w:r w:rsidRPr="005E5DDD">
              <w:rPr>
                <w:rFonts w:eastAsia="Calibri"/>
                <w:sz w:val="20"/>
                <w:lang w:val="fr-CA"/>
              </w:rPr>
              <w:noBreakHyphen/>
              <w:t xml:space="preserve">il l'obligation, en application de l'arrêt </w:t>
            </w:r>
            <w:r w:rsidRPr="005E5DDD">
              <w:rPr>
                <w:rFonts w:eastAsia="Calibri"/>
                <w:i/>
                <w:sz w:val="20"/>
                <w:lang w:val="fr-CA"/>
              </w:rPr>
              <w:t>Stinchcombe</w:t>
            </w:r>
            <w:r w:rsidRPr="005E5DDD">
              <w:rPr>
                <w:rFonts w:eastAsia="Calibri"/>
                <w:sz w:val="20"/>
                <w:lang w:val="fr-CA"/>
              </w:rPr>
              <w:t>, d'obtenir et de communiquer les « rapports d’événements » de la police concernant des témoins à l'égard de questions qui ne sont pas liées à l'affaire en cours d’instance?</w:t>
            </w:r>
          </w:p>
        </w:tc>
      </w:tr>
      <w:tr w:rsidR="002D7B0D" w:rsidRPr="007C5A5B" w:rsidTr="00F47A67">
        <w:tc>
          <w:tcPr>
            <w:tcW w:w="5000" w:type="pct"/>
            <w:gridSpan w:val="3"/>
          </w:tcPr>
          <w:p w:rsidR="002D7B0D" w:rsidRPr="005E5DDD" w:rsidRDefault="002D7B0D" w:rsidP="00F47A67">
            <w:pPr>
              <w:jc w:val="both"/>
              <w:rPr>
                <w:rFonts w:eastAsia="Calibri"/>
                <w:sz w:val="20"/>
                <w:lang w:val="fr-CA"/>
              </w:rPr>
            </w:pPr>
          </w:p>
        </w:tc>
      </w:tr>
      <w:tr w:rsidR="002D7B0D" w:rsidRPr="007C5A5B" w:rsidTr="00F47A67">
        <w:tc>
          <w:tcPr>
            <w:tcW w:w="5000" w:type="pct"/>
            <w:gridSpan w:val="3"/>
          </w:tcPr>
          <w:p w:rsidR="002D7B0D" w:rsidRPr="005E5DDD" w:rsidRDefault="002D7B0D" w:rsidP="00F47A67">
            <w:pPr>
              <w:jc w:val="both"/>
              <w:rPr>
                <w:rFonts w:eastAsia="Calibri"/>
                <w:sz w:val="20"/>
                <w:lang w:val="fr-CA"/>
              </w:rPr>
            </w:pPr>
            <w:r w:rsidRPr="005E5DDD">
              <w:rPr>
                <w:rFonts w:eastAsia="Calibri"/>
                <w:sz w:val="20"/>
                <w:lang w:val="fr-CA"/>
              </w:rPr>
              <w:t xml:space="preserve">Monsieur Quesnelle a été accusé de voies de fait, d'agression sexuelle, d'agression sexuelle armée, de vol qualifié, de menaces de mort et de menaces de causer des blessures graves.  Les accusations remontent à deux incidents distincts impliquant deux plaignantes.  Monsieur Quesnelle a nié toutes les accusations portées contre lui.  L’issue de la cause reposait sur la crédibilité.  </w:t>
            </w:r>
          </w:p>
          <w:p w:rsidR="002D7B0D" w:rsidRPr="005E5DDD" w:rsidRDefault="002D7B0D" w:rsidP="00F47A67">
            <w:pPr>
              <w:jc w:val="both"/>
              <w:rPr>
                <w:rFonts w:eastAsia="Calibri"/>
                <w:sz w:val="20"/>
                <w:lang w:val="fr-CA"/>
              </w:rPr>
            </w:pPr>
          </w:p>
          <w:p w:rsidR="002D7B0D" w:rsidRPr="005E5DDD" w:rsidRDefault="002D7B0D" w:rsidP="00F47A67">
            <w:pPr>
              <w:jc w:val="both"/>
              <w:rPr>
                <w:rFonts w:eastAsia="Calibri"/>
                <w:sz w:val="20"/>
                <w:lang w:val="fr-CA"/>
              </w:rPr>
            </w:pPr>
            <w:r w:rsidRPr="005E5DDD">
              <w:rPr>
                <w:rFonts w:eastAsia="Calibri"/>
                <w:sz w:val="20"/>
                <w:lang w:val="fr-CA"/>
              </w:rPr>
              <w:t>Au cours du procès, M. Quesnelle a demandé la communication de tous les rapports d’événements de la police examinés par les policiers relativement à l'une des plaignantes.  Il a été jugé que la demande devait être présentée en application de l'art. 278.2 du</w:t>
            </w:r>
            <w:r w:rsidRPr="005E5DDD">
              <w:rPr>
                <w:rFonts w:eastAsia="Calibri"/>
                <w:i/>
                <w:sz w:val="20"/>
                <w:lang w:val="fr-CA"/>
              </w:rPr>
              <w:t xml:space="preserve"> Code criminel,</w:t>
            </w:r>
            <w:r w:rsidRPr="005E5DDD">
              <w:rPr>
                <w:rFonts w:eastAsia="Calibri"/>
                <w:sz w:val="20"/>
                <w:lang w:val="fr-CA"/>
              </w:rPr>
              <w:t xml:space="preserve"> puisqu'il y avait une attente raisonnable en matière de protection de la vie privée à l'égard de ces rapports d’événements et que la seule exception avait pour objet les documents ayant trait à l'infraction en question.  La demande de production des rapports d’événements a fini par être rejetée, puisqu'il a été jugé qu'aucune preuve ne permettait de conclure que les documents demandés étaient vraisemblablement pertinents ou que leur production servirait les intérêts de la justice.</w:t>
            </w:r>
          </w:p>
          <w:p w:rsidR="002D7B0D" w:rsidRPr="005E5DDD" w:rsidRDefault="002D7B0D" w:rsidP="00F47A67">
            <w:pPr>
              <w:jc w:val="both"/>
              <w:rPr>
                <w:rFonts w:eastAsia="Calibri"/>
                <w:sz w:val="20"/>
                <w:lang w:val="fr-CA"/>
              </w:rPr>
            </w:pPr>
          </w:p>
          <w:p w:rsidR="002D7B0D" w:rsidRPr="005E5DDD" w:rsidRDefault="002D7B0D" w:rsidP="00F47A67">
            <w:pPr>
              <w:jc w:val="both"/>
              <w:rPr>
                <w:rFonts w:eastAsia="Calibri"/>
                <w:sz w:val="20"/>
                <w:lang w:val="fr-CA"/>
              </w:rPr>
            </w:pPr>
            <w:r w:rsidRPr="005E5DDD">
              <w:rPr>
                <w:rFonts w:eastAsia="Calibri"/>
                <w:sz w:val="20"/>
                <w:lang w:val="fr-CA"/>
              </w:rPr>
              <w:t>Monsieur Quesnelle a été déclaré coupable par un juge et un jury sous deux accusations de voies de fait simples et deux accusations d'agression sexuelle.  Monsieur Quesnelle a interjeté appel de sa condamnation et de sa peine.  La question soulevée en appel était de savoir si les demandes avaient été dûment présentées conformément aux protections légales prévues à l'art. 278.2 du</w:t>
            </w:r>
            <w:r w:rsidRPr="005E5DDD">
              <w:rPr>
                <w:rFonts w:eastAsia="Calibri"/>
                <w:i/>
                <w:sz w:val="20"/>
                <w:lang w:val="fr-CA"/>
              </w:rPr>
              <w:t xml:space="preserve"> Code criminel</w:t>
            </w:r>
            <w:r w:rsidRPr="005E5DDD">
              <w:rPr>
                <w:rFonts w:eastAsia="Calibri"/>
                <w:sz w:val="20"/>
                <w:lang w:val="fr-CA"/>
              </w:rPr>
              <w:t xml:space="preserve"> ou si la demande aurait dû être traitée au regard du critère moins exigeant de communication de la preuve énoncé dans </w:t>
            </w:r>
            <w:r w:rsidRPr="005E5DDD">
              <w:rPr>
                <w:rFonts w:eastAsia="Calibri"/>
                <w:i/>
                <w:sz w:val="20"/>
                <w:lang w:val="fr-CA"/>
              </w:rPr>
              <w:t>R. c. Stinchcombe</w:t>
            </w:r>
            <w:r w:rsidRPr="005E5DDD">
              <w:rPr>
                <w:rFonts w:eastAsia="Calibri"/>
                <w:sz w:val="20"/>
                <w:lang w:val="fr-CA"/>
              </w:rPr>
              <w:t>, [1991] 3 R.C.S 326. La Cour d'appel a accueilli l'appel et ordonné un nouveau procès.</w:t>
            </w:r>
          </w:p>
          <w:p w:rsidR="002D7B0D" w:rsidRPr="005E5DDD" w:rsidRDefault="002D7B0D" w:rsidP="00F47A67">
            <w:pPr>
              <w:jc w:val="both"/>
              <w:rPr>
                <w:rFonts w:eastAsia="Calibri"/>
                <w:sz w:val="20"/>
                <w:lang w:val="fr-CA"/>
              </w:rPr>
            </w:pPr>
          </w:p>
        </w:tc>
      </w:tr>
      <w:tr w:rsidR="002D7B0D" w:rsidRPr="007C5A5B" w:rsidTr="00F47A67">
        <w:tc>
          <w:tcPr>
            <w:tcW w:w="2427" w:type="pct"/>
          </w:tcPr>
          <w:p w:rsidR="002D7B0D" w:rsidRPr="005E5DDD" w:rsidRDefault="002D7B0D" w:rsidP="00F47A67">
            <w:pPr>
              <w:jc w:val="both"/>
              <w:rPr>
                <w:rFonts w:eastAsia="Calibri"/>
                <w:sz w:val="20"/>
                <w:lang w:val="fr-CA"/>
              </w:rPr>
            </w:pPr>
            <w:r w:rsidRPr="005E5DDD">
              <w:rPr>
                <w:rFonts w:eastAsia="Calibri"/>
                <w:sz w:val="20"/>
                <w:lang w:val="fr-CA"/>
              </w:rPr>
              <w:t>4 juin 2010</w:t>
            </w:r>
          </w:p>
          <w:p w:rsidR="002D7B0D" w:rsidRPr="005E5DDD" w:rsidRDefault="002D7B0D" w:rsidP="00F47A67">
            <w:pPr>
              <w:jc w:val="both"/>
              <w:rPr>
                <w:rFonts w:eastAsia="Calibri"/>
                <w:sz w:val="20"/>
                <w:lang w:val="fr-CA"/>
              </w:rPr>
            </w:pPr>
            <w:r w:rsidRPr="005E5DDD">
              <w:rPr>
                <w:rFonts w:eastAsia="Calibri"/>
                <w:sz w:val="20"/>
                <w:lang w:val="fr-CA"/>
              </w:rPr>
              <w:t>Cour supérieure de justice de l'Ontario</w:t>
            </w:r>
          </w:p>
          <w:p w:rsidR="002D7B0D" w:rsidRPr="005E5DDD" w:rsidRDefault="002D7B0D" w:rsidP="00F47A67">
            <w:pPr>
              <w:jc w:val="both"/>
              <w:rPr>
                <w:rFonts w:eastAsia="Calibri"/>
                <w:sz w:val="20"/>
                <w:lang w:val="fr-CA"/>
              </w:rPr>
            </w:pPr>
            <w:r w:rsidRPr="005E5DDD">
              <w:rPr>
                <w:rFonts w:eastAsia="Calibri"/>
                <w:sz w:val="20"/>
                <w:lang w:val="fr-CA"/>
              </w:rPr>
              <w:t>(Juge Thorburn)</w:t>
            </w:r>
          </w:p>
          <w:p w:rsidR="002D7B0D" w:rsidRPr="005E5DDD" w:rsidRDefault="002D7B0D" w:rsidP="00F47A67">
            <w:pPr>
              <w:jc w:val="both"/>
              <w:rPr>
                <w:rFonts w:eastAsia="Calibri"/>
                <w:sz w:val="20"/>
                <w:lang w:val="fr-CA"/>
              </w:rPr>
            </w:pPr>
          </w:p>
        </w:tc>
        <w:tc>
          <w:tcPr>
            <w:tcW w:w="243" w:type="pct"/>
          </w:tcPr>
          <w:p w:rsidR="002D7B0D" w:rsidRPr="005E5DDD" w:rsidRDefault="002D7B0D" w:rsidP="00F47A67">
            <w:pPr>
              <w:jc w:val="both"/>
              <w:rPr>
                <w:rFonts w:eastAsia="Calibri"/>
                <w:sz w:val="20"/>
                <w:lang w:val="fr-CA"/>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Intimé déclaré coupable sous deux chefs d'agression sexuelle et deux chefs de voies de fait</w:t>
            </w:r>
          </w:p>
          <w:p w:rsidR="002D7B0D" w:rsidRPr="005E5DDD" w:rsidRDefault="002D7B0D" w:rsidP="00F47A67">
            <w:pPr>
              <w:jc w:val="both"/>
              <w:rPr>
                <w:rFonts w:eastAsia="Calibri"/>
                <w:sz w:val="20"/>
                <w:lang w:val="fr-CA"/>
              </w:rPr>
            </w:pPr>
          </w:p>
        </w:tc>
      </w:tr>
      <w:tr w:rsidR="002D7B0D" w:rsidRPr="005E5DDD" w:rsidTr="00F47A67">
        <w:tc>
          <w:tcPr>
            <w:tcW w:w="2427" w:type="pct"/>
          </w:tcPr>
          <w:p w:rsidR="002D7B0D" w:rsidRPr="005E5DDD" w:rsidRDefault="002D7B0D" w:rsidP="00F47A67">
            <w:pPr>
              <w:jc w:val="both"/>
              <w:rPr>
                <w:rFonts w:eastAsia="Calibri"/>
                <w:sz w:val="20"/>
                <w:lang w:val="fr-CA"/>
              </w:rPr>
            </w:pPr>
            <w:r w:rsidRPr="005E5DDD">
              <w:rPr>
                <w:rFonts w:eastAsia="Calibri"/>
                <w:sz w:val="20"/>
                <w:lang w:val="fr-CA"/>
              </w:rPr>
              <w:t>26 mars 2013</w:t>
            </w:r>
          </w:p>
          <w:p w:rsidR="002D7B0D" w:rsidRPr="005E5DDD" w:rsidRDefault="002D7B0D" w:rsidP="00F47A67">
            <w:pPr>
              <w:jc w:val="both"/>
              <w:rPr>
                <w:rFonts w:eastAsia="Calibri"/>
                <w:sz w:val="20"/>
                <w:lang w:val="fr-CA"/>
              </w:rPr>
            </w:pPr>
            <w:r w:rsidRPr="005E5DDD">
              <w:rPr>
                <w:rFonts w:eastAsia="Calibri"/>
                <w:sz w:val="20"/>
                <w:lang w:val="fr-CA"/>
              </w:rPr>
              <w:t xml:space="preserve">Cour d'appel de l'Ontario </w:t>
            </w:r>
          </w:p>
          <w:p w:rsidR="002D7B0D" w:rsidRPr="005E5DDD" w:rsidRDefault="002D7B0D" w:rsidP="00F47A67">
            <w:pPr>
              <w:jc w:val="both"/>
              <w:rPr>
                <w:rFonts w:eastAsia="Calibri"/>
                <w:sz w:val="20"/>
                <w:lang w:val="fr-CA"/>
              </w:rPr>
            </w:pPr>
            <w:r w:rsidRPr="005E5DDD">
              <w:rPr>
                <w:rFonts w:eastAsia="Calibri"/>
                <w:sz w:val="20"/>
                <w:lang w:val="fr-CA"/>
              </w:rPr>
              <w:t>(Juges Rosenberg, Sharpe et MacFarland)</w:t>
            </w:r>
          </w:p>
          <w:p w:rsidR="002D7B0D" w:rsidRPr="005E5DDD" w:rsidRDefault="002D7B0D" w:rsidP="00F47A67">
            <w:pPr>
              <w:jc w:val="both"/>
              <w:rPr>
                <w:rFonts w:eastAsia="Calibri"/>
                <w:sz w:val="20"/>
                <w:lang w:val="fr-CA"/>
              </w:rPr>
            </w:pPr>
            <w:r w:rsidRPr="005E5DDD">
              <w:rPr>
                <w:rFonts w:eastAsia="Calibri"/>
                <w:sz w:val="20"/>
                <w:lang w:val="fr-CA"/>
              </w:rPr>
              <w:t>2013 ONCA 180; C53116</w:t>
            </w:r>
          </w:p>
          <w:p w:rsidR="002D7B0D" w:rsidRPr="005E5DDD" w:rsidRDefault="002D7B0D" w:rsidP="00F47A67">
            <w:pPr>
              <w:jc w:val="both"/>
              <w:rPr>
                <w:rFonts w:eastAsia="Calibri"/>
                <w:sz w:val="20"/>
                <w:lang w:val="fr-CA"/>
              </w:rPr>
            </w:pPr>
          </w:p>
        </w:tc>
        <w:tc>
          <w:tcPr>
            <w:tcW w:w="243" w:type="pct"/>
          </w:tcPr>
          <w:p w:rsidR="002D7B0D" w:rsidRPr="005E5DDD" w:rsidRDefault="002D7B0D" w:rsidP="00F47A67">
            <w:pPr>
              <w:jc w:val="both"/>
              <w:rPr>
                <w:rFonts w:eastAsia="Calibri"/>
                <w:sz w:val="20"/>
                <w:lang w:val="fr-CA"/>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Appel accueilli; nouveau procès ordonné</w:t>
            </w:r>
          </w:p>
          <w:p w:rsidR="002D7B0D" w:rsidRPr="005E5DDD" w:rsidRDefault="002D7B0D" w:rsidP="00F47A67">
            <w:pPr>
              <w:jc w:val="both"/>
              <w:rPr>
                <w:rFonts w:eastAsia="Calibri"/>
                <w:sz w:val="20"/>
                <w:lang w:val="fr-CA"/>
              </w:rPr>
            </w:pPr>
          </w:p>
        </w:tc>
      </w:tr>
      <w:tr w:rsidR="002D7B0D" w:rsidRPr="005E5DDD" w:rsidTr="00F47A67">
        <w:tc>
          <w:tcPr>
            <w:tcW w:w="2427" w:type="pct"/>
          </w:tcPr>
          <w:p w:rsidR="002D7B0D" w:rsidRPr="005E5DDD" w:rsidRDefault="002D7B0D" w:rsidP="00F47A67">
            <w:pPr>
              <w:jc w:val="both"/>
              <w:rPr>
                <w:rFonts w:eastAsia="Calibri"/>
                <w:sz w:val="20"/>
                <w:lang w:val="fr-CA"/>
              </w:rPr>
            </w:pPr>
            <w:r w:rsidRPr="005E5DDD">
              <w:rPr>
                <w:rFonts w:eastAsia="Calibri"/>
                <w:sz w:val="20"/>
                <w:lang w:val="fr-CA"/>
              </w:rPr>
              <w:t>23 mai 2013</w:t>
            </w:r>
          </w:p>
          <w:p w:rsidR="002D7B0D" w:rsidRPr="005E5DDD" w:rsidRDefault="002D7B0D" w:rsidP="00F47A67">
            <w:pPr>
              <w:jc w:val="both"/>
              <w:rPr>
                <w:rFonts w:eastAsia="Calibri"/>
                <w:sz w:val="20"/>
                <w:lang w:val="fr-CA"/>
              </w:rPr>
            </w:pPr>
            <w:r w:rsidRPr="005E5DDD">
              <w:rPr>
                <w:rFonts w:eastAsia="Calibri"/>
                <w:sz w:val="20"/>
                <w:lang w:val="fr-CA"/>
              </w:rPr>
              <w:t>Cour suprême du Canada</w:t>
            </w:r>
          </w:p>
        </w:tc>
        <w:tc>
          <w:tcPr>
            <w:tcW w:w="243" w:type="pct"/>
          </w:tcPr>
          <w:p w:rsidR="002D7B0D" w:rsidRPr="005E5DDD" w:rsidRDefault="002D7B0D" w:rsidP="00F47A67">
            <w:pPr>
              <w:jc w:val="both"/>
              <w:rPr>
                <w:rFonts w:eastAsia="Calibri"/>
                <w:sz w:val="20"/>
                <w:lang w:val="fr-CA"/>
              </w:rPr>
            </w:pPr>
          </w:p>
        </w:tc>
        <w:tc>
          <w:tcPr>
            <w:tcW w:w="2330" w:type="pct"/>
          </w:tcPr>
          <w:p w:rsidR="002D7B0D" w:rsidRPr="005E5DDD" w:rsidRDefault="002D7B0D" w:rsidP="00F47A67">
            <w:pPr>
              <w:jc w:val="both"/>
              <w:rPr>
                <w:rFonts w:eastAsia="Calibri"/>
                <w:sz w:val="20"/>
                <w:lang w:val="fr-CA"/>
              </w:rPr>
            </w:pPr>
            <w:r w:rsidRPr="005E5DDD">
              <w:rPr>
                <w:rFonts w:eastAsia="Calibri"/>
                <w:sz w:val="20"/>
                <w:lang w:val="fr-CA"/>
              </w:rPr>
              <w:t>Demande d'autorisation d'appel, déposée</w:t>
            </w:r>
          </w:p>
        </w:tc>
      </w:tr>
    </w:tbl>
    <w:p w:rsidR="009D08C5" w:rsidRDefault="009D08C5" w:rsidP="009D08C5">
      <w:pPr>
        <w:rPr>
          <w:sz w:val="20"/>
          <w:szCs w:val="20"/>
        </w:rPr>
      </w:pPr>
    </w:p>
    <w:p w:rsidR="009D08C5" w:rsidRDefault="005F2BA7" w:rsidP="009D08C5">
      <w:pPr>
        <w:rPr>
          <w:sz w:val="20"/>
          <w:szCs w:val="20"/>
          <w:lang w:val="fr-CA"/>
        </w:rPr>
      </w:pPr>
      <w:r w:rsidRPr="005F2BA7">
        <w:rPr>
          <w:sz w:val="20"/>
          <w:szCs w:val="20"/>
          <w:lang w:val="fr-CA"/>
        </w:rPr>
        <w:pict>
          <v:rect id="_x0000_i1115" style="width:2in;height:1pt" o:hrpct="0" o:hralign="center" o:hrstd="t" o:hrnoshade="t" o:hr="t" fillcolor="black [3213]" stroked="f"/>
        </w:pict>
      </w:r>
    </w:p>
    <w:p w:rsidR="009D08C5" w:rsidRDefault="009D08C5" w:rsidP="009D08C5">
      <w:pPr>
        <w:rPr>
          <w:sz w:val="20"/>
          <w:szCs w:val="20"/>
          <w:lang w:val="fr-CA"/>
        </w:rPr>
      </w:pPr>
    </w:p>
    <w:p w:rsidR="009D08C5" w:rsidRPr="00C50A5C" w:rsidRDefault="009D08C5"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19.07.2013</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Before / Devant :   THE CHIEF JUSTICE / LA JUGE EN CHEF</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C01A8" w:rsidRPr="007C5A5B" w:rsidTr="00BC01A8">
        <w:tc>
          <w:tcPr>
            <w:tcW w:w="4338" w:type="dxa"/>
          </w:tcPr>
          <w:p w:rsidR="00BC01A8" w:rsidRPr="00BC01A8" w:rsidRDefault="005F2BA7" w:rsidP="00BC01A8">
            <w:pPr>
              <w:tabs>
                <w:tab w:val="left" w:pos="-1440"/>
                <w:tab w:val="left" w:pos="-720"/>
              </w:tabs>
              <w:jc w:val="both"/>
              <w:rPr>
                <w:b/>
              </w:rPr>
            </w:pPr>
            <w:r w:rsidRPr="00BC01A8">
              <w:rPr>
                <w:szCs w:val="24"/>
                <w:lang w:val="en-US"/>
              </w:rPr>
              <w:fldChar w:fldCharType="begin"/>
            </w:r>
            <w:r w:rsidR="00BC01A8" w:rsidRPr="00BC01A8">
              <w:rPr>
                <w:szCs w:val="24"/>
                <w:lang w:val="en-US"/>
              </w:rPr>
              <w:instrText xml:space="preserve"> SEQ CHAPTER \h \r 1</w:instrText>
            </w:r>
            <w:r w:rsidRPr="00BC01A8">
              <w:rPr>
                <w:szCs w:val="24"/>
                <w:lang w:val="en-US"/>
              </w:rPr>
              <w:fldChar w:fldCharType="end"/>
            </w:r>
            <w:r w:rsidR="00BC01A8" w:rsidRPr="00BC01A8">
              <w:rPr>
                <w:b/>
                <w:bCs/>
                <w:lang w:val="en-US"/>
              </w:rPr>
              <w:t xml:space="preserve">Order appointing </w:t>
            </w:r>
            <w:r w:rsidR="00BC01A8" w:rsidRPr="00BC01A8">
              <w:rPr>
                <w:b/>
                <w:bCs/>
                <w:i/>
                <w:iCs/>
                <w:lang w:val="en-US"/>
              </w:rPr>
              <w:t>amicus curiae</w:t>
            </w:r>
          </w:p>
        </w:tc>
        <w:tc>
          <w:tcPr>
            <w:tcW w:w="1170" w:type="dxa"/>
          </w:tcPr>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tc>
        <w:tc>
          <w:tcPr>
            <w:tcW w:w="4327" w:type="dxa"/>
          </w:tcPr>
          <w:p w:rsidR="00BC01A8" w:rsidRPr="00BC01A8" w:rsidRDefault="005F2BA7" w:rsidP="00BC01A8">
            <w:pPr>
              <w:tabs>
                <w:tab w:val="left" w:pos="-1440"/>
                <w:tab w:val="left" w:pos="-720"/>
              </w:tabs>
              <w:jc w:val="both"/>
              <w:rPr>
                <w:lang w:val="fr-CA"/>
              </w:rPr>
            </w:pPr>
            <w:r w:rsidRPr="00BC01A8">
              <w:rPr>
                <w:szCs w:val="24"/>
                <w:lang w:val="en-US"/>
              </w:rPr>
              <w:fldChar w:fldCharType="begin"/>
            </w:r>
            <w:r w:rsidR="00BC01A8" w:rsidRPr="00BC01A8">
              <w:rPr>
                <w:szCs w:val="24"/>
                <w:lang w:val="fr-CA"/>
              </w:rPr>
              <w:instrText xml:space="preserve"> SEQ CHAPTER \h \r 1</w:instrText>
            </w:r>
            <w:r w:rsidRPr="00BC01A8">
              <w:rPr>
                <w:szCs w:val="24"/>
                <w:lang w:val="en-US"/>
              </w:rPr>
              <w:fldChar w:fldCharType="end"/>
            </w:r>
            <w:r w:rsidR="00BC01A8" w:rsidRPr="00BC01A8">
              <w:rPr>
                <w:b/>
                <w:bCs/>
                <w:lang w:val="fr-CA"/>
              </w:rPr>
              <w:t xml:space="preserve">Ordonnance nommant un </w:t>
            </w:r>
            <w:r w:rsidR="00BC01A8" w:rsidRPr="00BC01A8">
              <w:rPr>
                <w:b/>
                <w:bCs/>
                <w:i/>
                <w:iCs/>
                <w:lang w:val="fr-CA"/>
              </w:rPr>
              <w:t>amicus curiae</w:t>
            </w:r>
            <w:r w:rsidR="00BC01A8" w:rsidRPr="00BC01A8">
              <w:rPr>
                <w:lang w:val="fr-CA"/>
              </w:rPr>
              <w:t xml:space="preserve"> </w:t>
            </w:r>
            <w:r w:rsidRPr="00BC01A8">
              <w:rPr>
                <w:lang w:val="en-US"/>
              </w:rPr>
              <w:fldChar w:fldCharType="begin"/>
            </w:r>
            <w:r w:rsidR="00BC01A8" w:rsidRPr="00BC01A8">
              <w:rPr>
                <w:lang w:val="fr-CA"/>
              </w:rPr>
              <w:instrText xml:space="preserve"> SEQ CHAPTER \h \r 1</w:instrText>
            </w:r>
            <w:r w:rsidRPr="00BC01A8">
              <w:rPr>
                <w:lang w:val="en-US"/>
              </w:rPr>
              <w:fldChar w:fldCharType="end"/>
            </w:r>
            <w:r w:rsidRPr="00BC01A8">
              <w:rPr>
                <w:lang w:val="en-US"/>
              </w:rPr>
              <w:fldChar w:fldCharType="begin"/>
            </w:r>
            <w:r w:rsidR="00BC01A8" w:rsidRPr="00BC01A8">
              <w:rPr>
                <w:lang w:val="fr-CA"/>
              </w:rPr>
              <w:instrText xml:space="preserve"> SEQ CHAPTER \h \r 1</w:instrText>
            </w:r>
            <w:r w:rsidRPr="00BC01A8">
              <w:rPr>
                <w:lang w:val="en-US"/>
              </w:rPr>
              <w:fldChar w:fldCharType="end"/>
            </w:r>
            <w:r w:rsidRPr="00BC01A8">
              <w:rPr>
                <w:lang w:val="en-US"/>
              </w:rPr>
              <w:fldChar w:fldCharType="begin"/>
            </w:r>
            <w:r w:rsidR="00BC01A8" w:rsidRPr="00BC01A8">
              <w:rPr>
                <w:lang w:val="fr-CA"/>
              </w:rPr>
              <w:instrText xml:space="preserve"> SEQ CHAPTER \h \r 1</w:instrText>
            </w:r>
            <w:r w:rsidRPr="00BC01A8">
              <w:rPr>
                <w:lang w:val="en-US"/>
              </w:rPr>
              <w:fldChar w:fldCharType="end"/>
            </w:r>
            <w:r w:rsidRPr="00BC01A8">
              <w:rPr>
                <w:lang w:val="en-US"/>
              </w:rPr>
              <w:fldChar w:fldCharType="begin"/>
            </w:r>
            <w:r w:rsidR="00BC01A8" w:rsidRPr="00BC01A8">
              <w:rPr>
                <w:lang w:val="fr-CA"/>
              </w:rPr>
              <w:instrText xml:space="preserve"> SEQ CHAPTER \h \r 1</w:instrText>
            </w:r>
            <w:r w:rsidRPr="00BC01A8">
              <w:rPr>
                <w:lang w:val="en-US"/>
              </w:rPr>
              <w:fldChar w:fldCharType="end"/>
            </w:r>
          </w:p>
        </w:tc>
      </w:tr>
      <w:tr w:rsidR="00BC01A8" w:rsidRPr="007C5A5B" w:rsidTr="00BC01A8">
        <w:tc>
          <w:tcPr>
            <w:tcW w:w="4338" w:type="dxa"/>
          </w:tcPr>
          <w:p w:rsidR="00BC01A8" w:rsidRPr="00BC01A8" w:rsidRDefault="00BC01A8" w:rsidP="00BC01A8">
            <w:pPr>
              <w:tabs>
                <w:tab w:val="left" w:pos="-1440"/>
                <w:tab w:val="left" w:pos="-720"/>
              </w:tabs>
              <w:jc w:val="both"/>
            </w:pPr>
            <w:r w:rsidRPr="00BC01A8">
              <w:t>Estate of the Late Zahra (Ziba) Kazemi et al.</w:t>
            </w: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rPr>
                <w:lang w:val="fr-CA"/>
              </w:rPr>
            </w:pPr>
            <w:r w:rsidRPr="00BC01A8">
              <w:tab/>
            </w:r>
            <w:r w:rsidRPr="00BC01A8">
              <w:rPr>
                <w:lang w:val="fr-CA"/>
              </w:rPr>
              <w:t>v. (35034)</w:t>
            </w:r>
          </w:p>
          <w:p w:rsidR="00BC01A8" w:rsidRPr="00BC01A8" w:rsidRDefault="00BC01A8" w:rsidP="00BC01A8">
            <w:pPr>
              <w:tabs>
                <w:tab w:val="left" w:pos="-1440"/>
                <w:tab w:val="left" w:pos="-720"/>
              </w:tabs>
              <w:jc w:val="both"/>
              <w:rPr>
                <w:lang w:val="fr-CA"/>
              </w:rPr>
            </w:pPr>
          </w:p>
          <w:p w:rsidR="00BC01A8" w:rsidRPr="00BC01A8" w:rsidRDefault="00BC01A8" w:rsidP="00BC01A8">
            <w:pPr>
              <w:tabs>
                <w:tab w:val="left" w:pos="-1440"/>
                <w:tab w:val="left" w:pos="-720"/>
              </w:tabs>
              <w:jc w:val="both"/>
              <w:rPr>
                <w:lang w:val="fr-CA"/>
              </w:rPr>
            </w:pPr>
            <w:r w:rsidRPr="00BC01A8">
              <w:rPr>
                <w:lang w:val="fr-CA"/>
              </w:rPr>
              <w:t>Islamic Republic of Iran et al. (Que.)</w:t>
            </w:r>
          </w:p>
        </w:tc>
        <w:tc>
          <w:tcPr>
            <w:tcW w:w="1170" w:type="dxa"/>
          </w:tcPr>
          <w:p w:rsidR="00BC01A8" w:rsidRPr="00BC01A8" w:rsidRDefault="00BC01A8" w:rsidP="00BC01A8">
            <w:pPr>
              <w:tabs>
                <w:tab w:val="left" w:pos="-1440"/>
                <w:tab w:val="left" w:pos="-720"/>
              </w:tabs>
              <w:jc w:val="both"/>
              <w:rPr>
                <w:lang w:val="fr-CA"/>
              </w:rPr>
            </w:pPr>
          </w:p>
        </w:tc>
        <w:tc>
          <w:tcPr>
            <w:tcW w:w="4327" w:type="dxa"/>
          </w:tcPr>
          <w:p w:rsidR="00BC01A8" w:rsidRPr="00BC01A8" w:rsidRDefault="00BC01A8" w:rsidP="00BC01A8">
            <w:pPr>
              <w:tabs>
                <w:tab w:val="left" w:pos="-1440"/>
                <w:tab w:val="left" w:pos="-720"/>
              </w:tabs>
              <w:jc w:val="both"/>
              <w:rPr>
                <w:lang w:val="fr-CA"/>
              </w:rPr>
            </w:pPr>
          </w:p>
        </w:tc>
      </w:tr>
    </w:tbl>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r w:rsidRPr="00BC01A8">
        <w:rPr>
          <w:rFonts w:eastAsia="Times New Roman" w:cs="Times New Roman"/>
          <w:b/>
          <w:sz w:val="20"/>
          <w:szCs w:val="20"/>
          <w:lang w:eastAsia="en-CA"/>
        </w:rPr>
        <w:t>GRANTED / ACCORDÉE</w: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jc w:val="both"/>
        <w:rPr>
          <w:rFonts w:eastAsia="Times New Roman" w:cs="Times New Roman"/>
          <w:sz w:val="20"/>
          <w:szCs w:val="20"/>
          <w:lang w:val="en-US" w:eastAsia="en-CA"/>
        </w:rPr>
      </w:pPr>
      <w:r w:rsidRPr="00BC01A8">
        <w:rPr>
          <w:rFonts w:eastAsia="Times New Roman" w:cs="Times New Roman"/>
          <w:b/>
          <w:bCs/>
          <w:sz w:val="20"/>
          <w:szCs w:val="20"/>
          <w:lang w:val="en-US" w:eastAsia="en-CA"/>
        </w:rPr>
        <w:t>IT IS HEREBY ORDERED THAT:</w:t>
      </w:r>
    </w:p>
    <w:p w:rsidR="00BC01A8" w:rsidRPr="00BC01A8" w:rsidRDefault="00BC01A8" w:rsidP="00BC01A8">
      <w:pPr>
        <w:ind w:left="720"/>
        <w:jc w:val="both"/>
        <w:rPr>
          <w:rFonts w:eastAsia="Times New Roman" w:cs="Times New Roman"/>
          <w:sz w:val="20"/>
          <w:szCs w:val="20"/>
          <w:lang w:val="en-US" w:eastAsia="en-CA"/>
        </w:rPr>
      </w:pPr>
    </w:p>
    <w:p w:rsidR="00BC01A8" w:rsidRPr="00BC01A8" w:rsidRDefault="00BC01A8" w:rsidP="00BC01A8">
      <w:pPr>
        <w:jc w:val="both"/>
        <w:rPr>
          <w:rFonts w:eastAsia="Times New Roman" w:cs="Times New Roman"/>
          <w:sz w:val="20"/>
          <w:szCs w:val="20"/>
          <w:lang w:val="en-US" w:eastAsia="en-CA"/>
        </w:rPr>
      </w:pPr>
      <w:r w:rsidRPr="00BC01A8">
        <w:rPr>
          <w:rFonts w:eastAsia="Times New Roman" w:cs="Times New Roman"/>
          <w:sz w:val="20"/>
          <w:szCs w:val="20"/>
          <w:lang w:val="en-US" w:eastAsia="en-CA"/>
        </w:rPr>
        <w:t xml:space="preserve">Given that the respondent, the Attorney General of Canada, has advised the Court that they do not intend to address all issues which may be raised by the appellants in this appeal, Mr. Christopher D. Bredt is accordingly appointed as </w:t>
      </w:r>
      <w:r w:rsidRPr="00BC01A8">
        <w:rPr>
          <w:rFonts w:eastAsia="Times New Roman" w:cs="Times New Roman"/>
          <w:i/>
          <w:iCs/>
          <w:sz w:val="20"/>
          <w:szCs w:val="20"/>
          <w:lang w:val="en-US" w:eastAsia="en-CA"/>
        </w:rPr>
        <w:t>amicus curiae</w:t>
      </w:r>
      <w:r w:rsidRPr="00BC01A8">
        <w:rPr>
          <w:rFonts w:eastAsia="Times New Roman" w:cs="Times New Roman"/>
          <w:sz w:val="20"/>
          <w:szCs w:val="20"/>
          <w:lang w:val="en-US" w:eastAsia="en-CA"/>
        </w:rPr>
        <w:t xml:space="preserve"> to assist the Court by filing a factum of no more than 40 pages and a book of authorities on or before November 8, 2013. Mr Bredt is permitted to be assisted by a junior counsel.</w:t>
      </w:r>
    </w:p>
    <w:p w:rsidR="00BC01A8" w:rsidRPr="00BC01A8" w:rsidRDefault="00BC01A8" w:rsidP="00BC01A8">
      <w:pPr>
        <w:jc w:val="both"/>
        <w:rPr>
          <w:rFonts w:eastAsia="Times New Roman" w:cs="Times New Roman"/>
          <w:sz w:val="20"/>
          <w:szCs w:val="20"/>
          <w:lang w:val="en-US" w:eastAsia="en-CA"/>
        </w:rPr>
      </w:pPr>
    </w:p>
    <w:p w:rsidR="00BC01A8" w:rsidRPr="00BC01A8" w:rsidRDefault="00BC01A8" w:rsidP="00BC01A8">
      <w:pPr>
        <w:jc w:val="both"/>
        <w:rPr>
          <w:rFonts w:eastAsia="Times New Roman" w:cs="Times New Roman"/>
          <w:sz w:val="20"/>
          <w:szCs w:val="20"/>
          <w:lang w:val="en-US" w:eastAsia="en-CA"/>
        </w:rPr>
      </w:pPr>
      <w:r w:rsidRPr="00BC01A8">
        <w:rPr>
          <w:rFonts w:eastAsia="Times New Roman" w:cs="Times New Roman"/>
          <w:sz w:val="20"/>
          <w:szCs w:val="20"/>
          <w:lang w:val="en-US" w:eastAsia="en-CA"/>
        </w:rPr>
        <w:t>The reasonable fees and disbursements of Mr. Bredt, and any junior counsel, shall be paid by the Attorney General of Canada.</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b/>
          <w:sz w:val="20"/>
          <w:szCs w:val="20"/>
          <w:lang w:val="fr-CA" w:eastAsia="en-CA"/>
        </w:rPr>
      </w:pPr>
      <w:r w:rsidRPr="00BC01A8">
        <w:rPr>
          <w:rFonts w:eastAsia="Times New Roman" w:cs="Times New Roman"/>
          <w:b/>
          <w:sz w:val="20"/>
          <w:szCs w:val="20"/>
          <w:lang w:val="fr-CA" w:eastAsia="en-CA"/>
        </w:rPr>
        <w:t>IL EST ORDONNÉ CE QUI SUIT :</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Étant donné que l’intimé, le procureur général du Canada, a informé la Cour qu’il n’a pas l’intention d’aborder toutes les questions qui pourraient être soulevées par les appelants dans le présent appel, M</w:t>
      </w:r>
      <w:r w:rsidRPr="00BC01A8">
        <w:rPr>
          <w:rFonts w:eastAsia="Times New Roman" w:cs="Times New Roman"/>
          <w:sz w:val="20"/>
          <w:szCs w:val="20"/>
          <w:vertAlign w:val="superscript"/>
          <w:lang w:val="fr-CA" w:eastAsia="en-CA"/>
        </w:rPr>
        <w:t>e</w:t>
      </w:r>
      <w:r w:rsidRPr="00BC01A8">
        <w:rPr>
          <w:rFonts w:eastAsia="Times New Roman" w:cs="Times New Roman"/>
          <w:sz w:val="20"/>
          <w:szCs w:val="20"/>
          <w:lang w:val="fr-CA" w:eastAsia="en-CA"/>
        </w:rPr>
        <w:t xml:space="preserve"> Christopher D. Bredt est nommé comme </w:t>
      </w:r>
      <w:r w:rsidRPr="00BC01A8">
        <w:rPr>
          <w:rFonts w:eastAsia="Times New Roman" w:cs="Times New Roman"/>
          <w:i/>
          <w:sz w:val="20"/>
          <w:szCs w:val="20"/>
          <w:lang w:val="fr-CA" w:eastAsia="en-CA"/>
        </w:rPr>
        <w:t>amicus curiae</w:t>
      </w:r>
      <w:r w:rsidRPr="00BC01A8">
        <w:rPr>
          <w:rFonts w:eastAsia="Times New Roman" w:cs="Times New Roman"/>
          <w:sz w:val="20"/>
          <w:szCs w:val="20"/>
          <w:lang w:val="fr-CA" w:eastAsia="en-CA"/>
        </w:rPr>
        <w:t xml:space="preserve"> pour aider la Cour en déposant un mémoire d’au plus 40 pages et un recueil de sources, au plus tard le 8 novembre 2013.  M</w:t>
      </w:r>
      <w:r w:rsidRPr="00BC01A8">
        <w:rPr>
          <w:rFonts w:eastAsia="Times New Roman" w:cs="Times New Roman"/>
          <w:sz w:val="20"/>
          <w:szCs w:val="20"/>
          <w:vertAlign w:val="superscript"/>
          <w:lang w:val="fr-CA" w:eastAsia="en-CA"/>
        </w:rPr>
        <w:t>e</w:t>
      </w:r>
      <w:r w:rsidRPr="00BC01A8">
        <w:rPr>
          <w:rFonts w:eastAsia="Times New Roman" w:cs="Times New Roman"/>
          <w:sz w:val="20"/>
          <w:szCs w:val="20"/>
          <w:lang w:val="fr-CA" w:eastAsia="en-CA"/>
        </w:rPr>
        <w:t xml:space="preserve"> Bredt est autorisé à recevoir l’aide d’un avocat adjoint.</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Les honoraires et les débours raisonnables pour les services de M</w:t>
      </w:r>
      <w:r w:rsidRPr="00BC01A8">
        <w:rPr>
          <w:rFonts w:eastAsia="Times New Roman" w:cs="Times New Roman"/>
          <w:sz w:val="20"/>
          <w:szCs w:val="20"/>
          <w:vertAlign w:val="superscript"/>
          <w:lang w:val="fr-CA" w:eastAsia="en-CA"/>
        </w:rPr>
        <w:t>e</w:t>
      </w:r>
      <w:r w:rsidRPr="00BC01A8">
        <w:rPr>
          <w:rFonts w:eastAsia="Times New Roman" w:cs="Times New Roman"/>
          <w:sz w:val="20"/>
          <w:szCs w:val="20"/>
          <w:lang w:val="fr-CA" w:eastAsia="en-CA"/>
        </w:rPr>
        <w:t xml:space="preserve"> Bredt, et ceux d’un avocat adjoint, seront payés par le procureur général du Canada.</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5F2BA7" w:rsidP="00BC01A8">
      <w:pPr>
        <w:tabs>
          <w:tab w:val="left" w:pos="-1440"/>
          <w:tab w:val="left" w:pos="-720"/>
        </w:tabs>
        <w:jc w:val="both"/>
        <w:rPr>
          <w:rFonts w:eastAsia="Times New Roman" w:cs="Times New Roman"/>
          <w:sz w:val="20"/>
          <w:szCs w:val="20"/>
          <w:lang w:val="en-US" w:eastAsia="en-CA"/>
        </w:rPr>
      </w:pPr>
      <w:r w:rsidRPr="005F2BA7">
        <w:rPr>
          <w:rFonts w:eastAsia="Times New Roman" w:cs="Times New Roman"/>
          <w:sz w:val="20"/>
          <w:szCs w:val="20"/>
          <w:lang w:val="fr-CA" w:eastAsia="en-CA"/>
        </w:rPr>
        <w:pict>
          <v:rect id="_x0000_i1118" style="width:2in;height:1pt" o:hrpct="0" o:hralign="center" o:hrstd="t" o:hrnoshade="t" o:hr="t" fillcolor="black [3213]" stroked="f"/>
        </w:pic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24.07.2013</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Before / Devant :   LEBEL J. / LE JUGE LEBEL</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C01A8" w:rsidRPr="007C5A5B" w:rsidTr="00BC01A8">
        <w:tc>
          <w:tcPr>
            <w:tcW w:w="4338" w:type="dxa"/>
          </w:tcPr>
          <w:p w:rsidR="00BC01A8" w:rsidRPr="00BC01A8" w:rsidRDefault="00BC01A8" w:rsidP="00BC01A8">
            <w:pPr>
              <w:tabs>
                <w:tab w:val="left" w:pos="-1440"/>
                <w:tab w:val="left" w:pos="-720"/>
              </w:tabs>
              <w:jc w:val="both"/>
              <w:rPr>
                <w:b/>
              </w:rPr>
            </w:pPr>
            <w:r w:rsidRPr="00BC01A8">
              <w:rPr>
                <w:b/>
                <w:bCs/>
                <w:color w:val="000000"/>
                <w:lang w:val="en-GB"/>
              </w:rPr>
              <w:t>Motion by the respondent Royal and Sun Alliance Insurance Company of Canada to extend the time to serve and file its record, factum and book of authorities to July 19, 2013 and to present oral argument at the hearing of the appeal pursuant to Rule 71(3)</w:t>
            </w:r>
            <w:r w:rsidR="005F2BA7" w:rsidRPr="00BC01A8">
              <w:rPr>
                <w:szCs w:val="24"/>
                <w:lang w:val="en-US"/>
              </w:rPr>
              <w:fldChar w:fldCharType="begin"/>
            </w:r>
            <w:r w:rsidRPr="00BC01A8">
              <w:rPr>
                <w:szCs w:val="24"/>
                <w:lang w:val="en-US"/>
              </w:rPr>
              <w:instrText xml:space="preserve"> SEQ CHAPTER \h \r 1</w:instrText>
            </w:r>
            <w:r w:rsidR="005F2BA7" w:rsidRPr="00BC01A8">
              <w:rPr>
                <w:szCs w:val="24"/>
                <w:lang w:val="en-US"/>
              </w:rPr>
              <w:fldChar w:fldCharType="end"/>
            </w:r>
            <w:r w:rsidR="005F2BA7" w:rsidRPr="00BC01A8">
              <w:rPr>
                <w:szCs w:val="24"/>
                <w:lang w:val="en-US"/>
              </w:rPr>
              <w:fldChar w:fldCharType="begin"/>
            </w:r>
            <w:r w:rsidRPr="00BC01A8">
              <w:rPr>
                <w:szCs w:val="24"/>
                <w:lang w:val="en-US"/>
              </w:rPr>
              <w:instrText xml:space="preserve"> SEQ CHAPTER \h \r 1</w:instrText>
            </w:r>
            <w:r w:rsidR="005F2BA7" w:rsidRPr="00BC01A8">
              <w:rPr>
                <w:szCs w:val="24"/>
                <w:lang w:val="en-US"/>
              </w:rPr>
              <w:fldChar w:fldCharType="end"/>
            </w:r>
          </w:p>
        </w:tc>
        <w:tc>
          <w:tcPr>
            <w:tcW w:w="1170" w:type="dxa"/>
          </w:tcPr>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tc>
        <w:tc>
          <w:tcPr>
            <w:tcW w:w="4327" w:type="dxa"/>
          </w:tcPr>
          <w:p w:rsidR="00BC01A8" w:rsidRPr="00BC01A8" w:rsidRDefault="00BC01A8" w:rsidP="00BC01A8">
            <w:pPr>
              <w:tabs>
                <w:tab w:val="left" w:pos="-1440"/>
                <w:tab w:val="left" w:pos="-720"/>
              </w:tabs>
              <w:jc w:val="both"/>
              <w:rPr>
                <w:lang w:val="fr-CA"/>
              </w:rPr>
            </w:pPr>
            <w:r w:rsidRPr="00BC01A8">
              <w:rPr>
                <w:b/>
                <w:bCs/>
                <w:color w:val="000000"/>
                <w:lang w:val="fr-CA"/>
              </w:rPr>
              <w:t xml:space="preserve">Requête de l’intimée Royal and Sun Alliance du Canada, société d’assurances, présentée en application de la règle 71(3), en prorogation du délai de signification et de dépôt de ses dossier, mémoire et recueil de sources jusqu’au 19 juillet 2013 et en vue de présenter une plaidoirie orale lors de l’audition de l’appel </w:t>
            </w:r>
          </w:p>
        </w:tc>
      </w:tr>
      <w:tr w:rsidR="00BC01A8" w:rsidRPr="00BC01A8" w:rsidTr="00BC01A8">
        <w:tc>
          <w:tcPr>
            <w:tcW w:w="4338" w:type="dxa"/>
          </w:tcPr>
          <w:p w:rsidR="00BC01A8" w:rsidRPr="00BC01A8" w:rsidRDefault="00BC01A8" w:rsidP="00BC01A8">
            <w:pPr>
              <w:tabs>
                <w:tab w:val="left" w:pos="-1440"/>
                <w:tab w:val="left" w:pos="-720"/>
              </w:tabs>
              <w:jc w:val="both"/>
              <w:rPr>
                <w:lang w:val="fr-CA"/>
              </w:rPr>
            </w:pPr>
            <w:r w:rsidRPr="00BC01A8">
              <w:rPr>
                <w:lang w:val="fr-CA"/>
              </w:rPr>
              <w:t>Peracomo Inc. et al.</w:t>
            </w:r>
          </w:p>
          <w:p w:rsidR="00BC01A8" w:rsidRPr="00BC01A8" w:rsidRDefault="00BC01A8" w:rsidP="00BC01A8">
            <w:pPr>
              <w:tabs>
                <w:tab w:val="left" w:pos="-1440"/>
                <w:tab w:val="left" w:pos="-720"/>
              </w:tabs>
              <w:jc w:val="both"/>
              <w:rPr>
                <w:lang w:val="fr-CA"/>
              </w:rPr>
            </w:pPr>
          </w:p>
          <w:p w:rsidR="00BC01A8" w:rsidRPr="00BC01A8" w:rsidRDefault="00BC01A8" w:rsidP="00BC01A8">
            <w:pPr>
              <w:tabs>
                <w:tab w:val="left" w:pos="-1440"/>
                <w:tab w:val="left" w:pos="-720"/>
              </w:tabs>
              <w:jc w:val="both"/>
              <w:rPr>
                <w:lang w:val="fr-CA"/>
              </w:rPr>
            </w:pPr>
            <w:r w:rsidRPr="00BC01A8">
              <w:rPr>
                <w:lang w:val="fr-CA"/>
              </w:rPr>
              <w:tab/>
              <w:t>v. (34991)</w:t>
            </w:r>
          </w:p>
          <w:p w:rsidR="00BC01A8" w:rsidRPr="00BC01A8" w:rsidRDefault="00BC01A8" w:rsidP="00BC01A8">
            <w:pPr>
              <w:tabs>
                <w:tab w:val="left" w:pos="-1440"/>
                <w:tab w:val="left" w:pos="-720"/>
              </w:tabs>
              <w:jc w:val="both"/>
              <w:rPr>
                <w:lang w:val="fr-CA"/>
              </w:rPr>
            </w:pPr>
          </w:p>
          <w:p w:rsidR="00BC01A8" w:rsidRPr="00BC01A8" w:rsidRDefault="00BC01A8" w:rsidP="00BC01A8">
            <w:pPr>
              <w:tabs>
                <w:tab w:val="left" w:pos="-1440"/>
                <w:tab w:val="left" w:pos="-720"/>
              </w:tabs>
              <w:jc w:val="both"/>
              <w:rPr>
                <w:lang w:val="fr-CA"/>
              </w:rPr>
            </w:pPr>
            <w:r w:rsidRPr="00BC01A8">
              <w:rPr>
                <w:lang w:val="fr-CA"/>
              </w:rPr>
              <w:t>Telus Communications Company et al. (F.C.)</w:t>
            </w:r>
          </w:p>
        </w:tc>
        <w:tc>
          <w:tcPr>
            <w:tcW w:w="1170" w:type="dxa"/>
          </w:tcPr>
          <w:p w:rsidR="00BC01A8" w:rsidRPr="00BC01A8" w:rsidRDefault="00BC01A8" w:rsidP="00BC01A8">
            <w:pPr>
              <w:tabs>
                <w:tab w:val="left" w:pos="-1440"/>
                <w:tab w:val="left" w:pos="-720"/>
              </w:tabs>
              <w:jc w:val="both"/>
              <w:rPr>
                <w:lang w:val="fr-CA"/>
              </w:rPr>
            </w:pPr>
          </w:p>
        </w:tc>
        <w:tc>
          <w:tcPr>
            <w:tcW w:w="4327" w:type="dxa"/>
          </w:tcPr>
          <w:p w:rsidR="00BC01A8" w:rsidRPr="00BC01A8" w:rsidRDefault="00BC01A8" w:rsidP="00BC01A8">
            <w:pPr>
              <w:tabs>
                <w:tab w:val="left" w:pos="-1440"/>
                <w:tab w:val="left" w:pos="-720"/>
              </w:tabs>
              <w:jc w:val="both"/>
              <w:rPr>
                <w:lang w:val="fr-CA"/>
              </w:rPr>
            </w:pPr>
          </w:p>
        </w:tc>
      </w:tr>
    </w:tbl>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b/>
          <w:sz w:val="20"/>
          <w:szCs w:val="20"/>
          <w:lang w:val="fr-CA" w:eastAsia="en-CA"/>
        </w:rPr>
      </w:pPr>
      <w:r w:rsidRPr="00BC01A8">
        <w:rPr>
          <w:rFonts w:eastAsia="Times New Roman" w:cs="Times New Roman"/>
          <w:b/>
          <w:sz w:val="20"/>
          <w:szCs w:val="20"/>
          <w:lang w:val="fr-CA" w:eastAsia="en-CA"/>
        </w:rPr>
        <w:t>GRANTED / ACCORDÉE</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5F2BA7" w:rsidP="00BC01A8">
      <w:pPr>
        <w:tabs>
          <w:tab w:val="left" w:pos="-1440"/>
          <w:tab w:val="left" w:pos="-720"/>
        </w:tabs>
        <w:jc w:val="both"/>
        <w:rPr>
          <w:rFonts w:eastAsia="Times New Roman" w:cs="Times New Roman"/>
          <w:sz w:val="20"/>
          <w:szCs w:val="20"/>
          <w:lang w:eastAsia="en-CA"/>
        </w:rPr>
      </w:pPr>
      <w:r w:rsidRPr="005F2BA7">
        <w:rPr>
          <w:rFonts w:eastAsia="Times New Roman" w:cs="Times New Roman"/>
          <w:sz w:val="20"/>
          <w:szCs w:val="20"/>
          <w:lang w:val="fr-CA" w:eastAsia="en-CA"/>
        </w:rPr>
        <w:pict>
          <v:rect id="_x0000_i1119" style="width:2in;height:1pt" o:hrpct="0" o:hralign="center" o:hrstd="t" o:hrnoshade="t" o:hr="t" fillcolor="black [3213]" stroked="f"/>
        </w:pic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25.07.2013</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Before / Devant :   LEBEL J. / LE JUGE LEBEL</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C01A8" w:rsidRPr="007C5A5B" w:rsidTr="00BC01A8">
        <w:tc>
          <w:tcPr>
            <w:tcW w:w="4338" w:type="dxa"/>
            <w:gridSpan w:val="2"/>
          </w:tcPr>
          <w:p w:rsidR="00BC01A8" w:rsidRPr="00BC01A8" w:rsidRDefault="00BC01A8" w:rsidP="00BC01A8">
            <w:pPr>
              <w:rPr>
                <w:b/>
              </w:rPr>
            </w:pPr>
            <w:r w:rsidRPr="00BC01A8">
              <w:rPr>
                <w:b/>
                <w:bCs/>
                <w:lang w:val="en-GB"/>
              </w:rPr>
              <w:t>Motion for an extension of time and for leave to intervene</w:t>
            </w:r>
            <w:r w:rsidRPr="00BC01A8">
              <w:rPr>
                <w:lang w:val="en-US"/>
              </w:rPr>
              <w:t xml:space="preserve"> </w:t>
            </w:r>
            <w:r w:rsidR="005F2BA7" w:rsidRPr="00BC01A8">
              <w:rPr>
                <w:lang w:val="en-US"/>
              </w:rPr>
              <w:fldChar w:fldCharType="begin"/>
            </w:r>
            <w:r w:rsidRPr="00BC01A8">
              <w:instrText xml:space="preserve"> SEQ CHAPTER \h \r 1</w:instrText>
            </w:r>
            <w:r w:rsidR="005F2BA7" w:rsidRPr="00BC01A8">
              <w:rPr>
                <w:lang w:val="en-US"/>
              </w:rPr>
              <w:fldChar w:fldCharType="end"/>
            </w:r>
          </w:p>
        </w:tc>
        <w:tc>
          <w:tcPr>
            <w:tcW w:w="1170" w:type="dxa"/>
          </w:tcPr>
          <w:p w:rsidR="00BC01A8" w:rsidRPr="00BC01A8" w:rsidRDefault="00BC01A8" w:rsidP="00BC01A8"/>
          <w:p w:rsidR="00BC01A8" w:rsidRPr="00BC01A8" w:rsidRDefault="00BC01A8" w:rsidP="00BC01A8"/>
          <w:p w:rsidR="00BC01A8" w:rsidRPr="00BC01A8" w:rsidRDefault="00BC01A8" w:rsidP="00BC01A8"/>
        </w:tc>
        <w:tc>
          <w:tcPr>
            <w:tcW w:w="4327" w:type="dxa"/>
          </w:tcPr>
          <w:p w:rsidR="00BC01A8" w:rsidRPr="00BC01A8" w:rsidRDefault="00BC01A8" w:rsidP="00BC01A8">
            <w:pPr>
              <w:jc w:val="both"/>
              <w:rPr>
                <w:b/>
                <w:lang w:val="fr-CA"/>
              </w:rPr>
            </w:pPr>
            <w:r w:rsidRPr="00BC01A8">
              <w:rPr>
                <w:b/>
                <w:bCs/>
                <w:lang w:val="fr-CA"/>
              </w:rPr>
              <w:t>Requête en prorogation de délai et en autorisation d’intervenir</w:t>
            </w:r>
            <w:r w:rsidRPr="00BC01A8">
              <w:rPr>
                <w:lang w:val="fr-CA"/>
              </w:rPr>
              <w:t xml:space="preserve"> </w:t>
            </w:r>
            <w:r w:rsidR="005F2BA7" w:rsidRPr="00BC01A8">
              <w:rPr>
                <w:lang w:val="en-US"/>
              </w:rPr>
              <w:fldChar w:fldCharType="begin"/>
            </w:r>
            <w:r w:rsidRPr="00BC01A8">
              <w:rPr>
                <w:lang w:val="fr-CA"/>
              </w:rPr>
              <w:instrText xml:space="preserve"> SEQ CHAPTER \h \r 1</w:instrText>
            </w:r>
            <w:r w:rsidR="005F2BA7" w:rsidRPr="00BC01A8">
              <w:rPr>
                <w:lang w:val="en-US"/>
              </w:rPr>
              <w:fldChar w:fldCharType="end"/>
            </w:r>
          </w:p>
        </w:tc>
      </w:tr>
      <w:tr w:rsidR="00BC01A8" w:rsidRPr="007C5A5B" w:rsidTr="00BC01A8">
        <w:tc>
          <w:tcPr>
            <w:tcW w:w="1368" w:type="dxa"/>
          </w:tcPr>
          <w:p w:rsidR="00BC01A8" w:rsidRPr="00BC01A8" w:rsidRDefault="00BC01A8" w:rsidP="00BC01A8">
            <w:r w:rsidRPr="00BC01A8">
              <w:t>BY / PAR</w:t>
            </w:r>
          </w:p>
        </w:tc>
        <w:tc>
          <w:tcPr>
            <w:tcW w:w="2970" w:type="dxa"/>
          </w:tcPr>
          <w:p w:rsidR="00BC01A8" w:rsidRPr="00BC01A8" w:rsidRDefault="00BC01A8" w:rsidP="00BC01A8">
            <w:pPr>
              <w:rPr>
                <w:lang w:val="fr-CA"/>
              </w:rPr>
            </w:pPr>
            <w:r w:rsidRPr="00BC01A8">
              <w:rPr>
                <w:lang w:val="fr-CA"/>
              </w:rPr>
              <w:t>Association des Membres de la Police Montée du Québec;</w:t>
            </w:r>
          </w:p>
        </w:tc>
        <w:tc>
          <w:tcPr>
            <w:tcW w:w="1170" w:type="dxa"/>
          </w:tcPr>
          <w:p w:rsidR="00BC01A8" w:rsidRPr="00BC01A8" w:rsidRDefault="00BC01A8" w:rsidP="00BC01A8">
            <w:pPr>
              <w:rPr>
                <w:lang w:val="fr-CA"/>
              </w:rPr>
            </w:pPr>
          </w:p>
        </w:tc>
        <w:tc>
          <w:tcPr>
            <w:tcW w:w="4327" w:type="dxa"/>
          </w:tcPr>
          <w:p w:rsidR="00BC01A8" w:rsidRPr="00BC01A8" w:rsidRDefault="00BC01A8" w:rsidP="00BC01A8">
            <w:pPr>
              <w:rPr>
                <w:lang w:val="fr-CA"/>
              </w:rPr>
            </w:pPr>
          </w:p>
        </w:tc>
      </w:tr>
      <w:tr w:rsidR="00BC01A8" w:rsidRPr="00BC01A8" w:rsidTr="00BC01A8">
        <w:tc>
          <w:tcPr>
            <w:tcW w:w="1368" w:type="dxa"/>
          </w:tcPr>
          <w:p w:rsidR="00BC01A8" w:rsidRPr="00BC01A8" w:rsidRDefault="00BC01A8" w:rsidP="00BC01A8">
            <w:pPr>
              <w:rPr>
                <w:lang w:val="fr-CA"/>
              </w:rPr>
            </w:pPr>
          </w:p>
        </w:tc>
        <w:tc>
          <w:tcPr>
            <w:tcW w:w="2970" w:type="dxa"/>
          </w:tcPr>
          <w:p w:rsidR="00BC01A8" w:rsidRPr="00BC01A8" w:rsidRDefault="00BC01A8" w:rsidP="00BC01A8">
            <w:pPr>
              <w:rPr>
                <w:lang w:val="en-US"/>
              </w:rPr>
            </w:pPr>
            <w:r w:rsidRPr="00BC01A8">
              <w:t>Confédération des syndicats nationaux</w:t>
            </w:r>
            <w:r w:rsidRPr="00BC01A8">
              <w:rPr>
                <w:lang w:val="en-US"/>
              </w:rPr>
              <w:t>;</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t>Canadian Police Association</w:t>
            </w:r>
            <w:r w:rsidRPr="00BC01A8">
              <w:rPr>
                <w:lang w:val="en-US"/>
              </w:rPr>
              <w:t>;</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t>Canadian Labour Congress</w:t>
            </w:r>
            <w:r w:rsidRPr="00BC01A8">
              <w:rPr>
                <w:lang w:val="en-US"/>
              </w:rPr>
              <w:t>;</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t>Saskatchewan Federation of Labour</w:t>
            </w:r>
            <w:r w:rsidRPr="00BC01A8">
              <w:rPr>
                <w:lang w:val="en-US"/>
              </w:rPr>
              <w:t>;</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t>Canadian Civil Liberties Association;</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t>Mounted Police Members’ Legal Fund;</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t>Public Service Alliance of Canada;</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t>British Columbia Civil Liberties Association;</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Alberta Union of Provincial Employees and SAIT Academic Faculty Association</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r w:rsidRPr="00BC01A8">
              <w:t>IN / DANS :</w:t>
            </w:r>
          </w:p>
        </w:tc>
        <w:tc>
          <w:tcPr>
            <w:tcW w:w="2970" w:type="dxa"/>
          </w:tcPr>
          <w:p w:rsidR="00BC01A8" w:rsidRPr="00BC01A8" w:rsidRDefault="00BC01A8" w:rsidP="00BC01A8">
            <w:pPr>
              <w:rPr>
                <w:lang w:val="fr-CA"/>
              </w:rPr>
            </w:pPr>
            <w:r w:rsidRPr="00BC01A8">
              <w:rPr>
                <w:lang w:val="fr-CA"/>
              </w:rPr>
              <w:t>Mounted Police Association of Ontario / Association de la Police Montée de l’Ontario et al.</w:t>
            </w:r>
          </w:p>
          <w:p w:rsidR="00BC01A8" w:rsidRPr="00BC01A8" w:rsidRDefault="00BC01A8" w:rsidP="00BC01A8">
            <w:pPr>
              <w:rPr>
                <w:lang w:val="fr-CA"/>
              </w:rPr>
            </w:pPr>
          </w:p>
          <w:p w:rsidR="00BC01A8" w:rsidRPr="00BC01A8" w:rsidRDefault="00BC01A8" w:rsidP="00BC01A8">
            <w:r w:rsidRPr="00BC01A8">
              <w:rPr>
                <w:lang w:val="fr-CA"/>
              </w:rPr>
              <w:tab/>
            </w:r>
            <w:r w:rsidRPr="00BC01A8">
              <w:t>v. (34948)</w:t>
            </w:r>
          </w:p>
          <w:p w:rsidR="00BC01A8" w:rsidRPr="00BC01A8" w:rsidRDefault="00BC01A8" w:rsidP="00BC01A8"/>
          <w:p w:rsidR="00BC01A8" w:rsidRPr="00BC01A8" w:rsidRDefault="00BC01A8" w:rsidP="00BC01A8">
            <w:r w:rsidRPr="00BC01A8">
              <w:t>Attorney General of Canada (Ont.)</w:t>
            </w:r>
          </w:p>
        </w:tc>
        <w:tc>
          <w:tcPr>
            <w:tcW w:w="1170" w:type="dxa"/>
          </w:tcPr>
          <w:p w:rsidR="00BC01A8" w:rsidRPr="00BC01A8" w:rsidRDefault="00BC01A8" w:rsidP="00BC01A8"/>
        </w:tc>
        <w:tc>
          <w:tcPr>
            <w:tcW w:w="4327" w:type="dxa"/>
          </w:tcPr>
          <w:p w:rsidR="00BC01A8" w:rsidRPr="00BC01A8" w:rsidRDefault="00BC01A8" w:rsidP="00BC01A8"/>
        </w:tc>
      </w:tr>
    </w:tbl>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b/>
          <w:sz w:val="20"/>
          <w:szCs w:val="20"/>
          <w:lang w:val="fr-CA" w:eastAsia="en-CA"/>
        </w:rPr>
        <w:t>GRANTED IN PART / ACCORDÉE EN PARTIE</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 xml:space="preserve">UPON APPLICATIONS </w:t>
      </w:r>
      <w:r w:rsidRPr="00BC01A8">
        <w:rPr>
          <w:rFonts w:eastAsia="Times New Roman" w:cs="Times New Roman"/>
          <w:sz w:val="20"/>
          <w:szCs w:val="20"/>
          <w:lang w:val="en-US" w:eastAsia="en-CA"/>
        </w:rPr>
        <w:t xml:space="preserve">by </w:t>
      </w:r>
      <w:r w:rsidRPr="00BC01A8">
        <w:rPr>
          <w:rFonts w:eastAsia="Times New Roman" w:cs="Times New Roman"/>
          <w:sz w:val="20"/>
          <w:szCs w:val="20"/>
          <w:lang w:eastAsia="en-CA"/>
        </w:rPr>
        <w:t>the</w:t>
      </w:r>
      <w:r w:rsidRPr="00BC01A8">
        <w:rPr>
          <w:rFonts w:eastAsia="Times New Roman" w:cs="Times New Roman"/>
          <w:sz w:val="20"/>
          <w:szCs w:val="20"/>
          <w:lang w:val="en-US" w:eastAsia="en-CA"/>
        </w:rPr>
        <w:t xml:space="preserve"> </w:t>
      </w:r>
      <w:r w:rsidRPr="00BC01A8">
        <w:rPr>
          <w:rFonts w:eastAsia="Times New Roman" w:cs="Times New Roman"/>
          <w:sz w:val="20"/>
          <w:szCs w:val="20"/>
          <w:lang w:eastAsia="en-CA"/>
        </w:rPr>
        <w:t xml:space="preserve">Association des Membres de la Police Montée du Québec, the Confédération des syndicats nationaux, the Canadian Police Association, the Canadian Labour Congress, the Saskatchewan Federation of Labour, the Canadian Civil Liberties Association, the Mounted Police Members’ Legal Fund, the Public Service Alliance of Canada and the British Columbia Civil Liberties Association </w:t>
      </w:r>
      <w:r w:rsidRPr="00BC01A8">
        <w:rPr>
          <w:rFonts w:eastAsia="Times New Roman" w:cs="Times New Roman"/>
          <w:sz w:val="20"/>
          <w:szCs w:val="20"/>
          <w:lang w:val="en-US" w:eastAsia="en-CA"/>
        </w:rPr>
        <w:t>for leave to intervene in the above appeal;</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eastAsia="en-CA"/>
        </w:rPr>
      </w:pPr>
      <w:r w:rsidRPr="00BC01A8">
        <w:rPr>
          <w:rFonts w:eastAsia="Times New Roman" w:cs="Times New Roman"/>
          <w:b/>
          <w:bCs/>
          <w:sz w:val="20"/>
          <w:szCs w:val="20"/>
          <w:lang w:val="en-US" w:eastAsia="en-CA"/>
        </w:rPr>
        <w:t xml:space="preserve">AND UPON APPLICATION </w:t>
      </w:r>
      <w:r w:rsidRPr="00BC01A8">
        <w:rPr>
          <w:rFonts w:eastAsia="Times New Roman" w:cs="Times New Roman"/>
          <w:sz w:val="20"/>
          <w:szCs w:val="20"/>
          <w:lang w:val="en-US" w:eastAsia="en-CA"/>
        </w:rPr>
        <w:t xml:space="preserve">by the Alberta Union of Provincial Employees and SAIT Academic Faculty Association </w:t>
      </w:r>
      <w:r w:rsidRPr="00BC01A8">
        <w:rPr>
          <w:rFonts w:eastAsia="Times New Roman" w:cs="Times New Roman"/>
          <w:sz w:val="20"/>
          <w:szCs w:val="20"/>
          <w:lang w:eastAsia="en-CA"/>
        </w:rPr>
        <w:t xml:space="preserve">for an extension of time to apply for leave to intervene and </w:t>
      </w:r>
      <w:r w:rsidRPr="00BC01A8">
        <w:rPr>
          <w:rFonts w:eastAsia="Times New Roman" w:cs="Times New Roman"/>
          <w:sz w:val="20"/>
          <w:szCs w:val="20"/>
          <w:lang w:val="en-US" w:eastAsia="en-CA"/>
        </w:rPr>
        <w:t>for leave to intervene in the above appeal;</w:t>
      </w:r>
    </w:p>
    <w:p w:rsidR="00BC01A8" w:rsidRPr="00BC01A8" w:rsidRDefault="00BC01A8" w:rsidP="00BC01A8">
      <w:pPr>
        <w:spacing w:line="233" w:lineRule="auto"/>
        <w:jc w:val="both"/>
        <w:rPr>
          <w:rFonts w:eastAsia="Times New Roman" w:cs="Times New Roman"/>
          <w:sz w:val="20"/>
          <w:szCs w:val="20"/>
          <w:lang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AND THE MATERIAL FILED</w:t>
      </w:r>
      <w:r w:rsidRPr="00BC01A8">
        <w:rPr>
          <w:rFonts w:eastAsia="Times New Roman" w:cs="Times New Roman"/>
          <w:sz w:val="20"/>
          <w:szCs w:val="20"/>
          <w:lang w:val="en-US" w:eastAsia="en-CA"/>
        </w:rPr>
        <w:t xml:space="preserve"> having been read;</w:t>
      </w:r>
    </w:p>
    <w:p w:rsidR="00BC01A8" w:rsidRPr="00BC01A8" w:rsidRDefault="00BC01A8" w:rsidP="00BC01A8">
      <w:pPr>
        <w:rPr>
          <w:rFonts w:eastAsia="Times New Roman" w:cs="Times New Roman"/>
          <w:bCs/>
          <w:sz w:val="20"/>
          <w:szCs w:val="20"/>
          <w:lang w:val="en-US" w:eastAsia="en-CA"/>
        </w:rPr>
      </w:pPr>
    </w:p>
    <w:p w:rsidR="00BC01A8" w:rsidRDefault="00BC01A8">
      <w:pPr>
        <w:rPr>
          <w:rFonts w:eastAsia="Times New Roman" w:cs="Times New Roman"/>
          <w:b/>
          <w:bCs/>
          <w:sz w:val="20"/>
          <w:szCs w:val="20"/>
          <w:lang w:val="en-US" w:eastAsia="en-CA"/>
        </w:rPr>
      </w:pPr>
      <w:r>
        <w:rPr>
          <w:rFonts w:eastAsia="Times New Roman" w:cs="Times New Roman"/>
          <w:b/>
          <w:bCs/>
          <w:sz w:val="20"/>
          <w:szCs w:val="20"/>
          <w:lang w:val="en-US" w:eastAsia="en-CA"/>
        </w:rPr>
        <w:br w:type="page"/>
      </w: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lastRenderedPageBreak/>
        <w:t>IT IS HEREBY ORDERED THAT:</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val="en-US" w:eastAsia="en-CA"/>
        </w:rPr>
        <w:t xml:space="preserve">The motions for leave to intervene of </w:t>
      </w:r>
      <w:r w:rsidRPr="00BC01A8">
        <w:rPr>
          <w:rFonts w:eastAsia="Times New Roman" w:cs="Times New Roman"/>
          <w:sz w:val="20"/>
          <w:szCs w:val="20"/>
          <w:lang w:eastAsia="en-CA"/>
        </w:rPr>
        <w:t xml:space="preserve">the Association des Membres de la Police Montée du Québec, the Confédération des syndicats nationaux, the Canadian Police Association, the Canadian Labour Congress, the Canadian Civil Liberties Association, the Mounted Police Members’ Legal Fund, the Public Service Alliance of Canada and the British Columbia Civil Liberties Association are </w:t>
      </w:r>
      <w:r w:rsidRPr="00BC01A8">
        <w:rPr>
          <w:rFonts w:eastAsia="Times New Roman" w:cs="Times New Roman"/>
          <w:sz w:val="20"/>
          <w:szCs w:val="20"/>
          <w:lang w:val="en-US" w:eastAsia="en-CA"/>
        </w:rPr>
        <w:t>granted and the said interveners shall be entitled to each serve and file a factum not to exceed 10 pages in length on or before September 19, 2013.</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IT IS HEREBY FURTHER ORDERED THAT:</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val="en-US" w:eastAsia="en-CA"/>
        </w:rPr>
        <w:t xml:space="preserve">The motion for an extension of time to apply for leave to intervene of </w:t>
      </w:r>
      <w:r w:rsidRPr="00BC01A8">
        <w:rPr>
          <w:rFonts w:eastAsia="Times New Roman" w:cs="Times New Roman"/>
          <w:sz w:val="20"/>
          <w:szCs w:val="20"/>
          <w:lang w:eastAsia="en-CA"/>
        </w:rPr>
        <w:t xml:space="preserve">the Alberta Union of Provincial Employees and SAIT Academic Faculty Association </w:t>
      </w:r>
      <w:r w:rsidRPr="00BC01A8">
        <w:rPr>
          <w:rFonts w:eastAsia="Times New Roman" w:cs="Times New Roman"/>
          <w:sz w:val="20"/>
          <w:szCs w:val="20"/>
          <w:lang w:val="en-US" w:eastAsia="en-CA"/>
        </w:rPr>
        <w:t>is dismissed.</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val="en-US" w:eastAsia="en-CA"/>
        </w:rPr>
        <w:t xml:space="preserve">The motion for leave to intervene of the </w:t>
      </w:r>
      <w:r w:rsidRPr="00BC01A8">
        <w:rPr>
          <w:rFonts w:eastAsia="Times New Roman" w:cs="Times New Roman"/>
          <w:sz w:val="20"/>
          <w:szCs w:val="20"/>
          <w:lang w:eastAsia="en-CA"/>
        </w:rPr>
        <w:t>Saskatchewan Federation of Labour is dismissed.</w:t>
      </w:r>
    </w:p>
    <w:p w:rsidR="00BC01A8" w:rsidRPr="00BC01A8" w:rsidRDefault="00BC01A8" w:rsidP="00BC01A8">
      <w:pPr>
        <w:spacing w:line="233" w:lineRule="auto"/>
        <w:jc w:val="both"/>
        <w:rPr>
          <w:rFonts w:eastAsia="Times New Roman" w:cs="Times New Roman"/>
          <w:sz w:val="20"/>
          <w:szCs w:val="20"/>
          <w:lang w:eastAsia="en-CA"/>
        </w:rPr>
      </w:pPr>
    </w:p>
    <w:p w:rsidR="00BC01A8" w:rsidRPr="00BC01A8" w:rsidRDefault="005F2BA7"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eastAsia="en-CA"/>
        </w:rPr>
        <w:fldChar w:fldCharType="begin"/>
      </w:r>
      <w:r w:rsidR="00BC01A8" w:rsidRPr="00BC01A8">
        <w:rPr>
          <w:rFonts w:eastAsia="Times New Roman" w:cs="Times New Roman"/>
          <w:sz w:val="20"/>
          <w:szCs w:val="20"/>
          <w:lang w:eastAsia="en-CA"/>
        </w:rPr>
        <w:instrText xml:space="preserve"> SEQ CHAPTER \h \r 1</w:instrText>
      </w:r>
      <w:r w:rsidRPr="00BC01A8">
        <w:rPr>
          <w:rFonts w:eastAsia="Times New Roman" w:cs="Times New Roman"/>
          <w:sz w:val="20"/>
          <w:szCs w:val="20"/>
          <w:lang w:eastAsia="en-CA"/>
        </w:rPr>
        <w:fldChar w:fldCharType="end"/>
      </w:r>
      <w:r w:rsidR="00BC01A8" w:rsidRPr="00BC01A8">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val="en-US" w:eastAsia="en-CA"/>
        </w:rPr>
        <w:t>The interveners are not entitled to raise new issues or to adduce further evidence or otherwise to supplement the record of the parties.</w:t>
      </w:r>
    </w:p>
    <w:p w:rsidR="00BC01A8" w:rsidRPr="00BC01A8" w:rsidRDefault="00BC01A8" w:rsidP="00BC01A8">
      <w:pPr>
        <w:spacing w:line="233" w:lineRule="auto"/>
        <w:jc w:val="both"/>
        <w:rPr>
          <w:rFonts w:eastAsia="Times New Roman" w:cs="Times New Roman"/>
          <w:b/>
          <w:sz w:val="20"/>
          <w:szCs w:val="20"/>
          <w:lang w:val="en-US" w:eastAsia="en-CA"/>
        </w:rPr>
      </w:pPr>
    </w:p>
    <w:p w:rsidR="00BC01A8" w:rsidRPr="00BC01A8" w:rsidRDefault="005F2BA7"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eastAsia="en-CA"/>
        </w:rPr>
        <w:fldChar w:fldCharType="begin"/>
      </w:r>
      <w:r w:rsidR="00BC01A8" w:rsidRPr="00BC01A8">
        <w:rPr>
          <w:rFonts w:eastAsia="Times New Roman" w:cs="Times New Roman"/>
          <w:sz w:val="20"/>
          <w:szCs w:val="20"/>
          <w:lang w:eastAsia="en-CA"/>
        </w:rPr>
        <w:instrText xml:space="preserve"> SEQ CHAPTER \h \r 1</w:instrText>
      </w:r>
      <w:r w:rsidRPr="00BC01A8">
        <w:rPr>
          <w:rFonts w:eastAsia="Times New Roman" w:cs="Times New Roman"/>
          <w:sz w:val="20"/>
          <w:szCs w:val="20"/>
          <w:lang w:eastAsia="en-CA"/>
        </w:rPr>
        <w:fldChar w:fldCharType="end"/>
      </w:r>
      <w:r w:rsidR="00BC01A8" w:rsidRPr="00BC01A8">
        <w:rPr>
          <w:rFonts w:eastAsia="Times New Roman" w:cs="Times New Roman"/>
          <w:sz w:val="20"/>
          <w:szCs w:val="20"/>
          <w:lang w:val="en-US" w:eastAsia="en-CA"/>
        </w:rPr>
        <w:t>To the extent that the interests are similar, interveners shall consult to avoid repetition.</w:t>
      </w:r>
    </w:p>
    <w:p w:rsidR="00BC01A8" w:rsidRPr="00BC01A8" w:rsidRDefault="00BC01A8" w:rsidP="00BC01A8">
      <w:pPr>
        <w:spacing w:line="233" w:lineRule="auto"/>
        <w:jc w:val="both"/>
        <w:rPr>
          <w:rFonts w:eastAsia="Times New Roman" w:cs="Times New Roman"/>
          <w:b/>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val="en-US" w:eastAsia="en-CA"/>
        </w:rPr>
        <w:t>Pursuant to Rule 59(1</w:t>
      </w:r>
      <w:proofErr w:type="gramStart"/>
      <w:r w:rsidRPr="00BC01A8">
        <w:rPr>
          <w:rFonts w:eastAsia="Times New Roman" w:cs="Times New Roman"/>
          <w:sz w:val="20"/>
          <w:szCs w:val="20"/>
          <w:lang w:val="en-US" w:eastAsia="en-CA"/>
        </w:rPr>
        <w:t>)(</w:t>
      </w:r>
      <w:proofErr w:type="gramEnd"/>
      <w:r w:rsidRPr="00BC01A8">
        <w:rPr>
          <w:rFonts w:eastAsia="Times New Roman" w:cs="Times New Roman"/>
          <w:i/>
          <w:iCs/>
          <w:sz w:val="20"/>
          <w:szCs w:val="20"/>
          <w:lang w:val="en-US" w:eastAsia="en-CA"/>
        </w:rPr>
        <w:t>a</w:t>
      </w:r>
      <w:r w:rsidRPr="00BC01A8">
        <w:rPr>
          <w:rFonts w:eastAsia="Times New Roman" w:cs="Times New Roman"/>
          <w:sz w:val="20"/>
          <w:szCs w:val="20"/>
          <w:lang w:val="en-US" w:eastAsia="en-CA"/>
        </w:rPr>
        <w:t xml:space="preserve">) of the </w:t>
      </w:r>
      <w:r w:rsidRPr="00BC01A8">
        <w:rPr>
          <w:rFonts w:eastAsia="Times New Roman" w:cs="Times New Roman"/>
          <w:i/>
          <w:iCs/>
          <w:sz w:val="20"/>
          <w:szCs w:val="20"/>
          <w:lang w:val="en-US" w:eastAsia="en-CA"/>
        </w:rPr>
        <w:t>Rules of the Supreme Court of Canada</w:t>
      </w:r>
      <w:r w:rsidRPr="00BC01A8">
        <w:rPr>
          <w:rFonts w:eastAsia="Times New Roman" w:cs="Times New Roman"/>
          <w:sz w:val="20"/>
          <w:szCs w:val="20"/>
          <w:lang w:val="en-US" w:eastAsia="en-CA"/>
        </w:rPr>
        <w:t xml:space="preserve">, the interveners shall pay to the appellants and respondent any additional disbursements occasioned to the appellants and respondent by their interventions. </w:t>
      </w:r>
    </w:p>
    <w:p w:rsidR="00BC01A8" w:rsidRPr="00BC01A8" w:rsidRDefault="00BC01A8" w:rsidP="00BC01A8">
      <w:pPr>
        <w:spacing w:line="233" w:lineRule="auto"/>
        <w:rPr>
          <w:rFonts w:eastAsia="Times New Roman" w:cs="Times New Roman"/>
          <w:sz w:val="20"/>
          <w:szCs w:val="20"/>
          <w:lang w:val="en-US" w:eastAsia="en-CA"/>
        </w:rPr>
      </w:pPr>
    </w:p>
    <w:p w:rsidR="00BC01A8" w:rsidRPr="00BC01A8" w:rsidRDefault="00BC01A8" w:rsidP="00BC01A8">
      <w:pPr>
        <w:spacing w:line="233" w:lineRule="auto"/>
        <w:rPr>
          <w:rFonts w:eastAsia="Times New Roman" w:cs="Times New Roman"/>
          <w:sz w:val="20"/>
          <w:szCs w:val="20"/>
          <w:lang w:val="en-US" w:eastAsia="en-CA"/>
        </w:rPr>
      </w:pPr>
    </w:p>
    <w:p w:rsidR="00BC01A8" w:rsidRPr="00BC01A8" w:rsidRDefault="00BC01A8" w:rsidP="00BC01A8">
      <w:pPr>
        <w:spacing w:line="233" w:lineRule="auto"/>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fr-FR" w:eastAsia="en-CA"/>
        </w:rPr>
      </w:pPr>
      <w:r w:rsidRPr="00BC01A8">
        <w:rPr>
          <w:rFonts w:eastAsia="Times New Roman" w:cs="Times New Roman"/>
          <w:b/>
          <w:sz w:val="20"/>
          <w:szCs w:val="20"/>
          <w:lang w:val="fr-FR" w:eastAsia="en-CA"/>
        </w:rPr>
        <w:t>ET À LA SUITE DES REQUÊTES</w:t>
      </w:r>
      <w:r w:rsidRPr="00BC01A8">
        <w:rPr>
          <w:rFonts w:eastAsia="Times New Roman" w:cs="Times New Roman"/>
          <w:sz w:val="20"/>
          <w:szCs w:val="20"/>
          <w:lang w:val="fr-FR" w:eastAsia="en-CA"/>
        </w:rPr>
        <w:t xml:space="preserve"> présentées par l’Association des Membres de la Police Montée du Québec, la Confédération des syndicats nationaux, l’Association canadienne des policiers, le Congrès du travail du Canada, la Saskatchewan Federation of Labour, l’Association canadienne des libertés civiles, le Fonds de recours juridique des membres de la Gendarmerie, l’Alliance de la Fonction publique du Canada et la British Columbia Civil Liberties Association en autorisation d’intervenir dans l’appel; </w:t>
      </w:r>
    </w:p>
    <w:p w:rsidR="00BC01A8" w:rsidRPr="00BC01A8" w:rsidRDefault="00BC01A8" w:rsidP="00BC01A8">
      <w:pPr>
        <w:spacing w:line="233" w:lineRule="auto"/>
        <w:jc w:val="both"/>
        <w:rPr>
          <w:rFonts w:eastAsia="Times New Roman" w:cs="Times New Roman"/>
          <w:sz w:val="20"/>
          <w:szCs w:val="20"/>
          <w:lang w:val="fr-FR"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b/>
          <w:sz w:val="20"/>
          <w:szCs w:val="20"/>
          <w:lang w:val="fr-CA" w:eastAsia="en-CA"/>
        </w:rPr>
        <w:t>À LA SUITE DE LA REQUÊTE</w:t>
      </w:r>
      <w:r w:rsidRPr="00BC01A8">
        <w:rPr>
          <w:rFonts w:eastAsia="Times New Roman" w:cs="Times New Roman"/>
          <w:sz w:val="20"/>
          <w:szCs w:val="20"/>
          <w:lang w:val="fr-CA" w:eastAsia="en-CA"/>
        </w:rPr>
        <w:t xml:space="preserve"> présentée par l’Alberta Union of Provincial Employees and SAIT Academic Faculty Association en prorogation du délai applicable à une demande d'autorisation d'intervenir et en autorisation d'intervenir dans l'appel;</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b/>
          <w:sz w:val="20"/>
          <w:szCs w:val="20"/>
          <w:lang w:val="fr-CA" w:eastAsia="en-CA"/>
        </w:rPr>
        <w:t>ET APRÈS EXAMEN</w:t>
      </w:r>
      <w:r w:rsidRPr="00BC01A8">
        <w:rPr>
          <w:rFonts w:eastAsia="Times New Roman" w:cs="Times New Roman"/>
          <w:sz w:val="20"/>
          <w:szCs w:val="20"/>
          <w:lang w:val="fr-CA" w:eastAsia="en-CA"/>
        </w:rPr>
        <w:t xml:space="preserve"> des documents déposés; </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b/>
          <w:sz w:val="20"/>
          <w:szCs w:val="20"/>
          <w:lang w:val="fr-CA" w:eastAsia="en-CA"/>
        </w:rPr>
        <w:t>IL EST ORDONNÉ CE QUI SUIT</w:t>
      </w:r>
      <w:r w:rsidRPr="00BC01A8">
        <w:rPr>
          <w:rFonts w:eastAsia="Times New Roman" w:cs="Times New Roman"/>
          <w:sz w:val="20"/>
          <w:szCs w:val="20"/>
          <w:lang w:val="fr-CA" w:eastAsia="en-CA"/>
        </w:rPr>
        <w:t xml:space="preserve"> : </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 xml:space="preserve">Les requêtes en autorisation d'intervenir présentées par </w:t>
      </w:r>
      <w:r w:rsidRPr="00BC01A8">
        <w:rPr>
          <w:rFonts w:eastAsia="Times New Roman" w:cs="Times New Roman"/>
          <w:sz w:val="20"/>
          <w:szCs w:val="20"/>
          <w:lang w:val="fr-FR" w:eastAsia="en-CA"/>
        </w:rPr>
        <w:t xml:space="preserve">l’Association des Membres de la Police Montée du Québec, </w:t>
      </w:r>
      <w:r w:rsidRPr="00BC01A8">
        <w:rPr>
          <w:rFonts w:eastAsia="Times New Roman" w:cs="Times New Roman"/>
          <w:sz w:val="20"/>
          <w:szCs w:val="20"/>
          <w:lang w:val="fr-CA" w:eastAsia="en-CA"/>
        </w:rPr>
        <w:t>la Confédération des syndicats nationaux,</w:t>
      </w:r>
      <w:r w:rsidRPr="00BC01A8">
        <w:rPr>
          <w:rFonts w:eastAsia="Times New Roman" w:cs="Times New Roman"/>
          <w:sz w:val="20"/>
          <w:szCs w:val="20"/>
          <w:lang w:val="fr-FR" w:eastAsia="en-CA"/>
        </w:rPr>
        <w:t xml:space="preserve"> l’Association canadienne des policiers, le Congrès du travail du Canada, l’Association canadienne des libertés civiles, le Fonds de recours juridique des membres de la Gendarmerie, l’Alliance de la Fonction publique du Canada et la British Columbia Civil Liberties Association</w:t>
      </w:r>
      <w:r w:rsidRPr="00BC01A8">
        <w:rPr>
          <w:rFonts w:eastAsia="Times New Roman" w:cs="Times New Roman"/>
          <w:sz w:val="20"/>
          <w:szCs w:val="20"/>
          <w:lang w:val="fr-CA" w:eastAsia="en-CA"/>
        </w:rPr>
        <w:t xml:space="preserve"> sont accueillies et ces intervenants pourront chacun signifier et déposer un mémoire d'au plus dix (10) pages au plus tard le 19 septembre 2013.</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b/>
          <w:sz w:val="20"/>
          <w:szCs w:val="20"/>
          <w:lang w:val="fr-CA" w:eastAsia="en-CA"/>
        </w:rPr>
        <w:t>IL EST EN OUTRE ORDONNÉ CE QUI SUIT</w:t>
      </w:r>
      <w:r w:rsidRPr="00BC01A8">
        <w:rPr>
          <w:rFonts w:eastAsia="Times New Roman" w:cs="Times New Roman"/>
          <w:sz w:val="20"/>
          <w:szCs w:val="20"/>
          <w:lang w:val="fr-CA" w:eastAsia="en-CA"/>
        </w:rPr>
        <w:t xml:space="preserve"> :</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 xml:space="preserve">La requête en prorogation du délai applicable à une demande d'autorisation d'intervenir présentée par l’Alberta Union of Provincial Employees and SAIT Academic Faculty Association est rejetée. </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b/>
          <w:sz w:val="20"/>
          <w:szCs w:val="20"/>
          <w:lang w:val="fr-CA" w:eastAsia="en-CA"/>
        </w:rPr>
      </w:pPr>
      <w:r w:rsidRPr="00BC01A8">
        <w:rPr>
          <w:rFonts w:eastAsia="Times New Roman" w:cs="Times New Roman"/>
          <w:sz w:val="20"/>
          <w:szCs w:val="20"/>
          <w:lang w:val="fr-CA" w:eastAsia="en-CA"/>
        </w:rPr>
        <w:t xml:space="preserve">La requête en autorisation d'intervenir présentée par </w:t>
      </w:r>
      <w:r w:rsidRPr="00BC01A8">
        <w:rPr>
          <w:rFonts w:eastAsia="Times New Roman" w:cs="Times New Roman"/>
          <w:sz w:val="20"/>
          <w:szCs w:val="20"/>
          <w:lang w:val="fr-FR" w:eastAsia="en-CA"/>
        </w:rPr>
        <w:t xml:space="preserve">la Saskatchewan Federation of Labour </w:t>
      </w:r>
      <w:r w:rsidRPr="00BC01A8">
        <w:rPr>
          <w:rFonts w:eastAsia="Times New Roman" w:cs="Times New Roman"/>
          <w:sz w:val="20"/>
          <w:szCs w:val="20"/>
          <w:lang w:val="fr-CA" w:eastAsia="en-CA"/>
        </w:rPr>
        <w:t>est rejetée.</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lastRenderedPageBreak/>
        <w:t>Les décisions sur les requêtes en vue de présenter des plaidoiries orales seront rendues après réception et examen des arguments écrits des parties et des intervenants.</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BC01A8" w:rsidRPr="00BC01A8" w:rsidRDefault="00BC01A8" w:rsidP="00BC01A8">
      <w:pPr>
        <w:spacing w:line="233" w:lineRule="auto"/>
        <w:jc w:val="both"/>
        <w:rPr>
          <w:rFonts w:eastAsia="Times New Roman" w:cs="Times New Roman"/>
          <w:b/>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Dans la mesure où leurs intérêts sont similaires, les intervenants se consulteront pour éviter toute répétition.</w:t>
      </w:r>
    </w:p>
    <w:p w:rsidR="00BC01A8" w:rsidRPr="00BC01A8" w:rsidRDefault="00BC01A8" w:rsidP="00BC01A8">
      <w:pPr>
        <w:spacing w:line="233" w:lineRule="auto"/>
        <w:jc w:val="both"/>
        <w:rPr>
          <w:rFonts w:eastAsia="Times New Roman" w:cs="Times New Roman"/>
          <w:b/>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Conformément à l'alinéa 59(1</w:t>
      </w:r>
      <w:proofErr w:type="gramStart"/>
      <w:r w:rsidRPr="00BC01A8">
        <w:rPr>
          <w:rFonts w:eastAsia="Times New Roman" w:cs="Times New Roman"/>
          <w:sz w:val="20"/>
          <w:szCs w:val="20"/>
          <w:lang w:val="fr-CA" w:eastAsia="en-CA"/>
        </w:rPr>
        <w:t>)(</w:t>
      </w:r>
      <w:proofErr w:type="gramEnd"/>
      <w:r w:rsidRPr="00BC01A8">
        <w:rPr>
          <w:rFonts w:eastAsia="Times New Roman" w:cs="Times New Roman"/>
          <w:i/>
          <w:sz w:val="20"/>
          <w:szCs w:val="20"/>
          <w:lang w:val="fr-CA" w:eastAsia="en-CA"/>
        </w:rPr>
        <w:t>a</w:t>
      </w:r>
      <w:r w:rsidRPr="00BC01A8">
        <w:rPr>
          <w:rFonts w:eastAsia="Times New Roman" w:cs="Times New Roman"/>
          <w:sz w:val="20"/>
          <w:szCs w:val="20"/>
          <w:lang w:val="fr-CA" w:eastAsia="en-CA"/>
        </w:rPr>
        <w:t xml:space="preserve">) des </w:t>
      </w:r>
      <w:r w:rsidRPr="00BC01A8">
        <w:rPr>
          <w:rFonts w:eastAsia="Times New Roman" w:cs="Times New Roman"/>
          <w:i/>
          <w:sz w:val="20"/>
          <w:szCs w:val="20"/>
          <w:lang w:val="fr-CA" w:eastAsia="en-CA"/>
        </w:rPr>
        <w:t>Règles de la Cour suprême du Canada</w:t>
      </w:r>
      <w:r w:rsidRPr="00BC01A8">
        <w:rPr>
          <w:rFonts w:eastAsia="Times New Roman" w:cs="Times New Roman"/>
          <w:sz w:val="20"/>
          <w:szCs w:val="20"/>
          <w:lang w:val="fr-CA" w:eastAsia="en-CA"/>
        </w:rPr>
        <w:t>, les intervenants paieront aux appelants et à l'intimé tous débours supplémentaires résultant de leur intervention.</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5F2BA7" w:rsidP="00BC01A8">
      <w:pPr>
        <w:tabs>
          <w:tab w:val="left" w:pos="-1440"/>
          <w:tab w:val="left" w:pos="-720"/>
        </w:tabs>
        <w:jc w:val="both"/>
        <w:rPr>
          <w:rFonts w:eastAsia="Times New Roman" w:cs="Times New Roman"/>
          <w:sz w:val="20"/>
          <w:szCs w:val="20"/>
          <w:lang w:val="fr-CA" w:eastAsia="en-CA"/>
        </w:rPr>
      </w:pPr>
      <w:r w:rsidRPr="005F2BA7">
        <w:rPr>
          <w:rFonts w:eastAsia="Times New Roman" w:cs="Times New Roman"/>
          <w:sz w:val="20"/>
          <w:szCs w:val="20"/>
          <w:lang w:val="fr-CA" w:eastAsia="en-CA"/>
        </w:rPr>
        <w:pict>
          <v:rect id="_x0000_i1120" style="width:2in;height:1pt" o:hrpct="0" o:hralign="center" o:hrstd="t" o:hrnoshade="t" o:hr="t" fillcolor="black [3213]" stroked="f"/>
        </w:pic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29.07.2013</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Before / Devant :   LEBEL J. / LE JUGE LEBEL</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C01A8" w:rsidRPr="007C5A5B" w:rsidTr="00BC01A8">
        <w:tc>
          <w:tcPr>
            <w:tcW w:w="4338" w:type="dxa"/>
          </w:tcPr>
          <w:p w:rsidR="00BC01A8" w:rsidRPr="00BC01A8" w:rsidRDefault="005F2BA7" w:rsidP="00BC01A8">
            <w:pPr>
              <w:tabs>
                <w:tab w:val="left" w:pos="-1440"/>
                <w:tab w:val="left" w:pos="-720"/>
              </w:tabs>
              <w:jc w:val="both"/>
              <w:rPr>
                <w:b/>
              </w:rPr>
            </w:pPr>
            <w:r w:rsidRPr="00BC01A8">
              <w:rPr>
                <w:lang w:val="en-US"/>
              </w:rPr>
              <w:fldChar w:fldCharType="begin"/>
            </w:r>
            <w:r w:rsidR="00BC01A8" w:rsidRPr="00BC01A8">
              <w:rPr>
                <w:lang w:val="en-US"/>
              </w:rPr>
              <w:instrText xml:space="preserve"> SEQ CHAPTER \h \r 1</w:instrText>
            </w:r>
            <w:r w:rsidRPr="00BC01A8">
              <w:rPr>
                <w:lang w:val="en-US"/>
              </w:rPr>
              <w:fldChar w:fldCharType="end"/>
            </w:r>
            <w:r w:rsidR="00BC01A8" w:rsidRPr="00BC01A8">
              <w:rPr>
                <w:b/>
                <w:bCs/>
                <w:lang w:val="en-US"/>
              </w:rPr>
              <w:t xml:space="preserve">Motion permitting the filing in electronic form of a joint record as between the parties in 35009 and 35018 and between the parties in 35033 and to reduce the number of printed copies of the joint records </w:t>
            </w:r>
          </w:p>
        </w:tc>
        <w:tc>
          <w:tcPr>
            <w:tcW w:w="1170" w:type="dxa"/>
          </w:tcPr>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tc>
        <w:tc>
          <w:tcPr>
            <w:tcW w:w="4327" w:type="dxa"/>
          </w:tcPr>
          <w:p w:rsidR="00BC01A8" w:rsidRPr="00BC01A8" w:rsidRDefault="005F2BA7" w:rsidP="00BC01A8">
            <w:pPr>
              <w:tabs>
                <w:tab w:val="left" w:pos="-1440"/>
                <w:tab w:val="left" w:pos="-720"/>
              </w:tabs>
              <w:jc w:val="both"/>
              <w:rPr>
                <w:lang w:val="fr-CA"/>
              </w:rPr>
            </w:pPr>
            <w:r w:rsidRPr="00BC01A8">
              <w:rPr>
                <w:lang w:val="en-US"/>
              </w:rPr>
              <w:fldChar w:fldCharType="begin"/>
            </w:r>
            <w:r w:rsidR="00BC01A8" w:rsidRPr="00BC01A8">
              <w:rPr>
                <w:lang w:val="fr-CA"/>
              </w:rPr>
              <w:instrText xml:space="preserve"> SEQ CHAPTER \h \r 1</w:instrText>
            </w:r>
            <w:r w:rsidRPr="00BC01A8">
              <w:rPr>
                <w:lang w:val="en-US"/>
              </w:rPr>
              <w:fldChar w:fldCharType="end"/>
            </w:r>
            <w:r w:rsidR="00BC01A8" w:rsidRPr="00BC01A8">
              <w:rPr>
                <w:b/>
                <w:bCs/>
                <w:lang w:val="fr-CA"/>
              </w:rPr>
              <w:t>Requête en autorisation du dépôt en format électronique d’un dossier conjoint par les parties des dossiers 35009 et 35018 et par les parties du dossier 35033 et en réduction du nombre de copies imprimées des dossiers conjoints</w:t>
            </w:r>
            <w:r w:rsidRPr="00BC01A8">
              <w:rPr>
                <w:lang w:val="en-US"/>
              </w:rPr>
              <w:fldChar w:fldCharType="begin"/>
            </w:r>
            <w:r w:rsidR="00BC01A8" w:rsidRPr="00BC01A8">
              <w:rPr>
                <w:lang w:val="fr-CA"/>
              </w:rPr>
              <w:instrText xml:space="preserve"> SEQ CHAPTER \h \r 1</w:instrText>
            </w:r>
            <w:r w:rsidRPr="00BC01A8">
              <w:rPr>
                <w:lang w:val="en-US"/>
              </w:rPr>
              <w:fldChar w:fldCharType="end"/>
            </w:r>
          </w:p>
        </w:tc>
      </w:tr>
      <w:tr w:rsidR="00BC01A8" w:rsidRPr="00BC01A8" w:rsidTr="00BC01A8">
        <w:tc>
          <w:tcPr>
            <w:tcW w:w="4338" w:type="dxa"/>
          </w:tcPr>
          <w:p w:rsidR="00BC01A8" w:rsidRPr="00BC01A8" w:rsidRDefault="00BC01A8" w:rsidP="00BC01A8">
            <w:pPr>
              <w:tabs>
                <w:tab w:val="left" w:pos="-1440"/>
                <w:tab w:val="left" w:pos="-720"/>
              </w:tabs>
              <w:jc w:val="both"/>
            </w:pPr>
            <w:r w:rsidRPr="00BC01A8">
              <w:t>Bank of Montreal et al.</w:t>
            </w: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rPr>
                <w:lang w:val="fr-CA"/>
              </w:rPr>
            </w:pPr>
            <w:r w:rsidRPr="00BC01A8">
              <w:tab/>
            </w:r>
            <w:r w:rsidRPr="00BC01A8">
              <w:rPr>
                <w:lang w:val="fr-CA"/>
              </w:rPr>
              <w:t>v. (35009)</w:t>
            </w:r>
          </w:p>
          <w:p w:rsidR="00BC01A8" w:rsidRPr="00BC01A8" w:rsidRDefault="00BC01A8" w:rsidP="00BC01A8">
            <w:pPr>
              <w:tabs>
                <w:tab w:val="left" w:pos="-1440"/>
                <w:tab w:val="left" w:pos="-720"/>
              </w:tabs>
              <w:jc w:val="both"/>
              <w:rPr>
                <w:lang w:val="fr-CA"/>
              </w:rPr>
            </w:pPr>
          </w:p>
          <w:p w:rsidR="00BC01A8" w:rsidRPr="00BC01A8" w:rsidRDefault="00BC01A8" w:rsidP="00BC01A8">
            <w:pPr>
              <w:tabs>
                <w:tab w:val="left" w:pos="-1440"/>
                <w:tab w:val="left" w:pos="-720"/>
              </w:tabs>
              <w:jc w:val="both"/>
            </w:pPr>
            <w:r w:rsidRPr="00BC01A8">
              <w:rPr>
                <w:lang w:val="fr-CA"/>
              </w:rPr>
              <w:t xml:space="preserve">Réal Marcotte et al. </w:t>
            </w:r>
            <w:r w:rsidRPr="00BC01A8">
              <w:t>(Que.)</w:t>
            </w:r>
          </w:p>
          <w:p w:rsidR="00BC01A8" w:rsidRPr="00BC01A8" w:rsidRDefault="00BC01A8" w:rsidP="00BC01A8">
            <w:pPr>
              <w:tabs>
                <w:tab w:val="left" w:pos="-1440"/>
                <w:tab w:val="left" w:pos="-720"/>
              </w:tabs>
              <w:jc w:val="both"/>
            </w:pPr>
          </w:p>
        </w:tc>
        <w:tc>
          <w:tcPr>
            <w:tcW w:w="1170" w:type="dxa"/>
          </w:tcPr>
          <w:p w:rsidR="00BC01A8" w:rsidRPr="00BC01A8" w:rsidRDefault="00BC01A8" w:rsidP="00BC01A8">
            <w:pPr>
              <w:tabs>
                <w:tab w:val="left" w:pos="-1440"/>
                <w:tab w:val="left" w:pos="-720"/>
              </w:tabs>
              <w:jc w:val="both"/>
            </w:pPr>
          </w:p>
        </w:tc>
        <w:tc>
          <w:tcPr>
            <w:tcW w:w="4327" w:type="dxa"/>
          </w:tcPr>
          <w:p w:rsidR="00BC01A8" w:rsidRPr="00BC01A8" w:rsidRDefault="00BC01A8" w:rsidP="00BC01A8">
            <w:pPr>
              <w:tabs>
                <w:tab w:val="left" w:pos="-1440"/>
                <w:tab w:val="left" w:pos="-720"/>
              </w:tabs>
              <w:jc w:val="both"/>
            </w:pPr>
          </w:p>
        </w:tc>
      </w:tr>
      <w:tr w:rsidR="00BC01A8" w:rsidRPr="00BC01A8" w:rsidTr="00BC01A8">
        <w:tc>
          <w:tcPr>
            <w:tcW w:w="4338" w:type="dxa"/>
          </w:tcPr>
          <w:p w:rsidR="00BC01A8" w:rsidRPr="00BC01A8" w:rsidRDefault="00BC01A8" w:rsidP="00BC01A8">
            <w:pPr>
              <w:tabs>
                <w:tab w:val="left" w:pos="-1440"/>
                <w:tab w:val="left" w:pos="-720"/>
              </w:tabs>
              <w:jc w:val="both"/>
            </w:pPr>
            <w:r w:rsidRPr="00BC01A8">
              <w:t>- and between -</w:t>
            </w:r>
          </w:p>
          <w:p w:rsidR="00BC01A8" w:rsidRPr="00BC01A8" w:rsidRDefault="00BC01A8" w:rsidP="00BC01A8">
            <w:pPr>
              <w:tabs>
                <w:tab w:val="left" w:pos="-1440"/>
                <w:tab w:val="left" w:pos="-720"/>
              </w:tabs>
              <w:jc w:val="both"/>
            </w:pPr>
          </w:p>
        </w:tc>
        <w:tc>
          <w:tcPr>
            <w:tcW w:w="1170" w:type="dxa"/>
          </w:tcPr>
          <w:p w:rsidR="00BC01A8" w:rsidRPr="00BC01A8" w:rsidRDefault="00BC01A8" w:rsidP="00BC01A8">
            <w:pPr>
              <w:tabs>
                <w:tab w:val="left" w:pos="-1440"/>
                <w:tab w:val="left" w:pos="-720"/>
              </w:tabs>
              <w:jc w:val="both"/>
            </w:pPr>
          </w:p>
        </w:tc>
        <w:tc>
          <w:tcPr>
            <w:tcW w:w="4327" w:type="dxa"/>
          </w:tcPr>
          <w:p w:rsidR="00BC01A8" w:rsidRPr="00BC01A8" w:rsidRDefault="00BC01A8" w:rsidP="00BC01A8">
            <w:pPr>
              <w:tabs>
                <w:tab w:val="left" w:pos="-1440"/>
                <w:tab w:val="left" w:pos="-720"/>
              </w:tabs>
              <w:jc w:val="both"/>
            </w:pPr>
          </w:p>
        </w:tc>
      </w:tr>
      <w:tr w:rsidR="00BC01A8" w:rsidRPr="007C5A5B" w:rsidTr="00BC01A8">
        <w:tc>
          <w:tcPr>
            <w:tcW w:w="4338" w:type="dxa"/>
          </w:tcPr>
          <w:p w:rsidR="00BC01A8" w:rsidRPr="00BC01A8" w:rsidRDefault="00BC01A8" w:rsidP="00BC01A8">
            <w:pPr>
              <w:tabs>
                <w:tab w:val="left" w:pos="-1440"/>
                <w:tab w:val="left" w:pos="-720"/>
              </w:tabs>
              <w:jc w:val="both"/>
              <w:rPr>
                <w:lang w:val="fr-CA"/>
              </w:rPr>
            </w:pPr>
            <w:r w:rsidRPr="00BC01A8">
              <w:rPr>
                <w:lang w:val="fr-CA"/>
              </w:rPr>
              <w:t>Réal Marcotte</w:t>
            </w:r>
          </w:p>
          <w:p w:rsidR="00BC01A8" w:rsidRPr="00BC01A8" w:rsidRDefault="00BC01A8" w:rsidP="00BC01A8">
            <w:pPr>
              <w:tabs>
                <w:tab w:val="left" w:pos="-1440"/>
                <w:tab w:val="left" w:pos="-720"/>
              </w:tabs>
              <w:jc w:val="both"/>
              <w:rPr>
                <w:lang w:val="fr-CA"/>
              </w:rPr>
            </w:pPr>
          </w:p>
          <w:p w:rsidR="00BC01A8" w:rsidRPr="00BC01A8" w:rsidRDefault="00BC01A8" w:rsidP="00BC01A8">
            <w:pPr>
              <w:tabs>
                <w:tab w:val="left" w:pos="-1440"/>
                <w:tab w:val="left" w:pos="-720"/>
              </w:tabs>
              <w:jc w:val="both"/>
              <w:rPr>
                <w:lang w:val="fr-CA"/>
              </w:rPr>
            </w:pPr>
            <w:r w:rsidRPr="00BC01A8">
              <w:rPr>
                <w:lang w:val="fr-CA"/>
              </w:rPr>
              <w:tab/>
              <w:t>v. (35018)</w:t>
            </w:r>
          </w:p>
          <w:p w:rsidR="00BC01A8" w:rsidRPr="00BC01A8" w:rsidRDefault="00BC01A8" w:rsidP="00BC01A8">
            <w:pPr>
              <w:tabs>
                <w:tab w:val="left" w:pos="-1440"/>
                <w:tab w:val="left" w:pos="-720"/>
              </w:tabs>
              <w:jc w:val="both"/>
              <w:rPr>
                <w:lang w:val="fr-CA"/>
              </w:rPr>
            </w:pPr>
          </w:p>
          <w:p w:rsidR="00BC01A8" w:rsidRPr="00BC01A8" w:rsidRDefault="00BC01A8" w:rsidP="00BC01A8">
            <w:pPr>
              <w:tabs>
                <w:tab w:val="left" w:pos="-1440"/>
                <w:tab w:val="left" w:pos="-720"/>
              </w:tabs>
              <w:jc w:val="both"/>
              <w:rPr>
                <w:lang w:val="fr-CA"/>
              </w:rPr>
            </w:pPr>
            <w:r w:rsidRPr="00BC01A8">
              <w:rPr>
                <w:lang w:val="fr-CA"/>
              </w:rPr>
              <w:t>Fédération des caisses Desjardins du Québec (Que.)</w:t>
            </w:r>
          </w:p>
          <w:p w:rsidR="00BC01A8" w:rsidRPr="00BC01A8" w:rsidRDefault="00BC01A8" w:rsidP="00BC01A8">
            <w:pPr>
              <w:tabs>
                <w:tab w:val="left" w:pos="-1440"/>
                <w:tab w:val="left" w:pos="-720"/>
              </w:tabs>
              <w:jc w:val="both"/>
              <w:rPr>
                <w:lang w:val="fr-CA"/>
              </w:rPr>
            </w:pPr>
          </w:p>
        </w:tc>
        <w:tc>
          <w:tcPr>
            <w:tcW w:w="1170" w:type="dxa"/>
          </w:tcPr>
          <w:p w:rsidR="00BC01A8" w:rsidRPr="00BC01A8" w:rsidRDefault="00BC01A8" w:rsidP="00BC01A8">
            <w:pPr>
              <w:tabs>
                <w:tab w:val="left" w:pos="-1440"/>
                <w:tab w:val="left" w:pos="-720"/>
              </w:tabs>
              <w:jc w:val="both"/>
              <w:rPr>
                <w:lang w:val="fr-CA"/>
              </w:rPr>
            </w:pPr>
          </w:p>
        </w:tc>
        <w:tc>
          <w:tcPr>
            <w:tcW w:w="4327" w:type="dxa"/>
          </w:tcPr>
          <w:p w:rsidR="00BC01A8" w:rsidRPr="00BC01A8" w:rsidRDefault="00BC01A8" w:rsidP="00BC01A8">
            <w:pPr>
              <w:tabs>
                <w:tab w:val="left" w:pos="-1440"/>
                <w:tab w:val="left" w:pos="-720"/>
              </w:tabs>
              <w:jc w:val="both"/>
              <w:rPr>
                <w:lang w:val="fr-CA"/>
              </w:rPr>
            </w:pPr>
          </w:p>
        </w:tc>
      </w:tr>
      <w:tr w:rsidR="00BC01A8" w:rsidRPr="00BC01A8" w:rsidTr="00BC01A8">
        <w:tc>
          <w:tcPr>
            <w:tcW w:w="4338" w:type="dxa"/>
          </w:tcPr>
          <w:p w:rsidR="00BC01A8" w:rsidRPr="00BC01A8" w:rsidRDefault="00BC01A8" w:rsidP="00BC01A8">
            <w:pPr>
              <w:tabs>
                <w:tab w:val="left" w:pos="-1440"/>
                <w:tab w:val="left" w:pos="-720"/>
              </w:tabs>
              <w:jc w:val="both"/>
            </w:pPr>
            <w:r w:rsidRPr="00BC01A8">
              <w:t>- and between -</w:t>
            </w:r>
          </w:p>
          <w:p w:rsidR="00BC01A8" w:rsidRPr="00BC01A8" w:rsidRDefault="00BC01A8" w:rsidP="00BC01A8">
            <w:pPr>
              <w:tabs>
                <w:tab w:val="left" w:pos="-1440"/>
                <w:tab w:val="left" w:pos="-720"/>
              </w:tabs>
              <w:jc w:val="both"/>
            </w:pPr>
          </w:p>
        </w:tc>
        <w:tc>
          <w:tcPr>
            <w:tcW w:w="1170" w:type="dxa"/>
          </w:tcPr>
          <w:p w:rsidR="00BC01A8" w:rsidRPr="00BC01A8" w:rsidRDefault="00BC01A8" w:rsidP="00BC01A8">
            <w:pPr>
              <w:tabs>
                <w:tab w:val="left" w:pos="-1440"/>
                <w:tab w:val="left" w:pos="-720"/>
              </w:tabs>
              <w:jc w:val="both"/>
            </w:pPr>
          </w:p>
        </w:tc>
        <w:tc>
          <w:tcPr>
            <w:tcW w:w="4327" w:type="dxa"/>
          </w:tcPr>
          <w:p w:rsidR="00BC01A8" w:rsidRPr="00BC01A8" w:rsidRDefault="00BC01A8" w:rsidP="00BC01A8">
            <w:pPr>
              <w:tabs>
                <w:tab w:val="left" w:pos="-1440"/>
                <w:tab w:val="left" w:pos="-720"/>
              </w:tabs>
              <w:jc w:val="both"/>
            </w:pPr>
          </w:p>
        </w:tc>
      </w:tr>
      <w:tr w:rsidR="00BC01A8" w:rsidRPr="007C5A5B" w:rsidTr="00BC01A8">
        <w:tc>
          <w:tcPr>
            <w:tcW w:w="4338" w:type="dxa"/>
          </w:tcPr>
          <w:p w:rsidR="00BC01A8" w:rsidRPr="00BC01A8" w:rsidRDefault="00BC01A8" w:rsidP="00BC01A8">
            <w:pPr>
              <w:tabs>
                <w:tab w:val="left" w:pos="-1440"/>
                <w:tab w:val="left" w:pos="-720"/>
              </w:tabs>
              <w:jc w:val="both"/>
            </w:pPr>
            <w:r w:rsidRPr="00BC01A8">
              <w:t>Amex Bank of Canada</w:t>
            </w: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r w:rsidRPr="00BC01A8">
              <w:tab/>
              <w:t>v. (35033)</w:t>
            </w: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rPr>
                <w:lang w:val="fr-CA"/>
              </w:rPr>
            </w:pPr>
            <w:r w:rsidRPr="00BC01A8">
              <w:rPr>
                <w:lang w:val="fr-CA"/>
              </w:rPr>
              <w:t>Sylvan Adams et al. (Que.)</w:t>
            </w:r>
          </w:p>
        </w:tc>
        <w:tc>
          <w:tcPr>
            <w:tcW w:w="1170" w:type="dxa"/>
          </w:tcPr>
          <w:p w:rsidR="00BC01A8" w:rsidRPr="00BC01A8" w:rsidRDefault="00BC01A8" w:rsidP="00BC01A8">
            <w:pPr>
              <w:tabs>
                <w:tab w:val="left" w:pos="-1440"/>
                <w:tab w:val="left" w:pos="-720"/>
              </w:tabs>
              <w:jc w:val="both"/>
              <w:rPr>
                <w:lang w:val="fr-CA"/>
              </w:rPr>
            </w:pPr>
          </w:p>
        </w:tc>
        <w:tc>
          <w:tcPr>
            <w:tcW w:w="4327" w:type="dxa"/>
          </w:tcPr>
          <w:p w:rsidR="00BC01A8" w:rsidRPr="00BC01A8" w:rsidRDefault="00BC01A8" w:rsidP="00BC01A8">
            <w:pPr>
              <w:tabs>
                <w:tab w:val="left" w:pos="-1440"/>
                <w:tab w:val="left" w:pos="-720"/>
              </w:tabs>
              <w:jc w:val="both"/>
              <w:rPr>
                <w:lang w:val="fr-CA"/>
              </w:rPr>
            </w:pPr>
          </w:p>
        </w:tc>
      </w:tr>
    </w:tbl>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b/>
          <w:sz w:val="20"/>
          <w:szCs w:val="20"/>
          <w:lang w:eastAsia="en-CA"/>
        </w:rPr>
      </w:pPr>
      <w:r w:rsidRPr="00BC01A8">
        <w:rPr>
          <w:rFonts w:eastAsia="Times New Roman" w:cs="Times New Roman"/>
          <w:b/>
          <w:sz w:val="20"/>
          <w:szCs w:val="20"/>
          <w:lang w:eastAsia="en-CA"/>
        </w:rPr>
        <w:t>GRANTED / ACCORDÉE</w: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5F2BA7" w:rsidP="00BC01A8">
      <w:pPr>
        <w:tabs>
          <w:tab w:val="left" w:pos="-1440"/>
          <w:tab w:val="left" w:pos="-720"/>
        </w:tabs>
        <w:jc w:val="both"/>
        <w:rPr>
          <w:rFonts w:eastAsia="Times New Roman" w:cs="Times New Roman"/>
          <w:sz w:val="20"/>
          <w:szCs w:val="20"/>
          <w:lang w:eastAsia="en-CA"/>
        </w:rPr>
      </w:pPr>
      <w:r w:rsidRPr="005F2BA7">
        <w:rPr>
          <w:rFonts w:eastAsia="Times New Roman" w:cs="Times New Roman"/>
          <w:sz w:val="20"/>
          <w:szCs w:val="20"/>
          <w:lang w:val="fr-CA" w:eastAsia="en-CA"/>
        </w:rPr>
        <w:pict>
          <v:rect id="_x0000_i1121" style="width:2in;height:1pt" o:hrpct="0" o:hralign="center" o:hrstd="t" o:hrnoshade="t" o:hr="t" fillcolor="black [3213]" stroked="f"/>
        </w:pic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Default="00BC01A8">
      <w:pPr>
        <w:rPr>
          <w:rFonts w:eastAsia="Times New Roman" w:cs="Times New Roman"/>
          <w:sz w:val="20"/>
          <w:szCs w:val="20"/>
          <w:lang w:eastAsia="en-CA"/>
        </w:rPr>
      </w:pPr>
      <w:r>
        <w:rPr>
          <w:rFonts w:eastAsia="Times New Roman" w:cs="Times New Roman"/>
          <w:sz w:val="20"/>
          <w:szCs w:val="20"/>
          <w:lang w:eastAsia="en-CA"/>
        </w:rPr>
        <w:br w:type="page"/>
      </w:r>
    </w:p>
    <w:p w:rsidR="00BC01A8" w:rsidRPr="00BC01A8" w:rsidRDefault="00BC01A8" w:rsidP="00BC01A8">
      <w:pPr>
        <w:tabs>
          <w:tab w:val="left" w:pos="-1440"/>
          <w:tab w:val="left" w:pos="-720"/>
        </w:tabs>
        <w:jc w:val="both"/>
        <w:rPr>
          <w:rFonts w:eastAsia="Times New Roman" w:cs="Times New Roman"/>
          <w:sz w:val="20"/>
          <w:szCs w:val="20"/>
          <w:lang w:eastAsia="en-CA"/>
        </w:rPr>
      </w:pPr>
      <w:r w:rsidRPr="00BC01A8">
        <w:rPr>
          <w:rFonts w:eastAsia="Times New Roman" w:cs="Times New Roman"/>
          <w:sz w:val="20"/>
          <w:szCs w:val="20"/>
          <w:lang w:eastAsia="en-CA"/>
        </w:rPr>
        <w:lastRenderedPageBreak/>
        <w:t>29.07.2013</w: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r w:rsidRPr="00BC01A8">
        <w:rPr>
          <w:rFonts w:eastAsia="Times New Roman" w:cs="Times New Roman"/>
          <w:sz w:val="20"/>
          <w:szCs w:val="20"/>
          <w:lang w:eastAsia="en-CA"/>
        </w:rPr>
        <w:t xml:space="preserve">Before / </w:t>
      </w:r>
      <w:proofErr w:type="gramStart"/>
      <w:r w:rsidRPr="00BC01A8">
        <w:rPr>
          <w:rFonts w:eastAsia="Times New Roman" w:cs="Times New Roman"/>
          <w:sz w:val="20"/>
          <w:szCs w:val="20"/>
          <w:lang w:eastAsia="en-CA"/>
        </w:rPr>
        <w:t>Devant :</w:t>
      </w:r>
      <w:proofErr w:type="gramEnd"/>
      <w:r w:rsidRPr="00BC01A8">
        <w:rPr>
          <w:rFonts w:eastAsia="Times New Roman" w:cs="Times New Roman"/>
          <w:sz w:val="20"/>
          <w:szCs w:val="20"/>
          <w:lang w:eastAsia="en-CA"/>
        </w:rPr>
        <w:t xml:space="preserve">   </w:t>
      </w:r>
      <w:r w:rsidRPr="00BC01A8">
        <w:rPr>
          <w:rFonts w:eastAsia="Times New Roman" w:cs="Times New Roman"/>
          <w:sz w:val="20"/>
          <w:szCs w:val="20"/>
          <w:lang w:val="fr-CA" w:eastAsia="en-CA"/>
        </w:rPr>
        <w:t>THE DEPUTY REGISTRAR / LA REGISTRAIRE ADJOINTE</w:t>
      </w:r>
    </w:p>
    <w:p w:rsidR="00BC01A8" w:rsidRPr="00BC01A8" w:rsidRDefault="00BC01A8" w:rsidP="00BC01A8">
      <w:pPr>
        <w:tabs>
          <w:tab w:val="left" w:pos="-1440"/>
          <w:tab w:val="left" w:pos="-720"/>
        </w:tabs>
        <w:jc w:val="both"/>
        <w:rPr>
          <w:rFonts w:eastAsia="Times New Roman" w:cs="Times New Roman"/>
          <w:sz w:val="20"/>
          <w:szCs w:val="20"/>
          <w:lang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C01A8" w:rsidRPr="00B86261" w:rsidTr="00BC01A8">
        <w:tc>
          <w:tcPr>
            <w:tcW w:w="4338" w:type="dxa"/>
          </w:tcPr>
          <w:p w:rsidR="00BC01A8" w:rsidRPr="00BC01A8" w:rsidRDefault="005F2BA7" w:rsidP="00BC01A8">
            <w:pPr>
              <w:tabs>
                <w:tab w:val="left" w:pos="-1440"/>
                <w:tab w:val="left" w:pos="-720"/>
              </w:tabs>
              <w:jc w:val="both"/>
            </w:pPr>
            <w:r w:rsidRPr="00BC01A8">
              <w:rPr>
                <w:lang w:val="en-US"/>
              </w:rPr>
              <w:fldChar w:fldCharType="begin"/>
            </w:r>
            <w:r w:rsidR="00BC01A8" w:rsidRPr="00BC01A8">
              <w:rPr>
                <w:lang w:val="en-US"/>
              </w:rPr>
              <w:instrText xml:space="preserve"> SEQ CHAPTER \h \r 1</w:instrText>
            </w:r>
            <w:r w:rsidRPr="00BC01A8">
              <w:rPr>
                <w:lang w:val="en-US"/>
              </w:rPr>
              <w:fldChar w:fldCharType="end"/>
            </w:r>
            <w:r w:rsidRPr="00BC01A8">
              <w:rPr>
                <w:lang w:val="en-US"/>
              </w:rPr>
              <w:fldChar w:fldCharType="begin"/>
            </w:r>
            <w:r w:rsidR="00BC01A8" w:rsidRPr="00BC01A8">
              <w:rPr>
                <w:lang w:val="en-US"/>
              </w:rPr>
              <w:instrText xml:space="preserve"> SEQ CHAPTER \h \r 1</w:instrText>
            </w:r>
            <w:r w:rsidRPr="00BC01A8">
              <w:rPr>
                <w:lang w:val="en-US"/>
              </w:rPr>
              <w:fldChar w:fldCharType="end"/>
            </w:r>
            <w:r w:rsidR="00BC01A8" w:rsidRPr="00BC01A8">
              <w:rPr>
                <w:b/>
                <w:bCs/>
                <w:lang w:val="en-US"/>
              </w:rPr>
              <w:t xml:space="preserve">Motion to extend the time to serve and file the factum and </w:t>
            </w:r>
            <w:r w:rsidRPr="00BC01A8">
              <w:rPr>
                <w:lang w:val="en-US"/>
              </w:rPr>
              <w:fldChar w:fldCharType="begin"/>
            </w:r>
            <w:r w:rsidR="00BC01A8" w:rsidRPr="00BC01A8">
              <w:rPr>
                <w:lang w:val="en-US"/>
              </w:rPr>
              <w:instrText xml:space="preserve"> SEQ CHAPTER \h \r 1</w:instrText>
            </w:r>
            <w:r w:rsidRPr="00BC01A8">
              <w:rPr>
                <w:lang w:val="en-US"/>
              </w:rPr>
              <w:fldChar w:fldCharType="end"/>
            </w:r>
            <w:r w:rsidR="00BC01A8" w:rsidRPr="00BC01A8">
              <w:rPr>
                <w:b/>
                <w:bCs/>
                <w:lang w:val="en-US"/>
              </w:rPr>
              <w:t xml:space="preserve">book of authorities of the </w:t>
            </w:r>
            <w:r w:rsidR="00BC01A8" w:rsidRPr="00BC01A8">
              <w:rPr>
                <w:b/>
                <w:bCs/>
                <w:i/>
                <w:iCs/>
                <w:lang w:val="en-US"/>
              </w:rPr>
              <w:t>amicus curiae</w:t>
            </w:r>
            <w:r w:rsidR="00BC01A8" w:rsidRPr="00BC01A8">
              <w:rPr>
                <w:b/>
                <w:bCs/>
                <w:lang w:val="en-US"/>
              </w:rPr>
              <w:t xml:space="preserve"> to September 6, 2013 </w:t>
            </w:r>
          </w:p>
        </w:tc>
        <w:tc>
          <w:tcPr>
            <w:tcW w:w="1170" w:type="dxa"/>
          </w:tcPr>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tc>
        <w:tc>
          <w:tcPr>
            <w:tcW w:w="4327" w:type="dxa"/>
          </w:tcPr>
          <w:p w:rsidR="00BC01A8" w:rsidRPr="00BC01A8" w:rsidRDefault="005F2BA7" w:rsidP="00BC01A8">
            <w:pPr>
              <w:tabs>
                <w:tab w:val="left" w:pos="-1440"/>
                <w:tab w:val="left" w:pos="-720"/>
              </w:tabs>
              <w:jc w:val="both"/>
              <w:rPr>
                <w:lang w:val="fr-CA"/>
              </w:rPr>
            </w:pPr>
            <w:r w:rsidRPr="00BC01A8">
              <w:rPr>
                <w:lang w:val="en-US"/>
              </w:rPr>
              <w:fldChar w:fldCharType="begin"/>
            </w:r>
            <w:r w:rsidR="00BC01A8" w:rsidRPr="00BC01A8">
              <w:rPr>
                <w:lang w:val="fr-CA"/>
              </w:rPr>
              <w:instrText xml:space="preserve"> SEQ CHAPTER \h \r 1</w:instrText>
            </w:r>
            <w:r w:rsidRPr="00BC01A8">
              <w:rPr>
                <w:lang w:val="en-US"/>
              </w:rPr>
              <w:fldChar w:fldCharType="end"/>
            </w:r>
            <w:r w:rsidR="00BC01A8" w:rsidRPr="00BC01A8">
              <w:rPr>
                <w:b/>
                <w:bCs/>
                <w:lang w:val="fr-CA"/>
              </w:rPr>
              <w:t xml:space="preserve">Requête en prorogation du délai de signification et de dépôt </w:t>
            </w:r>
            <w:proofErr w:type="gramStart"/>
            <w:r w:rsidR="00BC01A8" w:rsidRPr="00BC01A8">
              <w:rPr>
                <w:b/>
                <w:bCs/>
                <w:lang w:val="fr-CA"/>
              </w:rPr>
              <w:t>des mémoire</w:t>
            </w:r>
            <w:proofErr w:type="gramEnd"/>
            <w:r w:rsidR="00BC01A8" w:rsidRPr="00BC01A8">
              <w:rPr>
                <w:b/>
                <w:bCs/>
                <w:lang w:val="fr-CA"/>
              </w:rPr>
              <w:t xml:space="preserve"> et recueil de sources de l’</w:t>
            </w:r>
            <w:r w:rsidR="00BC01A8" w:rsidRPr="00BC01A8">
              <w:rPr>
                <w:b/>
                <w:bCs/>
                <w:i/>
                <w:lang w:val="fr-CA"/>
              </w:rPr>
              <w:t>amicus curiae</w:t>
            </w:r>
            <w:r w:rsidR="00BC01A8" w:rsidRPr="00BC01A8">
              <w:rPr>
                <w:b/>
                <w:bCs/>
                <w:lang w:val="fr-CA"/>
              </w:rPr>
              <w:t xml:space="preserve"> jusqu'au 6 septembre 2013</w:t>
            </w:r>
          </w:p>
        </w:tc>
      </w:tr>
      <w:tr w:rsidR="00BC01A8" w:rsidRPr="00BC01A8" w:rsidTr="00BC01A8">
        <w:tc>
          <w:tcPr>
            <w:tcW w:w="4338" w:type="dxa"/>
          </w:tcPr>
          <w:p w:rsidR="00BC01A8" w:rsidRPr="00BC01A8" w:rsidRDefault="00BC01A8" w:rsidP="00BC01A8">
            <w:pPr>
              <w:tabs>
                <w:tab w:val="left" w:pos="-1440"/>
                <w:tab w:val="left" w:pos="-720"/>
              </w:tabs>
              <w:jc w:val="both"/>
            </w:pPr>
            <w:r w:rsidRPr="00BC01A8">
              <w:t>Her Majesty the Queen</w:t>
            </w: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r w:rsidRPr="00BC01A8">
              <w:tab/>
              <w:t>v. (35049)</w:t>
            </w: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rPr>
                <w:lang w:val="fr-CA"/>
              </w:rPr>
            </w:pPr>
            <w:r w:rsidRPr="00BC01A8">
              <w:t xml:space="preserve">Nelson Lloyd Hart (Crim.) </w:t>
            </w:r>
            <w:r w:rsidRPr="00BC01A8">
              <w:rPr>
                <w:lang w:val="fr-CA"/>
              </w:rPr>
              <w:t>(N.L.)</w:t>
            </w:r>
          </w:p>
        </w:tc>
        <w:tc>
          <w:tcPr>
            <w:tcW w:w="1170" w:type="dxa"/>
          </w:tcPr>
          <w:p w:rsidR="00BC01A8" w:rsidRPr="00BC01A8" w:rsidRDefault="00BC01A8" w:rsidP="00BC01A8">
            <w:pPr>
              <w:tabs>
                <w:tab w:val="left" w:pos="-1440"/>
                <w:tab w:val="left" w:pos="-720"/>
              </w:tabs>
              <w:jc w:val="both"/>
              <w:rPr>
                <w:lang w:val="fr-CA"/>
              </w:rPr>
            </w:pPr>
          </w:p>
        </w:tc>
        <w:tc>
          <w:tcPr>
            <w:tcW w:w="4327" w:type="dxa"/>
          </w:tcPr>
          <w:p w:rsidR="00BC01A8" w:rsidRPr="00BC01A8" w:rsidRDefault="00BC01A8" w:rsidP="00BC01A8">
            <w:pPr>
              <w:tabs>
                <w:tab w:val="left" w:pos="-1440"/>
                <w:tab w:val="left" w:pos="-720"/>
              </w:tabs>
              <w:jc w:val="both"/>
              <w:rPr>
                <w:lang w:val="fr-CA"/>
              </w:rPr>
            </w:pPr>
          </w:p>
        </w:tc>
      </w:tr>
    </w:tbl>
    <w:p w:rsidR="00BC01A8" w:rsidRPr="00BC01A8" w:rsidRDefault="00BC01A8" w:rsidP="00BC01A8">
      <w:pPr>
        <w:tabs>
          <w:tab w:val="left" w:pos="-1440"/>
          <w:tab w:val="left" w:pos="-720"/>
        </w:tabs>
        <w:jc w:val="both"/>
        <w:rPr>
          <w:rFonts w:eastAsia="Times New Roman" w:cs="Times New Roman"/>
          <w:b/>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r w:rsidRPr="00BC01A8">
        <w:rPr>
          <w:rFonts w:eastAsia="Times New Roman" w:cs="Times New Roman"/>
          <w:b/>
          <w:sz w:val="20"/>
          <w:szCs w:val="20"/>
          <w:lang w:eastAsia="en-CA"/>
        </w:rPr>
        <w:t>GRANTED / ACCORDÉE</w: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spacing w:line="-19" w:lineRule="auto"/>
        <w:jc w:val="both"/>
        <w:rPr>
          <w:rFonts w:eastAsia="Times New Roman" w:cs="Times New Roman"/>
          <w:sz w:val="20"/>
          <w:szCs w:val="20"/>
          <w:lang w:val="fr-CA" w:eastAsia="en-CA"/>
        </w:rPr>
      </w:pPr>
    </w:p>
    <w:p w:rsidR="00BC01A8" w:rsidRPr="00BC01A8" w:rsidRDefault="005F2BA7" w:rsidP="00BC01A8">
      <w:pPr>
        <w:tabs>
          <w:tab w:val="left" w:pos="-1440"/>
          <w:tab w:val="left" w:pos="-720"/>
        </w:tabs>
        <w:jc w:val="both"/>
        <w:rPr>
          <w:rFonts w:eastAsia="Times New Roman" w:cs="Times New Roman"/>
          <w:sz w:val="20"/>
          <w:szCs w:val="20"/>
          <w:lang w:eastAsia="en-CA"/>
        </w:rPr>
      </w:pPr>
      <w:r w:rsidRPr="005F2BA7">
        <w:rPr>
          <w:rFonts w:eastAsia="Times New Roman" w:cs="Times New Roman"/>
          <w:sz w:val="20"/>
          <w:szCs w:val="20"/>
          <w:lang w:val="fr-CA" w:eastAsia="en-CA"/>
        </w:rPr>
        <w:pict>
          <v:rect id="_x0000_i1122" style="width:2in;height:1pt" o:hrpct="0" o:hralign="center" o:hrstd="t" o:hrnoshade="t" o:hr="t" fillcolor="black [3213]" stroked="f"/>
        </w:pic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30.07.2013  REVISED / RÉVISÉE 06.08.2013</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Before / Devant :   LEBEL J. / LE JUGE LEBEL</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C01A8" w:rsidRPr="007C5A5B" w:rsidTr="00BC01A8">
        <w:tc>
          <w:tcPr>
            <w:tcW w:w="4338" w:type="dxa"/>
            <w:gridSpan w:val="2"/>
          </w:tcPr>
          <w:p w:rsidR="00BC01A8" w:rsidRPr="00BC01A8" w:rsidRDefault="00BC01A8" w:rsidP="00BC01A8">
            <w:pPr>
              <w:rPr>
                <w:b/>
              </w:rPr>
            </w:pPr>
            <w:r w:rsidRPr="00BC01A8">
              <w:rPr>
                <w:b/>
                <w:bCs/>
                <w:lang w:val="en-GB"/>
              </w:rPr>
              <w:t>Motion for an extension of time and for leave to intervene</w:t>
            </w:r>
            <w:r w:rsidRPr="00BC01A8">
              <w:rPr>
                <w:lang w:val="en-US"/>
              </w:rPr>
              <w:t xml:space="preserve"> </w:t>
            </w:r>
            <w:r w:rsidR="005F2BA7" w:rsidRPr="00BC01A8">
              <w:rPr>
                <w:lang w:val="en-US"/>
              </w:rPr>
              <w:fldChar w:fldCharType="begin"/>
            </w:r>
            <w:r w:rsidRPr="00BC01A8">
              <w:instrText xml:space="preserve"> SEQ CHAPTER \h \r 1</w:instrText>
            </w:r>
            <w:r w:rsidR="005F2BA7" w:rsidRPr="00BC01A8">
              <w:rPr>
                <w:lang w:val="en-US"/>
              </w:rPr>
              <w:fldChar w:fldCharType="end"/>
            </w:r>
          </w:p>
        </w:tc>
        <w:tc>
          <w:tcPr>
            <w:tcW w:w="1170" w:type="dxa"/>
          </w:tcPr>
          <w:p w:rsidR="00BC01A8" w:rsidRPr="00BC01A8" w:rsidRDefault="00BC01A8" w:rsidP="00BC01A8"/>
          <w:p w:rsidR="00BC01A8" w:rsidRPr="00BC01A8" w:rsidRDefault="00BC01A8" w:rsidP="00BC01A8"/>
          <w:p w:rsidR="00BC01A8" w:rsidRPr="00BC01A8" w:rsidRDefault="00BC01A8" w:rsidP="00BC01A8"/>
        </w:tc>
        <w:tc>
          <w:tcPr>
            <w:tcW w:w="4327" w:type="dxa"/>
          </w:tcPr>
          <w:p w:rsidR="00BC01A8" w:rsidRPr="00BC01A8" w:rsidRDefault="00BC01A8" w:rsidP="00BC01A8">
            <w:pPr>
              <w:jc w:val="both"/>
              <w:rPr>
                <w:b/>
                <w:lang w:val="fr-CA"/>
              </w:rPr>
            </w:pPr>
            <w:r w:rsidRPr="00BC01A8">
              <w:rPr>
                <w:b/>
                <w:bCs/>
                <w:lang w:val="fr-CA"/>
              </w:rPr>
              <w:t>Requête en prorogation de délai et en autorisation d’intervenir</w:t>
            </w:r>
            <w:r w:rsidRPr="00BC01A8">
              <w:rPr>
                <w:lang w:val="fr-CA"/>
              </w:rPr>
              <w:t xml:space="preserve"> </w:t>
            </w:r>
            <w:r w:rsidR="005F2BA7" w:rsidRPr="00BC01A8">
              <w:rPr>
                <w:lang w:val="en-US"/>
              </w:rPr>
              <w:fldChar w:fldCharType="begin"/>
            </w:r>
            <w:r w:rsidRPr="00BC01A8">
              <w:rPr>
                <w:lang w:val="fr-CA"/>
              </w:rPr>
              <w:instrText xml:space="preserve"> SEQ CHAPTER \h \r 1</w:instrText>
            </w:r>
            <w:r w:rsidR="005F2BA7" w:rsidRPr="00BC01A8">
              <w:rPr>
                <w:lang w:val="en-US"/>
              </w:rPr>
              <w:fldChar w:fldCharType="end"/>
            </w:r>
          </w:p>
        </w:tc>
      </w:tr>
      <w:tr w:rsidR="00BC01A8" w:rsidRPr="00BC01A8" w:rsidTr="00BC01A8">
        <w:tc>
          <w:tcPr>
            <w:tcW w:w="1368" w:type="dxa"/>
          </w:tcPr>
          <w:p w:rsidR="00BC01A8" w:rsidRPr="00BC01A8" w:rsidRDefault="00BC01A8" w:rsidP="00BC01A8">
            <w:r w:rsidRPr="00BC01A8">
              <w:t>BY / PAR</w:t>
            </w:r>
          </w:p>
        </w:tc>
        <w:tc>
          <w:tcPr>
            <w:tcW w:w="2970" w:type="dxa"/>
          </w:tcPr>
          <w:p w:rsidR="00BC01A8" w:rsidRPr="00BC01A8" w:rsidRDefault="00BC01A8" w:rsidP="00BC01A8">
            <w:pPr>
              <w:rPr>
                <w:lang w:val="fr-CA"/>
              </w:rPr>
            </w:pPr>
            <w:r w:rsidRPr="00BC01A8">
              <w:rPr>
                <w:lang w:val="en-US"/>
              </w:rPr>
              <w:t>Te’exw Treaty Association</w:t>
            </w:r>
            <w:r w:rsidRPr="00BC01A8">
              <w:rPr>
                <w:lang w:val="fr-CA"/>
              </w:rPr>
              <w:t>;</w:t>
            </w:r>
          </w:p>
        </w:tc>
        <w:tc>
          <w:tcPr>
            <w:tcW w:w="1170" w:type="dxa"/>
          </w:tcPr>
          <w:p w:rsidR="00BC01A8" w:rsidRPr="00BC01A8" w:rsidRDefault="00BC01A8" w:rsidP="00BC01A8">
            <w:pPr>
              <w:rPr>
                <w:lang w:val="fr-CA"/>
              </w:rPr>
            </w:pPr>
          </w:p>
        </w:tc>
        <w:tc>
          <w:tcPr>
            <w:tcW w:w="4327" w:type="dxa"/>
          </w:tcPr>
          <w:p w:rsidR="00BC01A8" w:rsidRPr="00BC01A8" w:rsidRDefault="00BC01A8" w:rsidP="00BC01A8">
            <w:pPr>
              <w:rPr>
                <w:lang w:val="fr-CA"/>
              </w:rPr>
            </w:pPr>
          </w:p>
        </w:tc>
      </w:tr>
      <w:tr w:rsidR="00BC01A8" w:rsidRPr="00BC01A8" w:rsidTr="00BC01A8">
        <w:tc>
          <w:tcPr>
            <w:tcW w:w="1368" w:type="dxa"/>
          </w:tcPr>
          <w:p w:rsidR="00BC01A8" w:rsidRPr="00BC01A8" w:rsidRDefault="00BC01A8" w:rsidP="00BC01A8">
            <w:pPr>
              <w:rPr>
                <w:lang w:val="fr-CA"/>
              </w:rPr>
            </w:pPr>
          </w:p>
        </w:tc>
        <w:tc>
          <w:tcPr>
            <w:tcW w:w="2970" w:type="dxa"/>
          </w:tcPr>
          <w:p w:rsidR="00BC01A8" w:rsidRPr="00BC01A8" w:rsidRDefault="00BC01A8" w:rsidP="00BC01A8">
            <w:pPr>
              <w:rPr>
                <w:lang w:val="en-US"/>
              </w:rPr>
            </w:pPr>
            <w:r w:rsidRPr="00BC01A8">
              <w:rPr>
                <w:lang w:val="en-US"/>
              </w:rPr>
              <w:t>Business Council of British Columbia, Council of Forest Industries, Coast Forest Products Association, Mining Association of British Columbia and Association for Mineral Exploration British Columbia;</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Chippewas of Nawash Unceded First Nation, Saugeen First Nation, Walpole Island First Nation and United Chiefs and Councils of Mnidoo Mnising;</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Assembly of First Nations;</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Gitanyow Hereditary Chiefs of Gwass Hlaam, Gamlaxyeltxw, Malii, Gwinuu, Haizimsque, Watakhayetsxw, Luuxhon and Wii’litswx, on their own behalf and on behalf all Gitanyow;</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Hul’qumi’num Treaty Group;</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Council of the Haida Nation</w:t>
            </w:r>
            <w:r w:rsidRPr="00BC01A8">
              <w:t>;</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Grand Council Treaty #3</w:t>
            </w:r>
            <w:r w:rsidRPr="00BC01A8">
              <w:t>;</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Office of the Wet’suwet’en Chiefs</w:t>
            </w:r>
            <w:r w:rsidRPr="00BC01A8">
              <w:t>;</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Indigenous Bar Association in Canada</w:t>
            </w:r>
            <w:r w:rsidRPr="00BC01A8">
              <w:t>;</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Stó:lō Nation Chiefs Council;</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First Nations Summit;</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Tsawout First Nation, Tsartlip First Nation, Snuneymuxw First Nation and Kwakiutl First Nation;</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Coalition of the Union of B.C. Indian Chiefs;</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Okanagan Nation Alliance and the Shuswap Nation Tribal Council and their member communities, the Okanagan, Adams Lake, Neskonlith and Splatsin Indian Bands;</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Amnesty International and Canadian Friends Service Committee;</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Leslie Cameron on his own behalf and on behalf of all other members of Wabauskang First Nation;</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Bernard Conrad Lewis, on his own behalf and on behalf of all other members of the Gitxaala Nation;</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Chilko Resorts and Community Association and Council of Canadians</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r w:rsidRPr="00BC01A8">
              <w:t>IN / DANS :</w:t>
            </w:r>
          </w:p>
        </w:tc>
        <w:tc>
          <w:tcPr>
            <w:tcW w:w="2970" w:type="dxa"/>
          </w:tcPr>
          <w:p w:rsidR="00BC01A8" w:rsidRPr="00BC01A8" w:rsidRDefault="00BC01A8" w:rsidP="00BC01A8">
            <w:r w:rsidRPr="00BC01A8">
              <w:t>Roger William, on his own behalf and on behalf of all other members of the Xeni Gwet’in First Nations Government and on behalf of all other members of the Tsilhqot’in Nation</w:t>
            </w:r>
          </w:p>
          <w:p w:rsidR="00BC01A8" w:rsidRPr="00BC01A8" w:rsidRDefault="00BC01A8" w:rsidP="00BC01A8"/>
          <w:p w:rsidR="00BC01A8" w:rsidRPr="00BC01A8" w:rsidRDefault="00BC01A8" w:rsidP="00BC01A8">
            <w:r w:rsidRPr="00BC01A8">
              <w:tab/>
              <w:t>v. (34986)</w:t>
            </w:r>
          </w:p>
          <w:p w:rsidR="00BC01A8" w:rsidRPr="00BC01A8" w:rsidRDefault="00BC01A8" w:rsidP="00BC01A8"/>
          <w:p w:rsidR="00BC01A8" w:rsidRPr="00BC01A8" w:rsidRDefault="00BC01A8" w:rsidP="00BC01A8">
            <w:r w:rsidRPr="00BC01A8">
              <w:t>Her Majesty the Queen in Right of the Province of British Columbia and the Regional Manager of the Cariboo Forest Region et al. (Ont.)</w:t>
            </w:r>
          </w:p>
        </w:tc>
        <w:tc>
          <w:tcPr>
            <w:tcW w:w="1170" w:type="dxa"/>
          </w:tcPr>
          <w:p w:rsidR="00BC01A8" w:rsidRPr="00BC01A8" w:rsidRDefault="00BC01A8" w:rsidP="00BC01A8"/>
        </w:tc>
        <w:tc>
          <w:tcPr>
            <w:tcW w:w="4327" w:type="dxa"/>
          </w:tcPr>
          <w:p w:rsidR="00BC01A8" w:rsidRPr="00BC01A8" w:rsidRDefault="00BC01A8" w:rsidP="00BC01A8"/>
        </w:tc>
      </w:tr>
    </w:tbl>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b/>
          <w:sz w:val="20"/>
          <w:szCs w:val="20"/>
          <w:lang w:val="fr-CA" w:eastAsia="en-CA"/>
        </w:rPr>
        <w:t>GRANTED IN PART / ACCORDÉE EN PARTIE</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r w:rsidRPr="00BC01A8">
        <w:rPr>
          <w:rFonts w:eastAsiaTheme="minorEastAsia" w:cs="Times New Roman"/>
          <w:b/>
          <w:bCs/>
          <w:sz w:val="20"/>
          <w:szCs w:val="20"/>
          <w:lang w:val="en-US"/>
        </w:rPr>
        <w:t xml:space="preserve">UPON APPLICATIONS </w:t>
      </w:r>
      <w:r w:rsidRPr="00BC01A8">
        <w:rPr>
          <w:rFonts w:eastAsiaTheme="minorEastAsia" w:cs="Times New Roman"/>
          <w:sz w:val="20"/>
          <w:szCs w:val="20"/>
          <w:lang w:val="en-US"/>
        </w:rPr>
        <w:t>by the Te’mexw Treaty Association, the Business Council of British Columbia, Council of Forest Industries, Coast Forest Products Association, Mining Association of British Columbia and Association for Mineral Exploration British Columbia, the Chippewas of Nawash Unceded First Nation, Saugeen First Nation, Walpole Island First Nation and United Chiefs and Councils of Mnidoo Mnising, the Assembly of First Nations, the Gitanyow Hereditary Chiefs of Gwass Hlaam, Gamlaxyeltxw, Malii, Gwinuu, Haizimsque, Watakhayetsxw, Luuxhon and Wii’litswx, on their own behalf and on behalf all Gitanyow, the Hul’qumi’num Treaty Group, the Council of the Haida Nation, the Grand Council Treaty #3, the Office of the Wet’suwet’en Chiefs, the Indigenous Bar Association in Canada, the Stó:lō Nation Chiefs Council, the First Nations Summit, the Tsawout First Nation, Tsartlip First Nation, Snuneymuxw First Nation and Kwakiutl First Nation, the Coalition of the Union of B.C. Indian Chiefs, the Okanagan Nation Alliance and the Shuswap Nation Tribal Council and their member communities, the Okanagan, Adams Lake, Neskonlith and Splatsin Indian Bands, Amnesty International and Canadian Friends Service Committee, Leslie Cameron on his own behalf and on behalf of all other members of Wabauskang First Nation, Bernard Conrad Lewis, on his own behalf and on behalf of all other members of the Gitxaala Nation and the Chilko Resorts and Community Association and Council of Canadians for leave to intervene in the above appeal;</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r w:rsidRPr="00BC01A8">
        <w:rPr>
          <w:rFonts w:eastAsiaTheme="minorEastAsia" w:cs="Times New Roman"/>
          <w:b/>
          <w:bCs/>
          <w:sz w:val="20"/>
          <w:szCs w:val="20"/>
          <w:lang w:val="en-US"/>
        </w:rPr>
        <w:t>AND THE MATERIAL FILED</w:t>
      </w:r>
      <w:r w:rsidRPr="00BC01A8">
        <w:rPr>
          <w:rFonts w:eastAsiaTheme="minorEastAsia" w:cs="Times New Roman"/>
          <w:sz w:val="20"/>
          <w:szCs w:val="20"/>
          <w:lang w:val="en-US"/>
        </w:rPr>
        <w:t xml:space="preserve"> having been read;</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r w:rsidRPr="00BC01A8">
        <w:rPr>
          <w:rFonts w:eastAsiaTheme="minorEastAsia" w:cs="Times New Roman"/>
          <w:b/>
          <w:bCs/>
          <w:sz w:val="20"/>
          <w:szCs w:val="20"/>
          <w:lang w:val="en-US"/>
        </w:rPr>
        <w:t>IT IS HEREBY ORDERED THAT:</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r w:rsidRPr="00BC01A8">
        <w:rPr>
          <w:rFonts w:eastAsiaTheme="minorEastAsia" w:cs="Times New Roman"/>
          <w:sz w:val="20"/>
          <w:szCs w:val="20"/>
          <w:lang w:val="en-US"/>
        </w:rPr>
        <w:t xml:space="preserve">The motions for leave to intervene of the Te’mexw Treaty Association, the Business Council of British Columbia, Council of Forest Industries, Coast Forest Products Association, Mining Association of British Columbia and Association for Mineral Exploration British Columbia, the Assembly of First Nations, the Gitanyow Hereditary Chiefs of Gwass Hlaam, Gamlaxyeltxw, Malii, Gwinuu, Haizimsque, Watakhayetsxw, Luuxhon and Wii’litswx, on their own behalf and on behalf all Gitanyow, the Hul’qumi'num Treaty Group, the Council of the Haida Nation, the Office of the Wet’uwet’en Chiefs, the Indigenous Bar Association in Canada, the First Nations Summit, the Tsawout First Nation, Tsartlip First Nation, Snuneymuxw First Nation and Kwakiutl First Nation, the Coalition of the Union of B.C. Indian Chiefs, the Okanagan Nation Alliance and the Shuswap Nation Tribal Council and their member communities, the Okanagan, Adams Lake, Neskonlith and Splatsin Indian Bands, Amnesty International and Canadian Friends Service Committee, Bernard Conrad Lewis, on his own behalf and on behalf of all other members of the Gitxaala Nation and the Chilko Resorts and Community Association and Council of Canadians </w:t>
      </w:r>
      <w:r w:rsidRPr="00BC01A8">
        <w:rPr>
          <w:rFonts w:eastAsiaTheme="minorEastAsia" w:cs="Times New Roman"/>
          <w:sz w:val="20"/>
          <w:szCs w:val="20"/>
        </w:rPr>
        <w:t xml:space="preserve">are </w:t>
      </w:r>
      <w:r w:rsidRPr="00BC01A8">
        <w:rPr>
          <w:rFonts w:eastAsiaTheme="minorEastAsia" w:cs="Times New Roman"/>
          <w:sz w:val="20"/>
          <w:szCs w:val="20"/>
          <w:lang w:val="en-US"/>
        </w:rPr>
        <w:t>granted and the said fourteen groups of interveners shall be entitled to each serve and file a single factum not to exceed 10 pages in length on or before September 24, 2013.</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r w:rsidRPr="00BC01A8">
        <w:rPr>
          <w:rFonts w:eastAsiaTheme="minorEastAsia" w:cs="Times New Roman"/>
          <w:b/>
          <w:bCs/>
          <w:sz w:val="20"/>
          <w:szCs w:val="20"/>
          <w:lang w:val="en-US"/>
        </w:rPr>
        <w:t>AND IT IS HEREBY FURTHER ORDERED THAT:</w:t>
      </w:r>
      <w:r w:rsidRPr="00BC01A8">
        <w:rPr>
          <w:rFonts w:eastAsiaTheme="minorEastAsia" w:cs="Times New Roman"/>
          <w:sz w:val="20"/>
          <w:szCs w:val="20"/>
          <w:lang w:val="en-US"/>
        </w:rPr>
        <w:t xml:space="preserve"> the motions for leave to intervene of the Chippewas of Nawash Unceded First Nation, Saugeen First Nation, Walpole Island First Nation and United Chiefs and Councils of Mnidoo Mnising, the Grand Council Treaty #3, the Stó</w:t>
      </w:r>
      <w:proofErr w:type="gramStart"/>
      <w:r w:rsidRPr="00BC01A8">
        <w:rPr>
          <w:rFonts w:eastAsiaTheme="minorEastAsia" w:cs="Times New Roman"/>
          <w:sz w:val="20"/>
          <w:szCs w:val="20"/>
          <w:lang w:val="en-US"/>
        </w:rPr>
        <w:t>:lō</w:t>
      </w:r>
      <w:proofErr w:type="gramEnd"/>
      <w:r w:rsidRPr="00BC01A8">
        <w:rPr>
          <w:rFonts w:eastAsiaTheme="minorEastAsia" w:cs="Times New Roman"/>
          <w:sz w:val="20"/>
          <w:szCs w:val="20"/>
          <w:lang w:val="en-US"/>
        </w:rPr>
        <w:t xml:space="preserve"> Nation Chiefs Council and Leslie Cameron on his own behalf and on behalf of all other members of Wabauskang First Nation are dismissed.</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r w:rsidRPr="00BC01A8">
        <w:rPr>
          <w:rFonts w:eastAsiaTheme="minorEastAsia" w:cs="Times New Roman"/>
          <w:sz w:val="20"/>
          <w:szCs w:val="20"/>
          <w:lang w:val="en-US"/>
        </w:rPr>
        <w:t xml:space="preserve">The motions of the Office of the Wet’suwet’en Chiefs, the Business Council of British Columbia, Council of Forest Industries, Coast Forest Products Association, Mining Association of British Columbia and Association for Mineral Exploration British Columbia and the Gitanyow Hereditary Chiefs of Gwass Hlaam, Gamlaxyeltxw, Malii, Gwinuu, Haizimsque, Watakhayetsxw, Luuxhon and Wii’litswx, on their own behalf and on behalf all Gitanyow </w:t>
      </w:r>
      <w:r w:rsidRPr="00BC01A8">
        <w:rPr>
          <w:rFonts w:eastAsiaTheme="minorEastAsia" w:cs="Times New Roman"/>
          <w:sz w:val="20"/>
          <w:szCs w:val="20"/>
        </w:rPr>
        <w:t>to file affidavit evidence on appeal or to otherwise rely on affidavit evidence currently appended to motions for leave to intervene</w:t>
      </w:r>
      <w:r w:rsidRPr="00BC01A8">
        <w:rPr>
          <w:rFonts w:eastAsiaTheme="minorEastAsia" w:cs="Times New Roman"/>
          <w:sz w:val="20"/>
          <w:szCs w:val="20"/>
          <w:lang w:val="en-US"/>
        </w:rPr>
        <w:t xml:space="preserve"> are dismissed.</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p>
    <w:p w:rsidR="00BC01A8" w:rsidRPr="00BC01A8" w:rsidRDefault="005F2BA7" w:rsidP="00BC01A8">
      <w:pPr>
        <w:widowControl w:val="0"/>
        <w:autoSpaceDE w:val="0"/>
        <w:autoSpaceDN w:val="0"/>
        <w:adjustRightInd w:val="0"/>
        <w:spacing w:line="233" w:lineRule="auto"/>
        <w:jc w:val="both"/>
        <w:rPr>
          <w:rFonts w:eastAsiaTheme="minorEastAsia" w:cs="Times New Roman"/>
          <w:sz w:val="20"/>
          <w:szCs w:val="20"/>
          <w:lang w:val="en-US"/>
        </w:rPr>
      </w:pPr>
      <w:r w:rsidRPr="00BC01A8">
        <w:rPr>
          <w:rFonts w:eastAsiaTheme="minorEastAsia" w:cs="Times New Roman"/>
          <w:sz w:val="20"/>
          <w:szCs w:val="20"/>
        </w:rPr>
        <w:fldChar w:fldCharType="begin"/>
      </w:r>
      <w:r w:rsidR="00BC01A8" w:rsidRPr="00BC01A8">
        <w:rPr>
          <w:rFonts w:eastAsiaTheme="minorEastAsia" w:cs="Times New Roman"/>
          <w:sz w:val="20"/>
          <w:szCs w:val="20"/>
        </w:rPr>
        <w:instrText xml:space="preserve"> SEQ CHAPTER \h \r 1</w:instrText>
      </w:r>
      <w:r w:rsidRPr="00BC01A8">
        <w:rPr>
          <w:rFonts w:eastAsiaTheme="minorEastAsia" w:cs="Times New Roman"/>
          <w:sz w:val="20"/>
          <w:szCs w:val="20"/>
        </w:rPr>
        <w:fldChar w:fldCharType="end"/>
      </w:r>
      <w:r w:rsidR="00BC01A8" w:rsidRPr="00BC01A8">
        <w:rPr>
          <w:rFonts w:eastAsiaTheme="minorEastAsia" w:cs="Times New Roman"/>
          <w:sz w:val="20"/>
          <w:szCs w:val="20"/>
          <w:lang w:val="en-US"/>
        </w:rPr>
        <w:t>The requests to present oral argument are deferred to a date following receipt and consideration of the written arguments of the parties and the interveners.</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r w:rsidRPr="00BC01A8">
        <w:rPr>
          <w:rFonts w:eastAsiaTheme="minorEastAsia" w:cs="Times New Roman"/>
          <w:sz w:val="20"/>
          <w:szCs w:val="20"/>
          <w:lang w:val="en-US"/>
        </w:rPr>
        <w:t>The interveners are not entitled to raise new issues or to adduce further evidence or otherwise to supplement the record of the parties.</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r w:rsidRPr="00BC01A8">
        <w:rPr>
          <w:rFonts w:eastAsiaTheme="minorEastAsia" w:cs="Times New Roman"/>
          <w:sz w:val="20"/>
          <w:szCs w:val="20"/>
          <w:lang w:val="en-US"/>
        </w:rPr>
        <w:t>To the extent that the interests are similar, interveners shall consult to avoid repetition.</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r w:rsidRPr="00BC01A8">
        <w:rPr>
          <w:rFonts w:eastAsiaTheme="minorEastAsia" w:cs="Times New Roman"/>
          <w:sz w:val="20"/>
          <w:szCs w:val="20"/>
          <w:lang w:val="en-US"/>
        </w:rPr>
        <w:t>Pursuant to Rule 59(1</w:t>
      </w:r>
      <w:proofErr w:type="gramStart"/>
      <w:r w:rsidRPr="00BC01A8">
        <w:rPr>
          <w:rFonts w:eastAsiaTheme="minorEastAsia" w:cs="Times New Roman"/>
          <w:sz w:val="20"/>
          <w:szCs w:val="20"/>
          <w:lang w:val="en-US"/>
        </w:rPr>
        <w:t>)(</w:t>
      </w:r>
      <w:proofErr w:type="gramEnd"/>
      <w:r w:rsidRPr="00BC01A8">
        <w:rPr>
          <w:rFonts w:eastAsiaTheme="minorEastAsia" w:cs="Times New Roman"/>
          <w:i/>
          <w:iCs/>
          <w:sz w:val="20"/>
          <w:szCs w:val="20"/>
          <w:lang w:val="en-US"/>
        </w:rPr>
        <w:t>a</w:t>
      </w:r>
      <w:r w:rsidRPr="00BC01A8">
        <w:rPr>
          <w:rFonts w:eastAsiaTheme="minorEastAsia" w:cs="Times New Roman"/>
          <w:sz w:val="20"/>
          <w:szCs w:val="20"/>
          <w:lang w:val="en-US"/>
        </w:rPr>
        <w:t xml:space="preserve">) of the </w:t>
      </w:r>
      <w:r w:rsidRPr="00BC01A8">
        <w:rPr>
          <w:rFonts w:eastAsiaTheme="minorEastAsia" w:cs="Times New Roman"/>
          <w:i/>
          <w:iCs/>
          <w:sz w:val="20"/>
          <w:szCs w:val="20"/>
          <w:lang w:val="en-US"/>
        </w:rPr>
        <w:t>Rules of the Supreme Court of Canada</w:t>
      </w:r>
      <w:r w:rsidRPr="00BC01A8">
        <w:rPr>
          <w:rFonts w:eastAsiaTheme="minorEastAsia" w:cs="Times New Roman"/>
          <w:sz w:val="20"/>
          <w:szCs w:val="20"/>
          <w:lang w:val="en-US"/>
        </w:rPr>
        <w:t xml:space="preserve">, the interveners shall pay to the appellant and respondents any additional disbursements occasioned to the appellant and respondents by their interventions. </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en-US"/>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b/>
          <w:bCs/>
          <w:sz w:val="20"/>
          <w:szCs w:val="20"/>
          <w:lang w:val="fr-CA"/>
        </w:rPr>
        <w:t xml:space="preserve">À LA SUITE DES DEMANDES </w:t>
      </w:r>
      <w:r w:rsidRPr="00BC01A8">
        <w:rPr>
          <w:rFonts w:eastAsiaTheme="minorEastAsia" w:cs="Times New Roman"/>
          <w:bCs/>
          <w:sz w:val="20"/>
          <w:szCs w:val="20"/>
          <w:lang w:val="fr-CA"/>
        </w:rPr>
        <w:t>d’autorisation d’intervenir dans l’appel présentées par</w:t>
      </w:r>
      <w:r w:rsidRPr="00BC01A8">
        <w:rPr>
          <w:rFonts w:eastAsiaTheme="minorEastAsia" w:cs="Times New Roman"/>
          <w:b/>
          <w:bCs/>
          <w:sz w:val="20"/>
          <w:szCs w:val="20"/>
          <w:lang w:val="fr-CA"/>
        </w:rPr>
        <w:t xml:space="preserve"> </w:t>
      </w:r>
      <w:r w:rsidRPr="00BC01A8">
        <w:rPr>
          <w:rFonts w:eastAsiaTheme="minorEastAsia" w:cs="Times New Roman"/>
          <w:bCs/>
          <w:sz w:val="20"/>
          <w:szCs w:val="20"/>
          <w:lang w:val="fr-CA"/>
        </w:rPr>
        <w:t xml:space="preserve">l’Association du traité des </w:t>
      </w:r>
      <w:r w:rsidRPr="00BC01A8">
        <w:rPr>
          <w:rFonts w:eastAsiaTheme="minorEastAsia" w:cs="Times New Roman"/>
          <w:sz w:val="20"/>
          <w:szCs w:val="20"/>
          <w:lang w:val="fr-CA"/>
        </w:rPr>
        <w:t>Te’mexw, le  Business Council of British Columbia, le Council of Forest Industries, la Coast Forest Products Association, la Mining Association of British Columbia et l’Association for Mineral Exploration British Columbia, la Première nation des Chippewas de Nawash Unceded, la Première nation Saugeen, la Première nation de Walpole Island et les United Chiefs and Councils of Mnidoo Mnising, l’Assemblée des Premières Nations, les Chefs héréditaires gitanyows de Gwass Hlaam, Gamlaxyeltxw, Malii, Gwinuu, Haizimsque, Watakhayetsxw, Luuxhon et Wii’litswx, en leur propre nom et au nom de tous les Gitanyows, le Groupe du Traité des Hul’qumi’num, le Council of the Haida Nation, le Grand Council of Treaty #3, l’Office of the Wet'suwet'en Chiefs, l’Association du Barreau Autochtone du Canada, le Stó:lō Nation Chiefs Council, le Sommet des Premières Nations, la Première nation de Tsawout, la Première nation de Tsartlip, la Première nation Snuneymuxw et la Première nation Kwakiutl, la Coalition of the Union of B.C. Indian Chiefs, la Okanagan Nation Alliance et le Shuswap Nation Tribal Council et les collectivités qui en font partie, les bandes indiennes d’Okanagan, d’Adams Lake et de Neskonlith et la bande indienne Splatsin, Amnistie Internationale et le Secours Quaker Canadien, Leslie Cameron en son propre nom et au nom de tous les autres membres de la Première nation de Wabauskang, Bernard Conrad Lewis en son propre nom et au nom de tous les autres membres de la Nation Gitxaala, la Chilko Resorts and Community Association et le Conseil des Canadiens;</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b/>
          <w:bCs/>
          <w:sz w:val="20"/>
          <w:szCs w:val="20"/>
          <w:lang w:val="fr-CA"/>
        </w:rPr>
        <w:t xml:space="preserve">ET APRÈS EXAMEN </w:t>
      </w:r>
      <w:r w:rsidRPr="00BC01A8">
        <w:rPr>
          <w:rFonts w:eastAsiaTheme="minorEastAsia" w:cs="Times New Roman"/>
          <w:bCs/>
          <w:sz w:val="20"/>
          <w:szCs w:val="20"/>
          <w:lang w:val="fr-CA"/>
        </w:rPr>
        <w:t>des documents déposés</w:t>
      </w:r>
      <w:r w:rsidRPr="00BC01A8">
        <w:rPr>
          <w:rFonts w:eastAsiaTheme="minorEastAsia" w:cs="Times New Roman"/>
          <w:sz w:val="20"/>
          <w:szCs w:val="20"/>
          <w:lang w:val="fr-CA"/>
        </w:rPr>
        <w:t>;</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b/>
          <w:bCs/>
          <w:sz w:val="20"/>
          <w:szCs w:val="20"/>
          <w:lang w:val="fr-CA"/>
        </w:rPr>
        <w:t>IL EST ORDONNÉ CE QUI SUIT :</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sz w:val="20"/>
          <w:szCs w:val="20"/>
          <w:lang w:val="fr-CA"/>
        </w:rPr>
        <w:t>Les requêtes en autorisation d’intervenir de l’Association du traité des Te’mexw, du Business Council of British Columbia, du Council of Forest Industries, de la Coast Forest Products Association, de la Mining Association of British Columbia et de l’Association for Mineral Exploration British Columbia, de l’Assemblée des Premières Nations, des Chefs héréditaires gitanyows de Gwass Hlaam, Gamlaxyeltxw, Malii, Gwinuu, Haizimsque, Watakhayetsxw, Luuxhon et Wii’litswx, en leur propre nom et au nom de tous les Gitanyows, du Groupe du Traité des Hul’qumi’num, du Council of the Haida Nation, de l’Office of the Wet’suwet’en Chiefs, de l’Association du Barreau Autochtone du Canada, du Sommet des Premières Nations, de la Première nation de Tsawout, de la Première nation de Tsartlip, de la Première nation Snuneymuxw et de la Première nation Kwakiutl, de la Coalition of the Union of B.C. Indian Chiefs, de la Okanagan Nation Alliance et du Shuswap Nation Tribal Council et des collectivités qui en font partie, des bandes indiennes d’Okanagan, d’Adams Lake et de Neskonlith et de la bande indienne Splatsin, d’Amnistie Internationale et du Secours Quaker Canadien, de Bernard Conrad Lewis en son propre nom et au nom de tous les autres membres de la Nation Gitxaala, de la Chilko Resorts and Community Association et du Conseil des Canadiens sont accueillies et chacun de ces quatorze groupes d’intervenants pourra signifier et déposer un sel mémoire d’au plus 10 pages au plus tard le 24 septembre 2013.</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b/>
          <w:bCs/>
          <w:sz w:val="20"/>
          <w:szCs w:val="20"/>
          <w:lang w:val="fr-CA"/>
        </w:rPr>
      </w:pPr>
      <w:r w:rsidRPr="00BC01A8">
        <w:rPr>
          <w:rFonts w:eastAsiaTheme="minorEastAsia" w:cs="Times New Roman"/>
          <w:b/>
          <w:bCs/>
          <w:sz w:val="20"/>
          <w:szCs w:val="20"/>
          <w:lang w:val="fr-CA"/>
        </w:rPr>
        <w:t xml:space="preserve">ET IL EST EN OUTRE ORDONNÉ CE QUI SUIT : </w:t>
      </w:r>
    </w:p>
    <w:p w:rsidR="00BC01A8" w:rsidRPr="00BC01A8" w:rsidRDefault="00BC01A8" w:rsidP="00BC01A8">
      <w:pPr>
        <w:widowControl w:val="0"/>
        <w:autoSpaceDE w:val="0"/>
        <w:autoSpaceDN w:val="0"/>
        <w:adjustRightInd w:val="0"/>
        <w:spacing w:line="233" w:lineRule="auto"/>
        <w:jc w:val="both"/>
        <w:rPr>
          <w:rFonts w:eastAsiaTheme="minorEastAsia" w:cs="Times New Roman"/>
          <w:b/>
          <w:bCs/>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bCs/>
          <w:sz w:val="20"/>
          <w:szCs w:val="20"/>
          <w:lang w:val="fr-CA"/>
        </w:rPr>
        <w:t xml:space="preserve">Les requêtes en autorisation d’intervenir de la Première nation des </w:t>
      </w:r>
      <w:r w:rsidRPr="00BC01A8">
        <w:rPr>
          <w:rFonts w:eastAsiaTheme="minorEastAsia" w:cs="Times New Roman"/>
          <w:sz w:val="20"/>
          <w:szCs w:val="20"/>
          <w:lang w:val="fr-CA"/>
        </w:rPr>
        <w:t>Chippewas de Nawash Unceded, de la Première nation Saugeen, de la Première nation de Walpole Island et des United Chiefs and Councils of Mnidoo Mnising, du Grand Council Treaty #3, du Stó:lō Nation Chiefs Council et de Leslie Cameron en son propre nom et au nom de tous les autres membres de la Première nation de Wabauskang sont rejetées.</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sz w:val="20"/>
          <w:szCs w:val="20"/>
          <w:lang w:val="fr-CA"/>
        </w:rPr>
        <w:t>Les requêtes présentées par l’Office of the Wet’suwet'en Chiefs, le Business Council of British Columbia, le Council of Forest Industries, la Coast Forest Products Association, la Mining Association of British Columbia et l’Association for Mineral Exploration British Columbia et les Chefs héréditaires gitanyows de Gwass Hlaam, Gamlaxyeltxw, Malii, Gwinuu, Haizimsque, Watakhayetsxw, Luuxhon et Wii'litswx, en leur propre nom et au nom de tous les Gitanyows, en vue de déposer des affidavits en appel ou de s’appuyer d’une autre manière sur les affidavits joints actuellement aux requêtes en autorisation d’intervenir sont rejetées.</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sz w:val="20"/>
          <w:szCs w:val="20"/>
          <w:lang w:val="fr-CA"/>
        </w:rPr>
        <w:t xml:space="preserve">La décision sur les demandes en vue de présenter une plaidoirie orale sera rendue après réception et examen </w:t>
      </w:r>
      <w:r w:rsidR="005F2BA7" w:rsidRPr="00BC01A8">
        <w:rPr>
          <w:rFonts w:eastAsiaTheme="minorEastAsia" w:cs="Times New Roman"/>
          <w:sz w:val="20"/>
          <w:szCs w:val="20"/>
        </w:rPr>
        <w:fldChar w:fldCharType="begin"/>
      </w:r>
      <w:r w:rsidRPr="00BC01A8">
        <w:rPr>
          <w:rFonts w:eastAsiaTheme="minorEastAsia" w:cs="Times New Roman"/>
          <w:sz w:val="20"/>
          <w:szCs w:val="20"/>
          <w:lang w:val="fr-CA"/>
        </w:rPr>
        <w:instrText xml:space="preserve"> SEQ CHAPTER \h \r 1</w:instrText>
      </w:r>
      <w:r w:rsidR="005F2BA7" w:rsidRPr="00BC01A8">
        <w:rPr>
          <w:rFonts w:eastAsiaTheme="minorEastAsia" w:cs="Times New Roman"/>
          <w:sz w:val="20"/>
          <w:szCs w:val="20"/>
        </w:rPr>
        <w:fldChar w:fldCharType="end"/>
      </w:r>
      <w:r w:rsidRPr="00BC01A8">
        <w:rPr>
          <w:rFonts w:eastAsiaTheme="minorEastAsia" w:cs="Times New Roman"/>
          <w:sz w:val="20"/>
          <w:szCs w:val="20"/>
          <w:lang w:val="fr-CA"/>
        </w:rPr>
        <w:t>des arguments écrits des parties et des intervenants.</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sz w:val="20"/>
          <w:szCs w:val="20"/>
          <w:lang w:val="fr-CA"/>
        </w:rPr>
        <w:t>Les intervenants n’ont pas le droit de soulever de nouvelles questions, de produire d’autres éléments de preuve ni de compléter de quelque autre façon le dossier des parties.</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sz w:val="20"/>
          <w:szCs w:val="20"/>
          <w:lang w:val="fr-CA"/>
        </w:rPr>
        <w:t>Dans la mesure où leurs intérêts sont similaires, les intervenants se consulteront pour éviter toute répétition.</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sz w:val="20"/>
          <w:szCs w:val="20"/>
          <w:lang w:val="fr-CA"/>
        </w:rPr>
        <w:t>Conformément à l’alinéa 59(1)</w:t>
      </w:r>
      <w:r w:rsidRPr="00BC01A8">
        <w:rPr>
          <w:rFonts w:eastAsiaTheme="minorEastAsia" w:cs="Times New Roman"/>
          <w:i/>
          <w:iCs/>
          <w:sz w:val="20"/>
          <w:szCs w:val="20"/>
          <w:lang w:val="fr-CA"/>
        </w:rPr>
        <w:t>a</w:t>
      </w:r>
      <w:r w:rsidRPr="00BC01A8">
        <w:rPr>
          <w:rFonts w:eastAsiaTheme="minorEastAsia" w:cs="Times New Roman"/>
          <w:sz w:val="20"/>
          <w:szCs w:val="20"/>
          <w:lang w:val="fr-CA"/>
        </w:rPr>
        <w:t xml:space="preserve">) des </w:t>
      </w:r>
      <w:r w:rsidRPr="00BC01A8">
        <w:rPr>
          <w:rFonts w:eastAsiaTheme="minorEastAsia" w:cs="Times New Roman"/>
          <w:i/>
          <w:iCs/>
          <w:sz w:val="20"/>
          <w:szCs w:val="20"/>
          <w:lang w:val="fr-CA"/>
        </w:rPr>
        <w:t>Règles de la Cour suprême du Canada</w:t>
      </w:r>
      <w:r w:rsidRPr="00BC01A8">
        <w:rPr>
          <w:rFonts w:eastAsiaTheme="minorEastAsia" w:cs="Times New Roman"/>
          <w:sz w:val="20"/>
          <w:szCs w:val="20"/>
          <w:lang w:val="fr-CA"/>
        </w:rPr>
        <w:t>, les intervenants paieront à l’appelant et aux intimés tous débours supplémentaires résultant de leur intervention.</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5F2BA7" w:rsidP="00BC01A8">
      <w:pPr>
        <w:tabs>
          <w:tab w:val="left" w:pos="-1440"/>
          <w:tab w:val="left" w:pos="-720"/>
        </w:tabs>
        <w:jc w:val="both"/>
        <w:rPr>
          <w:rFonts w:eastAsia="Times New Roman" w:cs="Times New Roman"/>
          <w:sz w:val="20"/>
          <w:szCs w:val="20"/>
          <w:lang w:val="fr-CA" w:eastAsia="en-CA"/>
        </w:rPr>
      </w:pPr>
      <w:r w:rsidRPr="005F2BA7">
        <w:rPr>
          <w:rFonts w:eastAsia="Times New Roman" w:cs="Times New Roman"/>
          <w:sz w:val="20"/>
          <w:szCs w:val="20"/>
          <w:lang w:val="fr-CA" w:eastAsia="en-CA"/>
        </w:rPr>
        <w:pict>
          <v:rect id="_x0000_i1123" style="width:2in;height:1pt" o:hrpct="0" o:hralign="center" o:hrstd="t" o:hrnoshade="t" o:hr="t" fillcolor="black [3213]" stroked="f"/>
        </w:pic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Default="00BC01A8">
      <w:pPr>
        <w:rPr>
          <w:rFonts w:eastAsia="Times New Roman" w:cs="Times New Roman"/>
          <w:sz w:val="20"/>
          <w:szCs w:val="20"/>
          <w:lang w:val="fr-CA" w:eastAsia="en-CA"/>
        </w:rPr>
      </w:pPr>
      <w:r>
        <w:rPr>
          <w:rFonts w:eastAsia="Times New Roman" w:cs="Times New Roman"/>
          <w:sz w:val="20"/>
          <w:szCs w:val="20"/>
          <w:lang w:val="fr-CA" w:eastAsia="en-CA"/>
        </w:rPr>
        <w:br w:type="page"/>
      </w: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02.08.2013</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Before / Devant :   KARAKATSANIS J. / LE JUGE KARAKATSANIS</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C01A8" w:rsidRPr="007C5A5B" w:rsidTr="00BC01A8">
        <w:tc>
          <w:tcPr>
            <w:tcW w:w="4338" w:type="dxa"/>
            <w:gridSpan w:val="2"/>
          </w:tcPr>
          <w:p w:rsidR="00BC01A8" w:rsidRPr="00BC01A8" w:rsidRDefault="00BC01A8" w:rsidP="00BC01A8">
            <w:pPr>
              <w:jc w:val="both"/>
              <w:rPr>
                <w:b/>
              </w:rPr>
            </w:pPr>
            <w:r w:rsidRPr="00BC01A8">
              <w:rPr>
                <w:b/>
                <w:lang w:val="en-US"/>
              </w:rPr>
              <w:t xml:space="preserve">Order on interventions </w:t>
            </w:r>
            <w:r w:rsidR="005F2BA7" w:rsidRPr="00BC01A8">
              <w:rPr>
                <w:b/>
                <w:lang w:val="en-US"/>
              </w:rPr>
              <w:fldChar w:fldCharType="begin"/>
            </w:r>
            <w:r w:rsidRPr="00BC01A8">
              <w:rPr>
                <w:b/>
              </w:rPr>
              <w:instrText xml:space="preserve"> SEQ CHAPTER \h \r 1</w:instrText>
            </w:r>
            <w:r w:rsidR="005F2BA7" w:rsidRPr="00BC01A8">
              <w:rPr>
                <w:b/>
                <w:lang w:val="en-US"/>
              </w:rPr>
              <w:fldChar w:fldCharType="end"/>
            </w:r>
          </w:p>
        </w:tc>
        <w:tc>
          <w:tcPr>
            <w:tcW w:w="1170" w:type="dxa"/>
          </w:tcPr>
          <w:p w:rsidR="00BC01A8" w:rsidRPr="00BC01A8" w:rsidRDefault="00BC01A8" w:rsidP="00BC01A8"/>
          <w:p w:rsidR="00BC01A8" w:rsidRPr="00BC01A8" w:rsidRDefault="00BC01A8" w:rsidP="00BC01A8"/>
          <w:p w:rsidR="00BC01A8" w:rsidRPr="00BC01A8" w:rsidRDefault="00BC01A8" w:rsidP="00BC01A8"/>
        </w:tc>
        <w:tc>
          <w:tcPr>
            <w:tcW w:w="4327" w:type="dxa"/>
          </w:tcPr>
          <w:p w:rsidR="00BC01A8" w:rsidRPr="00BC01A8" w:rsidRDefault="00BC01A8" w:rsidP="00BC01A8">
            <w:pPr>
              <w:jc w:val="both"/>
              <w:rPr>
                <w:b/>
                <w:lang w:val="fr-CA"/>
              </w:rPr>
            </w:pPr>
            <w:r w:rsidRPr="00BC01A8">
              <w:rPr>
                <w:b/>
                <w:lang w:val="fr-CA"/>
              </w:rPr>
              <w:t>Ordonnance quant aux demandes d’intervention</w:t>
            </w:r>
          </w:p>
        </w:tc>
      </w:tr>
      <w:tr w:rsidR="00BC01A8" w:rsidRPr="00BC01A8" w:rsidTr="00BC01A8">
        <w:tc>
          <w:tcPr>
            <w:tcW w:w="1368" w:type="dxa"/>
          </w:tcPr>
          <w:p w:rsidR="00BC01A8" w:rsidRPr="00BC01A8" w:rsidRDefault="00BC01A8" w:rsidP="00BC01A8">
            <w:r w:rsidRPr="00BC01A8">
              <w:t>RE:</w:t>
            </w:r>
          </w:p>
        </w:tc>
        <w:tc>
          <w:tcPr>
            <w:tcW w:w="2970" w:type="dxa"/>
          </w:tcPr>
          <w:p w:rsidR="00BC01A8" w:rsidRPr="00BC01A8" w:rsidRDefault="00BC01A8" w:rsidP="00BC01A8">
            <w:r w:rsidRPr="00BC01A8">
              <w:rPr>
                <w:lang w:val="en-US"/>
              </w:rPr>
              <w:t>Attorney General of Ontario;</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Attorney General of Alberta;</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Director of Public Prosecutions;</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Canadian Civil Liberties Association Canada;</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r w:rsidRPr="00BC01A8">
              <w:rPr>
                <w:lang w:val="en-US"/>
              </w:rPr>
              <w:t>Criminal Lawyers’ Association of Ontario</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r w:rsidRPr="00BC01A8">
              <w:t>IN / DANS :</w:t>
            </w:r>
          </w:p>
        </w:tc>
        <w:tc>
          <w:tcPr>
            <w:tcW w:w="2970" w:type="dxa"/>
          </w:tcPr>
          <w:p w:rsidR="00BC01A8" w:rsidRPr="00BC01A8" w:rsidRDefault="00BC01A8" w:rsidP="00BC01A8">
            <w:r w:rsidRPr="00BC01A8">
              <w:t>Matthew David Spencer</w:t>
            </w:r>
          </w:p>
          <w:p w:rsidR="00BC01A8" w:rsidRPr="00BC01A8" w:rsidRDefault="00BC01A8" w:rsidP="00BC01A8"/>
          <w:p w:rsidR="00BC01A8" w:rsidRPr="00BC01A8" w:rsidRDefault="00BC01A8" w:rsidP="00BC01A8">
            <w:r w:rsidRPr="00BC01A8">
              <w:tab/>
              <w:t>v. (34644)</w:t>
            </w:r>
          </w:p>
          <w:p w:rsidR="00BC01A8" w:rsidRPr="00BC01A8" w:rsidRDefault="00BC01A8" w:rsidP="00BC01A8"/>
          <w:p w:rsidR="00BC01A8" w:rsidRPr="00BC01A8" w:rsidRDefault="00BC01A8" w:rsidP="00BC01A8">
            <w:r w:rsidRPr="00BC01A8">
              <w:t>Her Majesty the Queen (Crim.) (Sask.)</w:t>
            </w:r>
          </w:p>
        </w:tc>
        <w:tc>
          <w:tcPr>
            <w:tcW w:w="1170" w:type="dxa"/>
          </w:tcPr>
          <w:p w:rsidR="00BC01A8" w:rsidRPr="00BC01A8" w:rsidRDefault="00BC01A8" w:rsidP="00BC01A8"/>
        </w:tc>
        <w:tc>
          <w:tcPr>
            <w:tcW w:w="4327" w:type="dxa"/>
          </w:tcPr>
          <w:p w:rsidR="00BC01A8" w:rsidRPr="00BC01A8" w:rsidRDefault="00BC01A8" w:rsidP="00BC01A8"/>
        </w:tc>
      </w:tr>
    </w:tbl>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FURTHER TO THE ORDER</w:t>
      </w:r>
      <w:r w:rsidRPr="00BC01A8">
        <w:rPr>
          <w:rFonts w:eastAsia="Times New Roman" w:cs="Times New Roman"/>
          <w:bCs/>
          <w:sz w:val="20"/>
          <w:szCs w:val="20"/>
          <w:lang w:val="en-US" w:eastAsia="en-CA"/>
        </w:rPr>
        <w:t xml:space="preserve"> dated June 28, 2013, requesting further submissions </w:t>
      </w:r>
      <w:r w:rsidRPr="00BC01A8">
        <w:rPr>
          <w:rFonts w:eastAsia="Times New Roman" w:cs="Times New Roman"/>
          <w:sz w:val="20"/>
          <w:szCs w:val="20"/>
          <w:lang w:val="en-US" w:eastAsia="en-CA"/>
        </w:rPr>
        <w:t>addressing Rule 57(2</w:t>
      </w:r>
      <w:proofErr w:type="gramStart"/>
      <w:r w:rsidRPr="00BC01A8">
        <w:rPr>
          <w:rFonts w:eastAsia="Times New Roman" w:cs="Times New Roman"/>
          <w:sz w:val="20"/>
          <w:szCs w:val="20"/>
          <w:lang w:val="en-US" w:eastAsia="en-CA"/>
        </w:rPr>
        <w:t>)(</w:t>
      </w:r>
      <w:proofErr w:type="gramEnd"/>
      <w:r w:rsidRPr="00BC01A8">
        <w:rPr>
          <w:rFonts w:eastAsia="Times New Roman" w:cs="Times New Roman"/>
          <w:i/>
          <w:sz w:val="20"/>
          <w:szCs w:val="20"/>
          <w:lang w:val="en-US" w:eastAsia="en-CA"/>
        </w:rPr>
        <w:t>b</w:t>
      </w:r>
      <w:r w:rsidRPr="00BC01A8">
        <w:rPr>
          <w:rFonts w:eastAsia="Times New Roman" w:cs="Times New Roman"/>
          <w:sz w:val="20"/>
          <w:szCs w:val="20"/>
          <w:lang w:val="en-US" w:eastAsia="en-CA"/>
        </w:rPr>
        <w:t xml:space="preserve">) of the </w:t>
      </w:r>
      <w:r w:rsidRPr="00BC01A8">
        <w:rPr>
          <w:rFonts w:eastAsia="Times New Roman" w:cs="Times New Roman"/>
          <w:i/>
          <w:sz w:val="20"/>
          <w:szCs w:val="20"/>
          <w:lang w:val="en-US" w:eastAsia="en-CA"/>
        </w:rPr>
        <w:t>Rules of the Supreme Court of Canada</w:t>
      </w:r>
      <w:r w:rsidRPr="00BC01A8">
        <w:rPr>
          <w:rFonts w:eastAsia="Times New Roman" w:cs="Times New Roman"/>
          <w:bCs/>
          <w:sz w:val="20"/>
          <w:szCs w:val="20"/>
          <w:lang w:val="en-US" w:eastAsia="en-CA"/>
        </w:rPr>
        <w:t xml:space="preserve"> from the moving parties</w:t>
      </w:r>
      <w:r w:rsidRPr="00BC01A8">
        <w:rPr>
          <w:rFonts w:eastAsia="Times New Roman" w:cs="Times New Roman"/>
          <w:b/>
          <w:bCs/>
          <w:sz w:val="20"/>
          <w:szCs w:val="20"/>
          <w:lang w:val="en-US" w:eastAsia="en-CA"/>
        </w:rPr>
        <w:t>,</w:t>
      </w:r>
      <w:r w:rsidRPr="00BC01A8">
        <w:rPr>
          <w:rFonts w:eastAsia="Times New Roman" w:cs="Times New Roman"/>
          <w:sz w:val="20"/>
          <w:szCs w:val="20"/>
          <w:lang w:val="en-US" w:eastAsia="en-CA"/>
        </w:rPr>
        <w:t xml:space="preserve"> the Attorney General of Ontario, the Attorney General of Alberta, the Director of Public Prosecutions, the Canadian Civil Liberties Association Canada and the Criminal Lawyers’ Association of Ontario, seeking for leave to intervene in the above appeal</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AND THE MATERIAL FILED</w:t>
      </w:r>
      <w:r w:rsidRPr="00BC01A8">
        <w:rPr>
          <w:rFonts w:eastAsia="Times New Roman" w:cs="Times New Roman"/>
          <w:sz w:val="20"/>
          <w:szCs w:val="20"/>
          <w:lang w:val="en-US" w:eastAsia="en-CA"/>
        </w:rPr>
        <w:t xml:space="preserve"> having been read;</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IT IS HEREBY ORDERED THAT:</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val="en-US" w:eastAsia="en-CA"/>
        </w:rPr>
        <w:t xml:space="preserve">The motions for leave to intervene of </w:t>
      </w:r>
      <w:r w:rsidRPr="00BC01A8">
        <w:rPr>
          <w:rFonts w:eastAsia="Times New Roman" w:cs="Times New Roman"/>
          <w:sz w:val="20"/>
          <w:szCs w:val="20"/>
          <w:lang w:eastAsia="en-CA"/>
        </w:rPr>
        <w:t>the</w:t>
      </w:r>
      <w:r w:rsidRPr="00BC01A8">
        <w:rPr>
          <w:rFonts w:eastAsia="Times New Roman" w:cs="Times New Roman"/>
          <w:sz w:val="20"/>
          <w:szCs w:val="20"/>
          <w:lang w:val="en-US" w:eastAsia="en-CA"/>
        </w:rPr>
        <w:t xml:space="preserve"> Attorney General of Ontario, the Attorney General of Alberta, the Director of Public Prosecutions, the Canadian Civil Liberties Association and the Criminal Lawyers’ Association of Ontario are</w:t>
      </w:r>
      <w:r w:rsidRPr="00BC01A8">
        <w:rPr>
          <w:rFonts w:eastAsia="Times New Roman" w:cs="Times New Roman"/>
          <w:sz w:val="20"/>
          <w:szCs w:val="20"/>
          <w:lang w:eastAsia="en-CA"/>
        </w:rPr>
        <w:t xml:space="preserve"> </w:t>
      </w:r>
      <w:r w:rsidRPr="00BC01A8">
        <w:rPr>
          <w:rFonts w:eastAsia="Times New Roman" w:cs="Times New Roman"/>
          <w:sz w:val="20"/>
          <w:szCs w:val="20"/>
          <w:lang w:val="en-US" w:eastAsia="en-CA"/>
        </w:rPr>
        <w:t>granted and the said interveners shall be entitled to serve and file a factum not to exceed 10 pages in length on or before September 27, 2013.</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5F2BA7"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eastAsia="en-CA"/>
        </w:rPr>
        <w:fldChar w:fldCharType="begin"/>
      </w:r>
      <w:r w:rsidR="00BC01A8" w:rsidRPr="00BC01A8">
        <w:rPr>
          <w:rFonts w:eastAsia="Times New Roman" w:cs="Times New Roman"/>
          <w:sz w:val="20"/>
          <w:szCs w:val="20"/>
          <w:lang w:eastAsia="en-CA"/>
        </w:rPr>
        <w:instrText xml:space="preserve"> SEQ CHAPTER \h \r 1</w:instrText>
      </w:r>
      <w:r w:rsidRPr="00BC01A8">
        <w:rPr>
          <w:rFonts w:eastAsia="Times New Roman" w:cs="Times New Roman"/>
          <w:sz w:val="20"/>
          <w:szCs w:val="20"/>
          <w:lang w:eastAsia="en-CA"/>
        </w:rPr>
        <w:fldChar w:fldCharType="end"/>
      </w:r>
      <w:r w:rsidR="00BC01A8" w:rsidRPr="00BC01A8">
        <w:rPr>
          <w:rFonts w:eastAsia="Times New Roman" w:cs="Times New Roman"/>
          <w:sz w:val="20"/>
          <w:szCs w:val="20"/>
          <w:lang w:val="en-US" w:eastAsia="en-CA"/>
        </w:rPr>
        <w:t>The request to present oral argument is deferred to a date following receipt and consideration of the written arguments of the parties and the interveners.</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val="en-US" w:eastAsia="en-CA"/>
        </w:rPr>
        <w:t>The interveners are not entitled to raise new issues or to adduce further evidence or otherwise to supplement the record of the parties.</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val="en-US" w:eastAsia="en-CA"/>
        </w:rPr>
        <w:t>Pursuant to Rule 59(1</w:t>
      </w:r>
      <w:proofErr w:type="gramStart"/>
      <w:r w:rsidRPr="00BC01A8">
        <w:rPr>
          <w:rFonts w:eastAsia="Times New Roman" w:cs="Times New Roman"/>
          <w:sz w:val="20"/>
          <w:szCs w:val="20"/>
          <w:lang w:val="en-US" w:eastAsia="en-CA"/>
        </w:rPr>
        <w:t>)(</w:t>
      </w:r>
      <w:proofErr w:type="gramEnd"/>
      <w:r w:rsidRPr="00BC01A8">
        <w:rPr>
          <w:rFonts w:eastAsia="Times New Roman" w:cs="Times New Roman"/>
          <w:i/>
          <w:iCs/>
          <w:sz w:val="20"/>
          <w:szCs w:val="20"/>
          <w:lang w:val="en-US" w:eastAsia="en-CA"/>
        </w:rPr>
        <w:t>a</w:t>
      </w:r>
      <w:r w:rsidRPr="00BC01A8">
        <w:rPr>
          <w:rFonts w:eastAsia="Times New Roman" w:cs="Times New Roman"/>
          <w:sz w:val="20"/>
          <w:szCs w:val="20"/>
          <w:lang w:val="en-US" w:eastAsia="en-CA"/>
        </w:rPr>
        <w:t xml:space="preserve">) of the </w:t>
      </w:r>
      <w:r w:rsidRPr="00BC01A8">
        <w:rPr>
          <w:rFonts w:eastAsia="Times New Roman" w:cs="Times New Roman"/>
          <w:i/>
          <w:iCs/>
          <w:sz w:val="20"/>
          <w:szCs w:val="20"/>
          <w:lang w:val="en-US" w:eastAsia="en-CA"/>
        </w:rPr>
        <w:t>Rules of the Supreme Court of Canada</w:t>
      </w:r>
      <w:r w:rsidRPr="00BC01A8">
        <w:rPr>
          <w:rFonts w:eastAsia="Times New Roman" w:cs="Times New Roman"/>
          <w:sz w:val="20"/>
          <w:szCs w:val="20"/>
          <w:lang w:val="en-US" w:eastAsia="en-CA"/>
        </w:rPr>
        <w:t xml:space="preserve">, the interveners shall pay to the appellant and respondent any additional disbursements occasioned to the appellant and respondent by their interventions. </w:t>
      </w:r>
    </w:p>
    <w:p w:rsidR="00BC01A8" w:rsidRPr="00BC01A8" w:rsidRDefault="00BC01A8" w:rsidP="00BC01A8">
      <w:pPr>
        <w:tabs>
          <w:tab w:val="left" w:pos="-1440"/>
          <w:tab w:val="left" w:pos="-720"/>
        </w:tabs>
        <w:jc w:val="both"/>
        <w:rPr>
          <w:rFonts w:eastAsia="Times New Roman" w:cs="Times New Roman"/>
          <w:sz w:val="20"/>
          <w:szCs w:val="20"/>
          <w:lang w:val="en-US"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b/>
          <w:bCs/>
          <w:sz w:val="20"/>
          <w:szCs w:val="20"/>
          <w:lang w:val="fr-CA" w:eastAsia="en-CA"/>
        </w:rPr>
        <w:t>À LA SUITE DE L’ORDONNANCE</w:t>
      </w:r>
      <w:r w:rsidRPr="00BC01A8">
        <w:rPr>
          <w:rFonts w:eastAsia="Times New Roman" w:cs="Times New Roman"/>
          <w:bCs/>
          <w:sz w:val="20"/>
          <w:szCs w:val="20"/>
          <w:lang w:val="fr-CA" w:eastAsia="en-CA"/>
        </w:rPr>
        <w:t xml:space="preserve"> datée du 28 juin 2013 exigeant la présentation d’observations supplémentaires visant à satisfaire aux exigences de l’alinéa 57(2)</w:t>
      </w:r>
      <w:r w:rsidRPr="00BC01A8">
        <w:rPr>
          <w:rFonts w:eastAsia="Times New Roman" w:cs="Times New Roman"/>
          <w:bCs/>
          <w:i/>
          <w:sz w:val="20"/>
          <w:szCs w:val="20"/>
          <w:lang w:val="fr-CA" w:eastAsia="en-CA"/>
        </w:rPr>
        <w:t>b</w:t>
      </w:r>
      <w:r w:rsidRPr="00BC01A8">
        <w:rPr>
          <w:rFonts w:eastAsia="Times New Roman" w:cs="Times New Roman"/>
          <w:bCs/>
          <w:sz w:val="20"/>
          <w:szCs w:val="20"/>
          <w:lang w:val="fr-CA" w:eastAsia="en-CA"/>
        </w:rPr>
        <w:t xml:space="preserve">) des </w:t>
      </w:r>
      <w:r w:rsidRPr="00BC01A8">
        <w:rPr>
          <w:rFonts w:eastAsia="Times New Roman" w:cs="Times New Roman"/>
          <w:bCs/>
          <w:i/>
          <w:sz w:val="20"/>
          <w:szCs w:val="20"/>
          <w:lang w:val="fr-CA" w:eastAsia="en-CA"/>
        </w:rPr>
        <w:t>Règles de la Cour suprême du Canada</w:t>
      </w:r>
      <w:r w:rsidRPr="00BC01A8">
        <w:rPr>
          <w:rFonts w:eastAsia="Times New Roman" w:cs="Times New Roman"/>
          <w:bCs/>
          <w:sz w:val="20"/>
          <w:szCs w:val="20"/>
          <w:lang w:val="fr-CA" w:eastAsia="en-CA"/>
        </w:rPr>
        <w:t xml:space="preserve"> de la part des parties requérantes, soit le procureur général de l’Ontario, le procureur général de l’Alberta, le directeur des poursuites pénales, l’Association canadienne des libertés civiles et la Criminal Lawyers’ Association of Ontario, qui ont demandé l’autorisation d’intervenir dans l’appel;</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b/>
          <w:bCs/>
          <w:sz w:val="20"/>
          <w:szCs w:val="20"/>
          <w:lang w:val="fr-CA" w:eastAsia="en-CA"/>
        </w:rPr>
        <w:t xml:space="preserve">ET APRÈS EXAMEN </w:t>
      </w:r>
      <w:r w:rsidRPr="00BC01A8">
        <w:rPr>
          <w:rFonts w:eastAsia="Times New Roman" w:cs="Times New Roman"/>
          <w:sz w:val="20"/>
          <w:szCs w:val="20"/>
          <w:lang w:val="fr-CA" w:eastAsia="en-CA"/>
        </w:rPr>
        <w:t>des documents déposés;</w:t>
      </w:r>
    </w:p>
    <w:p w:rsidR="00BC01A8" w:rsidRPr="00BC01A8" w:rsidRDefault="00BC01A8" w:rsidP="00BC01A8">
      <w:pPr>
        <w:spacing w:line="233" w:lineRule="auto"/>
        <w:jc w:val="both"/>
        <w:rPr>
          <w:rFonts w:eastAsia="Times New Roman" w:cs="Times New Roman"/>
          <w:sz w:val="20"/>
          <w:szCs w:val="20"/>
          <w:lang w:val="fr-CA" w:eastAsia="en-CA"/>
        </w:rPr>
      </w:pPr>
    </w:p>
    <w:p w:rsidR="00BC01A8" w:rsidRDefault="00BC01A8">
      <w:pPr>
        <w:rPr>
          <w:rFonts w:eastAsia="Times New Roman" w:cs="Times New Roman"/>
          <w:b/>
          <w:bCs/>
          <w:sz w:val="20"/>
          <w:szCs w:val="20"/>
          <w:lang w:val="fr-CA" w:eastAsia="en-CA"/>
        </w:rPr>
      </w:pPr>
      <w:r>
        <w:rPr>
          <w:rFonts w:eastAsia="Times New Roman" w:cs="Times New Roman"/>
          <w:b/>
          <w:bCs/>
          <w:sz w:val="20"/>
          <w:szCs w:val="20"/>
          <w:lang w:val="fr-CA" w:eastAsia="en-CA"/>
        </w:rPr>
        <w:br w:type="page"/>
      </w: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b/>
          <w:bCs/>
          <w:sz w:val="20"/>
          <w:szCs w:val="20"/>
          <w:lang w:val="fr-CA" w:eastAsia="en-CA"/>
        </w:rPr>
        <w:t>IL EST ORDONNÉ CE QUI SUIT :</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Les requêtes en autorisation d’intervenir présentées par le procureur général de l’Ontario, le procureur général de l’Alberta, le directeur des poursuites pénales, l’Association canadienne des libertés civiles et la Criminal Lawyers’ Association of Ontario sont accordées, et ces intervenants pourront chacun signifier et déposer un mémoire d’au plus dix pages au plus tard le 27 septembre 2013.</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La décision sur la requête en vue de présenter des plaidoiries orales sera rendue après réception et examen des arguments écrits des parties et des intervenants</w:t>
      </w:r>
      <w:r w:rsidR="005F2BA7" w:rsidRPr="00BC01A8">
        <w:rPr>
          <w:rFonts w:eastAsia="Times New Roman" w:cs="Times New Roman"/>
          <w:sz w:val="20"/>
          <w:szCs w:val="20"/>
          <w:lang w:val="fr-CA" w:eastAsia="en-CA"/>
        </w:rPr>
        <w:fldChar w:fldCharType="begin"/>
      </w:r>
      <w:r w:rsidRPr="00BC01A8">
        <w:rPr>
          <w:rFonts w:eastAsia="Times New Roman" w:cs="Times New Roman"/>
          <w:sz w:val="20"/>
          <w:szCs w:val="20"/>
          <w:lang w:val="fr-CA" w:eastAsia="en-CA"/>
        </w:rPr>
        <w:instrText xml:space="preserve"> SEQ CHAPTER \h \r 1</w:instrText>
      </w:r>
      <w:r w:rsidR="005F2BA7" w:rsidRPr="00BC01A8">
        <w:rPr>
          <w:rFonts w:eastAsia="Times New Roman" w:cs="Times New Roman"/>
          <w:sz w:val="20"/>
          <w:szCs w:val="20"/>
          <w:lang w:val="fr-CA" w:eastAsia="en-CA"/>
        </w:rPr>
        <w:fldChar w:fldCharType="end"/>
      </w:r>
      <w:r w:rsidRPr="00BC01A8">
        <w:rPr>
          <w:rFonts w:eastAsia="Times New Roman" w:cs="Times New Roman"/>
          <w:sz w:val="20"/>
          <w:szCs w:val="20"/>
          <w:lang w:val="fr-CA" w:eastAsia="en-CA"/>
        </w:rPr>
        <w:t>.</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Conformément à l’al. 59(1)</w:t>
      </w:r>
      <w:r w:rsidRPr="00BC01A8">
        <w:rPr>
          <w:rFonts w:eastAsia="Times New Roman" w:cs="Times New Roman"/>
          <w:i/>
          <w:sz w:val="20"/>
          <w:szCs w:val="20"/>
          <w:lang w:val="fr-CA" w:eastAsia="en-CA"/>
        </w:rPr>
        <w:t>a</w:t>
      </w:r>
      <w:r w:rsidRPr="00BC01A8">
        <w:rPr>
          <w:rFonts w:eastAsia="Times New Roman" w:cs="Times New Roman"/>
          <w:sz w:val="20"/>
          <w:szCs w:val="20"/>
          <w:lang w:val="fr-CA" w:eastAsia="en-CA"/>
        </w:rPr>
        <w:t xml:space="preserve">) des </w:t>
      </w:r>
      <w:r w:rsidRPr="00BC01A8">
        <w:rPr>
          <w:rFonts w:eastAsia="Times New Roman" w:cs="Times New Roman"/>
          <w:i/>
          <w:sz w:val="20"/>
          <w:szCs w:val="20"/>
          <w:lang w:val="fr-CA" w:eastAsia="en-CA"/>
        </w:rPr>
        <w:t>Règles de la Cour suprême du Canada</w:t>
      </w:r>
      <w:r w:rsidRPr="00BC01A8">
        <w:rPr>
          <w:rFonts w:eastAsia="Times New Roman" w:cs="Times New Roman"/>
          <w:sz w:val="20"/>
          <w:szCs w:val="20"/>
          <w:lang w:val="fr-CA" w:eastAsia="en-CA"/>
        </w:rPr>
        <w:t xml:space="preserve">, les intervenants paieront à l’appelant et à l’intimée tous débours supplémentaires résultant de leur intervention. </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5F2BA7" w:rsidP="00BC01A8">
      <w:pPr>
        <w:tabs>
          <w:tab w:val="left" w:pos="-1440"/>
          <w:tab w:val="left" w:pos="-720"/>
        </w:tabs>
        <w:jc w:val="both"/>
        <w:rPr>
          <w:rFonts w:eastAsia="Times New Roman" w:cs="Times New Roman"/>
          <w:sz w:val="20"/>
          <w:szCs w:val="20"/>
          <w:lang w:val="fr-CA" w:eastAsia="en-CA"/>
        </w:rPr>
      </w:pPr>
      <w:r w:rsidRPr="005F2BA7">
        <w:rPr>
          <w:rFonts w:eastAsia="Times New Roman" w:cs="Times New Roman"/>
          <w:sz w:val="20"/>
          <w:szCs w:val="20"/>
          <w:lang w:val="fr-CA" w:eastAsia="en-CA"/>
        </w:rPr>
        <w:pict>
          <v:rect id="_x0000_i1124" style="width:2in;height:1pt" o:hrpct="0" o:hralign="center" o:hrstd="t" o:hrnoshade="t" o:hr="t" fillcolor="black [3213]" stroked="f"/>
        </w:pic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r w:rsidRPr="00BC01A8">
        <w:rPr>
          <w:rFonts w:eastAsia="Times New Roman" w:cs="Times New Roman"/>
          <w:sz w:val="20"/>
          <w:szCs w:val="20"/>
          <w:lang w:eastAsia="en-CA"/>
        </w:rPr>
        <w:t>06.08.2013</w: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r w:rsidRPr="00BC01A8">
        <w:rPr>
          <w:rFonts w:eastAsia="Times New Roman" w:cs="Times New Roman"/>
          <w:sz w:val="20"/>
          <w:szCs w:val="20"/>
          <w:lang w:eastAsia="en-CA"/>
        </w:rPr>
        <w:t xml:space="preserve">Before / </w:t>
      </w:r>
      <w:proofErr w:type="gramStart"/>
      <w:r w:rsidRPr="00BC01A8">
        <w:rPr>
          <w:rFonts w:eastAsia="Times New Roman" w:cs="Times New Roman"/>
          <w:sz w:val="20"/>
          <w:szCs w:val="20"/>
          <w:lang w:eastAsia="en-CA"/>
        </w:rPr>
        <w:t>Devant :</w:t>
      </w:r>
      <w:proofErr w:type="gramEnd"/>
      <w:r w:rsidRPr="00BC01A8">
        <w:rPr>
          <w:rFonts w:eastAsia="Times New Roman" w:cs="Times New Roman"/>
          <w:sz w:val="20"/>
          <w:szCs w:val="20"/>
          <w:lang w:eastAsia="en-CA"/>
        </w:rPr>
        <w:t xml:space="preserve">   </w:t>
      </w:r>
      <w:r w:rsidRPr="00BC01A8">
        <w:rPr>
          <w:rFonts w:eastAsia="Times New Roman" w:cs="Times New Roman"/>
          <w:sz w:val="20"/>
          <w:szCs w:val="20"/>
          <w:lang w:val="fr-CA" w:eastAsia="en-CA"/>
        </w:rPr>
        <w:t>THE DEPUTY REGISTRAR / LA REGISTRAIRE ADJOINTE</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C01A8" w:rsidRPr="007C5A5B" w:rsidTr="00BC01A8">
        <w:tc>
          <w:tcPr>
            <w:tcW w:w="4338" w:type="dxa"/>
          </w:tcPr>
          <w:p w:rsidR="00BC01A8" w:rsidRPr="00BC01A8" w:rsidRDefault="00BC01A8" w:rsidP="00BC01A8">
            <w:pPr>
              <w:tabs>
                <w:tab w:val="left" w:pos="-1440"/>
                <w:tab w:val="left" w:pos="-720"/>
              </w:tabs>
              <w:jc w:val="both"/>
              <w:rPr>
                <w:b/>
              </w:rPr>
            </w:pPr>
            <w:r w:rsidRPr="00BC01A8">
              <w:rPr>
                <w:b/>
                <w:bCs/>
                <w:lang w:val="en-GB"/>
              </w:rPr>
              <w:t>Motion for an extension of time</w:t>
            </w:r>
          </w:p>
        </w:tc>
        <w:tc>
          <w:tcPr>
            <w:tcW w:w="1170" w:type="dxa"/>
          </w:tcPr>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p>
        </w:tc>
        <w:tc>
          <w:tcPr>
            <w:tcW w:w="4327" w:type="dxa"/>
          </w:tcPr>
          <w:p w:rsidR="00BC01A8" w:rsidRPr="00BC01A8" w:rsidRDefault="00BC01A8" w:rsidP="00BC01A8">
            <w:pPr>
              <w:tabs>
                <w:tab w:val="left" w:pos="-1440"/>
                <w:tab w:val="left" w:pos="-720"/>
              </w:tabs>
              <w:jc w:val="both"/>
              <w:rPr>
                <w:lang w:val="fr-CA"/>
              </w:rPr>
            </w:pPr>
            <w:r w:rsidRPr="00BC01A8">
              <w:rPr>
                <w:b/>
                <w:bCs/>
                <w:lang w:val="fr-CA"/>
              </w:rPr>
              <w:t>Requête en prorogation de délai</w:t>
            </w:r>
          </w:p>
        </w:tc>
      </w:tr>
      <w:tr w:rsidR="00BC01A8" w:rsidRPr="007C5A5B" w:rsidTr="00BC01A8">
        <w:tc>
          <w:tcPr>
            <w:tcW w:w="4338" w:type="dxa"/>
          </w:tcPr>
          <w:p w:rsidR="00BC01A8" w:rsidRPr="00BC01A8" w:rsidRDefault="00BC01A8" w:rsidP="00BC01A8">
            <w:pPr>
              <w:tabs>
                <w:tab w:val="left" w:pos="-1440"/>
                <w:tab w:val="left" w:pos="-720"/>
              </w:tabs>
              <w:jc w:val="both"/>
              <w:rPr>
                <w:lang w:val="fr-CA"/>
              </w:rPr>
            </w:pPr>
            <w:r w:rsidRPr="00BC01A8">
              <w:rPr>
                <w:lang w:val="fr-CA"/>
              </w:rPr>
              <w:t xml:space="preserve">Francine Lessard </w:t>
            </w:r>
          </w:p>
          <w:p w:rsidR="00BC01A8" w:rsidRPr="00BC01A8" w:rsidRDefault="00BC01A8" w:rsidP="00BC01A8">
            <w:pPr>
              <w:tabs>
                <w:tab w:val="left" w:pos="-1440"/>
                <w:tab w:val="left" w:pos="-720"/>
              </w:tabs>
              <w:jc w:val="both"/>
              <w:rPr>
                <w:lang w:val="fr-CA"/>
              </w:rPr>
            </w:pPr>
          </w:p>
          <w:p w:rsidR="00BC01A8" w:rsidRPr="00BC01A8" w:rsidRDefault="00BC01A8" w:rsidP="00BC01A8">
            <w:pPr>
              <w:tabs>
                <w:tab w:val="left" w:pos="-1440"/>
                <w:tab w:val="left" w:pos="-720"/>
              </w:tabs>
              <w:jc w:val="both"/>
              <w:rPr>
                <w:lang w:val="fr-CA"/>
              </w:rPr>
            </w:pPr>
            <w:r w:rsidRPr="00BC01A8">
              <w:rPr>
                <w:lang w:val="fr-CA"/>
              </w:rPr>
              <w:tab/>
              <w:t>c. (33743)</w:t>
            </w:r>
          </w:p>
          <w:p w:rsidR="00BC01A8" w:rsidRPr="00BC01A8" w:rsidRDefault="00BC01A8" w:rsidP="00BC01A8">
            <w:pPr>
              <w:tabs>
                <w:tab w:val="left" w:pos="-1440"/>
                <w:tab w:val="left" w:pos="-720"/>
              </w:tabs>
              <w:jc w:val="both"/>
              <w:rPr>
                <w:lang w:val="fr-CA"/>
              </w:rPr>
            </w:pPr>
          </w:p>
          <w:p w:rsidR="00BC01A8" w:rsidRPr="00BC01A8" w:rsidRDefault="00BC01A8" w:rsidP="00BC01A8">
            <w:pPr>
              <w:tabs>
                <w:tab w:val="left" w:pos="-1440"/>
                <w:tab w:val="left" w:pos="-720"/>
              </w:tabs>
              <w:jc w:val="both"/>
              <w:rPr>
                <w:lang w:val="fr-CA"/>
              </w:rPr>
            </w:pPr>
            <w:r w:rsidRPr="00BC01A8">
              <w:rPr>
                <w:lang w:val="fr-CA"/>
              </w:rPr>
              <w:t>Jacques Lesage et autres (Qc)</w:t>
            </w:r>
          </w:p>
        </w:tc>
        <w:tc>
          <w:tcPr>
            <w:tcW w:w="1170" w:type="dxa"/>
          </w:tcPr>
          <w:p w:rsidR="00BC01A8" w:rsidRPr="00BC01A8" w:rsidRDefault="00BC01A8" w:rsidP="00BC01A8">
            <w:pPr>
              <w:tabs>
                <w:tab w:val="left" w:pos="-1440"/>
                <w:tab w:val="left" w:pos="-720"/>
              </w:tabs>
              <w:jc w:val="both"/>
              <w:rPr>
                <w:lang w:val="fr-CA"/>
              </w:rPr>
            </w:pPr>
          </w:p>
        </w:tc>
        <w:tc>
          <w:tcPr>
            <w:tcW w:w="4327" w:type="dxa"/>
          </w:tcPr>
          <w:p w:rsidR="00BC01A8" w:rsidRPr="00BC01A8" w:rsidRDefault="00BC01A8" w:rsidP="00BC01A8">
            <w:pPr>
              <w:tabs>
                <w:tab w:val="left" w:pos="-1440"/>
                <w:tab w:val="left" w:pos="-720"/>
              </w:tabs>
              <w:jc w:val="both"/>
              <w:rPr>
                <w:lang w:val="fr-CA"/>
              </w:rPr>
            </w:pPr>
          </w:p>
        </w:tc>
      </w:tr>
    </w:tbl>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b/>
          <w:sz w:val="20"/>
          <w:szCs w:val="20"/>
          <w:lang w:val="fr-CA" w:eastAsia="en-CA"/>
        </w:rPr>
      </w:pPr>
      <w:r w:rsidRPr="00BC01A8">
        <w:rPr>
          <w:rFonts w:eastAsia="Times New Roman" w:cs="Times New Roman"/>
          <w:b/>
          <w:sz w:val="20"/>
          <w:szCs w:val="20"/>
          <w:lang w:val="fr-CA" w:eastAsia="en-CA"/>
        </w:rPr>
        <w:t>GRANTED / ACCORDÉE</w:t>
      </w:r>
    </w:p>
    <w:p w:rsidR="00BC01A8" w:rsidRPr="00972B91" w:rsidRDefault="00BC01A8" w:rsidP="00BC01A8">
      <w:pPr>
        <w:tabs>
          <w:tab w:val="left" w:pos="-1440"/>
          <w:tab w:val="left" w:pos="-720"/>
        </w:tabs>
        <w:jc w:val="both"/>
        <w:rPr>
          <w:rFonts w:eastAsia="Times New Roman" w:cs="Times New Roman"/>
          <w:sz w:val="20"/>
          <w:szCs w:val="20"/>
          <w:lang w:val="fr-FR" w:eastAsia="en-CA"/>
        </w:rPr>
      </w:pPr>
    </w:p>
    <w:p w:rsidR="00BC01A8" w:rsidRPr="00972B91" w:rsidRDefault="00BC01A8" w:rsidP="00BC01A8">
      <w:pPr>
        <w:contextualSpacing/>
        <w:jc w:val="both"/>
        <w:rPr>
          <w:rFonts w:eastAsia="Times New Roman" w:cs="Times New Roman"/>
          <w:sz w:val="20"/>
          <w:szCs w:val="20"/>
          <w:lang w:val="fr-CA" w:eastAsia="en-CA"/>
        </w:rPr>
      </w:pPr>
      <w:r w:rsidRPr="00972B91">
        <w:rPr>
          <w:rFonts w:eastAsia="Times New Roman" w:cs="Times New Roman"/>
          <w:b/>
          <w:bCs/>
          <w:sz w:val="20"/>
          <w:szCs w:val="20"/>
          <w:lang w:val="fr-CA" w:eastAsia="en-CA"/>
        </w:rPr>
        <w:t xml:space="preserve">À LA SUITE DE LA DEMANDE </w:t>
      </w:r>
      <w:r w:rsidRPr="00972B91">
        <w:rPr>
          <w:rFonts w:eastAsia="Times New Roman" w:cs="Times New Roman"/>
          <w:sz w:val="20"/>
          <w:szCs w:val="20"/>
          <w:lang w:val="fr-CA" w:eastAsia="en-CA"/>
        </w:rPr>
        <w:t>présentée par les intimées, Louise Lambert et Régie des Rentes du Québec, pour obtenir la prorogation du délai pour la signification et le dépôt de leur avis de taxation et de leur mémoire de frais au 11 juin 2013</w:t>
      </w:r>
      <w:r w:rsidRPr="00972B91">
        <w:rPr>
          <w:rFonts w:eastAsia="PMingLiU" w:cs="Times New Roman"/>
          <w:sz w:val="20"/>
          <w:szCs w:val="20"/>
          <w:lang w:val="fr-CA" w:eastAsia="en-CA"/>
        </w:rPr>
        <w:t>;</w:t>
      </w:r>
    </w:p>
    <w:p w:rsidR="00BC01A8" w:rsidRPr="00972B91" w:rsidRDefault="00BC01A8" w:rsidP="00BC01A8">
      <w:pPr>
        <w:contextualSpacing/>
        <w:jc w:val="both"/>
        <w:rPr>
          <w:rFonts w:eastAsia="Times New Roman" w:cs="Times New Roman"/>
          <w:b/>
          <w:sz w:val="20"/>
          <w:szCs w:val="20"/>
          <w:lang w:val="fr-CA"/>
        </w:rPr>
      </w:pPr>
    </w:p>
    <w:p w:rsidR="00BC01A8" w:rsidRPr="00972B91" w:rsidRDefault="00BC01A8" w:rsidP="00BC01A8">
      <w:pPr>
        <w:contextualSpacing/>
        <w:jc w:val="both"/>
        <w:rPr>
          <w:rFonts w:eastAsia="Times New Roman" w:cs="Times New Roman"/>
          <w:sz w:val="20"/>
          <w:szCs w:val="20"/>
          <w:lang w:val="fr-CA" w:eastAsia="en-CA"/>
        </w:rPr>
      </w:pPr>
      <w:r w:rsidRPr="00972B91">
        <w:rPr>
          <w:rFonts w:eastAsia="Times New Roman" w:cs="Times New Roman"/>
          <w:b/>
          <w:bCs/>
          <w:sz w:val="20"/>
          <w:szCs w:val="20"/>
          <w:lang w:val="fr-CA" w:eastAsia="en-CA"/>
        </w:rPr>
        <w:t xml:space="preserve">ET APRÈS EXAMEN </w:t>
      </w:r>
      <w:r w:rsidRPr="00972B91">
        <w:rPr>
          <w:rFonts w:eastAsia="Times New Roman" w:cs="Times New Roman"/>
          <w:sz w:val="20"/>
          <w:szCs w:val="20"/>
          <w:lang w:val="fr-CA" w:eastAsia="en-CA"/>
        </w:rPr>
        <w:t xml:space="preserve">des documents déposés; </w:t>
      </w:r>
    </w:p>
    <w:p w:rsidR="00BC01A8" w:rsidRPr="00972B91" w:rsidRDefault="00BC01A8" w:rsidP="00BC01A8">
      <w:pPr>
        <w:contextualSpacing/>
        <w:jc w:val="both"/>
        <w:rPr>
          <w:rFonts w:eastAsia="Times New Roman" w:cs="Times New Roman"/>
          <w:b/>
          <w:bCs/>
          <w:sz w:val="20"/>
          <w:szCs w:val="20"/>
          <w:lang w:val="fr-CA" w:eastAsia="en-CA"/>
        </w:rPr>
      </w:pPr>
    </w:p>
    <w:p w:rsidR="00BC01A8" w:rsidRPr="00972B91" w:rsidRDefault="00BC01A8" w:rsidP="00BC01A8">
      <w:pPr>
        <w:contextualSpacing/>
        <w:jc w:val="both"/>
        <w:rPr>
          <w:rFonts w:eastAsia="Times New Roman" w:cs="Times New Roman"/>
          <w:sz w:val="20"/>
          <w:szCs w:val="20"/>
          <w:lang w:val="fr-CA" w:eastAsia="en-CA"/>
        </w:rPr>
      </w:pPr>
      <w:r w:rsidRPr="00972B91">
        <w:rPr>
          <w:rFonts w:eastAsia="Times New Roman" w:cs="Times New Roman"/>
          <w:b/>
          <w:bCs/>
          <w:sz w:val="20"/>
          <w:szCs w:val="20"/>
          <w:lang w:val="fr-CA" w:eastAsia="en-CA"/>
        </w:rPr>
        <w:t xml:space="preserve">IL EST ORDONNÉ CE QUI SUIT : </w:t>
      </w:r>
    </w:p>
    <w:p w:rsidR="00BC01A8" w:rsidRPr="00972B91" w:rsidRDefault="00BC01A8" w:rsidP="00BC01A8">
      <w:pPr>
        <w:contextualSpacing/>
        <w:jc w:val="both"/>
        <w:rPr>
          <w:rFonts w:eastAsia="Times New Roman" w:cs="Times New Roman"/>
          <w:sz w:val="20"/>
          <w:szCs w:val="20"/>
          <w:lang w:val="fr-CA" w:eastAsia="en-CA"/>
        </w:rPr>
      </w:pPr>
    </w:p>
    <w:p w:rsidR="00BC01A8" w:rsidRPr="00972B91" w:rsidRDefault="00BC01A8" w:rsidP="00BC01A8">
      <w:pPr>
        <w:contextualSpacing/>
        <w:jc w:val="both"/>
        <w:rPr>
          <w:rFonts w:eastAsia="Times New Roman" w:cs="Times New Roman"/>
          <w:sz w:val="20"/>
          <w:szCs w:val="20"/>
        </w:rPr>
      </w:pPr>
      <w:r w:rsidRPr="00972B91">
        <w:rPr>
          <w:rFonts w:eastAsia="Times New Roman" w:cs="Times New Roman"/>
          <w:sz w:val="20"/>
          <w:szCs w:val="20"/>
          <w:lang w:val="fr-CA"/>
        </w:rPr>
        <w:tab/>
      </w:r>
      <w:r w:rsidRPr="00972B91">
        <w:rPr>
          <w:rFonts w:eastAsia="Times New Roman" w:cs="Times New Roman"/>
          <w:sz w:val="20"/>
          <w:szCs w:val="20"/>
        </w:rPr>
        <w:t xml:space="preserve">La requête </w:t>
      </w:r>
      <w:proofErr w:type="gramStart"/>
      <w:r w:rsidRPr="00972B91">
        <w:rPr>
          <w:rFonts w:eastAsia="Times New Roman" w:cs="Times New Roman"/>
          <w:sz w:val="20"/>
          <w:szCs w:val="20"/>
        </w:rPr>
        <w:t>est</w:t>
      </w:r>
      <w:proofErr w:type="gramEnd"/>
      <w:r w:rsidRPr="00972B91">
        <w:rPr>
          <w:rFonts w:eastAsia="Times New Roman" w:cs="Times New Roman"/>
          <w:sz w:val="20"/>
          <w:szCs w:val="20"/>
        </w:rPr>
        <w:t xml:space="preserve"> accueillie.</w:t>
      </w:r>
    </w:p>
    <w:p w:rsidR="00BC01A8" w:rsidRPr="00972B91" w:rsidRDefault="00BC01A8" w:rsidP="00BC01A8">
      <w:pPr>
        <w:tabs>
          <w:tab w:val="left" w:pos="-1440"/>
          <w:tab w:val="left" w:pos="-720"/>
        </w:tabs>
        <w:jc w:val="both"/>
        <w:rPr>
          <w:rFonts w:eastAsia="Times New Roman" w:cs="Times New Roman"/>
          <w:sz w:val="20"/>
          <w:szCs w:val="20"/>
          <w:lang w:eastAsia="en-CA"/>
        </w:rPr>
      </w:pPr>
    </w:p>
    <w:p w:rsidR="00BC01A8" w:rsidRPr="00972B91" w:rsidRDefault="00BC01A8" w:rsidP="00BC01A8">
      <w:pPr>
        <w:tabs>
          <w:tab w:val="left" w:pos="-1440"/>
          <w:tab w:val="left" w:pos="-720"/>
        </w:tabs>
        <w:jc w:val="both"/>
        <w:rPr>
          <w:rFonts w:eastAsia="Times New Roman" w:cs="Times New Roman"/>
          <w:sz w:val="20"/>
          <w:szCs w:val="20"/>
          <w:lang w:eastAsia="en-CA"/>
        </w:rPr>
      </w:pPr>
    </w:p>
    <w:p w:rsidR="00BC01A8" w:rsidRPr="00972B91" w:rsidRDefault="00BC01A8" w:rsidP="00BC01A8">
      <w:pPr>
        <w:tabs>
          <w:tab w:val="left" w:pos="-1440"/>
          <w:tab w:val="left" w:pos="-720"/>
        </w:tabs>
        <w:jc w:val="both"/>
        <w:rPr>
          <w:rFonts w:eastAsia="Times New Roman" w:cs="Times New Roman"/>
          <w:sz w:val="20"/>
          <w:szCs w:val="20"/>
          <w:lang w:eastAsia="en-CA"/>
        </w:rPr>
      </w:pPr>
    </w:p>
    <w:p w:rsidR="00BC01A8" w:rsidRPr="00972B91" w:rsidRDefault="00BC01A8" w:rsidP="00BC01A8">
      <w:pPr>
        <w:contextualSpacing/>
        <w:jc w:val="both"/>
        <w:rPr>
          <w:rFonts w:eastAsia="Times New Roman" w:cs="Times New Roman"/>
          <w:sz w:val="20"/>
          <w:szCs w:val="20"/>
          <w:lang w:eastAsia="en-CA"/>
        </w:rPr>
      </w:pPr>
      <w:r w:rsidRPr="00972B91">
        <w:rPr>
          <w:rFonts w:eastAsia="Times New Roman" w:cs="Times New Roman"/>
          <w:b/>
          <w:bCs/>
          <w:sz w:val="20"/>
          <w:szCs w:val="20"/>
          <w:lang w:eastAsia="en-CA"/>
        </w:rPr>
        <w:t xml:space="preserve">UPON APPLICATION </w:t>
      </w:r>
      <w:r w:rsidRPr="00972B91">
        <w:rPr>
          <w:rFonts w:eastAsia="Times New Roman" w:cs="Times New Roman"/>
          <w:bCs/>
          <w:sz w:val="20"/>
          <w:szCs w:val="20"/>
          <w:lang w:eastAsia="en-CA"/>
        </w:rPr>
        <w:t xml:space="preserve">by the respondents, </w:t>
      </w:r>
      <w:r w:rsidRPr="00972B91">
        <w:rPr>
          <w:rFonts w:eastAsia="Times New Roman" w:cs="Times New Roman"/>
          <w:sz w:val="20"/>
          <w:szCs w:val="20"/>
          <w:lang w:eastAsia="en-CA"/>
        </w:rPr>
        <w:t>Louise Lambert and Régie des Rentes du Québec, for an order extending the time to serve and file their notice of taxation and bill of costs to June 11, 2013</w:t>
      </w:r>
      <w:r w:rsidRPr="00972B91">
        <w:rPr>
          <w:rFonts w:eastAsia="PMingLiU" w:cs="Times New Roman"/>
          <w:sz w:val="20"/>
          <w:szCs w:val="20"/>
          <w:lang w:eastAsia="en-CA"/>
        </w:rPr>
        <w:t>;</w:t>
      </w:r>
    </w:p>
    <w:p w:rsidR="00BC01A8" w:rsidRPr="00972B91" w:rsidRDefault="00BC01A8" w:rsidP="00BC01A8">
      <w:pPr>
        <w:contextualSpacing/>
        <w:jc w:val="both"/>
        <w:rPr>
          <w:rFonts w:eastAsia="Times New Roman" w:cs="Times New Roman"/>
          <w:b/>
          <w:sz w:val="20"/>
          <w:szCs w:val="20"/>
        </w:rPr>
      </w:pPr>
    </w:p>
    <w:p w:rsidR="00BC01A8" w:rsidRPr="00972B91" w:rsidRDefault="00BC01A8" w:rsidP="00BC01A8">
      <w:pPr>
        <w:contextualSpacing/>
        <w:jc w:val="both"/>
        <w:rPr>
          <w:rFonts w:eastAsia="Times New Roman" w:cs="Times New Roman"/>
          <w:sz w:val="20"/>
          <w:szCs w:val="20"/>
          <w:lang w:eastAsia="en-CA"/>
        </w:rPr>
      </w:pPr>
      <w:r w:rsidRPr="00972B91">
        <w:rPr>
          <w:rFonts w:eastAsia="Times New Roman" w:cs="Times New Roman"/>
          <w:b/>
          <w:bCs/>
          <w:sz w:val="20"/>
          <w:szCs w:val="20"/>
          <w:lang w:eastAsia="en-CA"/>
        </w:rPr>
        <w:t>AND THE MATERIAL FILED</w:t>
      </w:r>
      <w:r w:rsidRPr="00972B91">
        <w:rPr>
          <w:rFonts w:eastAsia="Times New Roman" w:cs="Times New Roman"/>
          <w:bCs/>
          <w:sz w:val="20"/>
          <w:szCs w:val="20"/>
          <w:lang w:eastAsia="en-CA"/>
        </w:rPr>
        <w:t xml:space="preserve"> having been read</w:t>
      </w:r>
      <w:r w:rsidRPr="00972B91">
        <w:rPr>
          <w:rFonts w:eastAsia="Times New Roman" w:cs="Times New Roman"/>
          <w:sz w:val="20"/>
          <w:szCs w:val="20"/>
          <w:lang w:eastAsia="en-CA"/>
        </w:rPr>
        <w:t xml:space="preserve">; </w:t>
      </w:r>
    </w:p>
    <w:p w:rsidR="00BC01A8" w:rsidRPr="00972B91" w:rsidRDefault="00BC01A8" w:rsidP="00BC01A8">
      <w:pPr>
        <w:contextualSpacing/>
        <w:jc w:val="both"/>
        <w:rPr>
          <w:rFonts w:eastAsia="Times New Roman" w:cs="Times New Roman"/>
          <w:b/>
          <w:bCs/>
          <w:sz w:val="20"/>
          <w:szCs w:val="20"/>
          <w:lang w:eastAsia="en-CA"/>
        </w:rPr>
      </w:pPr>
    </w:p>
    <w:p w:rsidR="00BC01A8" w:rsidRPr="00972B91" w:rsidRDefault="00BC01A8" w:rsidP="00BC01A8">
      <w:pPr>
        <w:contextualSpacing/>
        <w:jc w:val="both"/>
        <w:rPr>
          <w:rFonts w:eastAsia="Times New Roman" w:cs="Times New Roman"/>
          <w:sz w:val="20"/>
          <w:szCs w:val="20"/>
          <w:lang w:eastAsia="en-CA"/>
        </w:rPr>
      </w:pPr>
      <w:r w:rsidRPr="00972B91">
        <w:rPr>
          <w:rFonts w:eastAsia="Times New Roman" w:cs="Times New Roman"/>
          <w:b/>
          <w:bCs/>
          <w:sz w:val="20"/>
          <w:szCs w:val="20"/>
          <w:lang w:eastAsia="en-CA"/>
        </w:rPr>
        <w:t xml:space="preserve">IT IS HEREBY ORDERED THAT: </w:t>
      </w:r>
    </w:p>
    <w:p w:rsidR="00BC01A8" w:rsidRPr="00972B91" w:rsidRDefault="00BC01A8" w:rsidP="00BC01A8">
      <w:pPr>
        <w:contextualSpacing/>
        <w:jc w:val="both"/>
        <w:rPr>
          <w:rFonts w:eastAsia="Times New Roman" w:cs="Times New Roman"/>
          <w:sz w:val="20"/>
          <w:szCs w:val="20"/>
          <w:lang w:eastAsia="en-CA"/>
        </w:rPr>
      </w:pPr>
    </w:p>
    <w:p w:rsidR="00BC01A8" w:rsidRPr="00972B91" w:rsidRDefault="00BC01A8" w:rsidP="00BC01A8">
      <w:pPr>
        <w:contextualSpacing/>
        <w:jc w:val="both"/>
        <w:rPr>
          <w:rFonts w:eastAsia="Times New Roman" w:cs="Times New Roman"/>
          <w:sz w:val="20"/>
          <w:szCs w:val="20"/>
        </w:rPr>
      </w:pPr>
      <w:r w:rsidRPr="00972B91">
        <w:rPr>
          <w:rFonts w:eastAsia="Times New Roman" w:cs="Times New Roman"/>
          <w:sz w:val="20"/>
          <w:szCs w:val="20"/>
        </w:rPr>
        <w:tab/>
        <w:t>The motion is granted.</w:t>
      </w:r>
    </w:p>
    <w:p w:rsidR="00BC01A8" w:rsidRPr="00972B91"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5F2BA7" w:rsidP="00BC01A8">
      <w:pPr>
        <w:tabs>
          <w:tab w:val="left" w:pos="-1440"/>
          <w:tab w:val="left" w:pos="-720"/>
        </w:tabs>
        <w:jc w:val="both"/>
        <w:rPr>
          <w:rFonts w:eastAsia="Times New Roman" w:cs="Times New Roman"/>
          <w:sz w:val="20"/>
          <w:szCs w:val="20"/>
          <w:lang w:val="fr-CA" w:eastAsia="en-CA"/>
        </w:rPr>
      </w:pPr>
      <w:r w:rsidRPr="005F2BA7">
        <w:rPr>
          <w:rFonts w:eastAsia="Times New Roman" w:cs="Times New Roman"/>
          <w:sz w:val="20"/>
          <w:szCs w:val="20"/>
          <w:lang w:val="fr-CA" w:eastAsia="en-CA"/>
        </w:rPr>
        <w:pict>
          <v:rect id="_x0000_i1125" style="width:2in;height:1pt" o:hrpct="0" o:hralign="center" o:hrstd="t" o:hrnoshade="t" o:hr="t" fillcolor="black [3213]" stroked="f"/>
        </w:pic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Default="00BC01A8">
      <w:pPr>
        <w:rPr>
          <w:rFonts w:eastAsia="Times New Roman" w:cs="Times New Roman"/>
          <w:sz w:val="20"/>
          <w:szCs w:val="20"/>
          <w:lang w:val="fr-CA" w:eastAsia="en-CA"/>
        </w:rPr>
      </w:pPr>
      <w:r>
        <w:rPr>
          <w:rFonts w:eastAsia="Times New Roman" w:cs="Times New Roman"/>
          <w:sz w:val="20"/>
          <w:szCs w:val="20"/>
          <w:lang w:val="fr-CA" w:eastAsia="en-CA"/>
        </w:rPr>
        <w:br w:type="page"/>
      </w: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07.08.2013</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Before / Devant :   ROTHSTEIN J. / LE JUGE ROTHSTEIN</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C01A8" w:rsidRPr="007C5A5B" w:rsidTr="00BC01A8">
        <w:tc>
          <w:tcPr>
            <w:tcW w:w="4338" w:type="dxa"/>
            <w:gridSpan w:val="2"/>
          </w:tcPr>
          <w:p w:rsidR="00BC01A8" w:rsidRPr="00BC01A8" w:rsidRDefault="00BC01A8" w:rsidP="00BC01A8">
            <w:pPr>
              <w:jc w:val="both"/>
              <w:rPr>
                <w:b/>
              </w:rPr>
            </w:pPr>
            <w:r w:rsidRPr="00BC01A8">
              <w:rPr>
                <w:b/>
                <w:bCs/>
                <w:lang w:val="en-GB"/>
              </w:rPr>
              <w:t>Motion for an extension of time for leave to intervene and for leave to intervene</w:t>
            </w:r>
            <w:r w:rsidRPr="00BC01A8">
              <w:rPr>
                <w:lang w:val="en-US"/>
              </w:rPr>
              <w:t xml:space="preserve"> </w:t>
            </w:r>
            <w:r w:rsidR="005F2BA7" w:rsidRPr="00BC01A8">
              <w:rPr>
                <w:lang w:val="en-US"/>
              </w:rPr>
              <w:fldChar w:fldCharType="begin"/>
            </w:r>
            <w:r w:rsidRPr="00BC01A8">
              <w:instrText xml:space="preserve"> SEQ CHAPTER \h \r 1</w:instrText>
            </w:r>
            <w:r w:rsidR="005F2BA7" w:rsidRPr="00BC01A8">
              <w:rPr>
                <w:lang w:val="en-US"/>
              </w:rPr>
              <w:fldChar w:fldCharType="end"/>
            </w:r>
          </w:p>
        </w:tc>
        <w:tc>
          <w:tcPr>
            <w:tcW w:w="1170" w:type="dxa"/>
          </w:tcPr>
          <w:p w:rsidR="00BC01A8" w:rsidRPr="00BC01A8" w:rsidRDefault="00BC01A8" w:rsidP="00BC01A8"/>
          <w:p w:rsidR="00BC01A8" w:rsidRPr="00BC01A8" w:rsidRDefault="00BC01A8" w:rsidP="00BC01A8"/>
          <w:p w:rsidR="00BC01A8" w:rsidRPr="00BC01A8" w:rsidRDefault="00BC01A8" w:rsidP="00BC01A8"/>
          <w:p w:rsidR="00BC01A8" w:rsidRPr="00BC01A8" w:rsidRDefault="00BC01A8" w:rsidP="00BC01A8"/>
        </w:tc>
        <w:tc>
          <w:tcPr>
            <w:tcW w:w="4327" w:type="dxa"/>
          </w:tcPr>
          <w:p w:rsidR="00BC01A8" w:rsidRPr="00BC01A8" w:rsidRDefault="00BC01A8" w:rsidP="00BC01A8">
            <w:pPr>
              <w:jc w:val="both"/>
              <w:rPr>
                <w:b/>
                <w:lang w:val="fr-CA"/>
              </w:rPr>
            </w:pPr>
            <w:r w:rsidRPr="00BC01A8">
              <w:rPr>
                <w:b/>
                <w:bCs/>
                <w:lang w:val="fr-CA"/>
              </w:rPr>
              <w:t>Requête en prorogation du délai pour demander l’autorisation d’intervenir et en autorisation d’intervenir</w:t>
            </w:r>
          </w:p>
        </w:tc>
      </w:tr>
      <w:tr w:rsidR="00BC01A8" w:rsidRPr="00BC01A8" w:rsidTr="00BC01A8">
        <w:tc>
          <w:tcPr>
            <w:tcW w:w="1368" w:type="dxa"/>
          </w:tcPr>
          <w:p w:rsidR="00BC01A8" w:rsidRPr="00BC01A8" w:rsidRDefault="00BC01A8" w:rsidP="00BC01A8">
            <w:r w:rsidRPr="00BC01A8">
              <w:t>BY / PAR</w:t>
            </w:r>
          </w:p>
        </w:tc>
        <w:tc>
          <w:tcPr>
            <w:tcW w:w="2970" w:type="dxa"/>
          </w:tcPr>
          <w:p w:rsidR="00BC01A8" w:rsidRPr="00BC01A8" w:rsidRDefault="00BC01A8" w:rsidP="00BC01A8">
            <w:r w:rsidRPr="00BC01A8">
              <w:rPr>
                <w:lang w:val="en-US"/>
              </w:rPr>
              <w:t>Canadian HIV/AIDS Legal Network and HIV &amp; AIDS Legal Clinic Ontario</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r w:rsidRPr="00BC01A8">
              <w:t>IN / DANS :</w:t>
            </w:r>
          </w:p>
        </w:tc>
        <w:tc>
          <w:tcPr>
            <w:tcW w:w="2970" w:type="dxa"/>
          </w:tcPr>
          <w:p w:rsidR="00BC01A8" w:rsidRPr="00BC01A8" w:rsidRDefault="00BC01A8" w:rsidP="00BC01A8">
            <w:r w:rsidRPr="00BC01A8">
              <w:t>Craig Jaret Hutchinson</w:t>
            </w:r>
          </w:p>
          <w:p w:rsidR="00BC01A8" w:rsidRPr="00BC01A8" w:rsidRDefault="00BC01A8" w:rsidP="00BC01A8"/>
          <w:p w:rsidR="00BC01A8" w:rsidRPr="00BC01A8" w:rsidRDefault="00BC01A8" w:rsidP="00BC01A8">
            <w:r w:rsidRPr="00BC01A8">
              <w:tab/>
              <w:t>v. (35176)</w:t>
            </w:r>
          </w:p>
          <w:p w:rsidR="00BC01A8" w:rsidRPr="00BC01A8" w:rsidRDefault="00BC01A8" w:rsidP="00BC01A8"/>
          <w:p w:rsidR="00BC01A8" w:rsidRPr="00BC01A8" w:rsidRDefault="00BC01A8" w:rsidP="00BC01A8">
            <w:r w:rsidRPr="00BC01A8">
              <w:t>Her Majesty the Queen (Crim.) (N.S.)</w:t>
            </w:r>
          </w:p>
        </w:tc>
        <w:tc>
          <w:tcPr>
            <w:tcW w:w="1170" w:type="dxa"/>
          </w:tcPr>
          <w:p w:rsidR="00BC01A8" w:rsidRPr="00BC01A8" w:rsidRDefault="00BC01A8" w:rsidP="00BC01A8"/>
        </w:tc>
        <w:tc>
          <w:tcPr>
            <w:tcW w:w="4327" w:type="dxa"/>
          </w:tcPr>
          <w:p w:rsidR="00BC01A8" w:rsidRPr="00BC01A8" w:rsidRDefault="00BC01A8" w:rsidP="00BC01A8"/>
        </w:tc>
      </w:tr>
    </w:tbl>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r w:rsidRPr="00BC01A8">
        <w:rPr>
          <w:rFonts w:eastAsia="Times New Roman" w:cs="Times New Roman"/>
          <w:b/>
          <w:sz w:val="20"/>
          <w:szCs w:val="20"/>
          <w:lang w:eastAsia="en-CA"/>
        </w:rPr>
        <w:t>GRANTED / ACCORDÉE</w: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 xml:space="preserve">UPON APPLICATION </w:t>
      </w:r>
      <w:r w:rsidRPr="00BC01A8">
        <w:rPr>
          <w:rFonts w:eastAsia="Times New Roman" w:cs="Times New Roman"/>
          <w:sz w:val="20"/>
          <w:szCs w:val="20"/>
          <w:lang w:val="en-US" w:eastAsia="en-CA"/>
        </w:rPr>
        <w:t xml:space="preserve">by </w:t>
      </w:r>
      <w:r w:rsidRPr="00BC01A8">
        <w:rPr>
          <w:rFonts w:eastAsia="Times New Roman" w:cs="Times New Roman"/>
          <w:sz w:val="20"/>
          <w:szCs w:val="20"/>
          <w:lang w:eastAsia="en-CA"/>
        </w:rPr>
        <w:t>the</w:t>
      </w:r>
      <w:r w:rsidRPr="00BC01A8">
        <w:rPr>
          <w:rFonts w:eastAsia="Times New Roman" w:cs="Times New Roman"/>
          <w:sz w:val="20"/>
          <w:szCs w:val="20"/>
          <w:lang w:val="en-US" w:eastAsia="en-CA"/>
        </w:rPr>
        <w:t xml:space="preserve"> Canadian HIV/AIDS Legal Network and HIV &amp; AIDS Legal Clinic Ontario for an extension of time to apply for leave to intervene and for leave to intervene in the above appeal;</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AND THE MATERIAL FILED</w:t>
      </w:r>
      <w:r w:rsidRPr="00BC01A8">
        <w:rPr>
          <w:rFonts w:eastAsia="Times New Roman" w:cs="Times New Roman"/>
          <w:sz w:val="20"/>
          <w:szCs w:val="20"/>
          <w:lang w:val="en-US" w:eastAsia="en-CA"/>
        </w:rPr>
        <w:t xml:space="preserve"> having been read;</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IT IS HEREBY ORDERED THAT:</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val="en-US" w:eastAsia="en-CA"/>
        </w:rPr>
        <w:t>The motion for an extension of time to apply for leave to intervene and for leave to intervene of the Canadian HIV/AIDS Legal Network and HIV &amp; AIDS Legal Clinic Ontario is granted and the said interveners shall be entitled to serve and file a single factum not to exceed 10 pages in length on or before October 2, 2013.</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val="en-US" w:eastAsia="en-CA"/>
        </w:rPr>
        <w:t>The request to present oral argument is deferred to a date following receipt and consideration of the written arguments of the parties and the interveners.</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5F2BA7" w:rsidP="00BC01A8">
      <w:pPr>
        <w:jc w:val="both"/>
        <w:rPr>
          <w:rFonts w:eastAsia="Times New Roman" w:cs="Times New Roman"/>
          <w:bCs/>
          <w:sz w:val="20"/>
          <w:szCs w:val="20"/>
          <w:lang w:val="en-US" w:eastAsia="en-CA"/>
        </w:rPr>
      </w:pPr>
      <w:r w:rsidRPr="00BC01A8">
        <w:rPr>
          <w:rFonts w:eastAsia="Times New Roman" w:cs="Times New Roman"/>
          <w:sz w:val="20"/>
          <w:szCs w:val="20"/>
          <w:lang w:eastAsia="en-CA"/>
        </w:rPr>
        <w:fldChar w:fldCharType="begin"/>
      </w:r>
      <w:r w:rsidR="00BC01A8" w:rsidRPr="00BC01A8">
        <w:rPr>
          <w:rFonts w:eastAsia="Times New Roman" w:cs="Times New Roman"/>
          <w:sz w:val="20"/>
          <w:szCs w:val="20"/>
          <w:lang w:eastAsia="en-CA"/>
        </w:rPr>
        <w:instrText xml:space="preserve"> SEQ CHAPTER \h \r 1</w:instrText>
      </w:r>
      <w:r w:rsidRPr="00BC01A8">
        <w:rPr>
          <w:rFonts w:eastAsia="Times New Roman" w:cs="Times New Roman"/>
          <w:sz w:val="20"/>
          <w:szCs w:val="20"/>
          <w:lang w:eastAsia="en-CA"/>
        </w:rPr>
        <w:fldChar w:fldCharType="end"/>
      </w:r>
      <w:r w:rsidR="00BC01A8" w:rsidRPr="00BC01A8">
        <w:rPr>
          <w:rFonts w:eastAsia="Times New Roman" w:cs="Times New Roman"/>
          <w:bCs/>
          <w:sz w:val="20"/>
          <w:szCs w:val="20"/>
          <w:lang w:val="en-US" w:eastAsia="en-CA"/>
        </w:rPr>
        <w:t>The interveners are not entitled to raise new issues or to adduce further evidence or otherwise to supplement the record of the parties.</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eastAsia="en-CA"/>
        </w:rPr>
      </w:pPr>
      <w:r w:rsidRPr="00BC01A8">
        <w:rPr>
          <w:rFonts w:eastAsia="Times New Roman" w:cs="Times New Roman"/>
          <w:sz w:val="20"/>
          <w:szCs w:val="20"/>
          <w:lang w:val="en-US" w:eastAsia="en-CA"/>
        </w:rPr>
        <w:t>Pursuant to Rule 59(1</w:t>
      </w:r>
      <w:proofErr w:type="gramStart"/>
      <w:r w:rsidRPr="00BC01A8">
        <w:rPr>
          <w:rFonts w:eastAsia="Times New Roman" w:cs="Times New Roman"/>
          <w:sz w:val="20"/>
          <w:szCs w:val="20"/>
          <w:lang w:val="en-US" w:eastAsia="en-CA"/>
        </w:rPr>
        <w:t>)(</w:t>
      </w:r>
      <w:proofErr w:type="gramEnd"/>
      <w:r w:rsidRPr="00BC01A8">
        <w:rPr>
          <w:rFonts w:eastAsia="Times New Roman" w:cs="Times New Roman"/>
          <w:i/>
          <w:iCs/>
          <w:sz w:val="20"/>
          <w:szCs w:val="20"/>
          <w:lang w:val="en-US" w:eastAsia="en-CA"/>
        </w:rPr>
        <w:t>a</w:t>
      </w:r>
      <w:r w:rsidRPr="00BC01A8">
        <w:rPr>
          <w:rFonts w:eastAsia="Times New Roman" w:cs="Times New Roman"/>
          <w:sz w:val="20"/>
          <w:szCs w:val="20"/>
          <w:lang w:val="en-US" w:eastAsia="en-CA"/>
        </w:rPr>
        <w:t xml:space="preserve">) of the </w:t>
      </w:r>
      <w:r w:rsidRPr="00BC01A8">
        <w:rPr>
          <w:rFonts w:eastAsia="Times New Roman" w:cs="Times New Roman"/>
          <w:i/>
          <w:iCs/>
          <w:sz w:val="20"/>
          <w:szCs w:val="20"/>
          <w:lang w:val="en-US" w:eastAsia="en-CA"/>
        </w:rPr>
        <w:t>Rules of the Supreme Court of Canada</w:t>
      </w:r>
      <w:r w:rsidRPr="00BC01A8">
        <w:rPr>
          <w:rFonts w:eastAsia="Times New Roman" w:cs="Times New Roman"/>
          <w:sz w:val="20"/>
          <w:szCs w:val="20"/>
          <w:lang w:val="en-US" w:eastAsia="en-CA"/>
        </w:rPr>
        <w:t>, the interveners shall pay to the appellant and respondent any additional disbursements occasioned to the appellant and respondent by their intervention.</w: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b/>
          <w:bCs/>
          <w:sz w:val="20"/>
          <w:szCs w:val="20"/>
          <w:lang w:val="fr-CA"/>
        </w:rPr>
        <w:t xml:space="preserve">À LA SUITE DE LA REQUÊTE </w:t>
      </w:r>
      <w:r w:rsidRPr="00BC01A8">
        <w:rPr>
          <w:rFonts w:eastAsiaTheme="minorEastAsia" w:cs="Times New Roman"/>
          <w:bCs/>
          <w:sz w:val="20"/>
          <w:szCs w:val="20"/>
          <w:lang w:val="fr-CA"/>
        </w:rPr>
        <w:t>présentée par le Réseau juridique canadien VIH/sida</w:t>
      </w:r>
      <w:r w:rsidRPr="00BC01A8">
        <w:rPr>
          <w:rFonts w:eastAsiaTheme="minorEastAsia" w:cs="Times New Roman"/>
          <w:sz w:val="20"/>
          <w:szCs w:val="20"/>
          <w:lang w:val="fr-CA"/>
        </w:rPr>
        <w:t xml:space="preserve"> et la HIV &amp; AIDS Legal Clinic Ontario en prorogation du délai applicable à une demande d’autorisation d’intervenir et en autorisation d’intervenir dans l’appel;</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b/>
          <w:bCs/>
          <w:sz w:val="20"/>
          <w:szCs w:val="20"/>
          <w:lang w:val="fr-CA"/>
        </w:rPr>
        <w:t>ET APRÈS EXAMEN</w:t>
      </w:r>
      <w:r w:rsidRPr="00BC01A8">
        <w:rPr>
          <w:rFonts w:eastAsiaTheme="minorEastAsia" w:cs="Times New Roman"/>
          <w:sz w:val="20"/>
          <w:szCs w:val="20"/>
          <w:lang w:val="fr-CA"/>
        </w:rPr>
        <w:t xml:space="preserve"> des documents déposés;</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b/>
          <w:bCs/>
          <w:sz w:val="20"/>
          <w:szCs w:val="20"/>
          <w:lang w:val="fr-CA"/>
        </w:rPr>
        <w:t xml:space="preserve">IL EST ORDONNÉ CE QUI SUIT : </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sz w:val="20"/>
          <w:szCs w:val="20"/>
          <w:lang w:val="fr-CA"/>
        </w:rPr>
        <w:t>La requête en prorogation du délai applicable à une demande d’autorisation d’intervenir et en autorisation d’intervenir présentée par le Réseau juridique canadien VIH/sida et la HIV &amp; AIDS Legal Clinic Ontario est accordée, et ces intervenants pourront signifier et déposer un seul mémoire d’au plus 10 pages au plus tard le 2 octobre 2013.</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sz w:val="20"/>
          <w:szCs w:val="20"/>
          <w:lang w:val="fr-CA"/>
        </w:rPr>
        <w:t>La décision sur la requête en vue de présenter des plaidoiries orales sera rendue après réception et examen des arguments écrits des parties et des intervenants.</w:t>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jc w:val="both"/>
        <w:rPr>
          <w:rFonts w:eastAsiaTheme="minorEastAsia" w:cs="Times New Roman"/>
          <w:bCs/>
          <w:sz w:val="20"/>
          <w:szCs w:val="20"/>
          <w:lang w:val="fr-CA"/>
        </w:rPr>
      </w:pPr>
      <w:r w:rsidRPr="00BC01A8">
        <w:rPr>
          <w:rFonts w:eastAsiaTheme="minorEastAsia" w:cs="Times New Roman"/>
          <w:sz w:val="20"/>
          <w:szCs w:val="20"/>
          <w:lang w:val="fr-CA"/>
        </w:rPr>
        <w:t>Les intervenants n’ont pas le droit de soulever de nouvelles questions, de produire d’autres éléments de preuve ni de compléter de quelque autre façon le dossier des parties.</w:t>
      </w:r>
      <w:r w:rsidR="005F2BA7" w:rsidRPr="00BC01A8">
        <w:rPr>
          <w:rFonts w:eastAsiaTheme="minorEastAsia" w:cs="Times New Roman"/>
          <w:sz w:val="20"/>
          <w:szCs w:val="20"/>
          <w:lang w:val="fr-CA"/>
        </w:rPr>
        <w:fldChar w:fldCharType="begin"/>
      </w:r>
      <w:r w:rsidRPr="00BC01A8">
        <w:rPr>
          <w:rFonts w:eastAsiaTheme="minorEastAsia" w:cs="Times New Roman"/>
          <w:sz w:val="20"/>
          <w:szCs w:val="20"/>
          <w:lang w:val="fr-CA"/>
        </w:rPr>
        <w:instrText xml:space="preserve"> SEQ CHAPTER \h \r 1</w:instrText>
      </w:r>
      <w:r w:rsidR="005F2BA7" w:rsidRPr="00BC01A8">
        <w:rPr>
          <w:rFonts w:eastAsiaTheme="minorEastAsia" w:cs="Times New Roman"/>
          <w:sz w:val="20"/>
          <w:szCs w:val="20"/>
          <w:lang w:val="fr-CA"/>
        </w:rPr>
        <w:fldChar w:fldCharType="end"/>
      </w: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p>
    <w:p w:rsidR="00BC01A8" w:rsidRPr="00BC01A8" w:rsidRDefault="00BC01A8" w:rsidP="00BC01A8">
      <w:pPr>
        <w:widowControl w:val="0"/>
        <w:autoSpaceDE w:val="0"/>
        <w:autoSpaceDN w:val="0"/>
        <w:adjustRightInd w:val="0"/>
        <w:spacing w:line="233" w:lineRule="auto"/>
        <w:jc w:val="both"/>
        <w:rPr>
          <w:rFonts w:eastAsiaTheme="minorEastAsia" w:cs="Times New Roman"/>
          <w:sz w:val="20"/>
          <w:szCs w:val="20"/>
          <w:lang w:val="fr-CA"/>
        </w:rPr>
      </w:pPr>
      <w:r w:rsidRPr="00BC01A8">
        <w:rPr>
          <w:rFonts w:eastAsiaTheme="minorEastAsia" w:cs="Times New Roman"/>
          <w:sz w:val="20"/>
          <w:szCs w:val="20"/>
          <w:lang w:val="fr-CA"/>
        </w:rPr>
        <w:t>Conformément à l’alinéa 59(1)</w:t>
      </w:r>
      <w:r w:rsidRPr="00BC01A8">
        <w:rPr>
          <w:rFonts w:eastAsiaTheme="minorEastAsia" w:cs="Times New Roman"/>
          <w:i/>
          <w:sz w:val="20"/>
          <w:szCs w:val="20"/>
          <w:lang w:val="fr-CA"/>
        </w:rPr>
        <w:t>a</w:t>
      </w:r>
      <w:r w:rsidRPr="00BC01A8">
        <w:rPr>
          <w:rFonts w:eastAsiaTheme="minorEastAsia" w:cs="Times New Roman"/>
          <w:sz w:val="20"/>
          <w:szCs w:val="20"/>
          <w:lang w:val="fr-CA"/>
        </w:rPr>
        <w:t xml:space="preserve">) des </w:t>
      </w:r>
      <w:r w:rsidRPr="00BC01A8">
        <w:rPr>
          <w:rFonts w:eastAsiaTheme="minorEastAsia" w:cs="Times New Roman"/>
          <w:i/>
          <w:sz w:val="20"/>
          <w:szCs w:val="20"/>
          <w:lang w:val="fr-CA"/>
        </w:rPr>
        <w:t>Règles de la Cour suprême du Canada</w:t>
      </w:r>
      <w:r w:rsidRPr="00BC01A8">
        <w:rPr>
          <w:rFonts w:eastAsiaTheme="minorEastAsia" w:cs="Times New Roman"/>
          <w:sz w:val="20"/>
          <w:szCs w:val="20"/>
          <w:lang w:val="fr-CA"/>
        </w:rPr>
        <w:t>, les intervenants paieront à l’appelant et à l’intimée tous débours supplémentaires résultant de leur intervention.</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5F2BA7" w:rsidP="00BC01A8">
      <w:pPr>
        <w:tabs>
          <w:tab w:val="left" w:pos="-1440"/>
          <w:tab w:val="left" w:pos="-720"/>
        </w:tabs>
        <w:jc w:val="both"/>
        <w:rPr>
          <w:rFonts w:eastAsia="Times New Roman" w:cs="Times New Roman"/>
          <w:sz w:val="20"/>
          <w:szCs w:val="20"/>
          <w:lang w:val="en-US" w:eastAsia="en-CA"/>
        </w:rPr>
      </w:pPr>
      <w:r w:rsidRPr="005F2BA7">
        <w:rPr>
          <w:rFonts w:eastAsia="Times New Roman" w:cs="Times New Roman"/>
          <w:sz w:val="20"/>
          <w:szCs w:val="20"/>
          <w:lang w:val="fr-CA" w:eastAsia="en-CA"/>
        </w:rPr>
        <w:pict>
          <v:rect id="_x0000_i1126" style="width:2in;height:1pt" o:hrpct="0" o:hralign="center" o:hrstd="t" o:hrnoshade="t" o:hr="t" fillcolor="black [3213]" stroked="f"/>
        </w:pic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09.08.2013</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Before / Devant :   ROTHSTEIN J. / LE JUGE ROTHSTEIN</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C01A8" w:rsidRPr="007C5A5B" w:rsidTr="00BC01A8">
        <w:tc>
          <w:tcPr>
            <w:tcW w:w="4338" w:type="dxa"/>
            <w:gridSpan w:val="2"/>
          </w:tcPr>
          <w:p w:rsidR="00BC01A8" w:rsidRPr="00BC01A8" w:rsidRDefault="00BC01A8" w:rsidP="00BC01A8">
            <w:pPr>
              <w:jc w:val="both"/>
              <w:rPr>
                <w:b/>
              </w:rPr>
            </w:pPr>
            <w:r w:rsidRPr="00BC01A8">
              <w:rPr>
                <w:b/>
                <w:lang w:val="en-US"/>
              </w:rPr>
              <w:t xml:space="preserve">Order on interventions with respect to oral argument </w:t>
            </w:r>
            <w:r w:rsidR="005F2BA7" w:rsidRPr="00BC01A8">
              <w:rPr>
                <w:b/>
                <w:lang w:val="en-US"/>
              </w:rPr>
              <w:fldChar w:fldCharType="begin"/>
            </w:r>
            <w:r w:rsidRPr="00BC01A8">
              <w:rPr>
                <w:b/>
              </w:rPr>
              <w:instrText xml:space="preserve"> SEQ CHAPTER \h \r 1</w:instrText>
            </w:r>
            <w:r w:rsidR="005F2BA7" w:rsidRPr="00BC01A8">
              <w:rPr>
                <w:b/>
                <w:lang w:val="en-US"/>
              </w:rPr>
              <w:fldChar w:fldCharType="end"/>
            </w:r>
          </w:p>
        </w:tc>
        <w:tc>
          <w:tcPr>
            <w:tcW w:w="1170" w:type="dxa"/>
          </w:tcPr>
          <w:p w:rsidR="00BC01A8" w:rsidRPr="00BC01A8" w:rsidRDefault="00BC01A8" w:rsidP="00BC01A8"/>
          <w:p w:rsidR="00BC01A8" w:rsidRPr="00BC01A8" w:rsidRDefault="00BC01A8" w:rsidP="00BC01A8"/>
          <w:p w:rsidR="00BC01A8" w:rsidRPr="00BC01A8" w:rsidRDefault="00BC01A8" w:rsidP="00BC01A8"/>
        </w:tc>
        <w:tc>
          <w:tcPr>
            <w:tcW w:w="4327" w:type="dxa"/>
          </w:tcPr>
          <w:p w:rsidR="00BC01A8" w:rsidRPr="00BC01A8" w:rsidRDefault="00BC01A8" w:rsidP="00BC01A8">
            <w:pPr>
              <w:jc w:val="both"/>
              <w:rPr>
                <w:b/>
                <w:lang w:val="fr-CA"/>
              </w:rPr>
            </w:pPr>
            <w:r w:rsidRPr="00BC01A8">
              <w:rPr>
                <w:b/>
                <w:lang w:val="fr-CA"/>
              </w:rPr>
              <w:t>Ordonnance relative à la présentation d’une plaidoirie orale par les intervenants</w:t>
            </w:r>
            <w:r w:rsidR="005F2BA7" w:rsidRPr="00BC01A8">
              <w:rPr>
                <w:b/>
                <w:lang w:val="en-US"/>
              </w:rPr>
              <w:fldChar w:fldCharType="begin"/>
            </w:r>
            <w:r w:rsidRPr="00BC01A8">
              <w:rPr>
                <w:b/>
                <w:lang w:val="fr-CA"/>
              </w:rPr>
              <w:instrText xml:space="preserve"> SEQ CHAPTER \h \r 1</w:instrText>
            </w:r>
            <w:r w:rsidR="005F2BA7" w:rsidRPr="00BC01A8">
              <w:rPr>
                <w:b/>
                <w:lang w:val="en-US"/>
              </w:rPr>
              <w:fldChar w:fldCharType="end"/>
            </w:r>
          </w:p>
        </w:tc>
      </w:tr>
      <w:tr w:rsidR="00BC01A8" w:rsidRPr="00BC01A8" w:rsidTr="00BC01A8">
        <w:tc>
          <w:tcPr>
            <w:tcW w:w="1368" w:type="dxa"/>
          </w:tcPr>
          <w:p w:rsidR="00BC01A8" w:rsidRPr="00BC01A8" w:rsidRDefault="00BC01A8" w:rsidP="00BC01A8">
            <w:r w:rsidRPr="00BC01A8">
              <w:t>RE:</w:t>
            </w:r>
          </w:p>
        </w:tc>
        <w:tc>
          <w:tcPr>
            <w:tcW w:w="2970" w:type="dxa"/>
          </w:tcPr>
          <w:p w:rsidR="00BC01A8" w:rsidRPr="00BC01A8" w:rsidRDefault="00BC01A8" w:rsidP="00BC01A8">
            <w:r w:rsidRPr="00BC01A8">
              <w:rPr>
                <w:lang w:val="en-US"/>
              </w:rPr>
              <w:t>Attorney General of Canada;</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Information and Privacy Commissioner of Alberta;</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Freedom of Information and Protection of Privacy Commissioner [Review Officer] for Nova Scotia and the Information and Privacy Commissioner of Prince Edward Island;</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British Columbia Freedom of Information and Privacy Association;</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Information and Privacy Commissioner of British Columbia;</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t>Canadian Civil Liberties Association;</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t>Attorney General of British Columbia</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r w:rsidRPr="00BC01A8">
              <w:t>IN / DANS :</w:t>
            </w:r>
          </w:p>
        </w:tc>
        <w:tc>
          <w:tcPr>
            <w:tcW w:w="2970" w:type="dxa"/>
          </w:tcPr>
          <w:p w:rsidR="00BC01A8" w:rsidRPr="00BC01A8" w:rsidRDefault="00BC01A8" w:rsidP="00BC01A8">
            <w:r w:rsidRPr="00BC01A8">
              <w:t>John Doe, Requester et al.</w:t>
            </w:r>
          </w:p>
          <w:p w:rsidR="00BC01A8" w:rsidRPr="00BC01A8" w:rsidRDefault="00BC01A8" w:rsidP="00BC01A8"/>
          <w:p w:rsidR="00BC01A8" w:rsidRPr="00BC01A8" w:rsidRDefault="00BC01A8" w:rsidP="00BC01A8">
            <w:r w:rsidRPr="00BC01A8">
              <w:tab/>
              <w:t>v. (34828)</w:t>
            </w:r>
          </w:p>
          <w:p w:rsidR="00BC01A8" w:rsidRPr="00BC01A8" w:rsidRDefault="00BC01A8" w:rsidP="00BC01A8"/>
          <w:p w:rsidR="00BC01A8" w:rsidRPr="00BC01A8" w:rsidRDefault="00BC01A8" w:rsidP="00BC01A8">
            <w:r w:rsidRPr="00BC01A8">
              <w:t>Minister of Finance for the Province of Ontario et al. (Ont.)</w:t>
            </w:r>
          </w:p>
        </w:tc>
        <w:tc>
          <w:tcPr>
            <w:tcW w:w="1170" w:type="dxa"/>
          </w:tcPr>
          <w:p w:rsidR="00BC01A8" w:rsidRPr="00BC01A8" w:rsidRDefault="00BC01A8" w:rsidP="00BC01A8"/>
        </w:tc>
        <w:tc>
          <w:tcPr>
            <w:tcW w:w="4327" w:type="dxa"/>
          </w:tcPr>
          <w:p w:rsidR="00BC01A8" w:rsidRPr="00BC01A8" w:rsidRDefault="00BC01A8" w:rsidP="00BC01A8"/>
        </w:tc>
      </w:tr>
    </w:tbl>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spacing w:line="230"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FURTHER TO THE ORDER</w:t>
      </w:r>
      <w:r w:rsidRPr="00BC01A8">
        <w:rPr>
          <w:rFonts w:eastAsia="Times New Roman" w:cs="Times New Roman"/>
          <w:sz w:val="20"/>
          <w:szCs w:val="20"/>
          <w:lang w:val="en-US" w:eastAsia="en-CA"/>
        </w:rPr>
        <w:t xml:space="preserve"> dated May 23, 2013, granting leave to intervene to the</w:t>
      </w:r>
      <w:r w:rsidRPr="00BC01A8">
        <w:rPr>
          <w:rFonts w:eastAsia="Times New Roman" w:cs="Times New Roman"/>
          <w:sz w:val="20"/>
          <w:szCs w:val="20"/>
          <w:lang w:eastAsia="en-CA"/>
        </w:rPr>
        <w:t xml:space="preserve"> </w:t>
      </w:r>
      <w:r w:rsidRPr="00BC01A8">
        <w:rPr>
          <w:rFonts w:eastAsia="Times New Roman" w:cs="Times New Roman"/>
          <w:sz w:val="20"/>
          <w:szCs w:val="20"/>
          <w:lang w:val="en-US" w:eastAsia="en-CA"/>
        </w:rPr>
        <w:t xml:space="preserve">Attorney General of Canada, </w:t>
      </w:r>
      <w:r w:rsidRPr="00BC01A8">
        <w:rPr>
          <w:rFonts w:eastAsia="Times New Roman" w:cs="Times New Roman"/>
          <w:sz w:val="20"/>
          <w:szCs w:val="20"/>
          <w:lang w:eastAsia="en-CA"/>
        </w:rPr>
        <w:t xml:space="preserve">the </w:t>
      </w:r>
      <w:r w:rsidRPr="00BC01A8">
        <w:rPr>
          <w:rFonts w:eastAsia="Times New Roman" w:cs="Times New Roman"/>
          <w:sz w:val="20"/>
          <w:szCs w:val="20"/>
          <w:lang w:val="en-US" w:eastAsia="en-CA"/>
        </w:rPr>
        <w:t xml:space="preserve">Information and Privacy Commissioner of Alberta, Freedom of Information and Protection of Privacy Commissioner [Review Officer] for Nova Scotia and the Information and Privacy Commissioner of Prince Edward Island, </w:t>
      </w:r>
      <w:r w:rsidRPr="00BC01A8">
        <w:rPr>
          <w:rFonts w:eastAsia="Times New Roman" w:cs="Times New Roman"/>
          <w:sz w:val="20"/>
          <w:szCs w:val="20"/>
          <w:lang w:eastAsia="en-CA"/>
        </w:rPr>
        <w:t xml:space="preserve">the </w:t>
      </w:r>
      <w:r w:rsidRPr="00BC01A8">
        <w:rPr>
          <w:rFonts w:eastAsia="Times New Roman" w:cs="Times New Roman"/>
          <w:sz w:val="20"/>
          <w:szCs w:val="20"/>
          <w:lang w:val="en-US" w:eastAsia="en-CA"/>
        </w:rPr>
        <w:t xml:space="preserve">British Columbia Freedom of Information and Privacy Association, </w:t>
      </w:r>
      <w:r w:rsidRPr="00BC01A8">
        <w:rPr>
          <w:rFonts w:eastAsia="Times New Roman" w:cs="Times New Roman"/>
          <w:sz w:val="20"/>
          <w:szCs w:val="20"/>
          <w:lang w:eastAsia="en-CA"/>
        </w:rPr>
        <w:t xml:space="preserve">the </w:t>
      </w:r>
      <w:r w:rsidRPr="00BC01A8">
        <w:rPr>
          <w:rFonts w:eastAsia="Times New Roman" w:cs="Times New Roman"/>
          <w:sz w:val="20"/>
          <w:szCs w:val="20"/>
          <w:lang w:val="en-US" w:eastAsia="en-CA"/>
        </w:rPr>
        <w:t xml:space="preserve">Information and Privacy Commissioner of British Columbia, </w:t>
      </w:r>
      <w:r w:rsidRPr="00BC01A8">
        <w:rPr>
          <w:rFonts w:eastAsia="Times New Roman" w:cs="Times New Roman"/>
          <w:sz w:val="20"/>
          <w:szCs w:val="20"/>
          <w:lang w:eastAsia="en-CA"/>
        </w:rPr>
        <w:t>the Canadian Civil Liberties Association and the Attorney General of British Columbia;</w:t>
      </w:r>
    </w:p>
    <w:p w:rsidR="00BC01A8" w:rsidRPr="00BC01A8" w:rsidRDefault="00BC01A8" w:rsidP="00BC01A8">
      <w:pPr>
        <w:spacing w:line="230" w:lineRule="auto"/>
        <w:jc w:val="both"/>
        <w:rPr>
          <w:rFonts w:eastAsia="Times New Roman" w:cs="Times New Roman"/>
          <w:sz w:val="20"/>
          <w:szCs w:val="20"/>
          <w:lang w:val="en-US" w:eastAsia="en-CA"/>
        </w:rPr>
      </w:pPr>
    </w:p>
    <w:p w:rsidR="00BC01A8" w:rsidRPr="00BC01A8" w:rsidRDefault="00BC01A8" w:rsidP="00BC01A8">
      <w:pPr>
        <w:spacing w:line="230"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 xml:space="preserve">IT IS HEREBY FURTHER ORDERED THAT </w:t>
      </w:r>
      <w:r w:rsidRPr="00BC01A8">
        <w:rPr>
          <w:rFonts w:eastAsia="Times New Roman" w:cs="Times New Roman"/>
          <w:bCs/>
          <w:sz w:val="20"/>
          <w:szCs w:val="20"/>
          <w:lang w:val="en-US" w:eastAsia="en-CA"/>
        </w:rPr>
        <w:t>the said</w:t>
      </w:r>
      <w:r w:rsidRPr="00BC01A8">
        <w:rPr>
          <w:rFonts w:eastAsia="Times New Roman" w:cs="Times New Roman"/>
          <w:sz w:val="20"/>
          <w:szCs w:val="20"/>
          <w:lang w:val="en-US" w:eastAsia="en-CA"/>
        </w:rPr>
        <w:t xml:space="preserve"> six groups of interveners are </w:t>
      </w:r>
      <w:proofErr w:type="gramStart"/>
      <w:r w:rsidRPr="00BC01A8">
        <w:rPr>
          <w:rFonts w:eastAsia="Times New Roman" w:cs="Times New Roman"/>
          <w:sz w:val="20"/>
          <w:szCs w:val="20"/>
          <w:lang w:val="en-US" w:eastAsia="en-CA"/>
        </w:rPr>
        <w:t>each granted permission</w:t>
      </w:r>
      <w:proofErr w:type="gramEnd"/>
      <w:r w:rsidRPr="00BC01A8">
        <w:rPr>
          <w:rFonts w:eastAsia="Times New Roman" w:cs="Times New Roman"/>
          <w:sz w:val="20"/>
          <w:szCs w:val="20"/>
          <w:lang w:val="en-US" w:eastAsia="en-CA"/>
        </w:rPr>
        <w:t xml:space="preserve"> to present oral argument not exceeding ten (10) minutes at the hearing of the appeal.</w:t>
      </w:r>
    </w:p>
    <w:p w:rsidR="00BC01A8" w:rsidRPr="00BC01A8" w:rsidRDefault="00BC01A8" w:rsidP="00BC01A8">
      <w:pPr>
        <w:tabs>
          <w:tab w:val="left" w:pos="-1440"/>
          <w:tab w:val="left" w:pos="-720"/>
        </w:tabs>
        <w:jc w:val="both"/>
        <w:rPr>
          <w:rFonts w:eastAsia="Times New Roman" w:cs="Times New Roman"/>
          <w:sz w:val="20"/>
          <w:szCs w:val="20"/>
          <w:lang w:val="en-US" w:eastAsia="en-CA"/>
        </w:rPr>
      </w:pPr>
    </w:p>
    <w:p w:rsidR="00BC01A8" w:rsidRPr="00BC01A8" w:rsidRDefault="00BC01A8" w:rsidP="00BC01A8">
      <w:pPr>
        <w:tabs>
          <w:tab w:val="left" w:pos="-1440"/>
          <w:tab w:val="left" w:pos="-720"/>
        </w:tabs>
        <w:jc w:val="both"/>
        <w:rPr>
          <w:rFonts w:eastAsia="Times New Roman" w:cs="Times New Roman"/>
          <w:sz w:val="20"/>
          <w:szCs w:val="20"/>
          <w:lang w:val="en-US" w:eastAsia="en-CA"/>
        </w:rPr>
      </w:pPr>
    </w:p>
    <w:p w:rsidR="00BC01A8" w:rsidRPr="00BC01A8" w:rsidRDefault="00BC01A8" w:rsidP="00BC01A8">
      <w:pPr>
        <w:tabs>
          <w:tab w:val="left" w:pos="-1440"/>
          <w:tab w:val="left" w:pos="-720"/>
        </w:tabs>
        <w:jc w:val="both"/>
        <w:rPr>
          <w:rFonts w:eastAsia="Times New Roman" w:cs="Times New Roman"/>
          <w:sz w:val="20"/>
          <w:szCs w:val="20"/>
          <w:lang w:val="en-US" w:eastAsia="en-CA"/>
        </w:rPr>
      </w:pPr>
    </w:p>
    <w:p w:rsidR="00BC01A8" w:rsidRPr="00BC01A8" w:rsidRDefault="00BC01A8" w:rsidP="00BC01A8">
      <w:pPr>
        <w:spacing w:line="230" w:lineRule="auto"/>
        <w:jc w:val="both"/>
        <w:rPr>
          <w:rFonts w:eastAsia="Times New Roman" w:cs="Times New Roman"/>
          <w:sz w:val="20"/>
          <w:szCs w:val="20"/>
          <w:lang w:eastAsia="en-CA"/>
        </w:rPr>
      </w:pPr>
      <w:r w:rsidRPr="00BC01A8">
        <w:rPr>
          <w:rFonts w:eastAsia="Times New Roman" w:cs="Times New Roman"/>
          <w:b/>
          <w:bCs/>
          <w:sz w:val="20"/>
          <w:szCs w:val="20"/>
          <w:lang w:eastAsia="en-CA"/>
        </w:rPr>
        <w:t>À LA SUITE DE L’ORDONNANCE</w:t>
      </w:r>
      <w:r w:rsidRPr="00BC01A8">
        <w:rPr>
          <w:rFonts w:eastAsia="Times New Roman" w:cs="Times New Roman"/>
          <w:sz w:val="20"/>
          <w:szCs w:val="20"/>
          <w:lang w:eastAsia="en-CA"/>
        </w:rPr>
        <w:t xml:space="preserve"> datée du 23 mai 2013 autorisant le procureur général du Canada, l’Information and Privacy Commissioner of Alberta, le Freedom of Information and Protection of Privacy Commissioner [Review Officer] for Nova Scotia et l’Information and Privacy Commissioner of Prince Edward Island, la British Columbia Freedom of Information and Privacy Association, l’Information and Privacy Commissioner of British Columbia, l’Association canadienne des libertés civiles et le procureur général de la Colombie-Britannique à intervenir dans l’appel;</w:t>
      </w:r>
    </w:p>
    <w:p w:rsidR="00BC01A8" w:rsidRPr="00BC01A8" w:rsidRDefault="00BC01A8" w:rsidP="00BC01A8">
      <w:pPr>
        <w:spacing w:line="230" w:lineRule="auto"/>
        <w:jc w:val="both"/>
        <w:rPr>
          <w:rFonts w:eastAsia="Times New Roman" w:cs="Times New Roman"/>
          <w:sz w:val="20"/>
          <w:szCs w:val="20"/>
          <w:lang w:eastAsia="en-CA"/>
        </w:rPr>
      </w:pPr>
    </w:p>
    <w:p w:rsidR="00BC01A8" w:rsidRPr="00BC01A8" w:rsidRDefault="00BC01A8" w:rsidP="00BC01A8">
      <w:pPr>
        <w:spacing w:line="230" w:lineRule="auto"/>
        <w:jc w:val="both"/>
        <w:rPr>
          <w:rFonts w:eastAsia="Times New Roman" w:cs="Times New Roman"/>
          <w:sz w:val="20"/>
          <w:szCs w:val="20"/>
          <w:lang w:val="fr-CA" w:eastAsia="en-CA"/>
        </w:rPr>
      </w:pPr>
      <w:r w:rsidRPr="00BC01A8">
        <w:rPr>
          <w:rFonts w:eastAsia="Times New Roman" w:cs="Times New Roman"/>
          <w:b/>
          <w:bCs/>
          <w:sz w:val="20"/>
          <w:szCs w:val="20"/>
          <w:lang w:val="fr-CA" w:eastAsia="en-CA"/>
        </w:rPr>
        <w:t xml:space="preserve">IL EST EN OUTRE ORDONNÉ QUE : </w:t>
      </w:r>
      <w:r w:rsidRPr="00BC01A8">
        <w:rPr>
          <w:rFonts w:eastAsia="Times New Roman" w:cs="Times New Roman"/>
          <w:bCs/>
          <w:sz w:val="20"/>
          <w:szCs w:val="20"/>
          <w:lang w:val="fr-CA" w:eastAsia="en-CA"/>
        </w:rPr>
        <w:t>les six intervenants ou groupes d’intervenants sont autorisés à présenter chacun une plaidoirie orale d’au plus dix (10) minutes lors de l’audition de l’appel.</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5F2BA7" w:rsidP="00BC01A8">
      <w:pPr>
        <w:tabs>
          <w:tab w:val="left" w:pos="-1440"/>
          <w:tab w:val="left" w:pos="-720"/>
        </w:tabs>
        <w:jc w:val="both"/>
        <w:rPr>
          <w:rFonts w:eastAsia="Times New Roman" w:cs="Times New Roman"/>
          <w:sz w:val="20"/>
          <w:szCs w:val="20"/>
          <w:lang w:val="fr-CA" w:eastAsia="en-CA"/>
        </w:rPr>
      </w:pPr>
      <w:r w:rsidRPr="005F2BA7">
        <w:rPr>
          <w:rFonts w:eastAsia="Times New Roman" w:cs="Times New Roman"/>
          <w:sz w:val="20"/>
          <w:szCs w:val="20"/>
          <w:lang w:val="fr-CA" w:eastAsia="en-CA"/>
        </w:rPr>
        <w:pict>
          <v:rect id="_x0000_i1127" style="width:2in;height:1pt" o:hrpct="0" o:hralign="center" o:hrstd="t" o:hrnoshade="t" o:hr="t" fillcolor="black [3213]" stroked="f"/>
        </w:pict>
      </w:r>
    </w:p>
    <w:p w:rsid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09.08.2013</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Before / Devant :   ROTHSTEIN J. / LE JUGE ROTHSTEIN</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C01A8" w:rsidRPr="007C5A5B" w:rsidTr="00BC01A8">
        <w:tc>
          <w:tcPr>
            <w:tcW w:w="4338" w:type="dxa"/>
            <w:gridSpan w:val="2"/>
          </w:tcPr>
          <w:p w:rsidR="00BC01A8" w:rsidRPr="00BC01A8" w:rsidRDefault="00BC01A8" w:rsidP="00BC01A8">
            <w:pPr>
              <w:jc w:val="both"/>
              <w:rPr>
                <w:b/>
              </w:rPr>
            </w:pPr>
            <w:r w:rsidRPr="00BC01A8">
              <w:rPr>
                <w:b/>
                <w:lang w:val="en-US"/>
              </w:rPr>
              <w:t xml:space="preserve">Order on interventions with respect to oral argument </w:t>
            </w:r>
            <w:r w:rsidR="005F2BA7" w:rsidRPr="00BC01A8">
              <w:rPr>
                <w:b/>
                <w:lang w:val="en-US"/>
              </w:rPr>
              <w:fldChar w:fldCharType="begin"/>
            </w:r>
            <w:r w:rsidRPr="00BC01A8">
              <w:rPr>
                <w:b/>
              </w:rPr>
              <w:instrText xml:space="preserve"> SEQ CHAPTER \h \r 1</w:instrText>
            </w:r>
            <w:r w:rsidR="005F2BA7" w:rsidRPr="00BC01A8">
              <w:rPr>
                <w:b/>
                <w:lang w:val="en-US"/>
              </w:rPr>
              <w:fldChar w:fldCharType="end"/>
            </w:r>
          </w:p>
        </w:tc>
        <w:tc>
          <w:tcPr>
            <w:tcW w:w="1170" w:type="dxa"/>
          </w:tcPr>
          <w:p w:rsidR="00BC01A8" w:rsidRPr="00BC01A8" w:rsidRDefault="00BC01A8" w:rsidP="00BC01A8"/>
          <w:p w:rsidR="00BC01A8" w:rsidRPr="00BC01A8" w:rsidRDefault="00BC01A8" w:rsidP="00BC01A8"/>
          <w:p w:rsidR="00BC01A8" w:rsidRPr="00BC01A8" w:rsidRDefault="00BC01A8" w:rsidP="00BC01A8"/>
        </w:tc>
        <w:tc>
          <w:tcPr>
            <w:tcW w:w="4327" w:type="dxa"/>
          </w:tcPr>
          <w:p w:rsidR="00BC01A8" w:rsidRPr="00BC01A8" w:rsidRDefault="00BC01A8" w:rsidP="00BC01A8">
            <w:pPr>
              <w:jc w:val="both"/>
              <w:rPr>
                <w:b/>
                <w:lang w:val="fr-CA"/>
              </w:rPr>
            </w:pPr>
            <w:r w:rsidRPr="00BC01A8">
              <w:rPr>
                <w:b/>
                <w:lang w:val="fr-CA"/>
              </w:rPr>
              <w:t>Ordonnance relative à la présentation d’une plaidoirie orale par les intervenants</w:t>
            </w:r>
            <w:r w:rsidR="005F2BA7" w:rsidRPr="00BC01A8">
              <w:rPr>
                <w:b/>
                <w:lang w:val="en-US"/>
              </w:rPr>
              <w:fldChar w:fldCharType="begin"/>
            </w:r>
            <w:r w:rsidRPr="00BC01A8">
              <w:rPr>
                <w:b/>
                <w:lang w:val="fr-CA"/>
              </w:rPr>
              <w:instrText xml:space="preserve"> SEQ CHAPTER \h \r 1</w:instrText>
            </w:r>
            <w:r w:rsidR="005F2BA7" w:rsidRPr="00BC01A8">
              <w:rPr>
                <w:b/>
                <w:lang w:val="en-US"/>
              </w:rPr>
              <w:fldChar w:fldCharType="end"/>
            </w:r>
          </w:p>
        </w:tc>
      </w:tr>
      <w:tr w:rsidR="00BC01A8" w:rsidRPr="00BC01A8" w:rsidTr="00BC01A8">
        <w:tc>
          <w:tcPr>
            <w:tcW w:w="1368" w:type="dxa"/>
          </w:tcPr>
          <w:p w:rsidR="00BC01A8" w:rsidRPr="00BC01A8" w:rsidRDefault="00BC01A8" w:rsidP="00BC01A8">
            <w:r w:rsidRPr="00BC01A8">
              <w:t>RE:</w:t>
            </w:r>
          </w:p>
        </w:tc>
        <w:tc>
          <w:tcPr>
            <w:tcW w:w="2970" w:type="dxa"/>
          </w:tcPr>
          <w:p w:rsidR="00BC01A8" w:rsidRPr="00BC01A8" w:rsidRDefault="00BC01A8" w:rsidP="00BC01A8">
            <w:r w:rsidRPr="00BC01A8">
              <w:rPr>
                <w:lang w:val="en-US"/>
              </w:rPr>
              <w:t>Canadian Association of Elizabeth Fry Societies and John Howard Society of Canada;</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Canadian Civil Liberties Association;</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r w:rsidRPr="00BC01A8">
              <w:rPr>
                <w:lang w:val="en-US"/>
              </w:rPr>
              <w:t>British Columbia Civil Liberties Association</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r w:rsidRPr="00BC01A8">
              <w:t>IN / DANS :</w:t>
            </w:r>
          </w:p>
        </w:tc>
        <w:tc>
          <w:tcPr>
            <w:tcW w:w="2970" w:type="dxa"/>
          </w:tcPr>
          <w:p w:rsidR="00BC01A8" w:rsidRPr="00BC01A8" w:rsidRDefault="00BC01A8" w:rsidP="00BC01A8">
            <w:r w:rsidRPr="00BC01A8">
              <w:t>Diane Knopf, Warden of Mission Institution et al.</w:t>
            </w:r>
          </w:p>
          <w:p w:rsidR="00BC01A8" w:rsidRPr="00BC01A8" w:rsidRDefault="00BC01A8" w:rsidP="00BC01A8"/>
          <w:p w:rsidR="00BC01A8" w:rsidRPr="00BC01A8" w:rsidRDefault="00BC01A8" w:rsidP="00BC01A8">
            <w:pPr>
              <w:rPr>
                <w:lang w:val="fr-CA"/>
              </w:rPr>
            </w:pPr>
            <w:r w:rsidRPr="00BC01A8">
              <w:tab/>
            </w:r>
            <w:r w:rsidRPr="00BC01A8">
              <w:rPr>
                <w:lang w:val="fr-CA"/>
              </w:rPr>
              <w:t>v. (34609)</w:t>
            </w:r>
          </w:p>
          <w:p w:rsidR="00BC01A8" w:rsidRPr="00BC01A8" w:rsidRDefault="00BC01A8" w:rsidP="00BC01A8">
            <w:pPr>
              <w:rPr>
                <w:lang w:val="fr-CA"/>
              </w:rPr>
            </w:pPr>
          </w:p>
          <w:p w:rsidR="00BC01A8" w:rsidRPr="00BC01A8" w:rsidRDefault="00BC01A8" w:rsidP="00BC01A8">
            <w:pPr>
              <w:rPr>
                <w:lang w:val="fr-CA"/>
              </w:rPr>
            </w:pPr>
            <w:r w:rsidRPr="00BC01A8">
              <w:rPr>
                <w:lang w:val="fr-CA"/>
              </w:rPr>
              <w:t>Gurkirpal Singh Khela (Crim.) (B.C.)</w:t>
            </w:r>
          </w:p>
        </w:tc>
        <w:tc>
          <w:tcPr>
            <w:tcW w:w="1170" w:type="dxa"/>
          </w:tcPr>
          <w:p w:rsidR="00BC01A8" w:rsidRPr="00BC01A8" w:rsidRDefault="00BC01A8" w:rsidP="00BC01A8">
            <w:pPr>
              <w:rPr>
                <w:lang w:val="fr-CA"/>
              </w:rPr>
            </w:pPr>
          </w:p>
        </w:tc>
        <w:tc>
          <w:tcPr>
            <w:tcW w:w="4327" w:type="dxa"/>
          </w:tcPr>
          <w:p w:rsidR="00BC01A8" w:rsidRPr="00BC01A8" w:rsidRDefault="00BC01A8" w:rsidP="00BC01A8">
            <w:pPr>
              <w:rPr>
                <w:lang w:val="fr-CA"/>
              </w:rPr>
            </w:pPr>
          </w:p>
        </w:tc>
      </w:tr>
    </w:tbl>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spacing w:line="230"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FURTHER TO THE ORDER</w:t>
      </w:r>
      <w:r w:rsidRPr="00BC01A8">
        <w:rPr>
          <w:rFonts w:eastAsia="Times New Roman" w:cs="Times New Roman"/>
          <w:sz w:val="20"/>
          <w:szCs w:val="20"/>
          <w:lang w:val="en-US" w:eastAsia="en-CA"/>
        </w:rPr>
        <w:t xml:space="preserve"> dated May 22, 2013, granting leave to intervene to</w:t>
      </w:r>
      <w:r w:rsidRPr="00BC01A8">
        <w:rPr>
          <w:rFonts w:eastAsia="Times New Roman" w:cs="Times New Roman"/>
          <w:sz w:val="20"/>
          <w:szCs w:val="20"/>
          <w:lang w:eastAsia="en-CA"/>
        </w:rPr>
        <w:t xml:space="preserve"> the</w:t>
      </w:r>
      <w:r w:rsidRPr="00BC01A8">
        <w:rPr>
          <w:rFonts w:eastAsia="Times New Roman" w:cs="Times New Roman"/>
          <w:sz w:val="20"/>
          <w:szCs w:val="20"/>
          <w:lang w:val="en-US" w:eastAsia="en-CA"/>
        </w:rPr>
        <w:t xml:space="preserve"> Canadian Association of Elizabeth Fry Societies and John Howard Society of Canada, the Canadian Civil Liberties Association and the British Columbia Civil Liberties Association;</w:t>
      </w:r>
    </w:p>
    <w:p w:rsidR="00BC01A8" w:rsidRPr="00BC01A8" w:rsidRDefault="00BC01A8" w:rsidP="00BC01A8">
      <w:pPr>
        <w:spacing w:line="230" w:lineRule="auto"/>
        <w:jc w:val="both"/>
        <w:rPr>
          <w:rFonts w:eastAsia="Times New Roman" w:cs="Times New Roman"/>
          <w:sz w:val="20"/>
          <w:szCs w:val="20"/>
          <w:lang w:val="en-US" w:eastAsia="en-CA"/>
        </w:rPr>
      </w:pPr>
    </w:p>
    <w:p w:rsidR="00BC01A8" w:rsidRPr="00BC01A8" w:rsidRDefault="00BC01A8" w:rsidP="00BC01A8">
      <w:pPr>
        <w:spacing w:line="230"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 xml:space="preserve">IT IS HEREBY FURTHER ORDERED THAT </w:t>
      </w:r>
      <w:r w:rsidRPr="00BC01A8">
        <w:rPr>
          <w:rFonts w:eastAsia="Times New Roman" w:cs="Times New Roman"/>
          <w:sz w:val="20"/>
          <w:szCs w:val="20"/>
          <w:lang w:val="en-US" w:eastAsia="en-CA"/>
        </w:rPr>
        <w:t xml:space="preserve">the said three interveners are </w:t>
      </w:r>
      <w:proofErr w:type="gramStart"/>
      <w:r w:rsidRPr="00BC01A8">
        <w:rPr>
          <w:rFonts w:eastAsia="Times New Roman" w:cs="Times New Roman"/>
          <w:sz w:val="20"/>
          <w:szCs w:val="20"/>
          <w:lang w:val="en-US" w:eastAsia="en-CA"/>
        </w:rPr>
        <w:t>each granted permission</w:t>
      </w:r>
      <w:proofErr w:type="gramEnd"/>
      <w:r w:rsidRPr="00BC01A8">
        <w:rPr>
          <w:rFonts w:eastAsia="Times New Roman" w:cs="Times New Roman"/>
          <w:sz w:val="20"/>
          <w:szCs w:val="20"/>
          <w:lang w:val="en-US" w:eastAsia="en-CA"/>
        </w:rPr>
        <w:t xml:space="preserve"> to present oral argument not exceeding ten (10) minutes at the hearing of the appeal.</w:t>
      </w:r>
    </w:p>
    <w:p w:rsidR="00BC01A8" w:rsidRPr="00BC01A8" w:rsidRDefault="00BC01A8" w:rsidP="00BC01A8">
      <w:pPr>
        <w:spacing w:line="233" w:lineRule="auto"/>
        <w:jc w:val="both"/>
        <w:rPr>
          <w:rFonts w:eastAsia="Times New Roman" w:cs="Times New Roman"/>
          <w:b/>
          <w:bCs/>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0" w:lineRule="auto"/>
        <w:jc w:val="both"/>
        <w:rPr>
          <w:rFonts w:eastAsia="Times New Roman" w:cs="Times New Roman"/>
          <w:sz w:val="20"/>
          <w:szCs w:val="20"/>
          <w:lang w:val="fr-CA" w:eastAsia="en-CA"/>
        </w:rPr>
      </w:pPr>
      <w:r w:rsidRPr="00BC01A8">
        <w:rPr>
          <w:rFonts w:eastAsia="Times New Roman" w:cs="Times New Roman"/>
          <w:b/>
          <w:bCs/>
          <w:sz w:val="20"/>
          <w:szCs w:val="20"/>
          <w:lang w:val="fr-CA" w:eastAsia="en-CA"/>
        </w:rPr>
        <w:t xml:space="preserve">À LA SUITE DE L’ORDONNANCE </w:t>
      </w:r>
      <w:r w:rsidRPr="00BC01A8">
        <w:rPr>
          <w:rFonts w:eastAsia="Times New Roman" w:cs="Times New Roman"/>
          <w:sz w:val="20"/>
          <w:szCs w:val="20"/>
          <w:lang w:val="fr-CA" w:eastAsia="en-CA"/>
        </w:rPr>
        <w:t>datée du 22 mai 2013 accordant l’autorisation d’intervenir à l’Association canadienne des Sociétés Elizabeth Fry et à la Société John Howard du Canada, à l’Association canadienne des libertés civiles et à l’Association des libertés civiles de la Colombie-Britannique;</w:t>
      </w:r>
    </w:p>
    <w:p w:rsidR="00BC01A8" w:rsidRPr="00BC01A8" w:rsidRDefault="00BC01A8" w:rsidP="00BC01A8">
      <w:pPr>
        <w:spacing w:line="230" w:lineRule="auto"/>
        <w:jc w:val="both"/>
        <w:rPr>
          <w:rFonts w:eastAsia="Times New Roman" w:cs="Times New Roman"/>
          <w:sz w:val="20"/>
          <w:szCs w:val="20"/>
          <w:lang w:val="fr-CA" w:eastAsia="en-CA"/>
        </w:rPr>
      </w:pPr>
    </w:p>
    <w:p w:rsidR="00BC01A8" w:rsidRPr="00BC01A8" w:rsidRDefault="00BC01A8" w:rsidP="00BC01A8">
      <w:pPr>
        <w:spacing w:line="233" w:lineRule="auto"/>
        <w:rPr>
          <w:rFonts w:eastAsia="Times New Roman" w:cs="Times New Roman"/>
          <w:b/>
          <w:bCs/>
          <w:sz w:val="20"/>
          <w:szCs w:val="20"/>
          <w:lang w:val="fr-CA" w:eastAsia="en-CA"/>
        </w:rPr>
      </w:pPr>
      <w:r w:rsidRPr="00BC01A8">
        <w:rPr>
          <w:rFonts w:eastAsia="Times New Roman" w:cs="Times New Roman"/>
          <w:b/>
          <w:bCs/>
          <w:sz w:val="20"/>
          <w:szCs w:val="20"/>
          <w:lang w:val="fr-CA" w:eastAsia="en-CA"/>
        </w:rPr>
        <w:t>Il EST PAR LA PRÉSENTE ORDONNÉ CE QUI SUIT :</w:t>
      </w:r>
    </w:p>
    <w:p w:rsidR="00BC01A8" w:rsidRPr="00BC01A8" w:rsidRDefault="00BC01A8" w:rsidP="00BC01A8">
      <w:pPr>
        <w:spacing w:line="233" w:lineRule="auto"/>
        <w:rPr>
          <w:rFonts w:eastAsia="Times New Roman" w:cs="Times New Roman"/>
          <w:sz w:val="20"/>
          <w:szCs w:val="20"/>
          <w:lang w:val="fr-CA" w:eastAsia="en-CA"/>
        </w:rPr>
      </w:pPr>
    </w:p>
    <w:p w:rsidR="00BC01A8" w:rsidRPr="00BC01A8" w:rsidRDefault="00BC01A8" w:rsidP="00BC01A8">
      <w:pPr>
        <w:spacing w:line="233" w:lineRule="auto"/>
        <w:rPr>
          <w:rFonts w:eastAsia="Times New Roman" w:cs="Times New Roman"/>
          <w:sz w:val="20"/>
          <w:szCs w:val="20"/>
          <w:lang w:val="fr-CA" w:eastAsia="en-CA"/>
        </w:rPr>
      </w:pPr>
      <w:r w:rsidRPr="00BC01A8">
        <w:rPr>
          <w:rFonts w:eastAsia="Times New Roman" w:cs="Times New Roman"/>
          <w:sz w:val="20"/>
          <w:szCs w:val="20"/>
          <w:lang w:val="fr-CA" w:eastAsia="en-CA"/>
        </w:rPr>
        <w:t>Chacune des trois intervenantes a l’autorisation de présenter une plaidoirie orale d’au plus dix (10) minutes lors de l’audition de l’appel.</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5F2BA7" w:rsidP="00BC01A8">
      <w:pPr>
        <w:tabs>
          <w:tab w:val="left" w:pos="-1440"/>
          <w:tab w:val="left" w:pos="-720"/>
        </w:tabs>
        <w:jc w:val="both"/>
        <w:rPr>
          <w:rFonts w:eastAsia="Times New Roman" w:cs="Times New Roman"/>
          <w:sz w:val="20"/>
          <w:szCs w:val="20"/>
          <w:lang w:val="fr-CA" w:eastAsia="en-CA"/>
        </w:rPr>
      </w:pPr>
      <w:r w:rsidRPr="005F2BA7">
        <w:rPr>
          <w:rFonts w:eastAsia="Times New Roman" w:cs="Times New Roman"/>
          <w:sz w:val="20"/>
          <w:szCs w:val="20"/>
          <w:lang w:val="fr-CA" w:eastAsia="en-CA"/>
        </w:rPr>
        <w:pict>
          <v:rect id="_x0000_i1128" style="width:2in;height:1pt" o:hrpct="0" o:hralign="center" o:hrstd="t" o:hrnoshade="t" o:hr="t" fillcolor="black [3213]" stroked="f"/>
        </w:pic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387EB5" w:rsidRDefault="00387EB5">
      <w:pPr>
        <w:rPr>
          <w:rFonts w:eastAsia="Times New Roman" w:cs="Times New Roman"/>
          <w:sz w:val="20"/>
          <w:szCs w:val="20"/>
          <w:lang w:val="fr-CA" w:eastAsia="en-CA"/>
        </w:rPr>
      </w:pPr>
      <w:r>
        <w:rPr>
          <w:rFonts w:eastAsia="Times New Roman" w:cs="Times New Roman"/>
          <w:sz w:val="20"/>
          <w:szCs w:val="20"/>
          <w:lang w:val="fr-CA" w:eastAsia="en-CA"/>
        </w:rPr>
        <w:br w:type="page"/>
      </w:r>
    </w:p>
    <w:p w:rsidR="00387EB5" w:rsidRPr="00BC01A8" w:rsidRDefault="00387EB5" w:rsidP="00387EB5">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09.08.2013</w:t>
      </w:r>
    </w:p>
    <w:p w:rsidR="00387EB5" w:rsidRPr="00BC01A8" w:rsidRDefault="00387EB5" w:rsidP="00387EB5">
      <w:pPr>
        <w:tabs>
          <w:tab w:val="left" w:pos="-1440"/>
          <w:tab w:val="left" w:pos="-720"/>
        </w:tabs>
        <w:jc w:val="both"/>
        <w:rPr>
          <w:rFonts w:eastAsia="Times New Roman" w:cs="Times New Roman"/>
          <w:sz w:val="20"/>
          <w:szCs w:val="20"/>
          <w:lang w:val="fr-CA" w:eastAsia="en-CA"/>
        </w:rPr>
      </w:pPr>
    </w:p>
    <w:p w:rsidR="00387EB5" w:rsidRPr="00BC01A8" w:rsidRDefault="00387EB5" w:rsidP="00387EB5">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Before / Devant :   ROTHSTEIN J. / LE JUGE ROTHSTEIN</w:t>
      </w:r>
    </w:p>
    <w:p w:rsidR="00387EB5" w:rsidRPr="00BC01A8" w:rsidRDefault="00387EB5" w:rsidP="00387EB5">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87EB5" w:rsidRPr="007C5A5B" w:rsidTr="004C70A1">
        <w:tc>
          <w:tcPr>
            <w:tcW w:w="4338" w:type="dxa"/>
            <w:gridSpan w:val="2"/>
          </w:tcPr>
          <w:p w:rsidR="00387EB5" w:rsidRPr="00BC01A8" w:rsidRDefault="00387EB5" w:rsidP="004C70A1">
            <w:pPr>
              <w:jc w:val="both"/>
              <w:rPr>
                <w:b/>
              </w:rPr>
            </w:pPr>
            <w:r w:rsidRPr="00BC01A8">
              <w:rPr>
                <w:b/>
                <w:lang w:val="en-US"/>
              </w:rPr>
              <w:t xml:space="preserve">Order on interventions with respect to oral argument </w:t>
            </w:r>
            <w:r w:rsidR="005F2BA7" w:rsidRPr="00BC01A8">
              <w:rPr>
                <w:b/>
                <w:lang w:val="en-US"/>
              </w:rPr>
              <w:fldChar w:fldCharType="begin"/>
            </w:r>
            <w:r w:rsidRPr="00BC01A8">
              <w:rPr>
                <w:b/>
              </w:rPr>
              <w:instrText xml:space="preserve"> SEQ CHAPTER \h \r 1</w:instrText>
            </w:r>
            <w:r w:rsidR="005F2BA7" w:rsidRPr="00BC01A8">
              <w:rPr>
                <w:b/>
                <w:lang w:val="en-US"/>
              </w:rPr>
              <w:fldChar w:fldCharType="end"/>
            </w:r>
          </w:p>
        </w:tc>
        <w:tc>
          <w:tcPr>
            <w:tcW w:w="1170" w:type="dxa"/>
          </w:tcPr>
          <w:p w:rsidR="00387EB5" w:rsidRPr="00BC01A8" w:rsidRDefault="00387EB5" w:rsidP="004C70A1"/>
          <w:p w:rsidR="00387EB5" w:rsidRPr="00BC01A8" w:rsidRDefault="00387EB5" w:rsidP="004C70A1"/>
          <w:p w:rsidR="00387EB5" w:rsidRPr="00BC01A8" w:rsidRDefault="00387EB5" w:rsidP="004C70A1"/>
        </w:tc>
        <w:tc>
          <w:tcPr>
            <w:tcW w:w="4327" w:type="dxa"/>
          </w:tcPr>
          <w:p w:rsidR="00387EB5" w:rsidRPr="00BC01A8" w:rsidRDefault="00387EB5" w:rsidP="004C70A1">
            <w:pPr>
              <w:jc w:val="both"/>
              <w:rPr>
                <w:b/>
                <w:lang w:val="fr-CA"/>
              </w:rPr>
            </w:pPr>
            <w:r w:rsidRPr="00BC01A8">
              <w:rPr>
                <w:b/>
                <w:lang w:val="fr-CA"/>
              </w:rPr>
              <w:t>Ordonnance relative à la présentation d’une plaidoirie orale par les intervenants</w:t>
            </w:r>
            <w:r w:rsidR="005F2BA7" w:rsidRPr="00BC01A8">
              <w:rPr>
                <w:b/>
                <w:lang w:val="en-US"/>
              </w:rPr>
              <w:fldChar w:fldCharType="begin"/>
            </w:r>
            <w:r w:rsidRPr="00BC01A8">
              <w:rPr>
                <w:b/>
                <w:lang w:val="fr-CA"/>
              </w:rPr>
              <w:instrText xml:space="preserve"> SEQ CHAPTER \h \r 1</w:instrText>
            </w:r>
            <w:r w:rsidR="005F2BA7" w:rsidRPr="00BC01A8">
              <w:rPr>
                <w:b/>
                <w:lang w:val="en-US"/>
              </w:rPr>
              <w:fldChar w:fldCharType="end"/>
            </w:r>
          </w:p>
        </w:tc>
      </w:tr>
      <w:tr w:rsidR="00387EB5" w:rsidRPr="00BC01A8" w:rsidTr="004C70A1">
        <w:tc>
          <w:tcPr>
            <w:tcW w:w="1368" w:type="dxa"/>
          </w:tcPr>
          <w:p w:rsidR="00387EB5" w:rsidRPr="00BC01A8" w:rsidRDefault="00387EB5" w:rsidP="004C70A1">
            <w:r w:rsidRPr="00BC01A8">
              <w:t>RE:</w:t>
            </w:r>
          </w:p>
        </w:tc>
        <w:tc>
          <w:tcPr>
            <w:tcW w:w="2970" w:type="dxa"/>
          </w:tcPr>
          <w:p w:rsidR="00387EB5" w:rsidRPr="00BC01A8" w:rsidRDefault="00387EB5" w:rsidP="004C70A1">
            <w:r w:rsidRPr="00BC01A8">
              <w:t>Information Commissioner of Canada</w:t>
            </w:r>
            <w:r w:rsidRPr="00BC01A8">
              <w:rPr>
                <w:lang w:val="en-US"/>
              </w:rPr>
              <w:t>;</w:t>
            </w:r>
          </w:p>
        </w:tc>
        <w:tc>
          <w:tcPr>
            <w:tcW w:w="1170" w:type="dxa"/>
          </w:tcPr>
          <w:p w:rsidR="00387EB5" w:rsidRPr="00BC01A8" w:rsidRDefault="00387EB5" w:rsidP="004C70A1"/>
        </w:tc>
        <w:tc>
          <w:tcPr>
            <w:tcW w:w="4327" w:type="dxa"/>
          </w:tcPr>
          <w:p w:rsidR="00387EB5" w:rsidRPr="00BC01A8" w:rsidRDefault="00387EB5" w:rsidP="004C70A1"/>
        </w:tc>
      </w:tr>
      <w:tr w:rsidR="00387EB5" w:rsidRPr="00BC01A8" w:rsidTr="004C70A1">
        <w:tc>
          <w:tcPr>
            <w:tcW w:w="1368" w:type="dxa"/>
          </w:tcPr>
          <w:p w:rsidR="00387EB5" w:rsidRPr="00BC01A8" w:rsidRDefault="00387EB5" w:rsidP="004C70A1"/>
        </w:tc>
        <w:tc>
          <w:tcPr>
            <w:tcW w:w="2970" w:type="dxa"/>
          </w:tcPr>
          <w:p w:rsidR="00387EB5" w:rsidRPr="00BC01A8" w:rsidRDefault="00387EB5" w:rsidP="004C70A1">
            <w:r w:rsidRPr="00BC01A8">
              <w:rPr>
                <w:lang w:val="en-US"/>
              </w:rPr>
              <w:t>Attorney General of Canada</w:t>
            </w:r>
          </w:p>
        </w:tc>
        <w:tc>
          <w:tcPr>
            <w:tcW w:w="1170" w:type="dxa"/>
          </w:tcPr>
          <w:p w:rsidR="00387EB5" w:rsidRPr="00BC01A8" w:rsidRDefault="00387EB5" w:rsidP="004C70A1"/>
        </w:tc>
        <w:tc>
          <w:tcPr>
            <w:tcW w:w="4327" w:type="dxa"/>
          </w:tcPr>
          <w:p w:rsidR="00387EB5" w:rsidRPr="00BC01A8" w:rsidRDefault="00387EB5" w:rsidP="004C70A1"/>
        </w:tc>
      </w:tr>
      <w:tr w:rsidR="00387EB5" w:rsidRPr="00BC01A8" w:rsidTr="004C70A1">
        <w:tc>
          <w:tcPr>
            <w:tcW w:w="1368" w:type="dxa"/>
          </w:tcPr>
          <w:p w:rsidR="00387EB5" w:rsidRPr="00BC01A8" w:rsidRDefault="00387EB5" w:rsidP="004C70A1"/>
        </w:tc>
        <w:tc>
          <w:tcPr>
            <w:tcW w:w="2970" w:type="dxa"/>
          </w:tcPr>
          <w:p w:rsidR="00387EB5" w:rsidRPr="00BC01A8" w:rsidRDefault="00387EB5" w:rsidP="004C70A1"/>
        </w:tc>
        <w:tc>
          <w:tcPr>
            <w:tcW w:w="1170" w:type="dxa"/>
          </w:tcPr>
          <w:p w:rsidR="00387EB5" w:rsidRPr="00BC01A8" w:rsidRDefault="00387EB5" w:rsidP="004C70A1"/>
        </w:tc>
        <w:tc>
          <w:tcPr>
            <w:tcW w:w="4327" w:type="dxa"/>
          </w:tcPr>
          <w:p w:rsidR="00387EB5" w:rsidRPr="00BC01A8" w:rsidRDefault="00387EB5" w:rsidP="004C70A1"/>
        </w:tc>
      </w:tr>
      <w:tr w:rsidR="00387EB5" w:rsidRPr="00BC01A8" w:rsidTr="004C70A1">
        <w:tc>
          <w:tcPr>
            <w:tcW w:w="1368" w:type="dxa"/>
          </w:tcPr>
          <w:p w:rsidR="00387EB5" w:rsidRPr="00BC01A8" w:rsidRDefault="00387EB5" w:rsidP="004C70A1">
            <w:r w:rsidRPr="00BC01A8">
              <w:t>IN / DANS :</w:t>
            </w:r>
          </w:p>
        </w:tc>
        <w:tc>
          <w:tcPr>
            <w:tcW w:w="2970" w:type="dxa"/>
          </w:tcPr>
          <w:p w:rsidR="00387EB5" w:rsidRPr="00BC01A8" w:rsidRDefault="00387EB5" w:rsidP="004C70A1">
            <w:r w:rsidRPr="00BC01A8">
              <w:t>Ministry of Community Safety and Correctional Services</w:t>
            </w:r>
          </w:p>
          <w:p w:rsidR="00387EB5" w:rsidRPr="00BC01A8" w:rsidRDefault="00387EB5" w:rsidP="004C70A1"/>
          <w:p w:rsidR="00387EB5" w:rsidRPr="00BC01A8" w:rsidRDefault="00387EB5" w:rsidP="004C70A1">
            <w:pPr>
              <w:rPr>
                <w:lang w:val="fr-CA"/>
              </w:rPr>
            </w:pPr>
            <w:r w:rsidRPr="00BC01A8">
              <w:tab/>
            </w:r>
            <w:r w:rsidRPr="00BC01A8">
              <w:rPr>
                <w:lang w:val="fr-CA"/>
              </w:rPr>
              <w:t>v. (34949)</w:t>
            </w:r>
          </w:p>
          <w:p w:rsidR="00387EB5" w:rsidRPr="00BC01A8" w:rsidRDefault="00387EB5" w:rsidP="004C70A1">
            <w:pPr>
              <w:rPr>
                <w:lang w:val="fr-CA"/>
              </w:rPr>
            </w:pPr>
          </w:p>
          <w:p w:rsidR="00387EB5" w:rsidRPr="00BC01A8" w:rsidRDefault="00387EB5" w:rsidP="004C70A1">
            <w:r w:rsidRPr="00BC01A8">
              <w:rPr>
                <w:lang w:val="fr-CA"/>
              </w:rPr>
              <w:t>Information and Privacy Commissioner (Ont.)</w:t>
            </w:r>
          </w:p>
        </w:tc>
        <w:tc>
          <w:tcPr>
            <w:tcW w:w="1170" w:type="dxa"/>
          </w:tcPr>
          <w:p w:rsidR="00387EB5" w:rsidRPr="00BC01A8" w:rsidRDefault="00387EB5" w:rsidP="004C70A1"/>
        </w:tc>
        <w:tc>
          <w:tcPr>
            <w:tcW w:w="4327" w:type="dxa"/>
          </w:tcPr>
          <w:p w:rsidR="00387EB5" w:rsidRPr="00BC01A8" w:rsidRDefault="00387EB5" w:rsidP="004C70A1"/>
        </w:tc>
      </w:tr>
    </w:tbl>
    <w:p w:rsidR="00387EB5" w:rsidRPr="00BC01A8" w:rsidRDefault="00387EB5" w:rsidP="00387EB5">
      <w:pPr>
        <w:tabs>
          <w:tab w:val="left" w:pos="-1440"/>
          <w:tab w:val="left" w:pos="-720"/>
        </w:tabs>
        <w:jc w:val="both"/>
        <w:rPr>
          <w:rFonts w:eastAsia="Times New Roman" w:cs="Times New Roman"/>
          <w:sz w:val="20"/>
          <w:szCs w:val="20"/>
          <w:lang w:val="fr-CA" w:eastAsia="en-CA"/>
        </w:rPr>
      </w:pPr>
    </w:p>
    <w:p w:rsidR="00387EB5" w:rsidRPr="00BC01A8" w:rsidRDefault="00387EB5" w:rsidP="00387EB5">
      <w:pPr>
        <w:spacing w:line="230"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FURTHER TO THE ORDER</w:t>
      </w:r>
      <w:r w:rsidRPr="00BC01A8">
        <w:rPr>
          <w:rFonts w:eastAsia="Times New Roman" w:cs="Times New Roman"/>
          <w:sz w:val="20"/>
          <w:szCs w:val="20"/>
          <w:lang w:val="en-US" w:eastAsia="en-CA"/>
        </w:rPr>
        <w:t xml:space="preserve"> dated May 29, 2013, granting leave to intervene to </w:t>
      </w:r>
      <w:r w:rsidRPr="00BC01A8">
        <w:rPr>
          <w:rFonts w:eastAsia="Times New Roman" w:cs="Times New Roman"/>
          <w:sz w:val="20"/>
          <w:szCs w:val="20"/>
          <w:lang w:eastAsia="en-CA"/>
        </w:rPr>
        <w:t>the</w:t>
      </w:r>
      <w:r w:rsidRPr="00BC01A8">
        <w:rPr>
          <w:rFonts w:eastAsia="Times New Roman" w:cs="Times New Roman"/>
          <w:sz w:val="20"/>
          <w:szCs w:val="20"/>
          <w:lang w:val="en-US" w:eastAsia="en-CA"/>
        </w:rPr>
        <w:t xml:space="preserve"> </w:t>
      </w:r>
      <w:r w:rsidRPr="00BC01A8">
        <w:rPr>
          <w:rFonts w:eastAsia="Times New Roman" w:cs="Times New Roman"/>
          <w:sz w:val="20"/>
          <w:szCs w:val="20"/>
          <w:lang w:eastAsia="en-CA"/>
        </w:rPr>
        <w:t>Information Commissioner of Canada and the</w:t>
      </w:r>
      <w:r w:rsidRPr="00BC01A8">
        <w:rPr>
          <w:rFonts w:eastAsia="Times New Roman" w:cs="Times New Roman"/>
          <w:sz w:val="20"/>
          <w:szCs w:val="20"/>
          <w:lang w:val="en-US" w:eastAsia="en-CA"/>
        </w:rPr>
        <w:t xml:space="preserve"> Attorney General of Canada;</w:t>
      </w:r>
      <w:r w:rsidRPr="00BC01A8">
        <w:rPr>
          <w:rFonts w:eastAsia="Times New Roman" w:cs="Times New Roman"/>
          <w:sz w:val="20"/>
          <w:szCs w:val="20"/>
          <w:lang w:eastAsia="en-CA"/>
        </w:rPr>
        <w:t xml:space="preserve"> </w:t>
      </w:r>
    </w:p>
    <w:p w:rsidR="00387EB5" w:rsidRPr="00BC01A8" w:rsidRDefault="00387EB5" w:rsidP="00387EB5">
      <w:pPr>
        <w:spacing w:line="230" w:lineRule="auto"/>
        <w:jc w:val="both"/>
        <w:rPr>
          <w:rFonts w:eastAsia="Times New Roman" w:cs="Times New Roman"/>
          <w:sz w:val="20"/>
          <w:szCs w:val="20"/>
          <w:lang w:val="en-US" w:eastAsia="en-CA"/>
        </w:rPr>
      </w:pPr>
    </w:p>
    <w:p w:rsidR="00387EB5" w:rsidRPr="00BC01A8" w:rsidRDefault="00387EB5" w:rsidP="00387EB5">
      <w:pPr>
        <w:spacing w:line="230"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 xml:space="preserve">IT IS HEREBY FURTHER ORDERED THAT </w:t>
      </w:r>
      <w:r w:rsidRPr="00BC01A8">
        <w:rPr>
          <w:rFonts w:eastAsia="Times New Roman" w:cs="Times New Roman"/>
          <w:bCs/>
          <w:sz w:val="20"/>
          <w:szCs w:val="20"/>
          <w:lang w:val="en-US" w:eastAsia="en-CA"/>
        </w:rPr>
        <w:t>the said</w:t>
      </w:r>
      <w:r w:rsidRPr="00BC01A8">
        <w:rPr>
          <w:rFonts w:eastAsia="Times New Roman" w:cs="Times New Roman"/>
          <w:sz w:val="20"/>
          <w:szCs w:val="20"/>
          <w:lang w:val="en-US" w:eastAsia="en-CA"/>
        </w:rPr>
        <w:t xml:space="preserve"> interveners are </w:t>
      </w:r>
      <w:proofErr w:type="gramStart"/>
      <w:r w:rsidRPr="00BC01A8">
        <w:rPr>
          <w:rFonts w:eastAsia="Times New Roman" w:cs="Times New Roman"/>
          <w:sz w:val="20"/>
          <w:szCs w:val="20"/>
          <w:lang w:val="en-US" w:eastAsia="en-CA"/>
        </w:rPr>
        <w:t>each granted permission</w:t>
      </w:r>
      <w:proofErr w:type="gramEnd"/>
      <w:r w:rsidRPr="00BC01A8">
        <w:rPr>
          <w:rFonts w:eastAsia="Times New Roman" w:cs="Times New Roman"/>
          <w:sz w:val="20"/>
          <w:szCs w:val="20"/>
          <w:lang w:val="en-US" w:eastAsia="en-CA"/>
        </w:rPr>
        <w:t xml:space="preserve"> to present oral argument not exceeding ten (10) minutes at the hearing of the appeal.</w:t>
      </w:r>
    </w:p>
    <w:p w:rsidR="00387EB5" w:rsidRPr="00BC01A8" w:rsidRDefault="00387EB5" w:rsidP="00387EB5">
      <w:pPr>
        <w:spacing w:line="233" w:lineRule="auto"/>
        <w:rPr>
          <w:rFonts w:eastAsia="Times New Roman" w:cs="Times New Roman"/>
          <w:sz w:val="20"/>
          <w:szCs w:val="20"/>
          <w:lang w:val="en-US" w:eastAsia="en-CA"/>
        </w:rPr>
      </w:pPr>
    </w:p>
    <w:p w:rsidR="00387EB5" w:rsidRPr="00BC01A8" w:rsidRDefault="00387EB5" w:rsidP="00387EB5">
      <w:pPr>
        <w:spacing w:line="233" w:lineRule="auto"/>
        <w:rPr>
          <w:rFonts w:eastAsia="Times New Roman" w:cs="Times New Roman"/>
          <w:sz w:val="20"/>
          <w:szCs w:val="20"/>
          <w:lang w:val="en-US" w:eastAsia="en-CA"/>
        </w:rPr>
      </w:pPr>
    </w:p>
    <w:p w:rsidR="00387EB5" w:rsidRPr="00BC01A8" w:rsidRDefault="00387EB5" w:rsidP="00387EB5">
      <w:pPr>
        <w:spacing w:line="233" w:lineRule="auto"/>
        <w:rPr>
          <w:rFonts w:eastAsia="Times New Roman" w:cs="Times New Roman"/>
          <w:sz w:val="20"/>
          <w:szCs w:val="20"/>
          <w:lang w:val="en-US" w:eastAsia="en-CA"/>
        </w:rPr>
      </w:pPr>
    </w:p>
    <w:p w:rsidR="00387EB5" w:rsidRPr="00BC01A8" w:rsidRDefault="00387EB5" w:rsidP="00387EB5">
      <w:pPr>
        <w:spacing w:line="230" w:lineRule="auto"/>
        <w:jc w:val="both"/>
        <w:rPr>
          <w:rFonts w:eastAsia="Times New Roman" w:cs="Times New Roman"/>
          <w:sz w:val="20"/>
          <w:szCs w:val="20"/>
          <w:lang w:val="fr-CA" w:eastAsia="en-CA"/>
        </w:rPr>
      </w:pPr>
      <w:r w:rsidRPr="00BC01A8">
        <w:rPr>
          <w:rFonts w:eastAsia="Times New Roman" w:cs="Times New Roman"/>
          <w:b/>
          <w:bCs/>
          <w:sz w:val="20"/>
          <w:szCs w:val="20"/>
          <w:lang w:val="fr-CA" w:eastAsia="en-CA"/>
        </w:rPr>
        <w:t xml:space="preserve">À LA SUITE DE L’ORDONNANCE </w:t>
      </w:r>
      <w:r w:rsidRPr="00BC01A8">
        <w:rPr>
          <w:rFonts w:eastAsia="Times New Roman" w:cs="Times New Roman"/>
          <w:bCs/>
          <w:sz w:val="20"/>
          <w:szCs w:val="20"/>
          <w:lang w:val="fr-CA" w:eastAsia="en-CA"/>
        </w:rPr>
        <w:t>datée</w:t>
      </w:r>
      <w:r w:rsidRPr="00BC01A8">
        <w:rPr>
          <w:rFonts w:eastAsia="Times New Roman" w:cs="Times New Roman"/>
          <w:b/>
          <w:bCs/>
          <w:sz w:val="20"/>
          <w:szCs w:val="20"/>
          <w:lang w:val="fr-CA" w:eastAsia="en-CA"/>
        </w:rPr>
        <w:t xml:space="preserve"> </w:t>
      </w:r>
      <w:r w:rsidRPr="00BC01A8">
        <w:rPr>
          <w:rFonts w:eastAsia="Times New Roman" w:cs="Times New Roman"/>
          <w:sz w:val="20"/>
          <w:szCs w:val="20"/>
          <w:lang w:val="fr-CA" w:eastAsia="en-CA"/>
        </w:rPr>
        <w:t xml:space="preserve">du 29 mai 2013 accordant l’autorisation d’intervenir au Commissaire à l’information du Canada et au procureur général du Canada; </w:t>
      </w:r>
    </w:p>
    <w:p w:rsidR="00387EB5" w:rsidRPr="00BC01A8" w:rsidRDefault="00387EB5" w:rsidP="00387EB5">
      <w:pPr>
        <w:spacing w:line="230" w:lineRule="auto"/>
        <w:jc w:val="both"/>
        <w:rPr>
          <w:rFonts w:eastAsia="Times New Roman" w:cs="Times New Roman"/>
          <w:sz w:val="20"/>
          <w:szCs w:val="20"/>
          <w:lang w:val="fr-CA" w:eastAsia="en-CA"/>
        </w:rPr>
      </w:pPr>
    </w:p>
    <w:p w:rsidR="00387EB5" w:rsidRPr="00BC01A8" w:rsidRDefault="00387EB5" w:rsidP="00387EB5">
      <w:pPr>
        <w:spacing w:line="230" w:lineRule="auto"/>
        <w:jc w:val="both"/>
        <w:rPr>
          <w:rFonts w:eastAsia="Times New Roman" w:cs="Times New Roman"/>
          <w:b/>
          <w:bCs/>
          <w:sz w:val="20"/>
          <w:szCs w:val="20"/>
          <w:lang w:val="fr-CA" w:eastAsia="en-CA"/>
        </w:rPr>
      </w:pPr>
      <w:r w:rsidRPr="00BC01A8">
        <w:rPr>
          <w:rFonts w:eastAsia="Times New Roman" w:cs="Times New Roman"/>
          <w:b/>
          <w:bCs/>
          <w:sz w:val="20"/>
          <w:szCs w:val="20"/>
          <w:lang w:val="fr-CA" w:eastAsia="en-CA"/>
        </w:rPr>
        <w:t xml:space="preserve">IL EST PAR LA PRÉSENTE ORDONNÉ CE QUI SUIT : </w:t>
      </w:r>
    </w:p>
    <w:p w:rsidR="00387EB5" w:rsidRPr="00BC01A8" w:rsidRDefault="00387EB5" w:rsidP="00387EB5">
      <w:pPr>
        <w:spacing w:line="230" w:lineRule="auto"/>
        <w:jc w:val="both"/>
        <w:rPr>
          <w:rFonts w:eastAsia="Times New Roman" w:cs="Times New Roman"/>
          <w:bCs/>
          <w:sz w:val="20"/>
          <w:szCs w:val="20"/>
          <w:lang w:val="fr-CA" w:eastAsia="en-CA"/>
        </w:rPr>
      </w:pPr>
    </w:p>
    <w:p w:rsidR="00387EB5" w:rsidRPr="00BC01A8" w:rsidRDefault="00387EB5" w:rsidP="00387EB5">
      <w:pPr>
        <w:spacing w:line="230" w:lineRule="auto"/>
        <w:jc w:val="both"/>
        <w:rPr>
          <w:rFonts w:eastAsia="Times New Roman" w:cs="Times New Roman"/>
          <w:sz w:val="20"/>
          <w:szCs w:val="20"/>
          <w:lang w:val="fr-CA" w:eastAsia="en-CA"/>
        </w:rPr>
      </w:pPr>
      <w:r w:rsidRPr="00BC01A8">
        <w:rPr>
          <w:rFonts w:eastAsia="Times New Roman" w:cs="Times New Roman"/>
          <w:bCs/>
          <w:sz w:val="20"/>
          <w:szCs w:val="20"/>
          <w:lang w:val="fr-CA" w:eastAsia="en-CA"/>
        </w:rPr>
        <w:t xml:space="preserve">Chacun des intervenants a l’autorisation de présenter une plaidoirie orale d’au plus dix </w:t>
      </w:r>
      <w:r w:rsidRPr="00BC01A8">
        <w:rPr>
          <w:rFonts w:eastAsia="Times New Roman" w:cs="Times New Roman"/>
          <w:sz w:val="20"/>
          <w:szCs w:val="20"/>
          <w:lang w:val="fr-CA" w:eastAsia="en-CA"/>
        </w:rPr>
        <w:t>(10) minutes lors de l’audition de l’appel.</w:t>
      </w:r>
    </w:p>
    <w:p w:rsidR="00387EB5" w:rsidRPr="00BC01A8" w:rsidRDefault="00387EB5" w:rsidP="00387EB5">
      <w:pPr>
        <w:spacing w:line="225" w:lineRule="auto"/>
        <w:jc w:val="both"/>
        <w:rPr>
          <w:rFonts w:eastAsia="Times New Roman" w:cs="Times New Roman"/>
          <w:sz w:val="20"/>
          <w:szCs w:val="20"/>
          <w:lang w:val="fr-CA" w:eastAsia="en-CA"/>
        </w:rPr>
      </w:pPr>
    </w:p>
    <w:p w:rsidR="00387EB5" w:rsidRPr="00BC01A8" w:rsidRDefault="005F2BA7" w:rsidP="00387EB5">
      <w:pPr>
        <w:tabs>
          <w:tab w:val="left" w:pos="-1440"/>
          <w:tab w:val="left" w:pos="-720"/>
        </w:tabs>
        <w:jc w:val="both"/>
        <w:rPr>
          <w:rFonts w:eastAsia="Times New Roman" w:cs="Times New Roman"/>
          <w:sz w:val="20"/>
          <w:szCs w:val="20"/>
          <w:lang w:val="fr-CA" w:eastAsia="en-CA"/>
        </w:rPr>
      </w:pPr>
      <w:r w:rsidRPr="005F2BA7">
        <w:rPr>
          <w:rFonts w:eastAsia="Times New Roman" w:cs="Times New Roman"/>
          <w:sz w:val="20"/>
          <w:szCs w:val="20"/>
          <w:lang w:val="fr-CA" w:eastAsia="en-CA"/>
        </w:rPr>
        <w:pict>
          <v:rect id="_x0000_i1129" style="width:2in;height:1pt" o:hrpct="0" o:hralign="center" o:hrstd="t" o:hrnoshade="t" o:hr="t" fillcolor="black [3213]" stroked="f"/>
        </w:pict>
      </w:r>
    </w:p>
    <w:p w:rsidR="00387EB5" w:rsidRPr="00BC01A8" w:rsidRDefault="00387EB5" w:rsidP="00387EB5">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12.08.2013</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BC01A8" w:rsidP="00BC01A8">
      <w:pPr>
        <w:tabs>
          <w:tab w:val="left" w:pos="-1440"/>
          <w:tab w:val="left" w:pos="-720"/>
        </w:tabs>
        <w:jc w:val="both"/>
        <w:rPr>
          <w:rFonts w:eastAsia="Times New Roman" w:cs="Times New Roman"/>
          <w:sz w:val="20"/>
          <w:szCs w:val="20"/>
          <w:lang w:val="fr-CA" w:eastAsia="en-CA"/>
        </w:rPr>
      </w:pPr>
      <w:r w:rsidRPr="00BC01A8">
        <w:rPr>
          <w:rFonts w:eastAsia="Times New Roman" w:cs="Times New Roman"/>
          <w:sz w:val="20"/>
          <w:szCs w:val="20"/>
          <w:lang w:val="fr-CA" w:eastAsia="en-CA"/>
        </w:rPr>
        <w:t>Before / Devant :   ROTHSTEIN J. / LE JUGE ROTHSTEIN</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C01A8" w:rsidRPr="007C5A5B" w:rsidTr="00BC01A8">
        <w:tc>
          <w:tcPr>
            <w:tcW w:w="4338" w:type="dxa"/>
            <w:gridSpan w:val="2"/>
          </w:tcPr>
          <w:p w:rsidR="00BC01A8" w:rsidRPr="00BC01A8" w:rsidRDefault="00BC01A8" w:rsidP="00BC01A8">
            <w:pPr>
              <w:jc w:val="both"/>
              <w:rPr>
                <w:b/>
              </w:rPr>
            </w:pPr>
            <w:r w:rsidRPr="00BC01A8">
              <w:rPr>
                <w:b/>
                <w:bCs/>
                <w:lang w:val="en-GB"/>
              </w:rPr>
              <w:t>Motion for an extension of time for leave to intervene and for leave to intervene</w:t>
            </w:r>
            <w:r w:rsidRPr="00BC01A8">
              <w:rPr>
                <w:lang w:val="en-US"/>
              </w:rPr>
              <w:t xml:space="preserve"> </w:t>
            </w:r>
            <w:r w:rsidR="005F2BA7" w:rsidRPr="00BC01A8">
              <w:rPr>
                <w:lang w:val="en-US"/>
              </w:rPr>
              <w:fldChar w:fldCharType="begin"/>
            </w:r>
            <w:r w:rsidRPr="00BC01A8">
              <w:instrText xml:space="preserve"> SEQ CHAPTER \h \r 1</w:instrText>
            </w:r>
            <w:r w:rsidR="005F2BA7" w:rsidRPr="00BC01A8">
              <w:rPr>
                <w:lang w:val="en-US"/>
              </w:rPr>
              <w:fldChar w:fldCharType="end"/>
            </w:r>
          </w:p>
        </w:tc>
        <w:tc>
          <w:tcPr>
            <w:tcW w:w="1170" w:type="dxa"/>
          </w:tcPr>
          <w:p w:rsidR="00BC01A8" w:rsidRPr="00BC01A8" w:rsidRDefault="00BC01A8" w:rsidP="00BC01A8"/>
          <w:p w:rsidR="00BC01A8" w:rsidRPr="00BC01A8" w:rsidRDefault="00BC01A8" w:rsidP="00BC01A8"/>
          <w:p w:rsidR="00BC01A8" w:rsidRPr="00BC01A8" w:rsidRDefault="00BC01A8" w:rsidP="00BC01A8"/>
          <w:p w:rsidR="00BC01A8" w:rsidRPr="00BC01A8" w:rsidRDefault="00BC01A8" w:rsidP="00BC01A8"/>
        </w:tc>
        <w:tc>
          <w:tcPr>
            <w:tcW w:w="4327" w:type="dxa"/>
          </w:tcPr>
          <w:p w:rsidR="00BC01A8" w:rsidRPr="00BC01A8" w:rsidRDefault="00BC01A8" w:rsidP="00BC01A8">
            <w:pPr>
              <w:jc w:val="both"/>
              <w:rPr>
                <w:b/>
                <w:lang w:val="fr-CA"/>
              </w:rPr>
            </w:pPr>
            <w:r w:rsidRPr="00BC01A8">
              <w:rPr>
                <w:b/>
                <w:bCs/>
                <w:lang w:val="fr-CA"/>
              </w:rPr>
              <w:t xml:space="preserve">Requête en prorogation du délai pour demander l’autorisation d’intervenir et en autorisation d’intervenir </w:t>
            </w:r>
            <w:r w:rsidRPr="00BC01A8">
              <w:rPr>
                <w:lang w:val="fr-CA"/>
              </w:rPr>
              <w:t xml:space="preserve"> </w:t>
            </w:r>
            <w:r w:rsidR="005F2BA7" w:rsidRPr="00BC01A8">
              <w:rPr>
                <w:lang w:val="en-US"/>
              </w:rPr>
              <w:fldChar w:fldCharType="begin"/>
            </w:r>
            <w:r w:rsidRPr="00BC01A8">
              <w:rPr>
                <w:lang w:val="fr-CA"/>
              </w:rPr>
              <w:instrText xml:space="preserve"> SEQ CHAPTER \h \r 1</w:instrText>
            </w:r>
            <w:r w:rsidR="005F2BA7" w:rsidRPr="00BC01A8">
              <w:rPr>
                <w:lang w:val="en-US"/>
              </w:rPr>
              <w:fldChar w:fldCharType="end"/>
            </w:r>
          </w:p>
        </w:tc>
      </w:tr>
      <w:tr w:rsidR="00BC01A8" w:rsidRPr="00BC01A8" w:rsidTr="00BC01A8">
        <w:tc>
          <w:tcPr>
            <w:tcW w:w="1368" w:type="dxa"/>
          </w:tcPr>
          <w:p w:rsidR="00BC01A8" w:rsidRPr="00BC01A8" w:rsidRDefault="00BC01A8" w:rsidP="00BC01A8">
            <w:r w:rsidRPr="00BC01A8">
              <w:t>BY / PAR</w:t>
            </w:r>
          </w:p>
        </w:tc>
        <w:tc>
          <w:tcPr>
            <w:tcW w:w="2970" w:type="dxa"/>
          </w:tcPr>
          <w:p w:rsidR="00BC01A8" w:rsidRPr="00BC01A8" w:rsidRDefault="00BC01A8" w:rsidP="00BC01A8">
            <w:r w:rsidRPr="00BC01A8">
              <w:t>Public Service Labour Relations Board</w:t>
            </w: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tc>
        <w:tc>
          <w:tcPr>
            <w:tcW w:w="2970" w:type="dxa"/>
          </w:tcPr>
          <w:p w:rsidR="00BC01A8" w:rsidRPr="00BC01A8" w:rsidRDefault="00BC01A8" w:rsidP="00BC01A8">
            <w:pPr>
              <w:rPr>
                <w:lang w:val="en-US"/>
              </w:rPr>
            </w:pPr>
          </w:p>
        </w:tc>
        <w:tc>
          <w:tcPr>
            <w:tcW w:w="1170" w:type="dxa"/>
          </w:tcPr>
          <w:p w:rsidR="00BC01A8" w:rsidRPr="00BC01A8" w:rsidRDefault="00BC01A8" w:rsidP="00BC01A8"/>
        </w:tc>
        <w:tc>
          <w:tcPr>
            <w:tcW w:w="4327" w:type="dxa"/>
          </w:tcPr>
          <w:p w:rsidR="00BC01A8" w:rsidRPr="00BC01A8" w:rsidRDefault="00BC01A8" w:rsidP="00BC01A8"/>
        </w:tc>
      </w:tr>
      <w:tr w:rsidR="00BC01A8" w:rsidRPr="00BC01A8" w:rsidTr="00BC01A8">
        <w:tc>
          <w:tcPr>
            <w:tcW w:w="1368" w:type="dxa"/>
          </w:tcPr>
          <w:p w:rsidR="00BC01A8" w:rsidRPr="00BC01A8" w:rsidRDefault="00BC01A8" w:rsidP="00BC01A8">
            <w:r w:rsidRPr="00BC01A8">
              <w:t>IN / DANS :</w:t>
            </w:r>
          </w:p>
        </w:tc>
        <w:tc>
          <w:tcPr>
            <w:tcW w:w="2970" w:type="dxa"/>
          </w:tcPr>
          <w:p w:rsidR="00BC01A8" w:rsidRPr="00BC01A8" w:rsidRDefault="00BC01A8" w:rsidP="00BC01A8">
            <w:r w:rsidRPr="00BC01A8">
              <w:t>Elizabeth Bernard</w:t>
            </w:r>
          </w:p>
          <w:p w:rsidR="00BC01A8" w:rsidRPr="00BC01A8" w:rsidRDefault="00BC01A8" w:rsidP="00BC01A8"/>
          <w:p w:rsidR="00BC01A8" w:rsidRPr="00BC01A8" w:rsidRDefault="00BC01A8" w:rsidP="00BC01A8">
            <w:r w:rsidRPr="00BC01A8">
              <w:tab/>
              <w:t>v. (34819)</w:t>
            </w:r>
          </w:p>
          <w:p w:rsidR="00BC01A8" w:rsidRPr="00BC01A8" w:rsidRDefault="00BC01A8" w:rsidP="00BC01A8"/>
          <w:p w:rsidR="00BC01A8" w:rsidRPr="00BC01A8" w:rsidRDefault="00BC01A8" w:rsidP="00BC01A8">
            <w:r w:rsidRPr="00BC01A8">
              <w:t>Attorney General of Canada et al. (F.C.)</w:t>
            </w:r>
          </w:p>
        </w:tc>
        <w:tc>
          <w:tcPr>
            <w:tcW w:w="1170" w:type="dxa"/>
          </w:tcPr>
          <w:p w:rsidR="00BC01A8" w:rsidRPr="00BC01A8" w:rsidRDefault="00BC01A8" w:rsidP="00BC01A8"/>
        </w:tc>
        <w:tc>
          <w:tcPr>
            <w:tcW w:w="4327" w:type="dxa"/>
          </w:tcPr>
          <w:p w:rsidR="00BC01A8" w:rsidRPr="00BC01A8" w:rsidRDefault="00BC01A8" w:rsidP="00BC01A8"/>
        </w:tc>
      </w:tr>
    </w:tbl>
    <w:p w:rsidR="00BC01A8" w:rsidRPr="00BC01A8" w:rsidRDefault="00BC01A8" w:rsidP="00BC01A8">
      <w:pPr>
        <w:tabs>
          <w:tab w:val="left" w:pos="-1440"/>
          <w:tab w:val="left" w:pos="-720"/>
        </w:tabs>
        <w:jc w:val="both"/>
        <w:rPr>
          <w:rFonts w:eastAsia="Times New Roman" w:cs="Times New Roman"/>
          <w:sz w:val="20"/>
          <w:szCs w:val="20"/>
          <w:lang w:eastAsia="en-CA"/>
        </w:rPr>
      </w:pPr>
    </w:p>
    <w:p w:rsidR="00387EB5" w:rsidRDefault="00387EB5">
      <w:pPr>
        <w:rPr>
          <w:rFonts w:eastAsia="Times New Roman" w:cs="Times New Roman"/>
          <w:b/>
          <w:sz w:val="20"/>
          <w:szCs w:val="20"/>
          <w:lang w:eastAsia="en-CA"/>
        </w:rPr>
      </w:pPr>
      <w:r>
        <w:rPr>
          <w:rFonts w:eastAsia="Times New Roman" w:cs="Times New Roman"/>
          <w:b/>
          <w:sz w:val="20"/>
          <w:szCs w:val="20"/>
          <w:lang w:eastAsia="en-CA"/>
        </w:rPr>
        <w:br w:type="page"/>
      </w:r>
    </w:p>
    <w:p w:rsidR="00BC01A8" w:rsidRPr="00BC01A8" w:rsidRDefault="00BC01A8" w:rsidP="00BC01A8">
      <w:pPr>
        <w:tabs>
          <w:tab w:val="left" w:pos="-1440"/>
          <w:tab w:val="left" w:pos="-720"/>
        </w:tabs>
        <w:jc w:val="both"/>
        <w:rPr>
          <w:rFonts w:eastAsia="Times New Roman" w:cs="Times New Roman"/>
          <w:sz w:val="20"/>
          <w:szCs w:val="20"/>
          <w:lang w:eastAsia="en-CA"/>
        </w:rPr>
      </w:pPr>
      <w:r w:rsidRPr="00BC01A8">
        <w:rPr>
          <w:rFonts w:eastAsia="Times New Roman" w:cs="Times New Roman"/>
          <w:b/>
          <w:sz w:val="20"/>
          <w:szCs w:val="20"/>
          <w:lang w:eastAsia="en-CA"/>
        </w:rPr>
        <w:t>GRANTED / ACCORDÉE</w: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spacing w:line="233" w:lineRule="auto"/>
        <w:jc w:val="both"/>
        <w:rPr>
          <w:rFonts w:eastAsia="Times New Roman" w:cs="Times New Roman"/>
          <w:sz w:val="20"/>
          <w:szCs w:val="20"/>
          <w:lang w:eastAsia="en-CA"/>
        </w:rPr>
      </w:pPr>
      <w:r w:rsidRPr="00BC01A8">
        <w:rPr>
          <w:rFonts w:eastAsia="Times New Roman" w:cs="Times New Roman"/>
          <w:b/>
          <w:bCs/>
          <w:sz w:val="20"/>
          <w:szCs w:val="20"/>
          <w:lang w:val="en-US" w:eastAsia="en-CA"/>
        </w:rPr>
        <w:t xml:space="preserve">UPON APPLICATIONS </w:t>
      </w:r>
      <w:r w:rsidRPr="00BC01A8">
        <w:rPr>
          <w:rFonts w:eastAsia="Times New Roman" w:cs="Times New Roman"/>
          <w:sz w:val="20"/>
          <w:szCs w:val="20"/>
          <w:lang w:val="en-US" w:eastAsia="en-CA"/>
        </w:rPr>
        <w:t xml:space="preserve">by the </w:t>
      </w:r>
      <w:r w:rsidRPr="00BC01A8">
        <w:rPr>
          <w:rFonts w:eastAsia="Times New Roman" w:cs="Times New Roman"/>
          <w:sz w:val="20"/>
          <w:szCs w:val="20"/>
          <w:lang w:eastAsia="en-CA"/>
        </w:rPr>
        <w:t>Public Service Labour Relations Board</w:t>
      </w:r>
      <w:r w:rsidRPr="00BC01A8">
        <w:rPr>
          <w:rFonts w:eastAsia="Times New Roman" w:cs="Times New Roman"/>
          <w:sz w:val="20"/>
          <w:szCs w:val="20"/>
          <w:lang w:val="en-US" w:eastAsia="en-CA"/>
        </w:rPr>
        <w:t xml:space="preserve"> for an extension of time to apply for leave to intervene and for leave to intervene in the above appeal;</w:t>
      </w:r>
    </w:p>
    <w:p w:rsidR="00BC01A8" w:rsidRPr="00BC01A8" w:rsidRDefault="00BC01A8" w:rsidP="00BC01A8">
      <w:pPr>
        <w:spacing w:line="233" w:lineRule="auto"/>
        <w:jc w:val="both"/>
        <w:rPr>
          <w:rFonts w:eastAsia="Times New Roman" w:cs="Times New Roman"/>
          <w:b/>
          <w:sz w:val="20"/>
          <w:szCs w:val="20"/>
          <w:lang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AND THE MATERIAL FILED</w:t>
      </w:r>
      <w:r w:rsidRPr="00BC01A8">
        <w:rPr>
          <w:rFonts w:eastAsia="Times New Roman" w:cs="Times New Roman"/>
          <w:sz w:val="20"/>
          <w:szCs w:val="20"/>
          <w:lang w:val="en-US" w:eastAsia="en-CA"/>
        </w:rPr>
        <w:t xml:space="preserve"> having been read;</w:t>
      </w:r>
    </w:p>
    <w:p w:rsidR="00BC01A8" w:rsidRPr="00BC01A8" w:rsidRDefault="00BC01A8" w:rsidP="00BC01A8">
      <w:pPr>
        <w:spacing w:line="233" w:lineRule="auto"/>
        <w:jc w:val="center"/>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b/>
          <w:bCs/>
          <w:sz w:val="20"/>
          <w:szCs w:val="20"/>
          <w:lang w:val="en-US" w:eastAsia="en-CA"/>
        </w:rPr>
        <w:t>IT IS HEREBY ORDERED THAT:</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val="en-US" w:eastAsia="en-CA"/>
        </w:rPr>
        <w:t xml:space="preserve">The motion for an extension of time to apply for leave to intervene and the motion for leave to intervene of </w:t>
      </w:r>
      <w:r w:rsidRPr="00BC01A8">
        <w:rPr>
          <w:rFonts w:eastAsia="Times New Roman" w:cs="Times New Roman"/>
          <w:sz w:val="20"/>
          <w:szCs w:val="20"/>
          <w:lang w:eastAsia="en-CA"/>
        </w:rPr>
        <w:t xml:space="preserve">the Public Service Labour Relations Board </w:t>
      </w:r>
      <w:r w:rsidRPr="00BC01A8">
        <w:rPr>
          <w:rFonts w:eastAsia="Times New Roman" w:cs="Times New Roman"/>
          <w:sz w:val="20"/>
          <w:szCs w:val="20"/>
          <w:lang w:val="en-US" w:eastAsia="en-CA"/>
        </w:rPr>
        <w:t>are granted and the said intervener shall be entitled to serve and file a factum not to exceed 10 pages in length on or before October 7, 2013 and to present 10 minutes of oral argument at the hearing of the appeal.</w:t>
      </w:r>
    </w:p>
    <w:p w:rsidR="00BC01A8" w:rsidRPr="00BC01A8" w:rsidRDefault="00BC01A8" w:rsidP="00BC01A8">
      <w:pPr>
        <w:spacing w:line="233" w:lineRule="auto"/>
        <w:jc w:val="both"/>
        <w:rPr>
          <w:rFonts w:eastAsia="Times New Roman" w:cs="Times New Roman"/>
          <w:sz w:val="20"/>
          <w:szCs w:val="20"/>
          <w:lang w:val="en-US" w:eastAsia="en-CA"/>
        </w:rPr>
      </w:pPr>
    </w:p>
    <w:p w:rsidR="00BC01A8" w:rsidRPr="00BC01A8" w:rsidRDefault="005F2BA7" w:rsidP="00BC01A8">
      <w:pPr>
        <w:jc w:val="both"/>
        <w:rPr>
          <w:rFonts w:eastAsia="Times New Roman" w:cs="Times New Roman"/>
          <w:color w:val="000000"/>
          <w:sz w:val="20"/>
          <w:szCs w:val="20"/>
          <w:lang w:val="en-US" w:eastAsia="en-CA"/>
        </w:rPr>
      </w:pPr>
      <w:r w:rsidRPr="00BC01A8">
        <w:rPr>
          <w:rFonts w:eastAsia="Times New Roman" w:cs="Times New Roman"/>
          <w:sz w:val="20"/>
          <w:szCs w:val="20"/>
          <w:lang w:eastAsia="en-CA"/>
        </w:rPr>
        <w:fldChar w:fldCharType="begin"/>
      </w:r>
      <w:r w:rsidR="00BC01A8" w:rsidRPr="00BC01A8">
        <w:rPr>
          <w:rFonts w:eastAsia="Times New Roman" w:cs="Times New Roman"/>
          <w:sz w:val="20"/>
          <w:szCs w:val="20"/>
          <w:lang w:eastAsia="en-CA"/>
        </w:rPr>
        <w:instrText xml:space="preserve"> SEQ CHAPTER \h \r 1</w:instrText>
      </w:r>
      <w:r w:rsidRPr="00BC01A8">
        <w:rPr>
          <w:rFonts w:eastAsia="Times New Roman" w:cs="Times New Roman"/>
          <w:sz w:val="20"/>
          <w:szCs w:val="20"/>
          <w:lang w:eastAsia="en-CA"/>
        </w:rPr>
        <w:fldChar w:fldCharType="end"/>
      </w:r>
      <w:r w:rsidR="00BC01A8" w:rsidRPr="00BC01A8">
        <w:rPr>
          <w:rFonts w:eastAsia="Times New Roman" w:cs="Times New Roman"/>
          <w:bCs/>
          <w:sz w:val="20"/>
          <w:szCs w:val="20"/>
          <w:lang w:val="en-US" w:eastAsia="en-CA"/>
        </w:rPr>
        <w:t xml:space="preserve">The intervener shall not be entitled to raise new issues, to adduce further evidence, or otherwise to supplement the record of the parties. </w:t>
      </w:r>
    </w:p>
    <w:p w:rsidR="00BC01A8" w:rsidRPr="00BC01A8" w:rsidRDefault="00BC01A8" w:rsidP="00BC01A8">
      <w:pPr>
        <w:jc w:val="both"/>
        <w:rPr>
          <w:rFonts w:eastAsia="Times New Roman" w:cs="Times New Roman"/>
          <w:color w:val="000000"/>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en-US" w:eastAsia="en-CA"/>
        </w:rPr>
      </w:pPr>
      <w:r w:rsidRPr="00BC01A8">
        <w:rPr>
          <w:rFonts w:eastAsia="Times New Roman" w:cs="Times New Roman"/>
          <w:sz w:val="20"/>
          <w:szCs w:val="20"/>
          <w:lang w:val="en-US" w:eastAsia="en-CA"/>
        </w:rPr>
        <w:t>Pursuant to Rule 59(1</w:t>
      </w:r>
      <w:proofErr w:type="gramStart"/>
      <w:r w:rsidRPr="00BC01A8">
        <w:rPr>
          <w:rFonts w:eastAsia="Times New Roman" w:cs="Times New Roman"/>
          <w:sz w:val="20"/>
          <w:szCs w:val="20"/>
          <w:lang w:val="en-US" w:eastAsia="en-CA"/>
        </w:rPr>
        <w:t>)(</w:t>
      </w:r>
      <w:proofErr w:type="gramEnd"/>
      <w:r w:rsidRPr="00BC01A8">
        <w:rPr>
          <w:rFonts w:eastAsia="Times New Roman" w:cs="Times New Roman"/>
          <w:i/>
          <w:iCs/>
          <w:sz w:val="20"/>
          <w:szCs w:val="20"/>
          <w:lang w:val="en-US" w:eastAsia="en-CA"/>
        </w:rPr>
        <w:t>a</w:t>
      </w:r>
      <w:r w:rsidRPr="00BC01A8">
        <w:rPr>
          <w:rFonts w:eastAsia="Times New Roman" w:cs="Times New Roman"/>
          <w:sz w:val="20"/>
          <w:szCs w:val="20"/>
          <w:lang w:val="en-US" w:eastAsia="en-CA"/>
        </w:rPr>
        <w:t xml:space="preserve">) of the </w:t>
      </w:r>
      <w:r w:rsidRPr="00BC01A8">
        <w:rPr>
          <w:rFonts w:eastAsia="Times New Roman" w:cs="Times New Roman"/>
          <w:i/>
          <w:iCs/>
          <w:sz w:val="20"/>
          <w:szCs w:val="20"/>
          <w:lang w:val="en-US" w:eastAsia="en-CA"/>
        </w:rPr>
        <w:t>Rules of the Supreme Court of Canada</w:t>
      </w:r>
      <w:r w:rsidRPr="00BC01A8">
        <w:rPr>
          <w:rFonts w:eastAsia="Times New Roman" w:cs="Times New Roman"/>
          <w:sz w:val="20"/>
          <w:szCs w:val="20"/>
          <w:lang w:val="en-US" w:eastAsia="en-CA"/>
        </w:rPr>
        <w:t>, the intervener shall pay to the appellant and respondents any additional disbursements occasioned to the appellant and respondents by its intervention.</w:t>
      </w:r>
    </w:p>
    <w:p w:rsidR="00BC01A8" w:rsidRPr="00BC01A8" w:rsidRDefault="00BC01A8" w:rsidP="00BC01A8">
      <w:pPr>
        <w:spacing w:line="233" w:lineRule="auto"/>
        <w:ind w:left="-23"/>
        <w:jc w:val="both"/>
        <w:rPr>
          <w:rFonts w:eastAsia="Times New Roman" w:cs="Times New Roman"/>
          <w:b/>
          <w:bCs/>
          <w:sz w:val="20"/>
          <w:szCs w:val="20"/>
          <w:lang w:val="en-US" w:eastAsia="en-CA"/>
        </w:rPr>
      </w:pPr>
    </w:p>
    <w:p w:rsidR="00BC01A8" w:rsidRPr="00BC01A8" w:rsidRDefault="00BC01A8" w:rsidP="00BC01A8">
      <w:pPr>
        <w:spacing w:line="233" w:lineRule="auto"/>
        <w:rPr>
          <w:rFonts w:eastAsia="Times New Roman" w:cs="Times New Roman"/>
          <w:sz w:val="20"/>
          <w:szCs w:val="20"/>
          <w:lang w:val="en-US" w:eastAsia="en-CA"/>
        </w:rPr>
      </w:pPr>
      <w:r w:rsidRPr="00BC01A8">
        <w:rPr>
          <w:rFonts w:eastAsia="Times New Roman" w:cs="Times New Roman"/>
          <w:b/>
          <w:bCs/>
          <w:sz w:val="20"/>
          <w:szCs w:val="20"/>
          <w:lang w:val="en-US" w:eastAsia="en-CA"/>
        </w:rPr>
        <w:t>IT IS HEREBY FURTHER ORDERED THAT:</w:t>
      </w:r>
    </w:p>
    <w:p w:rsidR="00BC01A8" w:rsidRPr="00BC01A8" w:rsidRDefault="00BC01A8" w:rsidP="00BC01A8">
      <w:pPr>
        <w:spacing w:line="233" w:lineRule="auto"/>
        <w:rPr>
          <w:rFonts w:eastAsia="Times New Roman" w:cs="Times New Roman"/>
          <w:sz w:val="20"/>
          <w:szCs w:val="20"/>
          <w:lang w:val="en-US" w:eastAsia="en-CA"/>
        </w:rPr>
      </w:pPr>
    </w:p>
    <w:p w:rsidR="00BC01A8" w:rsidRPr="00BC01A8" w:rsidRDefault="00BC01A8" w:rsidP="00BC01A8">
      <w:pPr>
        <w:spacing w:line="233" w:lineRule="auto"/>
        <w:rPr>
          <w:rFonts w:eastAsia="Times New Roman" w:cs="Times New Roman"/>
          <w:sz w:val="20"/>
          <w:szCs w:val="20"/>
          <w:lang w:val="en-US" w:eastAsia="en-CA"/>
        </w:rPr>
      </w:pPr>
      <w:r w:rsidRPr="00BC01A8">
        <w:rPr>
          <w:rFonts w:eastAsia="Times New Roman" w:cs="Times New Roman"/>
          <w:sz w:val="20"/>
          <w:szCs w:val="20"/>
          <w:lang w:val="en-US" w:eastAsia="en-CA"/>
        </w:rPr>
        <w:t>The appellant is permitted to serve and file a reply factum not to exceed 5 pages on or before October 21, 2013.</w:t>
      </w:r>
    </w:p>
    <w:p w:rsidR="00BC01A8" w:rsidRPr="00BC01A8" w:rsidRDefault="00BC01A8" w:rsidP="00BC01A8">
      <w:pPr>
        <w:tabs>
          <w:tab w:val="left" w:pos="-1440"/>
          <w:tab w:val="left" w:pos="-720"/>
        </w:tabs>
        <w:jc w:val="both"/>
        <w:rPr>
          <w:rFonts w:eastAsia="Times New Roman" w:cs="Times New Roman"/>
          <w:sz w:val="20"/>
          <w:szCs w:val="20"/>
          <w:lang w:val="en-US"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jc w:val="both"/>
        <w:rPr>
          <w:rFonts w:eastAsia="Times New Roman" w:cs="Times New Roman"/>
          <w:sz w:val="20"/>
          <w:szCs w:val="20"/>
          <w:lang w:val="en-US" w:eastAsia="en-CA"/>
        </w:rPr>
      </w:pPr>
    </w:p>
    <w:p w:rsidR="00BC01A8" w:rsidRPr="00BC01A8" w:rsidRDefault="00BC01A8" w:rsidP="00BC01A8">
      <w:pPr>
        <w:tabs>
          <w:tab w:val="left" w:pos="-1440"/>
          <w:tab w:val="left" w:pos="-720"/>
        </w:tabs>
        <w:jc w:val="both"/>
        <w:rPr>
          <w:rFonts w:eastAsia="Times New Roman" w:cs="Times New Roman"/>
          <w:sz w:val="20"/>
          <w:szCs w:val="20"/>
          <w:lang w:val="en-US"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b/>
          <w:bCs/>
          <w:sz w:val="20"/>
          <w:szCs w:val="20"/>
          <w:lang w:val="fr-CA" w:eastAsia="en-CA"/>
        </w:rPr>
        <w:t xml:space="preserve">À LA SUITE DES DEMANDES </w:t>
      </w:r>
      <w:r w:rsidRPr="00BC01A8">
        <w:rPr>
          <w:rFonts w:eastAsia="Times New Roman" w:cs="Times New Roman"/>
          <w:sz w:val="20"/>
          <w:szCs w:val="20"/>
          <w:lang w:val="fr-CA" w:eastAsia="en-CA"/>
        </w:rPr>
        <w:t>présentées par la Commission des relations de travail dans la fonction publique en prorogation du délai applicable à une demande d’autorisation d’intervenir et en autorisation d’intervenir dans l’appel;</w:t>
      </w:r>
    </w:p>
    <w:p w:rsidR="00BC01A8" w:rsidRPr="00BC01A8" w:rsidRDefault="00BC01A8" w:rsidP="00BC01A8">
      <w:pPr>
        <w:spacing w:line="233" w:lineRule="auto"/>
        <w:jc w:val="both"/>
        <w:rPr>
          <w:rFonts w:eastAsia="Times New Roman" w:cs="Times New Roman"/>
          <w:b/>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b/>
          <w:bCs/>
          <w:sz w:val="20"/>
          <w:szCs w:val="20"/>
          <w:lang w:val="fr-CA" w:eastAsia="en-CA"/>
        </w:rPr>
        <w:t>ET APRÈS EXAMEN</w:t>
      </w:r>
      <w:r w:rsidRPr="00BC01A8">
        <w:rPr>
          <w:rFonts w:eastAsia="Times New Roman" w:cs="Times New Roman"/>
          <w:sz w:val="20"/>
          <w:szCs w:val="20"/>
          <w:lang w:val="fr-CA" w:eastAsia="en-CA"/>
        </w:rPr>
        <w:t xml:space="preserve"> des documents déposés;</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b/>
          <w:bCs/>
          <w:sz w:val="20"/>
          <w:szCs w:val="20"/>
          <w:lang w:val="fr-CA" w:eastAsia="en-CA"/>
        </w:rPr>
        <w:t>IL EST ORDONNÉ CE QUI SUIT :</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La requête en prorogation du délai applicable à une demande d’autorisation d’intervenir et la requête en autorisation d’intervenir présentées par la Commission des relations de travail dans la fonction publique sont accordées.  Cette intervenante pourra signifier et déposer un mémoire d’au plus dix pages au plus tard le 7 octobre 2013 et présenter une plaidoirie orale d’au plus dix minutes lors de l’audition de l’appel.</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jc w:val="both"/>
        <w:rPr>
          <w:rFonts w:eastAsia="Times New Roman" w:cs="Times New Roman"/>
          <w:color w:val="000000"/>
          <w:sz w:val="20"/>
          <w:szCs w:val="20"/>
          <w:lang w:val="fr-CA" w:eastAsia="en-CA"/>
        </w:rPr>
      </w:pPr>
      <w:r w:rsidRPr="00BC01A8">
        <w:rPr>
          <w:rFonts w:eastAsia="Times New Roman" w:cs="Times New Roman"/>
          <w:sz w:val="20"/>
          <w:szCs w:val="20"/>
          <w:lang w:val="fr-CA" w:eastAsia="en-CA"/>
        </w:rPr>
        <w:t>L’intervenante n’a pas le droit de soulever de nouvelles questions, de produire d’autres éléments de preuve ni de compléter de quelque autre façon le dossier des parties.</w:t>
      </w:r>
      <w:r w:rsidR="005F2BA7" w:rsidRPr="00BC01A8">
        <w:rPr>
          <w:rFonts w:eastAsia="Times New Roman" w:cs="Times New Roman"/>
          <w:sz w:val="20"/>
          <w:szCs w:val="20"/>
          <w:lang w:val="fr-CA" w:eastAsia="en-CA"/>
        </w:rPr>
        <w:fldChar w:fldCharType="begin"/>
      </w:r>
      <w:r w:rsidRPr="00BC01A8">
        <w:rPr>
          <w:rFonts w:eastAsia="Times New Roman" w:cs="Times New Roman"/>
          <w:sz w:val="20"/>
          <w:szCs w:val="20"/>
          <w:lang w:val="fr-CA" w:eastAsia="en-CA"/>
        </w:rPr>
        <w:instrText xml:space="preserve"> SEQ CHAPTER \h \r 1</w:instrText>
      </w:r>
      <w:r w:rsidR="005F2BA7" w:rsidRPr="00BC01A8">
        <w:rPr>
          <w:rFonts w:eastAsia="Times New Roman" w:cs="Times New Roman"/>
          <w:sz w:val="20"/>
          <w:szCs w:val="20"/>
          <w:lang w:val="fr-CA" w:eastAsia="en-CA"/>
        </w:rPr>
        <w:fldChar w:fldCharType="end"/>
      </w:r>
      <w:r w:rsidRPr="00BC01A8">
        <w:rPr>
          <w:rFonts w:eastAsia="Times New Roman" w:cs="Times New Roman"/>
          <w:bCs/>
          <w:sz w:val="20"/>
          <w:szCs w:val="20"/>
          <w:lang w:val="fr-CA" w:eastAsia="en-CA"/>
        </w:rPr>
        <w:t xml:space="preserve"> </w:t>
      </w:r>
    </w:p>
    <w:p w:rsidR="00BC01A8" w:rsidRPr="00BC01A8" w:rsidRDefault="00BC01A8" w:rsidP="00BC01A8">
      <w:pPr>
        <w:jc w:val="both"/>
        <w:rPr>
          <w:rFonts w:eastAsia="Times New Roman" w:cs="Times New Roman"/>
          <w:color w:val="000000"/>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Conformément à l’alinéa 59(1)</w:t>
      </w:r>
      <w:r w:rsidRPr="00BC01A8">
        <w:rPr>
          <w:rFonts w:eastAsia="Times New Roman" w:cs="Times New Roman"/>
          <w:i/>
          <w:sz w:val="20"/>
          <w:szCs w:val="20"/>
          <w:lang w:val="fr-CA" w:eastAsia="en-CA"/>
        </w:rPr>
        <w:t>a</w:t>
      </w:r>
      <w:r w:rsidRPr="00BC01A8">
        <w:rPr>
          <w:rFonts w:eastAsia="Times New Roman" w:cs="Times New Roman"/>
          <w:sz w:val="20"/>
          <w:szCs w:val="20"/>
          <w:lang w:val="fr-CA" w:eastAsia="en-CA"/>
        </w:rPr>
        <w:t xml:space="preserve">) des </w:t>
      </w:r>
      <w:r w:rsidRPr="00BC01A8">
        <w:rPr>
          <w:rFonts w:eastAsia="Times New Roman" w:cs="Times New Roman"/>
          <w:i/>
          <w:sz w:val="20"/>
          <w:szCs w:val="20"/>
          <w:lang w:val="fr-CA" w:eastAsia="en-CA"/>
        </w:rPr>
        <w:t>Règles de la Cour suprême du Canada</w:t>
      </w:r>
      <w:r w:rsidRPr="00BC01A8">
        <w:rPr>
          <w:rFonts w:eastAsia="Times New Roman" w:cs="Times New Roman"/>
          <w:sz w:val="20"/>
          <w:szCs w:val="20"/>
          <w:lang w:val="fr-CA" w:eastAsia="en-CA"/>
        </w:rPr>
        <w:t>, l’intervenante paiera à l’appelante et aux intimés tous débours supplémentaires résultant de son intervention.</w:t>
      </w:r>
    </w:p>
    <w:p w:rsidR="00BC01A8" w:rsidRPr="00BC01A8" w:rsidRDefault="00BC01A8" w:rsidP="00BC01A8">
      <w:pPr>
        <w:spacing w:line="233" w:lineRule="auto"/>
        <w:ind w:left="-23"/>
        <w:jc w:val="both"/>
        <w:rPr>
          <w:rFonts w:eastAsia="Times New Roman" w:cs="Times New Roman"/>
          <w:b/>
          <w:bCs/>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b/>
          <w:bCs/>
          <w:sz w:val="20"/>
          <w:szCs w:val="20"/>
          <w:lang w:val="fr-CA" w:eastAsia="en-CA"/>
        </w:rPr>
        <w:t>ET IL EST EN OUTRE ORDONNÉ CE QUI SUIT :</w:t>
      </w:r>
    </w:p>
    <w:p w:rsidR="00BC01A8" w:rsidRPr="00BC01A8" w:rsidRDefault="00BC01A8" w:rsidP="00BC01A8">
      <w:pPr>
        <w:spacing w:line="233" w:lineRule="auto"/>
        <w:jc w:val="both"/>
        <w:rPr>
          <w:rFonts w:eastAsia="Times New Roman" w:cs="Times New Roman"/>
          <w:sz w:val="20"/>
          <w:szCs w:val="20"/>
          <w:lang w:val="fr-CA" w:eastAsia="en-CA"/>
        </w:rPr>
      </w:pPr>
    </w:p>
    <w:p w:rsidR="00BC01A8" w:rsidRPr="00BC01A8" w:rsidRDefault="00BC01A8" w:rsidP="00BC01A8">
      <w:pPr>
        <w:spacing w:line="233" w:lineRule="auto"/>
        <w:jc w:val="both"/>
        <w:rPr>
          <w:rFonts w:eastAsia="Times New Roman" w:cs="Times New Roman"/>
          <w:sz w:val="20"/>
          <w:szCs w:val="20"/>
          <w:lang w:val="fr-CA" w:eastAsia="en-CA"/>
        </w:rPr>
      </w:pPr>
      <w:r w:rsidRPr="00BC01A8">
        <w:rPr>
          <w:rFonts w:eastAsia="Times New Roman" w:cs="Times New Roman"/>
          <w:sz w:val="20"/>
          <w:szCs w:val="20"/>
          <w:lang w:val="fr-CA" w:eastAsia="en-CA"/>
        </w:rPr>
        <w:t>L’appelante est autorisée à signifier et à déposer un mémoire en réplique à l’intervention d’au plus cinq pages au plus tard le 21 octobre 2013.</w: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BC01A8" w:rsidRPr="00BC01A8" w:rsidRDefault="005F2BA7" w:rsidP="00BC01A8">
      <w:pPr>
        <w:tabs>
          <w:tab w:val="left" w:pos="-1440"/>
          <w:tab w:val="left" w:pos="-720"/>
        </w:tabs>
        <w:jc w:val="both"/>
        <w:rPr>
          <w:rFonts w:eastAsia="Times New Roman" w:cs="Times New Roman"/>
          <w:sz w:val="20"/>
          <w:szCs w:val="20"/>
          <w:lang w:val="fr-CA" w:eastAsia="en-CA"/>
        </w:rPr>
      </w:pPr>
      <w:r w:rsidRPr="005F2BA7">
        <w:rPr>
          <w:rFonts w:eastAsia="Times New Roman" w:cs="Times New Roman"/>
          <w:sz w:val="20"/>
          <w:szCs w:val="20"/>
          <w:lang w:val="fr-CA" w:eastAsia="en-CA"/>
        </w:rPr>
        <w:pict>
          <v:rect id="_x0000_i1130" style="width:2in;height:1pt" o:hrpct="0" o:hralign="center" o:hrstd="t" o:hrnoshade="t" o:hr="t" fillcolor="black [3213]" stroked="f"/>
        </w:pict>
      </w:r>
    </w:p>
    <w:p w:rsidR="00BC01A8" w:rsidRPr="00BC01A8" w:rsidRDefault="00BC01A8" w:rsidP="00BC01A8">
      <w:pPr>
        <w:tabs>
          <w:tab w:val="left" w:pos="-1440"/>
          <w:tab w:val="left" w:pos="-720"/>
        </w:tabs>
        <w:jc w:val="both"/>
        <w:rPr>
          <w:rFonts w:eastAsia="Times New Roman" w:cs="Times New Roman"/>
          <w:sz w:val="20"/>
          <w:szCs w:val="20"/>
          <w:lang w:val="fr-CA" w:eastAsia="en-CA"/>
        </w:rPr>
      </w:pPr>
    </w:p>
    <w:p w:rsidR="00387EB5" w:rsidRDefault="00387EB5">
      <w:pPr>
        <w:rPr>
          <w:rFonts w:eastAsia="Times New Roman" w:cs="Times New Roman"/>
          <w:sz w:val="20"/>
          <w:szCs w:val="20"/>
          <w:lang w:eastAsia="en-CA"/>
        </w:rPr>
      </w:pPr>
      <w:r>
        <w:rPr>
          <w:rFonts w:eastAsia="Times New Roman" w:cs="Times New Roman"/>
          <w:sz w:val="20"/>
          <w:szCs w:val="20"/>
          <w:lang w:eastAsia="en-CA"/>
        </w:rPr>
        <w:br w:type="page"/>
      </w:r>
    </w:p>
    <w:p w:rsidR="00BC01A8" w:rsidRPr="00BC01A8" w:rsidRDefault="00BC01A8" w:rsidP="00BC01A8">
      <w:pPr>
        <w:tabs>
          <w:tab w:val="left" w:pos="-1440"/>
          <w:tab w:val="left" w:pos="-720"/>
        </w:tabs>
        <w:jc w:val="both"/>
        <w:rPr>
          <w:rFonts w:eastAsia="Times New Roman" w:cs="Times New Roman"/>
          <w:sz w:val="20"/>
          <w:szCs w:val="20"/>
          <w:lang w:eastAsia="en-CA"/>
        </w:rPr>
      </w:pPr>
      <w:r w:rsidRPr="00BC01A8">
        <w:rPr>
          <w:rFonts w:eastAsia="Times New Roman" w:cs="Times New Roman"/>
          <w:sz w:val="20"/>
          <w:szCs w:val="20"/>
          <w:lang w:eastAsia="en-CA"/>
        </w:rPr>
        <w:t>12.08.2013</w: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jc w:val="both"/>
        <w:rPr>
          <w:rFonts w:eastAsia="Times New Roman" w:cs="Times New Roman"/>
          <w:sz w:val="20"/>
          <w:szCs w:val="20"/>
          <w:lang w:val="fr-CA" w:eastAsia="en-CA"/>
        </w:rPr>
      </w:pPr>
      <w:r w:rsidRPr="00BC01A8">
        <w:rPr>
          <w:rFonts w:eastAsia="Times New Roman" w:cs="Times New Roman"/>
          <w:sz w:val="20"/>
          <w:szCs w:val="20"/>
          <w:lang w:val="fr-CA" w:eastAsia="en-CA"/>
        </w:rPr>
        <w:t>Before / Devant:   THE DEPUTY REGISTRAR / LA REGISTRAIRE ADJOINTE</w:t>
      </w:r>
    </w:p>
    <w:p w:rsidR="00BC01A8" w:rsidRPr="00BC01A8" w:rsidRDefault="00BC01A8" w:rsidP="00BC01A8">
      <w:pPr>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C01A8" w:rsidRPr="007C5A5B" w:rsidTr="00BC01A8">
        <w:trPr>
          <w:trHeight w:val="151"/>
        </w:trPr>
        <w:tc>
          <w:tcPr>
            <w:tcW w:w="4338" w:type="dxa"/>
          </w:tcPr>
          <w:p w:rsidR="00BC01A8" w:rsidRPr="00BC01A8" w:rsidRDefault="005F2BA7" w:rsidP="00BC01A8">
            <w:pPr>
              <w:jc w:val="both"/>
              <w:rPr>
                <w:b/>
                <w:bCs/>
                <w:lang w:val="en-US"/>
              </w:rPr>
            </w:pPr>
            <w:r w:rsidRPr="00BC01A8">
              <w:rPr>
                <w:lang w:val="en-US"/>
              </w:rPr>
              <w:fldChar w:fldCharType="begin"/>
            </w:r>
            <w:r w:rsidR="00BC01A8" w:rsidRPr="00BC01A8">
              <w:rPr>
                <w:lang w:val="en-US"/>
              </w:rPr>
              <w:instrText xml:space="preserve"> SEQ CHAPTER \h \r 1</w:instrText>
            </w:r>
            <w:r w:rsidRPr="00BC01A8">
              <w:rPr>
                <w:lang w:val="en-US"/>
              </w:rPr>
              <w:fldChar w:fldCharType="end"/>
            </w:r>
            <w:r w:rsidR="00BC01A8" w:rsidRPr="00BC01A8">
              <w:rPr>
                <w:b/>
                <w:bCs/>
                <w:lang w:val="en-US"/>
              </w:rPr>
              <w:t xml:space="preserve">Motion to extend time to serve and file a notice of taxation and bill of costs </w:t>
            </w:r>
          </w:p>
          <w:p w:rsidR="00BC01A8" w:rsidRPr="00BC01A8" w:rsidRDefault="00BC01A8" w:rsidP="00BC01A8">
            <w:pPr>
              <w:jc w:val="both"/>
              <w:rPr>
                <w:lang w:val="en-US"/>
              </w:rPr>
            </w:pPr>
          </w:p>
        </w:tc>
        <w:tc>
          <w:tcPr>
            <w:tcW w:w="1170" w:type="dxa"/>
          </w:tcPr>
          <w:p w:rsidR="00BC01A8" w:rsidRPr="00BC01A8" w:rsidRDefault="00BC01A8" w:rsidP="00BC01A8">
            <w:pPr>
              <w:jc w:val="both"/>
            </w:pPr>
          </w:p>
          <w:p w:rsidR="00BC01A8" w:rsidRPr="00BC01A8" w:rsidRDefault="00BC01A8" w:rsidP="00BC01A8">
            <w:pPr>
              <w:jc w:val="both"/>
            </w:pPr>
          </w:p>
          <w:p w:rsidR="00BC01A8" w:rsidRPr="00BC01A8" w:rsidRDefault="00BC01A8" w:rsidP="00BC01A8">
            <w:pPr>
              <w:jc w:val="both"/>
            </w:pPr>
          </w:p>
          <w:p w:rsidR="00BC01A8" w:rsidRPr="00BC01A8" w:rsidRDefault="00BC01A8" w:rsidP="00BC01A8">
            <w:pPr>
              <w:jc w:val="both"/>
            </w:pPr>
          </w:p>
        </w:tc>
        <w:tc>
          <w:tcPr>
            <w:tcW w:w="4327" w:type="dxa"/>
          </w:tcPr>
          <w:p w:rsidR="00BC01A8" w:rsidRPr="00BC01A8" w:rsidRDefault="005F2BA7" w:rsidP="00BC01A8">
            <w:pPr>
              <w:jc w:val="both"/>
              <w:rPr>
                <w:b/>
                <w:lang w:val="fr-CA"/>
              </w:rPr>
            </w:pPr>
            <w:r w:rsidRPr="00BC01A8">
              <w:rPr>
                <w:lang w:val="en-US"/>
              </w:rPr>
              <w:fldChar w:fldCharType="begin"/>
            </w:r>
            <w:r w:rsidR="00BC01A8" w:rsidRPr="00BC01A8">
              <w:rPr>
                <w:lang w:val="fr-CA"/>
              </w:rPr>
              <w:instrText xml:space="preserve"> SEQ CHAPTER \h \r 1</w:instrText>
            </w:r>
            <w:r w:rsidRPr="00BC01A8">
              <w:rPr>
                <w:lang w:val="en-US"/>
              </w:rPr>
              <w:fldChar w:fldCharType="end"/>
            </w:r>
            <w:r w:rsidR="00BC01A8" w:rsidRPr="00BC01A8">
              <w:rPr>
                <w:b/>
                <w:bCs/>
                <w:lang w:val="fr-CA"/>
              </w:rPr>
              <w:t xml:space="preserve">Requête en prorogation du délai pour signifier et déposer un avis de </w:t>
            </w:r>
            <w:r w:rsidR="00BC01A8" w:rsidRPr="00BC01A8">
              <w:rPr>
                <w:b/>
                <w:lang w:val="fr-CA"/>
              </w:rPr>
              <w:t xml:space="preserve">taxation des dépens et un mémoire de frais </w:t>
            </w:r>
            <w:r w:rsidRPr="00BC01A8">
              <w:rPr>
                <w:b/>
                <w:lang w:val="en-US"/>
              </w:rPr>
              <w:fldChar w:fldCharType="begin"/>
            </w:r>
            <w:r w:rsidR="00BC01A8" w:rsidRPr="00BC01A8">
              <w:rPr>
                <w:b/>
                <w:lang w:val="fr-CA"/>
              </w:rPr>
              <w:instrText xml:space="preserve"> SEQ CHAPTER \h \r 1</w:instrText>
            </w:r>
            <w:r w:rsidRPr="00BC01A8">
              <w:rPr>
                <w:b/>
                <w:lang w:val="en-US"/>
              </w:rPr>
              <w:fldChar w:fldCharType="end"/>
            </w:r>
          </w:p>
        </w:tc>
      </w:tr>
      <w:tr w:rsidR="00BC01A8" w:rsidRPr="00BC01A8" w:rsidTr="00BC01A8">
        <w:trPr>
          <w:trHeight w:val="150"/>
        </w:trPr>
        <w:tc>
          <w:tcPr>
            <w:tcW w:w="4338" w:type="dxa"/>
          </w:tcPr>
          <w:p w:rsidR="00BC01A8" w:rsidRPr="00BC01A8" w:rsidRDefault="00BC01A8" w:rsidP="00BC01A8">
            <w:pPr>
              <w:tabs>
                <w:tab w:val="left" w:pos="-1440"/>
                <w:tab w:val="left" w:pos="-720"/>
              </w:tabs>
              <w:jc w:val="both"/>
            </w:pPr>
            <w:r w:rsidRPr="00BC01A8">
              <w:t>Dexter Boyce</w:t>
            </w: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r w:rsidRPr="00BC01A8">
              <w:tab/>
              <w:t>v. (34866)</w:t>
            </w: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r w:rsidRPr="00BC01A8">
              <w:t>Toronto Police Services Board et al. (Ont.)</w:t>
            </w:r>
          </w:p>
        </w:tc>
        <w:tc>
          <w:tcPr>
            <w:tcW w:w="1170" w:type="dxa"/>
          </w:tcPr>
          <w:p w:rsidR="00BC01A8" w:rsidRPr="00BC01A8" w:rsidRDefault="00BC01A8" w:rsidP="00BC01A8">
            <w:pPr>
              <w:jc w:val="both"/>
            </w:pPr>
          </w:p>
        </w:tc>
        <w:tc>
          <w:tcPr>
            <w:tcW w:w="4327" w:type="dxa"/>
          </w:tcPr>
          <w:p w:rsidR="00BC01A8" w:rsidRPr="00BC01A8" w:rsidRDefault="00BC01A8" w:rsidP="00BC01A8">
            <w:pPr>
              <w:jc w:val="both"/>
            </w:pPr>
          </w:p>
        </w:tc>
      </w:tr>
    </w:tbl>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r w:rsidRPr="00BC01A8">
        <w:rPr>
          <w:rFonts w:eastAsia="Times New Roman" w:cs="Times New Roman"/>
          <w:b/>
          <w:sz w:val="20"/>
          <w:szCs w:val="20"/>
          <w:lang w:eastAsia="en-CA"/>
        </w:rPr>
        <w:t>GRANTED / ACCORDÉE</w: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jc w:val="both"/>
        <w:rPr>
          <w:rFonts w:eastAsia="Times New Roman" w:cs="Times New Roman"/>
          <w:sz w:val="20"/>
          <w:szCs w:val="20"/>
          <w:lang w:val="en-US"/>
        </w:rPr>
      </w:pPr>
      <w:r w:rsidRPr="00BC01A8">
        <w:rPr>
          <w:rFonts w:eastAsia="Times New Roman" w:cs="Times New Roman"/>
          <w:b/>
          <w:sz w:val="20"/>
          <w:szCs w:val="20"/>
          <w:lang w:val="en-US"/>
        </w:rPr>
        <w:t>UPON APPLICATION</w:t>
      </w:r>
      <w:r w:rsidRPr="00BC01A8">
        <w:rPr>
          <w:rFonts w:eastAsia="Times New Roman" w:cs="Times New Roman"/>
          <w:sz w:val="20"/>
          <w:szCs w:val="20"/>
          <w:lang w:val="en-US"/>
        </w:rPr>
        <w:t xml:space="preserve"> on behalf of the respondents, </w:t>
      </w:r>
      <w:r w:rsidRPr="00BC01A8">
        <w:rPr>
          <w:rFonts w:eastAsia="Times New Roman" w:cs="Times New Roman"/>
          <w:sz w:val="20"/>
          <w:szCs w:val="20"/>
        </w:rPr>
        <w:t>Toronto Police Services Board, Donald Hebert, Aaron Rodrigues, Donavan Smith, Anne-Marie Garisto, Mark McCullagh and various John Does,</w:t>
      </w:r>
      <w:r w:rsidRPr="00BC01A8">
        <w:rPr>
          <w:rFonts w:eastAsia="Times New Roman" w:cs="Times New Roman"/>
          <w:sz w:val="20"/>
          <w:szCs w:val="20"/>
          <w:lang w:val="en-US"/>
        </w:rPr>
        <w:t xml:space="preserve"> for an order extending the time within which to serve and file their notice of taxation and bill of costs to June 25, 2013;</w:t>
      </w:r>
    </w:p>
    <w:p w:rsidR="00BC01A8" w:rsidRPr="00BC01A8" w:rsidRDefault="00BC01A8" w:rsidP="00BC01A8">
      <w:pPr>
        <w:jc w:val="both"/>
        <w:rPr>
          <w:rFonts w:eastAsia="Times New Roman" w:cs="Times New Roman"/>
          <w:sz w:val="20"/>
          <w:szCs w:val="20"/>
          <w:lang w:val="en-US"/>
        </w:rPr>
      </w:pPr>
    </w:p>
    <w:p w:rsidR="00BC01A8" w:rsidRPr="00BC01A8" w:rsidRDefault="00BC01A8" w:rsidP="00BC01A8">
      <w:pPr>
        <w:jc w:val="both"/>
        <w:rPr>
          <w:rFonts w:eastAsia="Times New Roman" w:cs="Times New Roman"/>
          <w:b/>
          <w:sz w:val="20"/>
          <w:szCs w:val="20"/>
          <w:lang w:val="en-US"/>
        </w:rPr>
      </w:pPr>
      <w:r w:rsidRPr="00BC01A8">
        <w:rPr>
          <w:rFonts w:eastAsia="Times New Roman" w:cs="Times New Roman"/>
          <w:b/>
          <w:sz w:val="20"/>
          <w:szCs w:val="20"/>
          <w:lang w:val="en-US"/>
        </w:rPr>
        <w:t xml:space="preserve">AND THE MATERIAL FILED </w:t>
      </w:r>
      <w:r w:rsidRPr="00BC01A8">
        <w:rPr>
          <w:rFonts w:eastAsia="Times New Roman" w:cs="Times New Roman"/>
          <w:sz w:val="20"/>
          <w:szCs w:val="20"/>
          <w:lang w:val="en-US"/>
        </w:rPr>
        <w:t>having been read;</w:t>
      </w:r>
    </w:p>
    <w:p w:rsidR="00BC01A8" w:rsidRPr="00BC01A8" w:rsidRDefault="00BC01A8" w:rsidP="00BC01A8">
      <w:pPr>
        <w:jc w:val="both"/>
        <w:rPr>
          <w:rFonts w:eastAsia="Times New Roman" w:cs="Times New Roman"/>
          <w:b/>
          <w:sz w:val="20"/>
          <w:szCs w:val="20"/>
          <w:lang w:val="en-US"/>
        </w:rPr>
      </w:pPr>
    </w:p>
    <w:p w:rsidR="00BC01A8" w:rsidRPr="00BC01A8" w:rsidRDefault="00BC01A8" w:rsidP="00BC01A8">
      <w:pPr>
        <w:jc w:val="both"/>
        <w:rPr>
          <w:rFonts w:eastAsia="Times New Roman" w:cs="Times New Roman"/>
          <w:b/>
          <w:sz w:val="20"/>
          <w:szCs w:val="20"/>
          <w:lang w:val="en-US"/>
        </w:rPr>
      </w:pPr>
      <w:r w:rsidRPr="00BC01A8">
        <w:rPr>
          <w:rFonts w:eastAsia="Times New Roman" w:cs="Times New Roman"/>
          <w:b/>
          <w:sz w:val="20"/>
          <w:szCs w:val="20"/>
          <w:lang w:val="en-US"/>
        </w:rPr>
        <w:t>IT IS HEREBY ORDERED THAT:</w:t>
      </w:r>
    </w:p>
    <w:p w:rsidR="00BC01A8" w:rsidRPr="00BC01A8" w:rsidRDefault="00BC01A8" w:rsidP="00BC01A8">
      <w:pPr>
        <w:jc w:val="both"/>
        <w:rPr>
          <w:rFonts w:eastAsia="Times New Roman" w:cs="Times New Roman"/>
          <w:b/>
          <w:sz w:val="20"/>
          <w:szCs w:val="20"/>
          <w:lang w:val="en-US"/>
        </w:rPr>
      </w:pPr>
    </w:p>
    <w:p w:rsidR="00BC01A8" w:rsidRPr="00BC01A8" w:rsidRDefault="00BC01A8" w:rsidP="00BC01A8">
      <w:pPr>
        <w:ind w:firstLine="720"/>
        <w:jc w:val="both"/>
        <w:rPr>
          <w:rFonts w:eastAsia="Times New Roman" w:cs="Times New Roman"/>
          <w:sz w:val="20"/>
          <w:szCs w:val="20"/>
          <w:lang w:val="fr-CA"/>
        </w:rPr>
      </w:pPr>
      <w:r w:rsidRPr="00BC01A8">
        <w:rPr>
          <w:rFonts w:eastAsia="Times New Roman" w:cs="Times New Roman"/>
          <w:sz w:val="20"/>
          <w:szCs w:val="20"/>
          <w:lang w:val="fr-CA"/>
        </w:rPr>
        <w:t>The motion is granted.</w:t>
      </w:r>
    </w:p>
    <w:p w:rsidR="00BC01A8" w:rsidRPr="00BC01A8" w:rsidRDefault="00BC01A8" w:rsidP="00BC01A8">
      <w:pPr>
        <w:jc w:val="both"/>
        <w:rPr>
          <w:rFonts w:eastAsia="Times New Roman" w:cs="Times New Roman"/>
          <w:sz w:val="20"/>
          <w:szCs w:val="20"/>
          <w:lang w:val="fr-CA"/>
        </w:rPr>
      </w:pPr>
    </w:p>
    <w:p w:rsidR="00BC01A8" w:rsidRPr="00BC01A8" w:rsidRDefault="00BC01A8" w:rsidP="00BC01A8">
      <w:pPr>
        <w:jc w:val="both"/>
        <w:rPr>
          <w:rFonts w:eastAsia="Times New Roman" w:cs="Times New Roman"/>
          <w:sz w:val="20"/>
          <w:szCs w:val="20"/>
          <w:lang w:val="fr-CA"/>
        </w:rPr>
      </w:pPr>
    </w:p>
    <w:p w:rsidR="00BC01A8" w:rsidRPr="00BC01A8" w:rsidRDefault="00BC01A8" w:rsidP="00BC01A8">
      <w:pPr>
        <w:jc w:val="both"/>
        <w:rPr>
          <w:rFonts w:eastAsia="Times New Roman" w:cs="Times New Roman"/>
          <w:sz w:val="20"/>
          <w:szCs w:val="20"/>
          <w:lang w:val="fr-CA"/>
        </w:rPr>
      </w:pPr>
    </w:p>
    <w:p w:rsidR="00BC01A8" w:rsidRPr="00BC01A8" w:rsidRDefault="00BC01A8" w:rsidP="00BC01A8">
      <w:pPr>
        <w:jc w:val="both"/>
        <w:rPr>
          <w:rFonts w:eastAsia="Times New Roman" w:cs="Times New Roman"/>
          <w:sz w:val="20"/>
          <w:szCs w:val="20"/>
          <w:lang w:val="fr-CA"/>
        </w:rPr>
      </w:pPr>
      <w:r w:rsidRPr="00BC01A8">
        <w:rPr>
          <w:rFonts w:eastAsia="Times New Roman" w:cs="Times New Roman"/>
          <w:b/>
          <w:sz w:val="20"/>
          <w:szCs w:val="20"/>
          <w:lang w:val="fr-CA"/>
        </w:rPr>
        <w:t xml:space="preserve">À LA SUITE DE LA DEMANDE </w:t>
      </w:r>
      <w:r w:rsidRPr="00BC01A8">
        <w:rPr>
          <w:rFonts w:eastAsia="Times New Roman" w:cs="Times New Roman"/>
          <w:sz w:val="20"/>
          <w:szCs w:val="20"/>
          <w:lang w:val="fr-CA"/>
        </w:rPr>
        <w:t>présentée au nom des intimés, la Commission de services policiers de Toronto, Donald Hebert, Aaron Rodrigues, Donavan Smith, Anne-Marie Garisto, Mark McCullagh et plusieurs Jean Untel, en vue d’obtenir une ordonnance prorogeant le délai pour signifier et déposer leur avis de taxation des dépens et leur mémoire de frais au 25 juin 2013;</w:t>
      </w:r>
    </w:p>
    <w:p w:rsidR="00BC01A8" w:rsidRPr="00BC01A8" w:rsidRDefault="00BC01A8" w:rsidP="00BC01A8">
      <w:pPr>
        <w:jc w:val="both"/>
        <w:rPr>
          <w:rFonts w:eastAsia="Times New Roman" w:cs="Times New Roman"/>
          <w:sz w:val="20"/>
          <w:szCs w:val="20"/>
          <w:lang w:val="fr-CA"/>
        </w:rPr>
      </w:pPr>
    </w:p>
    <w:p w:rsidR="00BC01A8" w:rsidRPr="00BC01A8" w:rsidRDefault="00BC01A8" w:rsidP="00BC01A8">
      <w:pPr>
        <w:jc w:val="both"/>
        <w:rPr>
          <w:rFonts w:eastAsia="Times New Roman" w:cs="Times New Roman"/>
          <w:b/>
          <w:sz w:val="20"/>
          <w:szCs w:val="20"/>
          <w:lang w:val="fr-CA"/>
        </w:rPr>
      </w:pPr>
      <w:r w:rsidRPr="00BC01A8">
        <w:rPr>
          <w:rFonts w:eastAsia="Times New Roman" w:cs="Times New Roman"/>
          <w:b/>
          <w:sz w:val="20"/>
          <w:szCs w:val="20"/>
          <w:lang w:val="fr-CA"/>
        </w:rPr>
        <w:t xml:space="preserve">ET APRÈS EXAMEN </w:t>
      </w:r>
      <w:r w:rsidRPr="00BC01A8">
        <w:rPr>
          <w:rFonts w:eastAsia="Times New Roman" w:cs="Times New Roman"/>
          <w:sz w:val="20"/>
          <w:szCs w:val="20"/>
          <w:lang w:val="fr-CA"/>
        </w:rPr>
        <w:t>des documents déposés;</w:t>
      </w:r>
    </w:p>
    <w:p w:rsidR="00BC01A8" w:rsidRPr="00BC01A8" w:rsidRDefault="00BC01A8" w:rsidP="00BC01A8">
      <w:pPr>
        <w:jc w:val="both"/>
        <w:rPr>
          <w:rFonts w:eastAsia="Times New Roman" w:cs="Times New Roman"/>
          <w:b/>
          <w:sz w:val="20"/>
          <w:szCs w:val="20"/>
          <w:lang w:val="fr-CA"/>
        </w:rPr>
      </w:pPr>
    </w:p>
    <w:p w:rsidR="00BC01A8" w:rsidRPr="00BC01A8" w:rsidRDefault="00BC01A8" w:rsidP="00BC01A8">
      <w:pPr>
        <w:jc w:val="both"/>
        <w:rPr>
          <w:rFonts w:eastAsia="Times New Roman" w:cs="Times New Roman"/>
          <w:b/>
          <w:sz w:val="20"/>
          <w:szCs w:val="20"/>
          <w:lang w:val="fr-CA"/>
        </w:rPr>
      </w:pPr>
      <w:r w:rsidRPr="00BC01A8">
        <w:rPr>
          <w:rFonts w:eastAsia="Times New Roman" w:cs="Times New Roman"/>
          <w:b/>
          <w:sz w:val="20"/>
          <w:szCs w:val="20"/>
          <w:lang w:val="fr-CA"/>
        </w:rPr>
        <w:t>IL EST ORDONNÉ CE QUI SUIT :</w:t>
      </w:r>
    </w:p>
    <w:p w:rsidR="00BC01A8" w:rsidRPr="00BC01A8" w:rsidRDefault="00BC01A8" w:rsidP="00BC01A8">
      <w:pPr>
        <w:jc w:val="both"/>
        <w:rPr>
          <w:rFonts w:eastAsia="Times New Roman" w:cs="Times New Roman"/>
          <w:b/>
          <w:sz w:val="20"/>
          <w:szCs w:val="20"/>
          <w:lang w:val="fr-CA"/>
        </w:rPr>
      </w:pPr>
    </w:p>
    <w:p w:rsidR="00BC01A8" w:rsidRPr="00BC01A8" w:rsidRDefault="00BC01A8" w:rsidP="00BC01A8">
      <w:pPr>
        <w:ind w:firstLine="720"/>
        <w:jc w:val="both"/>
        <w:rPr>
          <w:rFonts w:eastAsia="Times New Roman" w:cs="Times New Roman"/>
          <w:sz w:val="20"/>
          <w:szCs w:val="20"/>
          <w:lang w:val="fr-CA"/>
        </w:rPr>
      </w:pPr>
      <w:r w:rsidRPr="00BC01A8">
        <w:rPr>
          <w:rFonts w:eastAsia="Times New Roman" w:cs="Times New Roman"/>
          <w:sz w:val="20"/>
          <w:szCs w:val="20"/>
          <w:lang w:val="fr-CA"/>
        </w:rPr>
        <w:t>La requête est accueillie.</w: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5F2BA7" w:rsidP="00BC01A8">
      <w:pPr>
        <w:tabs>
          <w:tab w:val="left" w:pos="-1440"/>
          <w:tab w:val="left" w:pos="-720"/>
        </w:tabs>
        <w:jc w:val="both"/>
        <w:rPr>
          <w:rFonts w:eastAsia="Times New Roman" w:cs="Times New Roman"/>
          <w:sz w:val="20"/>
          <w:szCs w:val="20"/>
          <w:lang w:eastAsia="en-CA"/>
        </w:rPr>
      </w:pPr>
      <w:r w:rsidRPr="005F2BA7">
        <w:rPr>
          <w:rFonts w:eastAsia="Times New Roman" w:cs="Times New Roman"/>
          <w:sz w:val="20"/>
          <w:szCs w:val="20"/>
          <w:lang w:val="fr-CA" w:eastAsia="en-CA"/>
        </w:rPr>
        <w:pict>
          <v:rect id="_x0000_i1131" style="width:2in;height:1pt" o:hrpct="0" o:hralign="center" o:hrstd="t" o:hrnoshade="t" o:hr="t" fillcolor="black [3213]" stroked="f"/>
        </w:pic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r w:rsidRPr="00BC01A8">
        <w:rPr>
          <w:rFonts w:eastAsia="Times New Roman" w:cs="Times New Roman"/>
          <w:sz w:val="20"/>
          <w:szCs w:val="20"/>
          <w:lang w:eastAsia="en-CA"/>
        </w:rPr>
        <w:t>12.08.2013</w: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jc w:val="both"/>
        <w:rPr>
          <w:rFonts w:eastAsia="Times New Roman" w:cs="Times New Roman"/>
          <w:sz w:val="20"/>
          <w:szCs w:val="20"/>
          <w:lang w:val="fr-CA" w:eastAsia="en-CA"/>
        </w:rPr>
      </w:pPr>
      <w:r w:rsidRPr="00BC01A8">
        <w:rPr>
          <w:rFonts w:eastAsia="Times New Roman" w:cs="Times New Roman"/>
          <w:sz w:val="20"/>
          <w:szCs w:val="20"/>
          <w:lang w:val="fr-CA" w:eastAsia="en-CA"/>
        </w:rPr>
        <w:t>Before / Devant:   THE DEPUTY REGISTRAR / LA REGISTRAIRE ADJOINTE</w:t>
      </w:r>
    </w:p>
    <w:p w:rsidR="00BC01A8" w:rsidRPr="00BC01A8" w:rsidRDefault="00BC01A8" w:rsidP="00BC01A8">
      <w:pPr>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C01A8" w:rsidRPr="007C5A5B" w:rsidTr="00BC01A8">
        <w:trPr>
          <w:trHeight w:val="151"/>
        </w:trPr>
        <w:tc>
          <w:tcPr>
            <w:tcW w:w="4338" w:type="dxa"/>
          </w:tcPr>
          <w:p w:rsidR="00BC01A8" w:rsidRPr="00BC01A8" w:rsidRDefault="005F2BA7" w:rsidP="00BC01A8">
            <w:pPr>
              <w:jc w:val="both"/>
              <w:rPr>
                <w:b/>
                <w:bCs/>
                <w:lang w:val="en-US"/>
              </w:rPr>
            </w:pPr>
            <w:r w:rsidRPr="00BC01A8">
              <w:rPr>
                <w:lang w:val="en-US"/>
              </w:rPr>
              <w:fldChar w:fldCharType="begin"/>
            </w:r>
            <w:r w:rsidR="00BC01A8" w:rsidRPr="00BC01A8">
              <w:rPr>
                <w:lang w:val="en-US"/>
              </w:rPr>
              <w:instrText xml:space="preserve"> SEQ CHAPTER \h \r 1</w:instrText>
            </w:r>
            <w:r w:rsidRPr="00BC01A8">
              <w:rPr>
                <w:lang w:val="en-US"/>
              </w:rPr>
              <w:fldChar w:fldCharType="end"/>
            </w:r>
            <w:r w:rsidR="00BC01A8" w:rsidRPr="00BC01A8">
              <w:rPr>
                <w:b/>
                <w:bCs/>
                <w:lang w:val="en-US"/>
              </w:rPr>
              <w:t xml:space="preserve">Motion to extend time to serve and file a notice of taxation and bill of costs </w:t>
            </w:r>
          </w:p>
          <w:p w:rsidR="00BC01A8" w:rsidRPr="00BC01A8" w:rsidRDefault="00BC01A8" w:rsidP="00BC01A8">
            <w:pPr>
              <w:jc w:val="both"/>
              <w:rPr>
                <w:lang w:val="en-US"/>
              </w:rPr>
            </w:pPr>
          </w:p>
        </w:tc>
        <w:tc>
          <w:tcPr>
            <w:tcW w:w="1170" w:type="dxa"/>
          </w:tcPr>
          <w:p w:rsidR="00BC01A8" w:rsidRPr="00BC01A8" w:rsidRDefault="00BC01A8" w:rsidP="00BC01A8">
            <w:pPr>
              <w:jc w:val="both"/>
            </w:pPr>
          </w:p>
          <w:p w:rsidR="00BC01A8" w:rsidRPr="00BC01A8" w:rsidRDefault="00BC01A8" w:rsidP="00BC01A8">
            <w:pPr>
              <w:jc w:val="both"/>
            </w:pPr>
          </w:p>
          <w:p w:rsidR="00BC01A8" w:rsidRPr="00BC01A8" w:rsidRDefault="00BC01A8" w:rsidP="00BC01A8">
            <w:pPr>
              <w:jc w:val="both"/>
            </w:pPr>
          </w:p>
          <w:p w:rsidR="00BC01A8" w:rsidRPr="00BC01A8" w:rsidRDefault="00BC01A8" w:rsidP="00BC01A8">
            <w:pPr>
              <w:jc w:val="both"/>
            </w:pPr>
          </w:p>
        </w:tc>
        <w:tc>
          <w:tcPr>
            <w:tcW w:w="4327" w:type="dxa"/>
          </w:tcPr>
          <w:p w:rsidR="00BC01A8" w:rsidRPr="00BC01A8" w:rsidRDefault="00BC01A8" w:rsidP="00BC01A8">
            <w:pPr>
              <w:jc w:val="both"/>
              <w:rPr>
                <w:b/>
                <w:lang w:val="fr-CA"/>
              </w:rPr>
            </w:pPr>
            <w:r w:rsidRPr="00BC01A8">
              <w:rPr>
                <w:b/>
                <w:bCs/>
                <w:lang w:val="fr-CA"/>
              </w:rPr>
              <w:t xml:space="preserve">Requête en prorogation du délai pour signifier et déposer un avis de </w:t>
            </w:r>
            <w:r w:rsidRPr="00BC01A8">
              <w:rPr>
                <w:b/>
                <w:lang w:val="fr-CA"/>
              </w:rPr>
              <w:t xml:space="preserve">taxation des dépens et un mémoire de frais </w:t>
            </w:r>
            <w:r w:rsidR="005F2BA7" w:rsidRPr="00BC01A8">
              <w:rPr>
                <w:b/>
                <w:lang w:val="en-US"/>
              </w:rPr>
              <w:fldChar w:fldCharType="begin"/>
            </w:r>
            <w:r w:rsidRPr="00BC01A8">
              <w:rPr>
                <w:b/>
                <w:lang w:val="fr-CA"/>
              </w:rPr>
              <w:instrText xml:space="preserve"> SEQ CHAPTER \h \r 1</w:instrText>
            </w:r>
            <w:r w:rsidR="005F2BA7" w:rsidRPr="00BC01A8">
              <w:rPr>
                <w:b/>
                <w:lang w:val="en-US"/>
              </w:rPr>
              <w:fldChar w:fldCharType="end"/>
            </w:r>
          </w:p>
        </w:tc>
      </w:tr>
      <w:tr w:rsidR="00BC01A8" w:rsidRPr="00BC01A8" w:rsidTr="00BC01A8">
        <w:trPr>
          <w:trHeight w:val="150"/>
        </w:trPr>
        <w:tc>
          <w:tcPr>
            <w:tcW w:w="4338" w:type="dxa"/>
          </w:tcPr>
          <w:p w:rsidR="00BC01A8" w:rsidRPr="00BC01A8" w:rsidRDefault="00BC01A8" w:rsidP="00BC01A8">
            <w:pPr>
              <w:tabs>
                <w:tab w:val="left" w:pos="-1440"/>
                <w:tab w:val="left" w:pos="-720"/>
              </w:tabs>
              <w:jc w:val="both"/>
            </w:pPr>
            <w:r w:rsidRPr="00BC01A8">
              <w:t>Richard Rousseau</w:t>
            </w: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r w:rsidRPr="00BC01A8">
              <w:tab/>
              <w:t>v. (34891)</w:t>
            </w:r>
          </w:p>
          <w:p w:rsidR="00BC01A8" w:rsidRPr="00BC01A8" w:rsidRDefault="00BC01A8" w:rsidP="00BC01A8">
            <w:pPr>
              <w:tabs>
                <w:tab w:val="left" w:pos="-1440"/>
                <w:tab w:val="left" w:pos="-720"/>
              </w:tabs>
              <w:jc w:val="both"/>
            </w:pPr>
          </w:p>
          <w:p w:rsidR="00BC01A8" w:rsidRPr="00BC01A8" w:rsidRDefault="00BC01A8" w:rsidP="00BC01A8">
            <w:pPr>
              <w:tabs>
                <w:tab w:val="left" w:pos="-1440"/>
                <w:tab w:val="left" w:pos="-720"/>
              </w:tabs>
              <w:jc w:val="both"/>
            </w:pPr>
            <w:r w:rsidRPr="00BC01A8">
              <w:t>Scotia Bank (Ont.)</w:t>
            </w:r>
          </w:p>
        </w:tc>
        <w:tc>
          <w:tcPr>
            <w:tcW w:w="1170" w:type="dxa"/>
          </w:tcPr>
          <w:p w:rsidR="00BC01A8" w:rsidRPr="00BC01A8" w:rsidRDefault="00BC01A8" w:rsidP="00BC01A8">
            <w:pPr>
              <w:jc w:val="both"/>
            </w:pPr>
          </w:p>
        </w:tc>
        <w:tc>
          <w:tcPr>
            <w:tcW w:w="4327" w:type="dxa"/>
          </w:tcPr>
          <w:p w:rsidR="00BC01A8" w:rsidRPr="00BC01A8" w:rsidRDefault="00BC01A8" w:rsidP="00BC01A8">
            <w:pPr>
              <w:jc w:val="both"/>
            </w:pPr>
          </w:p>
        </w:tc>
      </w:tr>
    </w:tbl>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tabs>
          <w:tab w:val="left" w:pos="-1440"/>
          <w:tab w:val="left" w:pos="-720"/>
        </w:tabs>
        <w:jc w:val="both"/>
        <w:rPr>
          <w:rFonts w:eastAsia="Times New Roman" w:cs="Times New Roman"/>
          <w:sz w:val="20"/>
          <w:szCs w:val="20"/>
          <w:lang w:eastAsia="en-CA"/>
        </w:rPr>
      </w:pPr>
      <w:r w:rsidRPr="00BC01A8">
        <w:rPr>
          <w:rFonts w:eastAsia="Times New Roman" w:cs="Times New Roman"/>
          <w:b/>
          <w:sz w:val="20"/>
          <w:szCs w:val="20"/>
          <w:lang w:eastAsia="en-CA"/>
        </w:rPr>
        <w:t>GRANTED / ACCORDÉE</w:t>
      </w:r>
    </w:p>
    <w:p w:rsidR="00BC01A8" w:rsidRPr="00BC01A8" w:rsidRDefault="00BC01A8" w:rsidP="00BC01A8">
      <w:pPr>
        <w:tabs>
          <w:tab w:val="left" w:pos="-1440"/>
          <w:tab w:val="left" w:pos="-720"/>
        </w:tabs>
        <w:jc w:val="both"/>
        <w:rPr>
          <w:rFonts w:eastAsia="Times New Roman" w:cs="Times New Roman"/>
          <w:sz w:val="20"/>
          <w:szCs w:val="20"/>
          <w:lang w:eastAsia="en-CA"/>
        </w:rPr>
      </w:pPr>
    </w:p>
    <w:p w:rsidR="00BC01A8" w:rsidRPr="00BC01A8" w:rsidRDefault="00BC01A8" w:rsidP="00BC01A8">
      <w:pPr>
        <w:jc w:val="both"/>
        <w:rPr>
          <w:rFonts w:eastAsia="Times New Roman" w:cs="Times New Roman"/>
          <w:sz w:val="20"/>
          <w:szCs w:val="20"/>
          <w:lang w:val="en-US"/>
        </w:rPr>
      </w:pPr>
      <w:r w:rsidRPr="00BC01A8">
        <w:rPr>
          <w:rFonts w:eastAsia="Times New Roman" w:cs="Times New Roman"/>
          <w:b/>
          <w:sz w:val="20"/>
          <w:szCs w:val="20"/>
          <w:lang w:val="en-US"/>
        </w:rPr>
        <w:t>UPON APPLICATION</w:t>
      </w:r>
      <w:r w:rsidRPr="00BC01A8">
        <w:rPr>
          <w:rFonts w:eastAsia="Times New Roman" w:cs="Times New Roman"/>
          <w:sz w:val="20"/>
          <w:szCs w:val="20"/>
          <w:lang w:val="en-US"/>
        </w:rPr>
        <w:t xml:space="preserve"> on behalf of the respondent for an order extending the time within which to serve and file their notice of taxation and bill of costs to June 25, 2013;</w:t>
      </w:r>
    </w:p>
    <w:p w:rsidR="00BC01A8" w:rsidRPr="00BC01A8" w:rsidRDefault="00BC01A8" w:rsidP="00BC01A8">
      <w:pPr>
        <w:tabs>
          <w:tab w:val="left" w:pos="1635"/>
        </w:tabs>
        <w:jc w:val="both"/>
        <w:rPr>
          <w:rFonts w:eastAsia="Times New Roman" w:cs="Times New Roman"/>
          <w:sz w:val="20"/>
          <w:szCs w:val="20"/>
          <w:lang w:val="en-US"/>
        </w:rPr>
      </w:pPr>
      <w:r w:rsidRPr="00BC01A8">
        <w:rPr>
          <w:rFonts w:eastAsia="Times New Roman" w:cs="Times New Roman"/>
          <w:sz w:val="20"/>
          <w:szCs w:val="20"/>
          <w:lang w:val="en-US"/>
        </w:rPr>
        <w:tab/>
      </w:r>
    </w:p>
    <w:p w:rsidR="00BC01A8" w:rsidRPr="00BC01A8" w:rsidRDefault="00BC01A8" w:rsidP="00BC01A8">
      <w:pPr>
        <w:jc w:val="both"/>
        <w:rPr>
          <w:rFonts w:eastAsia="Times New Roman" w:cs="Times New Roman"/>
          <w:b/>
          <w:sz w:val="20"/>
          <w:szCs w:val="20"/>
          <w:lang w:val="en-US"/>
        </w:rPr>
      </w:pPr>
      <w:r w:rsidRPr="00BC01A8">
        <w:rPr>
          <w:rFonts w:eastAsia="Times New Roman" w:cs="Times New Roman"/>
          <w:b/>
          <w:sz w:val="20"/>
          <w:szCs w:val="20"/>
          <w:lang w:val="en-US"/>
        </w:rPr>
        <w:t xml:space="preserve">AND THE MATERIAL FILED </w:t>
      </w:r>
      <w:r w:rsidRPr="00BC01A8">
        <w:rPr>
          <w:rFonts w:eastAsia="Times New Roman" w:cs="Times New Roman"/>
          <w:sz w:val="20"/>
          <w:szCs w:val="20"/>
          <w:lang w:val="en-US"/>
        </w:rPr>
        <w:t>having been read;</w:t>
      </w:r>
    </w:p>
    <w:p w:rsidR="00BC01A8" w:rsidRPr="00BC01A8" w:rsidRDefault="00BC01A8" w:rsidP="00BC01A8">
      <w:pPr>
        <w:jc w:val="both"/>
        <w:rPr>
          <w:rFonts w:eastAsia="Times New Roman" w:cs="Times New Roman"/>
          <w:b/>
          <w:sz w:val="20"/>
          <w:szCs w:val="20"/>
          <w:lang w:val="en-US"/>
        </w:rPr>
      </w:pPr>
    </w:p>
    <w:p w:rsidR="00BC01A8" w:rsidRPr="00BC01A8" w:rsidRDefault="00BC01A8" w:rsidP="00BC01A8">
      <w:pPr>
        <w:jc w:val="both"/>
        <w:rPr>
          <w:rFonts w:eastAsia="Times New Roman" w:cs="Times New Roman"/>
          <w:b/>
          <w:sz w:val="20"/>
          <w:szCs w:val="20"/>
          <w:lang w:val="en-US"/>
        </w:rPr>
      </w:pPr>
      <w:r w:rsidRPr="00BC01A8">
        <w:rPr>
          <w:rFonts w:eastAsia="Times New Roman" w:cs="Times New Roman"/>
          <w:b/>
          <w:sz w:val="20"/>
          <w:szCs w:val="20"/>
          <w:lang w:val="en-US"/>
        </w:rPr>
        <w:t>IT IS HEREBY ORDERED THAT:</w:t>
      </w:r>
    </w:p>
    <w:p w:rsidR="00BC01A8" w:rsidRPr="00BC01A8" w:rsidRDefault="00BC01A8" w:rsidP="00BC01A8">
      <w:pPr>
        <w:jc w:val="both"/>
        <w:rPr>
          <w:rFonts w:eastAsia="Times New Roman" w:cs="Times New Roman"/>
          <w:b/>
          <w:sz w:val="20"/>
          <w:szCs w:val="20"/>
          <w:lang w:val="en-US"/>
        </w:rPr>
      </w:pPr>
    </w:p>
    <w:p w:rsidR="00BC01A8" w:rsidRPr="00BC01A8" w:rsidRDefault="00BC01A8" w:rsidP="00BC01A8">
      <w:pPr>
        <w:ind w:firstLine="720"/>
        <w:jc w:val="both"/>
        <w:rPr>
          <w:rFonts w:eastAsia="Times New Roman" w:cs="Times New Roman"/>
          <w:sz w:val="20"/>
          <w:szCs w:val="20"/>
          <w:lang w:val="fr-CA"/>
        </w:rPr>
      </w:pPr>
      <w:r w:rsidRPr="00BC01A8">
        <w:rPr>
          <w:rFonts w:eastAsia="Times New Roman" w:cs="Times New Roman"/>
          <w:sz w:val="20"/>
          <w:szCs w:val="20"/>
          <w:lang w:val="fr-CA"/>
        </w:rPr>
        <w:t>The motion is granted.</w:t>
      </w:r>
    </w:p>
    <w:p w:rsidR="00BC01A8" w:rsidRPr="00BC01A8" w:rsidRDefault="00BC01A8" w:rsidP="00BC01A8">
      <w:pPr>
        <w:spacing w:line="233" w:lineRule="auto"/>
        <w:rPr>
          <w:rFonts w:eastAsia="Times New Roman" w:cs="Times New Roman"/>
          <w:sz w:val="20"/>
          <w:szCs w:val="20"/>
          <w:lang w:val="fr-CA" w:eastAsia="en-CA"/>
        </w:rPr>
      </w:pPr>
    </w:p>
    <w:p w:rsidR="00BC01A8" w:rsidRPr="00BC01A8" w:rsidRDefault="00BC01A8" w:rsidP="00BC01A8">
      <w:pPr>
        <w:spacing w:line="233" w:lineRule="auto"/>
        <w:rPr>
          <w:rFonts w:eastAsia="Times New Roman" w:cs="Times New Roman"/>
          <w:sz w:val="20"/>
          <w:szCs w:val="20"/>
          <w:lang w:val="fr-CA" w:eastAsia="en-CA"/>
        </w:rPr>
      </w:pPr>
    </w:p>
    <w:p w:rsidR="00BC01A8" w:rsidRPr="00BC01A8" w:rsidRDefault="00BC01A8" w:rsidP="00BC01A8">
      <w:pPr>
        <w:spacing w:line="233" w:lineRule="auto"/>
        <w:rPr>
          <w:rFonts w:eastAsia="Times New Roman" w:cs="Times New Roman"/>
          <w:sz w:val="20"/>
          <w:szCs w:val="20"/>
          <w:lang w:val="fr-CA" w:eastAsia="en-CA"/>
        </w:rPr>
      </w:pPr>
    </w:p>
    <w:p w:rsidR="00BC01A8" w:rsidRPr="00BC01A8" w:rsidRDefault="00BC01A8" w:rsidP="00BC01A8">
      <w:pPr>
        <w:jc w:val="both"/>
        <w:rPr>
          <w:rFonts w:eastAsia="Times New Roman" w:cs="Times New Roman"/>
          <w:sz w:val="20"/>
          <w:szCs w:val="20"/>
          <w:lang w:val="fr-CA"/>
        </w:rPr>
      </w:pPr>
      <w:r w:rsidRPr="00BC01A8">
        <w:rPr>
          <w:rFonts w:eastAsia="Times New Roman" w:cs="Times New Roman"/>
          <w:b/>
          <w:sz w:val="20"/>
          <w:szCs w:val="20"/>
          <w:lang w:val="fr-CA"/>
        </w:rPr>
        <w:t xml:space="preserve">À LA SUITE DE LA DEMANDE </w:t>
      </w:r>
      <w:r w:rsidRPr="00BC01A8">
        <w:rPr>
          <w:rFonts w:eastAsia="Times New Roman" w:cs="Times New Roman"/>
          <w:sz w:val="20"/>
          <w:szCs w:val="20"/>
          <w:lang w:val="fr-CA"/>
        </w:rPr>
        <w:t>présentée au nom de l’intimée en vue d’obtenir une ordonnance prorogeant le délai pour signifier et déposer leur avis de taxation des dépens et leur mémoire de frais au 25 juin 2013;</w:t>
      </w:r>
    </w:p>
    <w:p w:rsidR="00BC01A8" w:rsidRPr="00BC01A8" w:rsidRDefault="00BC01A8" w:rsidP="00BC01A8">
      <w:pPr>
        <w:tabs>
          <w:tab w:val="left" w:pos="1635"/>
        </w:tabs>
        <w:jc w:val="both"/>
        <w:rPr>
          <w:rFonts w:eastAsia="Times New Roman" w:cs="Times New Roman"/>
          <w:sz w:val="20"/>
          <w:szCs w:val="20"/>
          <w:lang w:val="fr-CA"/>
        </w:rPr>
      </w:pPr>
      <w:r w:rsidRPr="00BC01A8">
        <w:rPr>
          <w:rFonts w:eastAsia="Times New Roman" w:cs="Times New Roman"/>
          <w:sz w:val="20"/>
          <w:szCs w:val="20"/>
          <w:lang w:val="fr-CA"/>
        </w:rPr>
        <w:tab/>
      </w:r>
    </w:p>
    <w:p w:rsidR="00BC01A8" w:rsidRPr="00BC01A8" w:rsidRDefault="00BC01A8" w:rsidP="00BC01A8">
      <w:pPr>
        <w:jc w:val="both"/>
        <w:rPr>
          <w:rFonts w:eastAsia="Times New Roman" w:cs="Times New Roman"/>
          <w:b/>
          <w:sz w:val="20"/>
          <w:szCs w:val="20"/>
          <w:lang w:val="fr-CA"/>
        </w:rPr>
      </w:pPr>
      <w:r w:rsidRPr="00BC01A8">
        <w:rPr>
          <w:rFonts w:eastAsia="Times New Roman" w:cs="Times New Roman"/>
          <w:b/>
          <w:sz w:val="20"/>
          <w:szCs w:val="20"/>
          <w:lang w:val="fr-CA"/>
        </w:rPr>
        <w:t xml:space="preserve">Et APRÈS EXAMEN </w:t>
      </w:r>
      <w:r w:rsidRPr="00BC01A8">
        <w:rPr>
          <w:rFonts w:eastAsia="Times New Roman" w:cs="Times New Roman"/>
          <w:sz w:val="20"/>
          <w:szCs w:val="20"/>
          <w:lang w:val="fr-CA"/>
        </w:rPr>
        <w:t>des documents déposés;</w:t>
      </w:r>
    </w:p>
    <w:p w:rsidR="00BC01A8" w:rsidRPr="00BC01A8" w:rsidRDefault="00BC01A8" w:rsidP="00BC01A8">
      <w:pPr>
        <w:jc w:val="both"/>
        <w:rPr>
          <w:rFonts w:eastAsia="Times New Roman" w:cs="Times New Roman"/>
          <w:b/>
          <w:sz w:val="20"/>
          <w:szCs w:val="20"/>
          <w:lang w:val="fr-CA"/>
        </w:rPr>
      </w:pPr>
    </w:p>
    <w:p w:rsidR="00BC01A8" w:rsidRPr="00BC01A8" w:rsidRDefault="00BC01A8" w:rsidP="00BC01A8">
      <w:pPr>
        <w:jc w:val="both"/>
        <w:rPr>
          <w:rFonts w:eastAsia="Times New Roman" w:cs="Times New Roman"/>
          <w:b/>
          <w:sz w:val="20"/>
          <w:szCs w:val="20"/>
          <w:lang w:val="fr-CA"/>
        </w:rPr>
      </w:pPr>
      <w:r w:rsidRPr="00BC01A8">
        <w:rPr>
          <w:rFonts w:eastAsia="Times New Roman" w:cs="Times New Roman"/>
          <w:b/>
          <w:sz w:val="20"/>
          <w:szCs w:val="20"/>
          <w:lang w:val="fr-CA"/>
        </w:rPr>
        <w:t>IL EST ORDONNÉ CE QUI SUIT :</w:t>
      </w:r>
    </w:p>
    <w:p w:rsidR="00BC01A8" w:rsidRPr="00BC01A8" w:rsidRDefault="00BC01A8" w:rsidP="00BC01A8">
      <w:pPr>
        <w:jc w:val="both"/>
        <w:rPr>
          <w:rFonts w:eastAsia="Times New Roman" w:cs="Times New Roman"/>
          <w:b/>
          <w:sz w:val="20"/>
          <w:szCs w:val="20"/>
          <w:lang w:val="fr-CA"/>
        </w:rPr>
      </w:pPr>
    </w:p>
    <w:p w:rsidR="00BC01A8" w:rsidRPr="00BC01A8" w:rsidRDefault="00BC01A8" w:rsidP="00BC01A8">
      <w:pPr>
        <w:spacing w:line="233" w:lineRule="auto"/>
        <w:ind w:firstLine="720"/>
        <w:rPr>
          <w:rFonts w:eastAsia="Times New Roman" w:cs="Times New Roman"/>
          <w:sz w:val="20"/>
          <w:szCs w:val="20"/>
          <w:lang w:val="fr-CA" w:eastAsia="en-CA"/>
        </w:rPr>
      </w:pPr>
      <w:r w:rsidRPr="00BC01A8">
        <w:rPr>
          <w:rFonts w:eastAsia="Times New Roman" w:cs="Times New Roman"/>
          <w:sz w:val="20"/>
          <w:szCs w:val="20"/>
          <w:lang w:val="fr-CA" w:eastAsia="en-CA"/>
        </w:rPr>
        <w:t>La requête est accueillie.</w:t>
      </w:r>
    </w:p>
    <w:p w:rsidR="00BC01A8" w:rsidRPr="00BC01A8" w:rsidRDefault="00BC01A8" w:rsidP="00BC01A8">
      <w:pPr>
        <w:spacing w:line="233" w:lineRule="auto"/>
        <w:ind w:firstLine="720"/>
        <w:rPr>
          <w:rFonts w:eastAsia="Times New Roman" w:cs="Times New Roman"/>
          <w:sz w:val="20"/>
          <w:szCs w:val="20"/>
          <w:lang w:val="fr-CA" w:eastAsia="en-CA"/>
        </w:rPr>
      </w:pPr>
    </w:p>
    <w:p w:rsidR="00BC01A8" w:rsidRPr="00BC01A8" w:rsidRDefault="005F2BA7" w:rsidP="00BC01A8">
      <w:pPr>
        <w:tabs>
          <w:tab w:val="left" w:pos="-1440"/>
          <w:tab w:val="left" w:pos="-720"/>
        </w:tabs>
        <w:jc w:val="both"/>
        <w:rPr>
          <w:rFonts w:eastAsia="Times New Roman" w:cs="Times New Roman"/>
          <w:sz w:val="20"/>
          <w:szCs w:val="20"/>
          <w:lang w:val="fr-CA" w:eastAsia="en-CA"/>
        </w:rPr>
      </w:pPr>
      <w:r w:rsidRPr="005F2BA7">
        <w:rPr>
          <w:rFonts w:eastAsia="Times New Roman" w:cs="Times New Roman"/>
          <w:sz w:val="20"/>
          <w:szCs w:val="20"/>
          <w:lang w:val="fr-CA" w:eastAsia="en-CA"/>
        </w:rPr>
        <w:pict>
          <v:rect id="_x0000_i1132" style="width:2in;height:1pt" o:hrpct="0" o:hralign="center" o:hrstd="t" o:hrnoshade="t" o:hr="t" fillcolor="black [3213]" stroked="f"/>
        </w:pict>
      </w:r>
    </w:p>
    <w:p w:rsidR="00BC01A8" w:rsidRPr="00BC01A8" w:rsidRDefault="00BC01A8" w:rsidP="00BC01A8">
      <w:pPr>
        <w:rPr>
          <w:rFonts w:eastAsia="Times New Roman" w:cs="Times New Roman"/>
          <w:sz w:val="20"/>
          <w:szCs w:val="20"/>
          <w:lang w:val="fr-CA" w:eastAsia="en-CA"/>
        </w:rPr>
      </w:pPr>
    </w:p>
    <w:p w:rsidR="007A77F9" w:rsidRPr="007A77F9" w:rsidRDefault="007A77F9" w:rsidP="007A77F9">
      <w:pPr>
        <w:tabs>
          <w:tab w:val="left" w:pos="-1440"/>
          <w:tab w:val="left" w:pos="-720"/>
        </w:tabs>
        <w:jc w:val="both"/>
        <w:rPr>
          <w:rFonts w:eastAsia="Times New Roman" w:cs="Times New Roman"/>
          <w:sz w:val="20"/>
          <w:szCs w:val="20"/>
          <w:lang w:val="fr-CA" w:eastAsia="en-CA"/>
        </w:rPr>
      </w:pPr>
      <w:r w:rsidRPr="007A77F9">
        <w:rPr>
          <w:rFonts w:eastAsia="Times New Roman" w:cs="Times New Roman"/>
          <w:sz w:val="20"/>
          <w:szCs w:val="20"/>
          <w:lang w:val="fr-CA" w:eastAsia="en-CA"/>
        </w:rPr>
        <w:t>13.08.2013</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tabs>
          <w:tab w:val="left" w:pos="-1440"/>
          <w:tab w:val="left" w:pos="-720"/>
        </w:tabs>
        <w:jc w:val="both"/>
        <w:rPr>
          <w:rFonts w:eastAsia="Times New Roman" w:cs="Times New Roman"/>
          <w:sz w:val="20"/>
          <w:szCs w:val="20"/>
          <w:lang w:val="fr-CA" w:eastAsia="en-CA"/>
        </w:rPr>
      </w:pPr>
      <w:r w:rsidRPr="007A77F9">
        <w:rPr>
          <w:rFonts w:eastAsia="Times New Roman" w:cs="Times New Roman"/>
          <w:sz w:val="20"/>
          <w:szCs w:val="20"/>
          <w:lang w:val="fr-CA" w:eastAsia="en-CA"/>
        </w:rPr>
        <w:t>Before / Devant :   ROTHSTEIN J. / LE JUGE ROTHSTEIN</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7A77F9" w:rsidRPr="007C5A5B" w:rsidTr="00FB7665">
        <w:tc>
          <w:tcPr>
            <w:tcW w:w="4338" w:type="dxa"/>
            <w:gridSpan w:val="2"/>
          </w:tcPr>
          <w:p w:rsidR="007A77F9" w:rsidRPr="007A77F9" w:rsidRDefault="007A77F9" w:rsidP="007A77F9">
            <w:pPr>
              <w:jc w:val="both"/>
              <w:rPr>
                <w:b/>
              </w:rPr>
            </w:pPr>
            <w:r w:rsidRPr="007A77F9">
              <w:rPr>
                <w:b/>
                <w:bCs/>
                <w:lang w:val="en-GB"/>
              </w:rPr>
              <w:t>Motion for an extension of time for leave to intervene and for leave to intervene</w:t>
            </w:r>
            <w:r w:rsidRPr="007A77F9">
              <w:rPr>
                <w:lang w:val="en-US"/>
              </w:rPr>
              <w:t xml:space="preserve"> </w:t>
            </w:r>
            <w:r w:rsidR="005F2BA7" w:rsidRPr="007A77F9">
              <w:rPr>
                <w:lang w:val="en-US"/>
              </w:rPr>
              <w:fldChar w:fldCharType="begin"/>
            </w:r>
            <w:r w:rsidRPr="007A77F9">
              <w:instrText xml:space="preserve"> SEQ CHAPTER \h \r 1</w:instrText>
            </w:r>
            <w:r w:rsidR="005F2BA7" w:rsidRPr="007A77F9">
              <w:rPr>
                <w:lang w:val="en-US"/>
              </w:rPr>
              <w:fldChar w:fldCharType="end"/>
            </w:r>
          </w:p>
        </w:tc>
        <w:tc>
          <w:tcPr>
            <w:tcW w:w="1170" w:type="dxa"/>
          </w:tcPr>
          <w:p w:rsidR="007A77F9" w:rsidRPr="007A77F9" w:rsidRDefault="007A77F9" w:rsidP="007A77F9"/>
          <w:p w:rsidR="007A77F9" w:rsidRPr="007A77F9" w:rsidRDefault="007A77F9" w:rsidP="007A77F9"/>
          <w:p w:rsidR="007A77F9" w:rsidRPr="007A77F9" w:rsidRDefault="007A77F9" w:rsidP="007A77F9"/>
          <w:p w:rsidR="007A77F9" w:rsidRPr="007A77F9" w:rsidRDefault="007A77F9" w:rsidP="007A77F9"/>
        </w:tc>
        <w:tc>
          <w:tcPr>
            <w:tcW w:w="4327" w:type="dxa"/>
          </w:tcPr>
          <w:p w:rsidR="007A77F9" w:rsidRPr="007A77F9" w:rsidRDefault="007A77F9" w:rsidP="007A77F9">
            <w:pPr>
              <w:jc w:val="both"/>
              <w:rPr>
                <w:b/>
                <w:lang w:val="fr-CA"/>
              </w:rPr>
            </w:pPr>
            <w:r w:rsidRPr="007A77F9">
              <w:rPr>
                <w:b/>
                <w:bCs/>
                <w:color w:val="000000"/>
                <w:lang w:val="fr-CA"/>
              </w:rPr>
              <w:t>Requête en prorogation du délai pour demander l’autorisation d’intervenir et en autorisation d’intervenir</w:t>
            </w:r>
            <w:r w:rsidRPr="007A77F9">
              <w:rPr>
                <w:lang w:val="fr-CA"/>
              </w:rPr>
              <w:t xml:space="preserve"> </w:t>
            </w:r>
            <w:r w:rsidR="005F2BA7" w:rsidRPr="007A77F9">
              <w:rPr>
                <w:lang w:val="en-US"/>
              </w:rPr>
              <w:fldChar w:fldCharType="begin"/>
            </w:r>
            <w:r w:rsidRPr="007A77F9">
              <w:rPr>
                <w:lang w:val="fr-CA"/>
              </w:rPr>
              <w:instrText xml:space="preserve"> SEQ CHAPTER \h \r 1</w:instrText>
            </w:r>
            <w:r w:rsidR="005F2BA7" w:rsidRPr="007A77F9">
              <w:rPr>
                <w:lang w:val="en-US"/>
              </w:rPr>
              <w:fldChar w:fldCharType="end"/>
            </w:r>
          </w:p>
        </w:tc>
      </w:tr>
      <w:tr w:rsidR="007A77F9" w:rsidRPr="007A77F9" w:rsidTr="00FB7665">
        <w:tc>
          <w:tcPr>
            <w:tcW w:w="1368" w:type="dxa"/>
          </w:tcPr>
          <w:p w:rsidR="007A77F9" w:rsidRPr="007A77F9" w:rsidRDefault="007A77F9" w:rsidP="007A77F9">
            <w:r w:rsidRPr="007A77F9">
              <w:t>BY / PAR</w:t>
            </w:r>
          </w:p>
        </w:tc>
        <w:tc>
          <w:tcPr>
            <w:tcW w:w="2970" w:type="dxa"/>
          </w:tcPr>
          <w:p w:rsidR="007A77F9" w:rsidRPr="007A77F9" w:rsidRDefault="007A77F9" w:rsidP="007A77F9">
            <w:r w:rsidRPr="007A77F9">
              <w:rPr>
                <w:lang w:val="en-US"/>
              </w:rPr>
              <w:t>Association in Defence of the Wrongly Convicted</w:t>
            </w:r>
            <w:r w:rsidRPr="007A77F9">
              <w:t>;</w:t>
            </w:r>
          </w:p>
        </w:tc>
        <w:tc>
          <w:tcPr>
            <w:tcW w:w="1170" w:type="dxa"/>
          </w:tcPr>
          <w:p w:rsidR="007A77F9" w:rsidRPr="007A77F9" w:rsidRDefault="007A77F9" w:rsidP="007A77F9"/>
        </w:tc>
        <w:tc>
          <w:tcPr>
            <w:tcW w:w="4327" w:type="dxa"/>
          </w:tcPr>
          <w:p w:rsidR="007A77F9" w:rsidRPr="007A77F9" w:rsidRDefault="007A77F9" w:rsidP="007A77F9"/>
        </w:tc>
      </w:tr>
      <w:tr w:rsidR="007A77F9" w:rsidRPr="007A77F9" w:rsidTr="00FB7665">
        <w:tc>
          <w:tcPr>
            <w:tcW w:w="1368" w:type="dxa"/>
          </w:tcPr>
          <w:p w:rsidR="007A77F9" w:rsidRPr="007A77F9" w:rsidRDefault="007A77F9" w:rsidP="007A77F9"/>
        </w:tc>
        <w:tc>
          <w:tcPr>
            <w:tcW w:w="2970" w:type="dxa"/>
          </w:tcPr>
          <w:p w:rsidR="007A77F9" w:rsidRPr="007A77F9" w:rsidRDefault="007A77F9" w:rsidP="007A77F9">
            <w:r w:rsidRPr="007A77F9">
              <w:t>Criminal Lawyers’ Association of Ontario;</w:t>
            </w:r>
          </w:p>
        </w:tc>
        <w:tc>
          <w:tcPr>
            <w:tcW w:w="1170" w:type="dxa"/>
          </w:tcPr>
          <w:p w:rsidR="007A77F9" w:rsidRPr="007A77F9" w:rsidRDefault="007A77F9" w:rsidP="007A77F9"/>
        </w:tc>
        <w:tc>
          <w:tcPr>
            <w:tcW w:w="4327" w:type="dxa"/>
          </w:tcPr>
          <w:p w:rsidR="007A77F9" w:rsidRPr="007A77F9" w:rsidRDefault="007A77F9" w:rsidP="007A77F9"/>
        </w:tc>
      </w:tr>
      <w:tr w:rsidR="007A77F9" w:rsidRPr="007A77F9" w:rsidTr="00FB7665">
        <w:tc>
          <w:tcPr>
            <w:tcW w:w="1368" w:type="dxa"/>
          </w:tcPr>
          <w:p w:rsidR="007A77F9" w:rsidRPr="007A77F9" w:rsidRDefault="007A77F9" w:rsidP="007A77F9"/>
        </w:tc>
        <w:tc>
          <w:tcPr>
            <w:tcW w:w="2970" w:type="dxa"/>
          </w:tcPr>
          <w:p w:rsidR="007A77F9" w:rsidRPr="007A77F9" w:rsidRDefault="007A77F9" w:rsidP="007A77F9">
            <w:r w:rsidRPr="007A77F9">
              <w:t>Attorney General of Ontario;</w:t>
            </w:r>
          </w:p>
        </w:tc>
        <w:tc>
          <w:tcPr>
            <w:tcW w:w="1170" w:type="dxa"/>
          </w:tcPr>
          <w:p w:rsidR="007A77F9" w:rsidRPr="007A77F9" w:rsidRDefault="007A77F9" w:rsidP="007A77F9"/>
        </w:tc>
        <w:tc>
          <w:tcPr>
            <w:tcW w:w="4327" w:type="dxa"/>
          </w:tcPr>
          <w:p w:rsidR="007A77F9" w:rsidRPr="007A77F9" w:rsidRDefault="007A77F9" w:rsidP="007A77F9"/>
        </w:tc>
      </w:tr>
      <w:tr w:rsidR="007A77F9" w:rsidRPr="007A77F9" w:rsidTr="00FB7665">
        <w:tc>
          <w:tcPr>
            <w:tcW w:w="1368" w:type="dxa"/>
          </w:tcPr>
          <w:p w:rsidR="007A77F9" w:rsidRPr="007A77F9" w:rsidRDefault="007A77F9" w:rsidP="007A77F9"/>
        </w:tc>
        <w:tc>
          <w:tcPr>
            <w:tcW w:w="2970" w:type="dxa"/>
          </w:tcPr>
          <w:p w:rsidR="007A77F9" w:rsidRPr="007A77F9" w:rsidRDefault="007A77F9" w:rsidP="007A77F9">
            <w:r w:rsidRPr="007A77F9">
              <w:t>Gerald Robert Ryan;</w:t>
            </w:r>
          </w:p>
        </w:tc>
        <w:tc>
          <w:tcPr>
            <w:tcW w:w="1170" w:type="dxa"/>
          </w:tcPr>
          <w:p w:rsidR="007A77F9" w:rsidRPr="007A77F9" w:rsidRDefault="007A77F9" w:rsidP="007A77F9"/>
        </w:tc>
        <w:tc>
          <w:tcPr>
            <w:tcW w:w="4327" w:type="dxa"/>
          </w:tcPr>
          <w:p w:rsidR="007A77F9" w:rsidRPr="007A77F9" w:rsidRDefault="007A77F9" w:rsidP="007A77F9"/>
        </w:tc>
      </w:tr>
      <w:tr w:rsidR="007A77F9" w:rsidRPr="007A77F9" w:rsidTr="00FB7665">
        <w:tc>
          <w:tcPr>
            <w:tcW w:w="1368" w:type="dxa"/>
          </w:tcPr>
          <w:p w:rsidR="007A77F9" w:rsidRPr="007A77F9" w:rsidRDefault="007A77F9" w:rsidP="007A77F9"/>
        </w:tc>
        <w:tc>
          <w:tcPr>
            <w:tcW w:w="2970" w:type="dxa"/>
          </w:tcPr>
          <w:p w:rsidR="007A77F9" w:rsidRPr="007A77F9" w:rsidRDefault="007A77F9" w:rsidP="007A77F9">
            <w:r w:rsidRPr="007A77F9">
              <w:t>British Columbia Civil Liberties Association;</w:t>
            </w:r>
          </w:p>
        </w:tc>
        <w:tc>
          <w:tcPr>
            <w:tcW w:w="1170" w:type="dxa"/>
          </w:tcPr>
          <w:p w:rsidR="007A77F9" w:rsidRPr="007A77F9" w:rsidRDefault="007A77F9" w:rsidP="007A77F9"/>
        </w:tc>
        <w:tc>
          <w:tcPr>
            <w:tcW w:w="4327" w:type="dxa"/>
          </w:tcPr>
          <w:p w:rsidR="007A77F9" w:rsidRPr="007A77F9" w:rsidRDefault="007A77F9" w:rsidP="007A77F9"/>
        </w:tc>
      </w:tr>
      <w:tr w:rsidR="007A77F9" w:rsidRPr="007A77F9" w:rsidTr="00FB7665">
        <w:tc>
          <w:tcPr>
            <w:tcW w:w="1368" w:type="dxa"/>
          </w:tcPr>
          <w:p w:rsidR="007A77F9" w:rsidRPr="007A77F9" w:rsidRDefault="007A77F9" w:rsidP="007A77F9"/>
        </w:tc>
        <w:tc>
          <w:tcPr>
            <w:tcW w:w="2970" w:type="dxa"/>
          </w:tcPr>
          <w:p w:rsidR="007A77F9" w:rsidRPr="007A77F9" w:rsidRDefault="007A77F9" w:rsidP="007A77F9">
            <w:r w:rsidRPr="007A77F9">
              <w:t>Attorney General for the province of British Columbia;</w:t>
            </w:r>
          </w:p>
        </w:tc>
        <w:tc>
          <w:tcPr>
            <w:tcW w:w="1170" w:type="dxa"/>
          </w:tcPr>
          <w:p w:rsidR="007A77F9" w:rsidRPr="007A77F9" w:rsidRDefault="007A77F9" w:rsidP="007A77F9"/>
        </w:tc>
        <w:tc>
          <w:tcPr>
            <w:tcW w:w="4327" w:type="dxa"/>
          </w:tcPr>
          <w:p w:rsidR="007A77F9" w:rsidRPr="007A77F9" w:rsidRDefault="007A77F9" w:rsidP="007A77F9"/>
        </w:tc>
      </w:tr>
      <w:tr w:rsidR="007A77F9" w:rsidRPr="007A77F9" w:rsidTr="00FB7665">
        <w:tc>
          <w:tcPr>
            <w:tcW w:w="1368" w:type="dxa"/>
          </w:tcPr>
          <w:p w:rsidR="007A77F9" w:rsidRPr="007A77F9" w:rsidRDefault="007A77F9" w:rsidP="007A77F9"/>
        </w:tc>
        <w:tc>
          <w:tcPr>
            <w:tcW w:w="2970" w:type="dxa"/>
          </w:tcPr>
          <w:p w:rsidR="007A77F9" w:rsidRPr="007A77F9" w:rsidRDefault="007A77F9" w:rsidP="007A77F9">
            <w:r w:rsidRPr="007A77F9">
              <w:t>Canadian Civil Liberties Association;</w:t>
            </w:r>
          </w:p>
        </w:tc>
        <w:tc>
          <w:tcPr>
            <w:tcW w:w="1170" w:type="dxa"/>
          </w:tcPr>
          <w:p w:rsidR="007A77F9" w:rsidRPr="007A77F9" w:rsidRDefault="007A77F9" w:rsidP="007A77F9"/>
        </w:tc>
        <w:tc>
          <w:tcPr>
            <w:tcW w:w="4327" w:type="dxa"/>
          </w:tcPr>
          <w:p w:rsidR="007A77F9" w:rsidRPr="007A77F9" w:rsidRDefault="007A77F9" w:rsidP="007A77F9"/>
        </w:tc>
      </w:tr>
      <w:tr w:rsidR="007A77F9" w:rsidRPr="007A77F9" w:rsidTr="00FB7665">
        <w:tc>
          <w:tcPr>
            <w:tcW w:w="1368" w:type="dxa"/>
          </w:tcPr>
          <w:p w:rsidR="007A77F9" w:rsidRPr="007A77F9" w:rsidRDefault="007A77F9" w:rsidP="007A77F9"/>
        </w:tc>
        <w:tc>
          <w:tcPr>
            <w:tcW w:w="2970" w:type="dxa"/>
          </w:tcPr>
          <w:p w:rsidR="007A77F9" w:rsidRPr="007A77F9" w:rsidRDefault="007A77F9" w:rsidP="007A77F9">
            <w:r w:rsidRPr="007A77F9">
              <w:t>Director of Public Prosecution;</w:t>
            </w:r>
          </w:p>
        </w:tc>
        <w:tc>
          <w:tcPr>
            <w:tcW w:w="1170" w:type="dxa"/>
          </w:tcPr>
          <w:p w:rsidR="007A77F9" w:rsidRPr="007A77F9" w:rsidRDefault="007A77F9" w:rsidP="007A77F9"/>
        </w:tc>
        <w:tc>
          <w:tcPr>
            <w:tcW w:w="4327" w:type="dxa"/>
          </w:tcPr>
          <w:p w:rsidR="007A77F9" w:rsidRPr="007A77F9" w:rsidRDefault="007A77F9" w:rsidP="007A77F9"/>
        </w:tc>
      </w:tr>
      <w:tr w:rsidR="007A77F9" w:rsidRPr="007C5A5B" w:rsidTr="00FB7665">
        <w:tc>
          <w:tcPr>
            <w:tcW w:w="1368" w:type="dxa"/>
          </w:tcPr>
          <w:p w:rsidR="007A77F9" w:rsidRPr="007A77F9" w:rsidRDefault="007A77F9" w:rsidP="007A77F9"/>
        </w:tc>
        <w:tc>
          <w:tcPr>
            <w:tcW w:w="2970" w:type="dxa"/>
          </w:tcPr>
          <w:p w:rsidR="007A77F9" w:rsidRPr="007A77F9" w:rsidRDefault="007A77F9" w:rsidP="007A77F9">
            <w:pPr>
              <w:rPr>
                <w:lang w:val="fr-CA"/>
              </w:rPr>
            </w:pPr>
            <w:r w:rsidRPr="007A77F9">
              <w:rPr>
                <w:lang w:val="fr-CA"/>
              </w:rPr>
              <w:t>Directeur des poursuites criminelles et pénales du Québec;</w:t>
            </w:r>
          </w:p>
        </w:tc>
        <w:tc>
          <w:tcPr>
            <w:tcW w:w="1170" w:type="dxa"/>
          </w:tcPr>
          <w:p w:rsidR="007A77F9" w:rsidRPr="007A77F9" w:rsidRDefault="007A77F9" w:rsidP="007A77F9">
            <w:pPr>
              <w:rPr>
                <w:lang w:val="fr-CA"/>
              </w:rPr>
            </w:pPr>
          </w:p>
        </w:tc>
        <w:tc>
          <w:tcPr>
            <w:tcW w:w="4327" w:type="dxa"/>
          </w:tcPr>
          <w:p w:rsidR="007A77F9" w:rsidRPr="007A77F9" w:rsidRDefault="007A77F9" w:rsidP="007A77F9">
            <w:pPr>
              <w:rPr>
                <w:lang w:val="fr-CA"/>
              </w:rPr>
            </w:pPr>
          </w:p>
        </w:tc>
      </w:tr>
      <w:tr w:rsidR="007A77F9" w:rsidRPr="007C5A5B" w:rsidTr="00FB7665">
        <w:tc>
          <w:tcPr>
            <w:tcW w:w="1368" w:type="dxa"/>
          </w:tcPr>
          <w:p w:rsidR="007A77F9" w:rsidRPr="007A77F9" w:rsidRDefault="007A77F9" w:rsidP="007A77F9">
            <w:pPr>
              <w:rPr>
                <w:lang w:val="fr-CA"/>
              </w:rPr>
            </w:pPr>
          </w:p>
        </w:tc>
        <w:tc>
          <w:tcPr>
            <w:tcW w:w="2970" w:type="dxa"/>
          </w:tcPr>
          <w:p w:rsidR="007A77F9" w:rsidRPr="007A77F9" w:rsidRDefault="007A77F9" w:rsidP="007A77F9">
            <w:pPr>
              <w:rPr>
                <w:lang w:val="fr-CA"/>
              </w:rPr>
            </w:pPr>
            <w:r w:rsidRPr="007A77F9">
              <w:rPr>
                <w:lang w:val="fr-CA"/>
              </w:rPr>
              <w:t>Association des avocats de la défense de Montréal</w:t>
            </w:r>
          </w:p>
        </w:tc>
        <w:tc>
          <w:tcPr>
            <w:tcW w:w="1170" w:type="dxa"/>
          </w:tcPr>
          <w:p w:rsidR="007A77F9" w:rsidRPr="007A77F9" w:rsidRDefault="007A77F9" w:rsidP="007A77F9">
            <w:pPr>
              <w:rPr>
                <w:lang w:val="fr-CA"/>
              </w:rPr>
            </w:pPr>
          </w:p>
        </w:tc>
        <w:tc>
          <w:tcPr>
            <w:tcW w:w="4327" w:type="dxa"/>
          </w:tcPr>
          <w:p w:rsidR="007A77F9" w:rsidRPr="007A77F9" w:rsidRDefault="007A77F9" w:rsidP="007A77F9">
            <w:pPr>
              <w:rPr>
                <w:lang w:val="fr-CA"/>
              </w:rPr>
            </w:pPr>
          </w:p>
        </w:tc>
      </w:tr>
      <w:tr w:rsidR="007A77F9" w:rsidRPr="007C5A5B" w:rsidTr="00FB7665">
        <w:tc>
          <w:tcPr>
            <w:tcW w:w="1368" w:type="dxa"/>
          </w:tcPr>
          <w:p w:rsidR="007A77F9" w:rsidRPr="007A77F9" w:rsidRDefault="007A77F9" w:rsidP="007A77F9">
            <w:pPr>
              <w:rPr>
                <w:lang w:val="fr-CA"/>
              </w:rPr>
            </w:pPr>
          </w:p>
        </w:tc>
        <w:tc>
          <w:tcPr>
            <w:tcW w:w="2970" w:type="dxa"/>
          </w:tcPr>
          <w:p w:rsidR="007A77F9" w:rsidRPr="007A77F9" w:rsidRDefault="007A77F9" w:rsidP="007A77F9">
            <w:pPr>
              <w:rPr>
                <w:lang w:val="fr-CA"/>
              </w:rPr>
            </w:pPr>
          </w:p>
        </w:tc>
        <w:tc>
          <w:tcPr>
            <w:tcW w:w="1170" w:type="dxa"/>
          </w:tcPr>
          <w:p w:rsidR="007A77F9" w:rsidRPr="007A77F9" w:rsidRDefault="007A77F9" w:rsidP="007A77F9">
            <w:pPr>
              <w:rPr>
                <w:lang w:val="fr-CA"/>
              </w:rPr>
            </w:pPr>
          </w:p>
        </w:tc>
        <w:tc>
          <w:tcPr>
            <w:tcW w:w="4327" w:type="dxa"/>
          </w:tcPr>
          <w:p w:rsidR="007A77F9" w:rsidRPr="007A77F9" w:rsidRDefault="007A77F9" w:rsidP="007A77F9">
            <w:pPr>
              <w:rPr>
                <w:lang w:val="fr-CA"/>
              </w:rPr>
            </w:pPr>
          </w:p>
        </w:tc>
      </w:tr>
      <w:tr w:rsidR="007A77F9" w:rsidRPr="007A77F9" w:rsidTr="00FB7665">
        <w:tc>
          <w:tcPr>
            <w:tcW w:w="1368" w:type="dxa"/>
          </w:tcPr>
          <w:p w:rsidR="007A77F9" w:rsidRPr="007A77F9" w:rsidRDefault="007A77F9" w:rsidP="007A77F9">
            <w:r w:rsidRPr="007A77F9">
              <w:t>IN / DANS :</w:t>
            </w:r>
          </w:p>
        </w:tc>
        <w:tc>
          <w:tcPr>
            <w:tcW w:w="2970" w:type="dxa"/>
          </w:tcPr>
          <w:p w:rsidR="007A77F9" w:rsidRPr="007A77F9" w:rsidRDefault="007A77F9" w:rsidP="007A77F9">
            <w:r w:rsidRPr="007A77F9">
              <w:t>Her Majesty the Queen</w:t>
            </w:r>
          </w:p>
          <w:p w:rsidR="007A77F9" w:rsidRPr="007A77F9" w:rsidRDefault="007A77F9" w:rsidP="007A77F9"/>
          <w:p w:rsidR="007A77F9" w:rsidRPr="007A77F9" w:rsidRDefault="007A77F9" w:rsidP="007A77F9">
            <w:r w:rsidRPr="007A77F9">
              <w:tab/>
              <w:t>v. (35049)</w:t>
            </w:r>
          </w:p>
          <w:p w:rsidR="007A77F9" w:rsidRPr="007A77F9" w:rsidRDefault="007A77F9" w:rsidP="007A77F9"/>
          <w:p w:rsidR="007A77F9" w:rsidRPr="007A77F9" w:rsidRDefault="007A77F9" w:rsidP="007A77F9">
            <w:r w:rsidRPr="007A77F9">
              <w:rPr>
                <w:lang w:val="fr-CA"/>
              </w:rPr>
              <w:t xml:space="preserve">Nelson Lloyd Hart (Crim.) </w:t>
            </w:r>
            <w:r w:rsidRPr="007A77F9">
              <w:t>(N.L.)</w:t>
            </w:r>
          </w:p>
        </w:tc>
        <w:tc>
          <w:tcPr>
            <w:tcW w:w="1170" w:type="dxa"/>
          </w:tcPr>
          <w:p w:rsidR="007A77F9" w:rsidRPr="007A77F9" w:rsidRDefault="007A77F9" w:rsidP="007A77F9"/>
        </w:tc>
        <w:tc>
          <w:tcPr>
            <w:tcW w:w="4327" w:type="dxa"/>
          </w:tcPr>
          <w:p w:rsidR="007A77F9" w:rsidRPr="007A77F9" w:rsidRDefault="007A77F9" w:rsidP="007A77F9"/>
        </w:tc>
      </w:tr>
    </w:tbl>
    <w:p w:rsidR="007A77F9" w:rsidRPr="007A77F9" w:rsidRDefault="007A77F9" w:rsidP="007A77F9">
      <w:pPr>
        <w:tabs>
          <w:tab w:val="left" w:pos="-1440"/>
          <w:tab w:val="left" w:pos="-720"/>
        </w:tabs>
        <w:jc w:val="both"/>
        <w:rPr>
          <w:rFonts w:eastAsia="Times New Roman" w:cs="Times New Roman"/>
          <w:sz w:val="20"/>
          <w:szCs w:val="20"/>
          <w:lang w:eastAsia="en-CA"/>
        </w:rPr>
      </w:pPr>
    </w:p>
    <w:p w:rsidR="007A77F9" w:rsidRPr="007A77F9" w:rsidRDefault="007A77F9" w:rsidP="007A77F9">
      <w:pPr>
        <w:tabs>
          <w:tab w:val="left" w:pos="-1440"/>
          <w:tab w:val="left" w:pos="-720"/>
        </w:tabs>
        <w:jc w:val="both"/>
        <w:rPr>
          <w:rFonts w:eastAsia="Times New Roman" w:cs="Times New Roman"/>
          <w:b/>
          <w:sz w:val="20"/>
          <w:szCs w:val="20"/>
          <w:lang w:val="fr-CA" w:eastAsia="en-CA"/>
        </w:rPr>
      </w:pPr>
      <w:r w:rsidRPr="007A77F9">
        <w:rPr>
          <w:rFonts w:eastAsia="Times New Roman" w:cs="Times New Roman"/>
          <w:b/>
          <w:sz w:val="20"/>
          <w:szCs w:val="20"/>
          <w:lang w:val="fr-CA" w:eastAsia="en-CA"/>
        </w:rPr>
        <w:t>GRANTED IN PART / ACCORDÉE EN PARTIE</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spacing w:line="233" w:lineRule="auto"/>
        <w:jc w:val="both"/>
        <w:rPr>
          <w:rFonts w:eastAsia="Times New Roman" w:cs="Times New Roman"/>
          <w:sz w:val="20"/>
          <w:szCs w:val="20"/>
          <w:lang w:val="en-US" w:eastAsia="en-CA"/>
        </w:rPr>
      </w:pPr>
      <w:r w:rsidRPr="007A77F9">
        <w:rPr>
          <w:rFonts w:eastAsia="Times New Roman" w:cs="Times New Roman"/>
          <w:b/>
          <w:bCs/>
          <w:sz w:val="20"/>
          <w:szCs w:val="20"/>
          <w:lang w:val="en-US" w:eastAsia="en-CA"/>
        </w:rPr>
        <w:t xml:space="preserve">UPON APPLICATIONS </w:t>
      </w:r>
      <w:r w:rsidRPr="007A77F9">
        <w:rPr>
          <w:rFonts w:eastAsia="Times New Roman" w:cs="Times New Roman"/>
          <w:sz w:val="20"/>
          <w:szCs w:val="20"/>
          <w:lang w:val="en-US" w:eastAsia="en-CA"/>
        </w:rPr>
        <w:t xml:space="preserve">by the Association in Defence of the Wrongly Convicted, </w:t>
      </w:r>
      <w:r w:rsidRPr="007A77F9">
        <w:rPr>
          <w:rFonts w:eastAsia="Times New Roman" w:cs="Times New Roman"/>
          <w:sz w:val="20"/>
          <w:szCs w:val="20"/>
          <w:lang w:eastAsia="en-CA"/>
        </w:rPr>
        <w:t xml:space="preserve">the Criminal Lawyers’ Association of Ontario, the Attorney General of Ontario, Gerald Robert Ryan, the British Columbia Civil Liberties Association, the Attorney General for the province of British Columbia, the Canadian Civil Liberties Association, the Director of Public Prosecution and the </w:t>
      </w:r>
      <w:r w:rsidRPr="007A77F9">
        <w:rPr>
          <w:rFonts w:eastAsia="Times New Roman" w:cs="Times New Roman"/>
          <w:sz w:val="20"/>
          <w:szCs w:val="20"/>
          <w:lang w:val="en-US" w:eastAsia="en-CA"/>
        </w:rPr>
        <w:t>Directeur des poursuites criminelles et pénales du Québec for leave to intervene in the above appeal;</w:t>
      </w:r>
    </w:p>
    <w:p w:rsidR="007A77F9" w:rsidRPr="007A77F9" w:rsidRDefault="007A77F9" w:rsidP="007A77F9">
      <w:pPr>
        <w:spacing w:line="233" w:lineRule="auto"/>
        <w:jc w:val="both"/>
        <w:rPr>
          <w:rFonts w:eastAsia="Times New Roman" w:cs="Times New Roman"/>
          <w:sz w:val="20"/>
          <w:szCs w:val="20"/>
          <w:lang w:val="en-US" w:eastAsia="en-CA"/>
        </w:rPr>
      </w:pPr>
    </w:p>
    <w:p w:rsidR="007A77F9" w:rsidRPr="007A77F9" w:rsidRDefault="007A77F9" w:rsidP="007A77F9">
      <w:pPr>
        <w:spacing w:line="233" w:lineRule="auto"/>
        <w:jc w:val="both"/>
        <w:rPr>
          <w:rFonts w:eastAsia="Times New Roman" w:cs="Times New Roman"/>
          <w:sz w:val="20"/>
          <w:szCs w:val="20"/>
          <w:lang w:val="en-US" w:eastAsia="en-CA"/>
        </w:rPr>
      </w:pPr>
      <w:r w:rsidRPr="007A77F9">
        <w:rPr>
          <w:rFonts w:eastAsia="Times New Roman" w:cs="Times New Roman"/>
          <w:b/>
          <w:sz w:val="20"/>
          <w:szCs w:val="20"/>
          <w:lang w:val="en-US" w:eastAsia="en-CA"/>
        </w:rPr>
        <w:t>AND</w:t>
      </w:r>
      <w:r w:rsidRPr="007A77F9">
        <w:rPr>
          <w:rFonts w:eastAsia="Times New Roman" w:cs="Times New Roman"/>
          <w:sz w:val="20"/>
          <w:szCs w:val="20"/>
          <w:lang w:val="en-US" w:eastAsia="en-CA"/>
        </w:rPr>
        <w:t xml:space="preserve"> </w:t>
      </w:r>
      <w:r w:rsidRPr="007A77F9">
        <w:rPr>
          <w:rFonts w:eastAsia="Times New Roman" w:cs="Times New Roman"/>
          <w:b/>
          <w:bCs/>
          <w:sz w:val="20"/>
          <w:szCs w:val="20"/>
          <w:lang w:val="en-US" w:eastAsia="en-CA"/>
        </w:rPr>
        <w:t xml:space="preserve">UPON APPLICATION </w:t>
      </w:r>
      <w:r w:rsidRPr="007A77F9">
        <w:rPr>
          <w:rFonts w:eastAsia="Times New Roman" w:cs="Times New Roman"/>
          <w:bCs/>
          <w:sz w:val="20"/>
          <w:szCs w:val="20"/>
          <w:lang w:val="en-US" w:eastAsia="en-CA"/>
        </w:rPr>
        <w:t xml:space="preserve">by the </w:t>
      </w:r>
      <w:r w:rsidRPr="007A77F9">
        <w:rPr>
          <w:rFonts w:eastAsia="Times New Roman" w:cs="Times New Roman"/>
          <w:sz w:val="20"/>
          <w:szCs w:val="20"/>
          <w:lang w:val="en-US" w:eastAsia="en-CA"/>
        </w:rPr>
        <w:t>Association des avocats de la défense de Montréal</w:t>
      </w:r>
      <w:r w:rsidRPr="007A77F9">
        <w:rPr>
          <w:rFonts w:eastAsia="Times New Roman" w:cs="Times New Roman"/>
          <w:bCs/>
          <w:sz w:val="20"/>
          <w:szCs w:val="20"/>
          <w:lang w:val="en-US" w:eastAsia="en-CA"/>
        </w:rPr>
        <w:t xml:space="preserve"> </w:t>
      </w:r>
      <w:r w:rsidRPr="007A77F9">
        <w:rPr>
          <w:rFonts w:eastAsia="Times New Roman" w:cs="Times New Roman"/>
          <w:sz w:val="20"/>
          <w:szCs w:val="20"/>
          <w:lang w:val="en-US" w:eastAsia="en-CA"/>
        </w:rPr>
        <w:t>for an extension of time to apply for leave to intervene and for leave to intervene in the above appeal;</w:t>
      </w:r>
    </w:p>
    <w:p w:rsidR="007A77F9" w:rsidRPr="007A77F9" w:rsidRDefault="007A77F9" w:rsidP="007A77F9">
      <w:pPr>
        <w:spacing w:line="233" w:lineRule="auto"/>
        <w:jc w:val="both"/>
        <w:rPr>
          <w:rFonts w:eastAsia="Times New Roman" w:cs="Times New Roman"/>
          <w:sz w:val="20"/>
          <w:szCs w:val="20"/>
          <w:lang w:val="en-US" w:eastAsia="en-CA"/>
        </w:rPr>
      </w:pPr>
    </w:p>
    <w:p w:rsidR="007A77F9" w:rsidRPr="007A77F9" w:rsidRDefault="007A77F9" w:rsidP="007A77F9">
      <w:pPr>
        <w:spacing w:line="233" w:lineRule="auto"/>
        <w:jc w:val="both"/>
        <w:rPr>
          <w:rFonts w:eastAsia="Times New Roman" w:cs="Times New Roman"/>
          <w:sz w:val="20"/>
          <w:szCs w:val="20"/>
          <w:lang w:val="en-US" w:eastAsia="en-CA"/>
        </w:rPr>
      </w:pPr>
      <w:r w:rsidRPr="007A77F9">
        <w:rPr>
          <w:rFonts w:eastAsia="Times New Roman" w:cs="Times New Roman"/>
          <w:b/>
          <w:bCs/>
          <w:sz w:val="20"/>
          <w:szCs w:val="20"/>
          <w:lang w:val="en-US" w:eastAsia="en-CA"/>
        </w:rPr>
        <w:t>AND THE MATERIAL FILED</w:t>
      </w:r>
      <w:r w:rsidRPr="007A77F9">
        <w:rPr>
          <w:rFonts w:eastAsia="Times New Roman" w:cs="Times New Roman"/>
          <w:sz w:val="20"/>
          <w:szCs w:val="20"/>
          <w:lang w:val="en-US" w:eastAsia="en-CA"/>
        </w:rPr>
        <w:t xml:space="preserve"> having been read;</w:t>
      </w:r>
    </w:p>
    <w:p w:rsidR="007A77F9" w:rsidRPr="007A77F9" w:rsidRDefault="007A77F9" w:rsidP="007A77F9">
      <w:pPr>
        <w:spacing w:line="233" w:lineRule="auto"/>
        <w:jc w:val="both"/>
        <w:rPr>
          <w:rFonts w:eastAsia="Times New Roman" w:cs="Times New Roman"/>
          <w:sz w:val="20"/>
          <w:szCs w:val="20"/>
          <w:lang w:val="en-US" w:eastAsia="en-CA"/>
        </w:rPr>
      </w:pPr>
    </w:p>
    <w:p w:rsidR="007A77F9" w:rsidRPr="007A77F9" w:rsidRDefault="007A77F9" w:rsidP="007A77F9">
      <w:pPr>
        <w:spacing w:line="233" w:lineRule="auto"/>
        <w:jc w:val="both"/>
        <w:rPr>
          <w:rFonts w:eastAsia="Times New Roman" w:cs="Times New Roman"/>
          <w:sz w:val="20"/>
          <w:szCs w:val="20"/>
          <w:lang w:val="en-US" w:eastAsia="en-CA"/>
        </w:rPr>
      </w:pPr>
      <w:r w:rsidRPr="007A77F9">
        <w:rPr>
          <w:rFonts w:eastAsia="Times New Roman" w:cs="Times New Roman"/>
          <w:b/>
          <w:bCs/>
          <w:sz w:val="20"/>
          <w:szCs w:val="20"/>
          <w:lang w:val="en-US" w:eastAsia="en-CA"/>
        </w:rPr>
        <w:t>IT IS HEREBY ORDERED THAT:</w:t>
      </w:r>
    </w:p>
    <w:p w:rsidR="007A77F9" w:rsidRPr="007A77F9" w:rsidRDefault="007A77F9" w:rsidP="007A77F9">
      <w:pPr>
        <w:spacing w:line="233" w:lineRule="auto"/>
        <w:jc w:val="both"/>
        <w:rPr>
          <w:rFonts w:eastAsia="Times New Roman" w:cs="Times New Roman"/>
          <w:sz w:val="20"/>
          <w:szCs w:val="20"/>
          <w:lang w:val="en-US" w:eastAsia="en-CA"/>
        </w:rPr>
      </w:pPr>
    </w:p>
    <w:p w:rsidR="007A77F9" w:rsidRPr="007A77F9" w:rsidRDefault="007A77F9" w:rsidP="007A77F9">
      <w:pPr>
        <w:spacing w:line="233" w:lineRule="auto"/>
        <w:jc w:val="both"/>
        <w:rPr>
          <w:rFonts w:eastAsia="Times New Roman" w:cs="Times New Roman"/>
          <w:sz w:val="20"/>
          <w:szCs w:val="20"/>
          <w:lang w:val="en-US" w:eastAsia="en-CA"/>
        </w:rPr>
      </w:pPr>
      <w:r w:rsidRPr="007A77F9">
        <w:rPr>
          <w:rFonts w:eastAsia="Times New Roman" w:cs="Times New Roman"/>
          <w:sz w:val="20"/>
          <w:szCs w:val="20"/>
          <w:lang w:val="en-US" w:eastAsia="en-CA"/>
        </w:rPr>
        <w:t xml:space="preserve">The motions for leave to intervene of the Association in Defence of the Wrongly Convicted, </w:t>
      </w:r>
      <w:r w:rsidRPr="007A77F9">
        <w:rPr>
          <w:rFonts w:eastAsia="Times New Roman" w:cs="Times New Roman"/>
          <w:sz w:val="20"/>
          <w:szCs w:val="20"/>
          <w:lang w:eastAsia="en-CA"/>
        </w:rPr>
        <w:t xml:space="preserve">the Criminal Lawyers' Association of Ontario, the Attorney General of Ontario, the British Columbia Civil Liberties Association, the Attorney General for the province of British Columbia, the Canadian Civil Liberties Association, the Director of Public Prosecution and the </w:t>
      </w:r>
      <w:r w:rsidRPr="007A77F9">
        <w:rPr>
          <w:rFonts w:eastAsia="Times New Roman" w:cs="Times New Roman"/>
          <w:sz w:val="20"/>
          <w:szCs w:val="20"/>
          <w:lang w:val="en-US" w:eastAsia="en-CA"/>
        </w:rPr>
        <w:t>Directeur des poursuites criminelles et pénales du Québec are granted and the said interveners shall be entitled to serve and file a factum not to exceed 10 pages in length on or before October 8, 2013.</w:t>
      </w:r>
    </w:p>
    <w:p w:rsidR="007A77F9" w:rsidRPr="007A77F9" w:rsidRDefault="007A77F9" w:rsidP="007A77F9">
      <w:pPr>
        <w:spacing w:line="233" w:lineRule="auto"/>
        <w:jc w:val="both"/>
        <w:rPr>
          <w:rFonts w:eastAsia="Times New Roman" w:cs="Times New Roman"/>
          <w:sz w:val="20"/>
          <w:szCs w:val="20"/>
          <w:lang w:val="en-US" w:eastAsia="en-CA"/>
        </w:rPr>
      </w:pPr>
    </w:p>
    <w:p w:rsidR="007A77F9" w:rsidRPr="007A77F9" w:rsidRDefault="007A77F9" w:rsidP="007A77F9">
      <w:pPr>
        <w:spacing w:line="233" w:lineRule="auto"/>
        <w:jc w:val="both"/>
        <w:rPr>
          <w:rFonts w:eastAsia="Times New Roman" w:cs="Times New Roman"/>
          <w:sz w:val="20"/>
          <w:szCs w:val="20"/>
          <w:lang w:val="en-US" w:eastAsia="en-CA"/>
        </w:rPr>
      </w:pPr>
      <w:r w:rsidRPr="007A77F9">
        <w:rPr>
          <w:rFonts w:eastAsia="Times New Roman" w:cs="Times New Roman"/>
          <w:sz w:val="20"/>
          <w:szCs w:val="20"/>
          <w:lang w:val="en-US" w:eastAsia="en-CA"/>
        </w:rPr>
        <w:t xml:space="preserve">The motion for an extension of time to apply for leave to intervene and for leave to intervene of </w:t>
      </w:r>
      <w:r w:rsidRPr="007A77F9">
        <w:rPr>
          <w:rFonts w:eastAsia="Times New Roman" w:cs="Times New Roman"/>
          <w:sz w:val="20"/>
          <w:szCs w:val="20"/>
          <w:lang w:eastAsia="en-CA"/>
        </w:rPr>
        <w:t xml:space="preserve">the </w:t>
      </w:r>
      <w:r w:rsidRPr="007A77F9">
        <w:rPr>
          <w:rFonts w:eastAsia="Times New Roman" w:cs="Times New Roman"/>
          <w:sz w:val="20"/>
          <w:szCs w:val="20"/>
          <w:lang w:val="en-US" w:eastAsia="en-CA"/>
        </w:rPr>
        <w:t>Association des avocats de la défense de Montréal</w:t>
      </w:r>
      <w:r w:rsidRPr="007A77F9">
        <w:rPr>
          <w:rFonts w:eastAsia="Times New Roman" w:cs="Times New Roman"/>
          <w:bCs/>
          <w:sz w:val="20"/>
          <w:szCs w:val="20"/>
          <w:lang w:val="en-US" w:eastAsia="en-CA"/>
        </w:rPr>
        <w:t xml:space="preserve"> </w:t>
      </w:r>
      <w:r w:rsidRPr="007A77F9">
        <w:rPr>
          <w:rFonts w:eastAsia="Times New Roman" w:cs="Times New Roman"/>
          <w:sz w:val="20"/>
          <w:szCs w:val="20"/>
          <w:lang w:val="en-US" w:eastAsia="en-CA"/>
        </w:rPr>
        <w:t xml:space="preserve">is granted and the said intervener shall be entitled to serve and file a factum not to exceed 10 pages in length on or before October 8, 2013. </w:t>
      </w:r>
    </w:p>
    <w:p w:rsidR="007A77F9" w:rsidRPr="007A77F9" w:rsidRDefault="007A77F9" w:rsidP="007A77F9">
      <w:pPr>
        <w:spacing w:line="233" w:lineRule="auto"/>
        <w:jc w:val="both"/>
        <w:rPr>
          <w:rFonts w:eastAsia="Times New Roman" w:cs="Times New Roman"/>
          <w:sz w:val="20"/>
          <w:szCs w:val="20"/>
          <w:lang w:val="en-US" w:eastAsia="en-CA"/>
        </w:rPr>
      </w:pPr>
    </w:p>
    <w:p w:rsidR="007A77F9" w:rsidRPr="007A77F9" w:rsidRDefault="007A77F9" w:rsidP="007A77F9">
      <w:pPr>
        <w:spacing w:line="233" w:lineRule="auto"/>
        <w:jc w:val="both"/>
        <w:rPr>
          <w:rFonts w:eastAsia="Times New Roman" w:cs="Times New Roman"/>
          <w:sz w:val="20"/>
          <w:szCs w:val="20"/>
          <w:lang w:val="en-US" w:eastAsia="en-CA"/>
        </w:rPr>
      </w:pPr>
      <w:r w:rsidRPr="007A77F9">
        <w:rPr>
          <w:rFonts w:eastAsia="Times New Roman" w:cs="Times New Roman"/>
          <w:sz w:val="20"/>
          <w:szCs w:val="20"/>
          <w:lang w:val="en-US" w:eastAsia="en-CA"/>
        </w:rPr>
        <w:t xml:space="preserve">The motion for leave to intervene of </w:t>
      </w:r>
      <w:r w:rsidRPr="007A77F9">
        <w:rPr>
          <w:rFonts w:eastAsia="Times New Roman" w:cs="Times New Roman"/>
          <w:sz w:val="20"/>
          <w:szCs w:val="20"/>
          <w:lang w:eastAsia="en-CA"/>
        </w:rPr>
        <w:t>Gerald Robert Ryan is dismissed.</w:t>
      </w:r>
    </w:p>
    <w:p w:rsidR="007A77F9" w:rsidRPr="007A77F9" w:rsidRDefault="007A77F9" w:rsidP="007A77F9">
      <w:pPr>
        <w:spacing w:line="233" w:lineRule="auto"/>
        <w:jc w:val="both"/>
        <w:rPr>
          <w:rFonts w:eastAsia="Times New Roman" w:cs="Times New Roman"/>
          <w:sz w:val="20"/>
          <w:szCs w:val="20"/>
          <w:lang w:val="en-US" w:eastAsia="en-CA"/>
        </w:rPr>
      </w:pPr>
    </w:p>
    <w:p w:rsidR="007A77F9" w:rsidRPr="007A77F9" w:rsidRDefault="005F2BA7" w:rsidP="007A77F9">
      <w:pPr>
        <w:spacing w:line="233" w:lineRule="auto"/>
        <w:jc w:val="both"/>
        <w:rPr>
          <w:rFonts w:eastAsia="Times New Roman" w:cs="Times New Roman"/>
          <w:sz w:val="20"/>
          <w:szCs w:val="20"/>
          <w:lang w:val="en-US" w:eastAsia="en-CA"/>
        </w:rPr>
      </w:pPr>
      <w:r w:rsidRPr="007A77F9">
        <w:rPr>
          <w:rFonts w:eastAsia="Times New Roman" w:cs="Times New Roman"/>
          <w:sz w:val="20"/>
          <w:szCs w:val="20"/>
          <w:lang w:eastAsia="en-CA"/>
        </w:rPr>
        <w:fldChar w:fldCharType="begin"/>
      </w:r>
      <w:r w:rsidR="007A77F9" w:rsidRPr="007A77F9">
        <w:rPr>
          <w:rFonts w:eastAsia="Times New Roman" w:cs="Times New Roman"/>
          <w:sz w:val="20"/>
          <w:szCs w:val="20"/>
          <w:lang w:eastAsia="en-CA"/>
        </w:rPr>
        <w:instrText xml:space="preserve"> SEQ CHAPTER \h \r 1</w:instrText>
      </w:r>
      <w:r w:rsidRPr="007A77F9">
        <w:rPr>
          <w:rFonts w:eastAsia="Times New Roman" w:cs="Times New Roman"/>
          <w:sz w:val="20"/>
          <w:szCs w:val="20"/>
          <w:lang w:eastAsia="en-CA"/>
        </w:rPr>
        <w:fldChar w:fldCharType="end"/>
      </w:r>
      <w:r w:rsidR="007A77F9" w:rsidRPr="007A77F9">
        <w:rPr>
          <w:rFonts w:eastAsia="Times New Roman" w:cs="Times New Roman"/>
          <w:sz w:val="20"/>
          <w:szCs w:val="20"/>
          <w:lang w:val="en-US" w:eastAsia="en-CA"/>
        </w:rPr>
        <w:t>The request to present oral argument is deferred to a date following receipt and consideration of the written arguments of the parties and the interveners.</w:t>
      </w:r>
    </w:p>
    <w:p w:rsidR="007A77F9" w:rsidRPr="007A77F9" w:rsidRDefault="007A77F9" w:rsidP="007A77F9">
      <w:pPr>
        <w:spacing w:line="233" w:lineRule="auto"/>
        <w:jc w:val="both"/>
        <w:rPr>
          <w:rFonts w:eastAsia="Times New Roman" w:cs="Times New Roman"/>
          <w:sz w:val="20"/>
          <w:szCs w:val="20"/>
          <w:lang w:val="en-US" w:eastAsia="en-CA"/>
        </w:rPr>
      </w:pPr>
    </w:p>
    <w:p w:rsidR="007A77F9" w:rsidRPr="007A77F9" w:rsidRDefault="007A77F9" w:rsidP="007A77F9">
      <w:pPr>
        <w:spacing w:line="233" w:lineRule="auto"/>
        <w:jc w:val="both"/>
        <w:rPr>
          <w:rFonts w:eastAsia="Times New Roman" w:cs="Times New Roman"/>
          <w:sz w:val="20"/>
          <w:szCs w:val="20"/>
          <w:lang w:val="en-US" w:eastAsia="en-CA"/>
        </w:rPr>
      </w:pPr>
      <w:r w:rsidRPr="007A77F9">
        <w:rPr>
          <w:rFonts w:eastAsia="Times New Roman" w:cs="Times New Roman"/>
          <w:sz w:val="20"/>
          <w:szCs w:val="20"/>
          <w:lang w:val="en-US" w:eastAsia="en-CA"/>
        </w:rPr>
        <w:t>The interveners are not entitled to raise new issues or to adduce further evidence or otherwise to supplement the record of the parties.</w:t>
      </w:r>
    </w:p>
    <w:p w:rsidR="007A77F9" w:rsidRPr="007A77F9" w:rsidRDefault="007A77F9" w:rsidP="007A77F9">
      <w:pPr>
        <w:spacing w:line="233" w:lineRule="auto"/>
        <w:jc w:val="both"/>
        <w:rPr>
          <w:rFonts w:eastAsia="Times New Roman" w:cs="Times New Roman"/>
          <w:sz w:val="20"/>
          <w:szCs w:val="20"/>
          <w:lang w:val="en-US" w:eastAsia="en-CA"/>
        </w:rPr>
      </w:pPr>
    </w:p>
    <w:p w:rsidR="007A77F9" w:rsidRPr="007A77F9" w:rsidRDefault="005F2BA7" w:rsidP="007A77F9">
      <w:pPr>
        <w:spacing w:line="233" w:lineRule="auto"/>
        <w:jc w:val="both"/>
        <w:rPr>
          <w:rFonts w:eastAsia="Times New Roman" w:cs="Times New Roman"/>
          <w:sz w:val="20"/>
          <w:szCs w:val="20"/>
          <w:lang w:val="en-US" w:eastAsia="en-CA"/>
        </w:rPr>
      </w:pPr>
      <w:r w:rsidRPr="007A77F9">
        <w:rPr>
          <w:rFonts w:eastAsia="Times New Roman" w:cs="Times New Roman"/>
          <w:sz w:val="20"/>
          <w:szCs w:val="20"/>
          <w:lang w:eastAsia="en-CA"/>
        </w:rPr>
        <w:fldChar w:fldCharType="begin"/>
      </w:r>
      <w:r w:rsidR="007A77F9" w:rsidRPr="007A77F9">
        <w:rPr>
          <w:rFonts w:eastAsia="Times New Roman" w:cs="Times New Roman"/>
          <w:sz w:val="20"/>
          <w:szCs w:val="20"/>
          <w:lang w:eastAsia="en-CA"/>
        </w:rPr>
        <w:instrText xml:space="preserve"> SEQ CHAPTER \h \r 1</w:instrText>
      </w:r>
      <w:r w:rsidRPr="007A77F9">
        <w:rPr>
          <w:rFonts w:eastAsia="Times New Roman" w:cs="Times New Roman"/>
          <w:sz w:val="20"/>
          <w:szCs w:val="20"/>
          <w:lang w:eastAsia="en-CA"/>
        </w:rPr>
        <w:fldChar w:fldCharType="end"/>
      </w:r>
      <w:r w:rsidR="007A77F9" w:rsidRPr="007A77F9">
        <w:rPr>
          <w:rFonts w:eastAsia="Times New Roman" w:cs="Times New Roman"/>
          <w:sz w:val="20"/>
          <w:szCs w:val="20"/>
          <w:lang w:val="en-US" w:eastAsia="en-CA"/>
        </w:rPr>
        <w:t>To the extent that the interests are similar, interveners shall consult to avoid repetition.</w:t>
      </w:r>
    </w:p>
    <w:p w:rsidR="007A77F9" w:rsidRPr="007A77F9" w:rsidRDefault="007A77F9" w:rsidP="007A77F9">
      <w:pPr>
        <w:spacing w:line="233" w:lineRule="auto"/>
        <w:jc w:val="both"/>
        <w:rPr>
          <w:rFonts w:eastAsia="Times New Roman" w:cs="Times New Roman"/>
          <w:sz w:val="20"/>
          <w:szCs w:val="20"/>
          <w:lang w:val="en-US" w:eastAsia="en-CA"/>
        </w:rPr>
      </w:pPr>
    </w:p>
    <w:p w:rsidR="007A77F9" w:rsidRPr="007A77F9" w:rsidRDefault="007A77F9" w:rsidP="007A77F9">
      <w:pPr>
        <w:spacing w:line="233" w:lineRule="auto"/>
        <w:jc w:val="both"/>
        <w:rPr>
          <w:rFonts w:eastAsia="Times New Roman" w:cs="Times New Roman"/>
          <w:sz w:val="20"/>
          <w:szCs w:val="20"/>
          <w:lang w:val="en-US" w:eastAsia="en-CA"/>
        </w:rPr>
      </w:pPr>
      <w:r w:rsidRPr="007A77F9">
        <w:rPr>
          <w:rFonts w:eastAsia="Times New Roman" w:cs="Times New Roman"/>
          <w:sz w:val="20"/>
          <w:szCs w:val="20"/>
          <w:lang w:val="en-US" w:eastAsia="en-CA"/>
        </w:rPr>
        <w:t>Pursuant to Rule 59(1</w:t>
      </w:r>
      <w:proofErr w:type="gramStart"/>
      <w:r w:rsidRPr="007A77F9">
        <w:rPr>
          <w:rFonts w:eastAsia="Times New Roman" w:cs="Times New Roman"/>
          <w:sz w:val="20"/>
          <w:szCs w:val="20"/>
          <w:lang w:val="en-US" w:eastAsia="en-CA"/>
        </w:rPr>
        <w:t>)(</w:t>
      </w:r>
      <w:proofErr w:type="gramEnd"/>
      <w:r w:rsidRPr="007A77F9">
        <w:rPr>
          <w:rFonts w:eastAsia="Times New Roman" w:cs="Times New Roman"/>
          <w:i/>
          <w:iCs/>
          <w:sz w:val="20"/>
          <w:szCs w:val="20"/>
          <w:lang w:val="en-US" w:eastAsia="en-CA"/>
        </w:rPr>
        <w:t>a</w:t>
      </w:r>
      <w:r w:rsidRPr="007A77F9">
        <w:rPr>
          <w:rFonts w:eastAsia="Times New Roman" w:cs="Times New Roman"/>
          <w:sz w:val="20"/>
          <w:szCs w:val="20"/>
          <w:lang w:val="en-US" w:eastAsia="en-CA"/>
        </w:rPr>
        <w:t xml:space="preserve">) of the </w:t>
      </w:r>
      <w:r w:rsidRPr="007A77F9">
        <w:rPr>
          <w:rFonts w:eastAsia="Times New Roman" w:cs="Times New Roman"/>
          <w:i/>
          <w:iCs/>
          <w:sz w:val="20"/>
          <w:szCs w:val="20"/>
          <w:lang w:val="en-US" w:eastAsia="en-CA"/>
        </w:rPr>
        <w:t>Rules of the Supreme Court of Canada</w:t>
      </w:r>
      <w:r w:rsidRPr="007A77F9">
        <w:rPr>
          <w:rFonts w:eastAsia="Times New Roman" w:cs="Times New Roman"/>
          <w:sz w:val="20"/>
          <w:szCs w:val="20"/>
          <w:lang w:val="en-US" w:eastAsia="en-CA"/>
        </w:rPr>
        <w:t xml:space="preserve">, the interveners shall pay to the appellant and respondent any additional disbursements occasioned to the appellant and respondent by their interventions. </w:t>
      </w:r>
    </w:p>
    <w:p w:rsidR="007A77F9" w:rsidRPr="007A77F9" w:rsidRDefault="007A77F9" w:rsidP="007A77F9">
      <w:pPr>
        <w:spacing w:line="233" w:lineRule="auto"/>
        <w:jc w:val="both"/>
        <w:rPr>
          <w:rFonts w:eastAsia="Times New Roman" w:cs="Times New Roman"/>
          <w:bCs/>
          <w:sz w:val="20"/>
          <w:szCs w:val="20"/>
          <w:lang w:val="en-US" w:eastAsia="en-CA"/>
        </w:rPr>
      </w:pPr>
    </w:p>
    <w:p w:rsidR="007A77F9" w:rsidRPr="007A77F9" w:rsidRDefault="007A77F9" w:rsidP="007A77F9">
      <w:pPr>
        <w:spacing w:line="233" w:lineRule="auto"/>
        <w:jc w:val="both"/>
        <w:rPr>
          <w:rFonts w:eastAsia="Times New Roman" w:cs="Times New Roman"/>
          <w:bCs/>
          <w:sz w:val="20"/>
          <w:szCs w:val="20"/>
          <w:lang w:val="en-US" w:eastAsia="en-CA"/>
        </w:rPr>
      </w:pPr>
    </w:p>
    <w:p w:rsidR="007A77F9" w:rsidRPr="007A77F9" w:rsidRDefault="007A77F9" w:rsidP="007A77F9">
      <w:pPr>
        <w:spacing w:line="233" w:lineRule="auto"/>
        <w:jc w:val="both"/>
        <w:rPr>
          <w:rFonts w:eastAsia="Times New Roman" w:cs="Times New Roman"/>
          <w:bCs/>
          <w:sz w:val="20"/>
          <w:szCs w:val="20"/>
          <w:lang w:val="en-US" w:eastAsia="en-CA"/>
        </w:rPr>
      </w:pPr>
    </w:p>
    <w:p w:rsidR="007A77F9" w:rsidRPr="007A77F9" w:rsidRDefault="007A77F9" w:rsidP="007A77F9">
      <w:pPr>
        <w:spacing w:line="233" w:lineRule="auto"/>
        <w:jc w:val="both"/>
        <w:rPr>
          <w:rFonts w:eastAsia="Times New Roman" w:cs="Times New Roman"/>
          <w:sz w:val="20"/>
          <w:szCs w:val="20"/>
          <w:lang w:val="fr-CA" w:eastAsia="en-CA"/>
        </w:rPr>
      </w:pPr>
      <w:r w:rsidRPr="007A77F9">
        <w:rPr>
          <w:rFonts w:eastAsia="Times New Roman" w:cs="Times New Roman"/>
          <w:b/>
          <w:bCs/>
          <w:sz w:val="20"/>
          <w:szCs w:val="20"/>
          <w:lang w:val="fr-CA" w:eastAsia="en-CA"/>
        </w:rPr>
        <w:t xml:space="preserve">À LA SUITE DES DEMANDES </w:t>
      </w:r>
      <w:r w:rsidRPr="007A77F9">
        <w:rPr>
          <w:rFonts w:eastAsia="Times New Roman" w:cs="Times New Roman"/>
          <w:sz w:val="20"/>
          <w:szCs w:val="20"/>
          <w:lang w:val="fr-CA" w:eastAsia="en-CA"/>
        </w:rPr>
        <w:t>présentées par l’</w:t>
      </w:r>
      <w:r w:rsidRPr="007A77F9">
        <w:rPr>
          <w:rFonts w:eastAsia="Times New Roman" w:cs="Times New Roman"/>
          <w:sz w:val="20"/>
          <w:szCs w:val="20"/>
          <w:lang w:val="fr-FR" w:eastAsia="en-CA"/>
        </w:rPr>
        <w:t xml:space="preserve">Association in Defence of the Wrongly Convicted, la Criminal Lawyers’ Association of Ontario, le Procureur général de l’Ontario, Gerald Robert Ryan, </w:t>
      </w:r>
      <w:r w:rsidRPr="007A77F9">
        <w:rPr>
          <w:rFonts w:eastAsia="Times New Roman" w:cs="Times New Roman"/>
          <w:sz w:val="20"/>
          <w:szCs w:val="20"/>
          <w:lang w:val="fr-CA" w:eastAsia="en-CA"/>
        </w:rPr>
        <w:t xml:space="preserve">l’Association des libertés civiles de la Colombie-Britannique, le Procureur général de la province de la Colombie-Britannique, l’Association canadienne des libertés civiles, le Directeur des poursuites pénales et le Directeur des poursuites criminelles et pénales du Québec </w:t>
      </w:r>
      <w:r w:rsidRPr="007A77F9">
        <w:rPr>
          <w:rFonts w:eastAsia="Times New Roman" w:cs="Times New Roman"/>
          <w:sz w:val="20"/>
          <w:szCs w:val="20"/>
          <w:lang w:val="fr-FR" w:eastAsia="en-CA"/>
        </w:rPr>
        <w:t>pour obtenir l’autorisation d’intervenir dans le présent appel</w:t>
      </w:r>
      <w:r w:rsidRPr="007A77F9">
        <w:rPr>
          <w:rFonts w:eastAsia="Times New Roman" w:cs="Times New Roman"/>
          <w:sz w:val="20"/>
          <w:szCs w:val="20"/>
          <w:lang w:val="fr-CA" w:eastAsia="en-CA"/>
        </w:rPr>
        <w:t>;</w:t>
      </w:r>
    </w:p>
    <w:p w:rsidR="007A77F9" w:rsidRPr="007A77F9" w:rsidRDefault="007A77F9" w:rsidP="007A77F9">
      <w:pPr>
        <w:spacing w:line="233" w:lineRule="auto"/>
        <w:jc w:val="both"/>
        <w:rPr>
          <w:rFonts w:eastAsia="Times New Roman" w:cs="Times New Roman"/>
          <w:sz w:val="20"/>
          <w:szCs w:val="20"/>
          <w:lang w:val="fr-CA" w:eastAsia="en-CA"/>
        </w:rPr>
      </w:pPr>
    </w:p>
    <w:p w:rsidR="007A77F9" w:rsidRPr="007A77F9" w:rsidRDefault="007A77F9" w:rsidP="007A77F9">
      <w:pPr>
        <w:spacing w:line="233" w:lineRule="auto"/>
        <w:jc w:val="both"/>
        <w:rPr>
          <w:rFonts w:eastAsia="Times New Roman" w:cs="Times New Roman"/>
          <w:sz w:val="20"/>
          <w:szCs w:val="20"/>
          <w:lang w:val="fr-CA" w:eastAsia="en-CA"/>
        </w:rPr>
      </w:pPr>
      <w:r w:rsidRPr="007A77F9">
        <w:rPr>
          <w:rFonts w:eastAsia="Times New Roman" w:cs="Times New Roman"/>
          <w:b/>
          <w:sz w:val="20"/>
          <w:szCs w:val="20"/>
          <w:lang w:val="fr-CA" w:eastAsia="en-CA"/>
        </w:rPr>
        <w:t xml:space="preserve">ET À LA SUITE DE LA DEMANDE </w:t>
      </w:r>
      <w:r w:rsidRPr="007A77F9">
        <w:rPr>
          <w:rFonts w:eastAsia="Times New Roman" w:cs="Times New Roman"/>
          <w:sz w:val="20"/>
          <w:szCs w:val="20"/>
          <w:lang w:val="fr-CA" w:eastAsia="en-CA"/>
        </w:rPr>
        <w:t>présentée par l’Association des avocats de la défense de Montréal en prorogation du délai de présentation d’une demande d’autorisation d’intervenir et en vue d’intervenir dans l’appel</w:t>
      </w:r>
      <w:r w:rsidRPr="007A77F9">
        <w:rPr>
          <w:rFonts w:eastAsia="Times New Roman" w:cs="Times New Roman"/>
          <w:b/>
          <w:sz w:val="20"/>
          <w:szCs w:val="20"/>
          <w:lang w:val="fr-CA" w:eastAsia="en-CA"/>
        </w:rPr>
        <w:t xml:space="preserve">; </w:t>
      </w:r>
    </w:p>
    <w:p w:rsidR="007A77F9" w:rsidRPr="007A77F9" w:rsidRDefault="007A77F9" w:rsidP="007A77F9">
      <w:pPr>
        <w:spacing w:line="233" w:lineRule="auto"/>
        <w:jc w:val="both"/>
        <w:rPr>
          <w:rFonts w:eastAsia="Times New Roman" w:cs="Times New Roman"/>
          <w:sz w:val="20"/>
          <w:szCs w:val="20"/>
          <w:lang w:val="fr-CA" w:eastAsia="en-CA"/>
        </w:rPr>
      </w:pPr>
    </w:p>
    <w:p w:rsidR="007A77F9" w:rsidRPr="007A77F9" w:rsidRDefault="007A77F9" w:rsidP="007A77F9">
      <w:pPr>
        <w:spacing w:line="233" w:lineRule="auto"/>
        <w:jc w:val="both"/>
        <w:rPr>
          <w:rFonts w:eastAsia="Times New Roman" w:cs="Times New Roman"/>
          <w:sz w:val="20"/>
          <w:szCs w:val="20"/>
          <w:lang w:val="fr-CA" w:eastAsia="en-CA"/>
        </w:rPr>
      </w:pPr>
      <w:r w:rsidRPr="007A77F9">
        <w:rPr>
          <w:rFonts w:eastAsia="Times New Roman" w:cs="Times New Roman"/>
          <w:b/>
          <w:bCs/>
          <w:sz w:val="20"/>
          <w:szCs w:val="20"/>
          <w:lang w:val="fr-CA" w:eastAsia="en-CA"/>
        </w:rPr>
        <w:t xml:space="preserve">ET APRÈS EXAMEN </w:t>
      </w:r>
      <w:r w:rsidRPr="007A77F9">
        <w:rPr>
          <w:rFonts w:eastAsia="Times New Roman" w:cs="Times New Roman"/>
          <w:sz w:val="20"/>
          <w:szCs w:val="20"/>
          <w:lang w:val="fr-CA" w:eastAsia="en-CA"/>
        </w:rPr>
        <w:t xml:space="preserve">des documents déposés; </w:t>
      </w:r>
    </w:p>
    <w:p w:rsidR="007A77F9" w:rsidRPr="007A77F9" w:rsidRDefault="007A77F9" w:rsidP="007A77F9">
      <w:pPr>
        <w:spacing w:line="233" w:lineRule="auto"/>
        <w:jc w:val="both"/>
        <w:rPr>
          <w:rFonts w:eastAsia="Times New Roman" w:cs="Times New Roman"/>
          <w:sz w:val="20"/>
          <w:szCs w:val="20"/>
          <w:lang w:val="fr-CA" w:eastAsia="en-CA"/>
        </w:rPr>
      </w:pPr>
    </w:p>
    <w:p w:rsidR="007A77F9" w:rsidRPr="007A77F9" w:rsidRDefault="007A77F9" w:rsidP="007A77F9">
      <w:pPr>
        <w:spacing w:line="233" w:lineRule="auto"/>
        <w:jc w:val="both"/>
        <w:rPr>
          <w:rFonts w:eastAsia="Times New Roman" w:cs="Times New Roman"/>
          <w:sz w:val="20"/>
          <w:szCs w:val="20"/>
          <w:lang w:val="fr-CA" w:eastAsia="en-CA"/>
        </w:rPr>
      </w:pPr>
      <w:r w:rsidRPr="007A77F9">
        <w:rPr>
          <w:rFonts w:eastAsia="Times New Roman" w:cs="Times New Roman"/>
          <w:b/>
          <w:bCs/>
          <w:sz w:val="20"/>
          <w:szCs w:val="20"/>
          <w:lang w:val="fr-CA" w:eastAsia="en-CA"/>
        </w:rPr>
        <w:t xml:space="preserve">IL EST ORDONNÉ CE QUI SUIT : </w:t>
      </w:r>
    </w:p>
    <w:p w:rsidR="007A77F9" w:rsidRPr="007A77F9" w:rsidRDefault="007A77F9" w:rsidP="007A77F9">
      <w:pPr>
        <w:spacing w:line="233" w:lineRule="auto"/>
        <w:jc w:val="both"/>
        <w:rPr>
          <w:rFonts w:eastAsia="Times New Roman" w:cs="Times New Roman"/>
          <w:sz w:val="20"/>
          <w:szCs w:val="20"/>
          <w:lang w:val="fr-CA" w:eastAsia="en-CA"/>
        </w:rPr>
      </w:pPr>
    </w:p>
    <w:p w:rsidR="007A77F9" w:rsidRPr="007A77F9" w:rsidRDefault="007A77F9" w:rsidP="007A77F9">
      <w:pPr>
        <w:spacing w:line="233" w:lineRule="auto"/>
        <w:jc w:val="both"/>
        <w:rPr>
          <w:rFonts w:eastAsia="Times New Roman" w:cs="Times New Roman"/>
          <w:sz w:val="20"/>
          <w:szCs w:val="20"/>
          <w:lang w:val="fr-CA" w:eastAsia="en-CA"/>
        </w:rPr>
      </w:pPr>
      <w:r w:rsidRPr="007A77F9">
        <w:rPr>
          <w:rFonts w:eastAsia="Times New Roman" w:cs="Times New Roman"/>
          <w:sz w:val="20"/>
          <w:szCs w:val="20"/>
          <w:lang w:val="fr-CA" w:eastAsia="en-CA"/>
        </w:rPr>
        <w:t xml:space="preserve">Les requêtes </w:t>
      </w:r>
      <w:r w:rsidR="005F2BA7" w:rsidRPr="007A77F9">
        <w:rPr>
          <w:rFonts w:eastAsia="Times New Roman" w:cs="Times New Roman"/>
          <w:sz w:val="20"/>
          <w:szCs w:val="20"/>
          <w:lang w:eastAsia="en-CA"/>
        </w:rPr>
        <w:fldChar w:fldCharType="begin"/>
      </w:r>
      <w:r w:rsidRPr="007A77F9">
        <w:rPr>
          <w:rFonts w:eastAsia="Times New Roman" w:cs="Times New Roman"/>
          <w:sz w:val="20"/>
          <w:szCs w:val="20"/>
          <w:lang w:val="fr-FR" w:eastAsia="en-CA"/>
        </w:rPr>
        <w:instrText xml:space="preserve"> SEQ CHAPTER \h \r 1</w:instrText>
      </w:r>
      <w:r w:rsidR="005F2BA7" w:rsidRPr="007A77F9">
        <w:rPr>
          <w:rFonts w:eastAsia="Times New Roman" w:cs="Times New Roman"/>
          <w:sz w:val="20"/>
          <w:szCs w:val="20"/>
          <w:lang w:eastAsia="en-CA"/>
        </w:rPr>
        <w:fldChar w:fldCharType="end"/>
      </w:r>
      <w:r w:rsidRPr="007A77F9">
        <w:rPr>
          <w:rFonts w:eastAsia="Times New Roman" w:cs="Times New Roman"/>
          <w:sz w:val="20"/>
          <w:szCs w:val="20"/>
          <w:lang w:val="fr-CA" w:eastAsia="en-CA"/>
        </w:rPr>
        <w:t>en autorisation d’intervenir de l’</w:t>
      </w:r>
      <w:r w:rsidRPr="007A77F9">
        <w:rPr>
          <w:rFonts w:eastAsia="Times New Roman" w:cs="Times New Roman"/>
          <w:sz w:val="20"/>
          <w:szCs w:val="20"/>
          <w:lang w:val="fr-FR" w:eastAsia="en-CA"/>
        </w:rPr>
        <w:t xml:space="preserve">Association in Defence of the Wrongly Convicted, de la Criminal Lawyers’ Association of Ontario, du Procureur général de l’Ontario, de </w:t>
      </w:r>
      <w:r w:rsidRPr="007A77F9">
        <w:rPr>
          <w:rFonts w:eastAsia="Times New Roman" w:cs="Times New Roman"/>
          <w:sz w:val="20"/>
          <w:szCs w:val="20"/>
          <w:lang w:val="fr-CA" w:eastAsia="en-CA"/>
        </w:rPr>
        <w:t>l’Association des libertés civiles de la Colombie-Britannique, du Procureur général de la province de la Colombie-Britannique, de l’Association canadienne des libertés civiles, du Directeur des poursuites pénales et du Directeur des poursuites criminelles et pénales du Québec sont accueillies et ces intervenants sont autorisés à signifier et déposer un mémoire d’au plus 10 pages au plus tard le 8 octobre 2013.</w:t>
      </w:r>
    </w:p>
    <w:p w:rsidR="007A77F9" w:rsidRPr="007A77F9" w:rsidRDefault="007A77F9" w:rsidP="007A77F9">
      <w:pPr>
        <w:spacing w:line="233" w:lineRule="auto"/>
        <w:jc w:val="both"/>
        <w:rPr>
          <w:rFonts w:eastAsia="Times New Roman" w:cs="Times New Roman"/>
          <w:sz w:val="20"/>
          <w:szCs w:val="20"/>
          <w:lang w:val="fr-CA" w:eastAsia="en-CA"/>
        </w:rPr>
      </w:pPr>
    </w:p>
    <w:p w:rsidR="007A77F9" w:rsidRPr="007A77F9" w:rsidRDefault="005F2BA7" w:rsidP="007A77F9">
      <w:pPr>
        <w:spacing w:line="233" w:lineRule="auto"/>
        <w:jc w:val="both"/>
        <w:rPr>
          <w:rFonts w:eastAsia="Times New Roman" w:cs="Times New Roman"/>
          <w:sz w:val="20"/>
          <w:szCs w:val="20"/>
          <w:lang w:val="fr-CA" w:eastAsia="en-CA"/>
        </w:rPr>
      </w:pPr>
      <w:r w:rsidRPr="007A77F9">
        <w:rPr>
          <w:rFonts w:eastAsia="Times New Roman" w:cs="Times New Roman"/>
          <w:sz w:val="20"/>
          <w:szCs w:val="20"/>
          <w:lang w:eastAsia="en-CA"/>
        </w:rPr>
        <w:fldChar w:fldCharType="begin"/>
      </w:r>
      <w:r w:rsidR="007A77F9" w:rsidRPr="007A77F9">
        <w:rPr>
          <w:rFonts w:eastAsia="Times New Roman" w:cs="Times New Roman"/>
          <w:sz w:val="20"/>
          <w:szCs w:val="20"/>
          <w:lang w:val="fr-FR" w:eastAsia="en-CA"/>
        </w:rPr>
        <w:instrText xml:space="preserve"> SEQ CHAPTER \h \r 1</w:instrText>
      </w:r>
      <w:r w:rsidRPr="007A77F9">
        <w:rPr>
          <w:rFonts w:eastAsia="Times New Roman" w:cs="Times New Roman"/>
          <w:sz w:val="20"/>
          <w:szCs w:val="20"/>
          <w:lang w:eastAsia="en-CA"/>
        </w:rPr>
        <w:fldChar w:fldCharType="end"/>
      </w:r>
      <w:r w:rsidR="007A77F9" w:rsidRPr="007A77F9">
        <w:rPr>
          <w:rFonts w:eastAsia="Times New Roman" w:cs="Times New Roman"/>
          <w:sz w:val="20"/>
          <w:szCs w:val="20"/>
          <w:lang w:val="fr-FR" w:eastAsia="en-CA"/>
        </w:rPr>
        <w:t xml:space="preserve">La requête de </w:t>
      </w:r>
      <w:r w:rsidRPr="007A77F9">
        <w:rPr>
          <w:rFonts w:eastAsia="Times New Roman" w:cs="Times New Roman"/>
          <w:sz w:val="20"/>
          <w:szCs w:val="20"/>
          <w:lang w:eastAsia="en-CA"/>
        </w:rPr>
        <w:fldChar w:fldCharType="begin"/>
      </w:r>
      <w:r w:rsidR="007A77F9" w:rsidRPr="007A77F9">
        <w:rPr>
          <w:rFonts w:eastAsia="Times New Roman" w:cs="Times New Roman"/>
          <w:sz w:val="20"/>
          <w:szCs w:val="20"/>
          <w:lang w:val="fr-FR" w:eastAsia="en-CA"/>
        </w:rPr>
        <w:instrText xml:space="preserve"> SEQ CHAPTER \h \r 1</w:instrText>
      </w:r>
      <w:r w:rsidRPr="007A77F9">
        <w:rPr>
          <w:rFonts w:eastAsia="Times New Roman" w:cs="Times New Roman"/>
          <w:sz w:val="20"/>
          <w:szCs w:val="20"/>
          <w:lang w:eastAsia="en-CA"/>
        </w:rPr>
        <w:fldChar w:fldCharType="end"/>
      </w:r>
      <w:r w:rsidR="007A77F9" w:rsidRPr="007A77F9">
        <w:rPr>
          <w:rFonts w:eastAsia="Times New Roman" w:cs="Times New Roman"/>
          <w:sz w:val="20"/>
          <w:szCs w:val="20"/>
          <w:lang w:val="fr-FR" w:eastAsia="en-CA"/>
        </w:rPr>
        <w:t xml:space="preserve">en prorogation du délai de présentation d’une demande d’autorisation d’intervenir et en vue d’intervenir dans l’appel </w:t>
      </w:r>
      <w:r w:rsidR="007A77F9" w:rsidRPr="007A77F9">
        <w:rPr>
          <w:rFonts w:eastAsia="Times New Roman" w:cs="Times New Roman"/>
          <w:sz w:val="20"/>
          <w:szCs w:val="20"/>
          <w:lang w:val="fr-CA" w:eastAsia="en-CA"/>
        </w:rPr>
        <w:t>par l’Association des avocats de la défense de Montréal</w:t>
      </w:r>
      <w:r w:rsidR="007A77F9" w:rsidRPr="007A77F9">
        <w:rPr>
          <w:rFonts w:eastAsia="Times New Roman" w:cs="Times New Roman"/>
          <w:sz w:val="20"/>
          <w:szCs w:val="20"/>
          <w:lang w:val="fr-FR" w:eastAsia="en-CA"/>
        </w:rPr>
        <w:t xml:space="preserve"> est accueillie et cette intervenante pourra signifier et déposer un mémoire d’au plus 10 pages </w:t>
      </w:r>
      <w:r w:rsidR="007A77F9" w:rsidRPr="007A77F9">
        <w:rPr>
          <w:rFonts w:eastAsia="Times New Roman" w:cs="Times New Roman"/>
          <w:sz w:val="20"/>
          <w:szCs w:val="20"/>
          <w:lang w:val="fr-CA" w:eastAsia="en-CA"/>
        </w:rPr>
        <w:t>au plus tard le 8 octobre 2013.</w:t>
      </w:r>
    </w:p>
    <w:p w:rsidR="007A77F9" w:rsidRPr="007A77F9" w:rsidRDefault="007A77F9" w:rsidP="007A77F9">
      <w:pPr>
        <w:spacing w:line="225" w:lineRule="auto"/>
        <w:jc w:val="both"/>
        <w:rPr>
          <w:rFonts w:eastAsia="Times New Roman" w:cs="Times New Roman"/>
          <w:sz w:val="20"/>
          <w:szCs w:val="20"/>
          <w:lang w:val="fr-FR" w:eastAsia="en-CA"/>
        </w:rPr>
      </w:pPr>
    </w:p>
    <w:p w:rsidR="007A77F9" w:rsidRPr="007A77F9" w:rsidRDefault="007A77F9" w:rsidP="007A77F9">
      <w:pPr>
        <w:spacing w:line="225" w:lineRule="auto"/>
        <w:jc w:val="both"/>
        <w:rPr>
          <w:rFonts w:eastAsia="Times New Roman" w:cs="Times New Roman"/>
          <w:sz w:val="20"/>
          <w:szCs w:val="20"/>
          <w:lang w:val="fr-FR" w:eastAsia="en-CA"/>
        </w:rPr>
      </w:pPr>
      <w:r w:rsidRPr="007A77F9">
        <w:rPr>
          <w:rFonts w:eastAsia="Times New Roman" w:cs="Times New Roman"/>
          <w:sz w:val="20"/>
          <w:szCs w:val="20"/>
          <w:lang w:val="fr-CA" w:eastAsia="en-CA"/>
        </w:rPr>
        <w:t xml:space="preserve">La requête </w:t>
      </w:r>
      <w:r w:rsidR="005F2BA7" w:rsidRPr="007A77F9">
        <w:rPr>
          <w:rFonts w:eastAsia="Times New Roman" w:cs="Times New Roman"/>
          <w:sz w:val="20"/>
          <w:szCs w:val="20"/>
          <w:lang w:eastAsia="en-CA"/>
        </w:rPr>
        <w:fldChar w:fldCharType="begin"/>
      </w:r>
      <w:r w:rsidRPr="007A77F9">
        <w:rPr>
          <w:rFonts w:eastAsia="Times New Roman" w:cs="Times New Roman"/>
          <w:sz w:val="20"/>
          <w:szCs w:val="20"/>
          <w:lang w:val="fr-FR" w:eastAsia="en-CA"/>
        </w:rPr>
        <w:instrText xml:space="preserve"> SEQ CHAPTER \h \r 1</w:instrText>
      </w:r>
      <w:r w:rsidR="005F2BA7" w:rsidRPr="007A77F9">
        <w:rPr>
          <w:rFonts w:eastAsia="Times New Roman" w:cs="Times New Roman"/>
          <w:sz w:val="20"/>
          <w:szCs w:val="20"/>
          <w:lang w:eastAsia="en-CA"/>
        </w:rPr>
        <w:fldChar w:fldCharType="end"/>
      </w:r>
      <w:r w:rsidRPr="007A77F9">
        <w:rPr>
          <w:rFonts w:eastAsia="Times New Roman" w:cs="Times New Roman"/>
          <w:sz w:val="20"/>
          <w:szCs w:val="20"/>
          <w:lang w:val="fr-CA" w:eastAsia="en-CA"/>
        </w:rPr>
        <w:t xml:space="preserve">en autorisation d’intervenir de </w:t>
      </w:r>
      <w:r w:rsidRPr="007A77F9">
        <w:rPr>
          <w:rFonts w:eastAsia="Times New Roman" w:cs="Times New Roman"/>
          <w:sz w:val="20"/>
          <w:szCs w:val="20"/>
          <w:lang w:val="fr-FR" w:eastAsia="en-CA"/>
        </w:rPr>
        <w:t xml:space="preserve">Gerald Robert Ryan est </w:t>
      </w:r>
      <w:r w:rsidRPr="007A77F9">
        <w:rPr>
          <w:rFonts w:eastAsia="Times New Roman" w:cs="Times New Roman"/>
          <w:sz w:val="20"/>
          <w:szCs w:val="20"/>
          <w:lang w:val="fr-CA" w:eastAsia="en-CA"/>
        </w:rPr>
        <w:t>rejetée.</w:t>
      </w:r>
    </w:p>
    <w:p w:rsidR="007A77F9" w:rsidRPr="007A77F9" w:rsidRDefault="007A77F9" w:rsidP="007A77F9">
      <w:pPr>
        <w:spacing w:line="233" w:lineRule="auto"/>
        <w:jc w:val="both"/>
        <w:rPr>
          <w:rFonts w:eastAsia="Times New Roman" w:cs="Times New Roman"/>
          <w:sz w:val="20"/>
          <w:szCs w:val="20"/>
          <w:lang w:val="fr-CA" w:eastAsia="en-CA"/>
        </w:rPr>
      </w:pPr>
    </w:p>
    <w:p w:rsidR="007A77F9" w:rsidRPr="007A77F9" w:rsidRDefault="007A77F9" w:rsidP="007A77F9">
      <w:pPr>
        <w:spacing w:line="233" w:lineRule="auto"/>
        <w:jc w:val="both"/>
        <w:rPr>
          <w:rFonts w:eastAsia="Times New Roman" w:cs="Times New Roman"/>
          <w:sz w:val="20"/>
          <w:szCs w:val="20"/>
          <w:lang w:val="fr-CA" w:eastAsia="en-CA"/>
        </w:rPr>
      </w:pPr>
      <w:r w:rsidRPr="007A77F9">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7A77F9" w:rsidRPr="007A77F9" w:rsidRDefault="007A77F9" w:rsidP="007A77F9">
      <w:pPr>
        <w:spacing w:line="233" w:lineRule="auto"/>
        <w:jc w:val="both"/>
        <w:rPr>
          <w:rFonts w:eastAsia="Times New Roman" w:cs="Times New Roman"/>
          <w:sz w:val="20"/>
          <w:szCs w:val="20"/>
          <w:lang w:val="fr-CA" w:eastAsia="en-CA"/>
        </w:rPr>
      </w:pPr>
    </w:p>
    <w:p w:rsidR="007A77F9" w:rsidRPr="007A77F9" w:rsidRDefault="007A77F9" w:rsidP="007A77F9">
      <w:pPr>
        <w:shd w:val="clear" w:color="auto" w:fill="FFFFFF"/>
        <w:jc w:val="both"/>
        <w:rPr>
          <w:rFonts w:eastAsia="Times New Roman" w:cs="Times New Roman"/>
          <w:bCs/>
          <w:sz w:val="20"/>
          <w:szCs w:val="20"/>
          <w:lang w:val="fr-FR" w:eastAsia="en-CA"/>
        </w:rPr>
      </w:pPr>
      <w:r w:rsidRPr="007A77F9">
        <w:rPr>
          <w:rFonts w:eastAsia="Times New Roman" w:cs="Times New Roman"/>
          <w:bCs/>
          <w:sz w:val="20"/>
          <w:szCs w:val="20"/>
          <w:lang w:val="fr-FR" w:eastAsia="en-CA"/>
        </w:rPr>
        <w:t>Les intervenants n'ont pas le droit de soulever de nouvelles questions, de produire d'autres éléments de preuve ni de compléter de quelque autre façon le dossier des parties.</w:t>
      </w:r>
    </w:p>
    <w:p w:rsidR="007A77F9" w:rsidRPr="007A77F9" w:rsidRDefault="007A77F9" w:rsidP="007A77F9">
      <w:pPr>
        <w:shd w:val="clear" w:color="auto" w:fill="FFFFFF"/>
        <w:jc w:val="both"/>
        <w:rPr>
          <w:rFonts w:eastAsia="Times New Roman" w:cs="Times New Roman"/>
          <w:sz w:val="20"/>
          <w:szCs w:val="20"/>
          <w:lang w:val="fr-FR" w:eastAsia="en-CA"/>
        </w:rPr>
      </w:pPr>
    </w:p>
    <w:p w:rsidR="007A77F9" w:rsidRPr="007A77F9" w:rsidRDefault="007A77F9" w:rsidP="007A77F9">
      <w:pPr>
        <w:spacing w:line="225" w:lineRule="auto"/>
        <w:jc w:val="both"/>
        <w:rPr>
          <w:rFonts w:eastAsia="Times New Roman" w:cs="Times New Roman"/>
          <w:sz w:val="20"/>
          <w:szCs w:val="20"/>
          <w:lang w:val="fr-CA" w:eastAsia="en-CA"/>
        </w:rPr>
      </w:pPr>
      <w:r w:rsidRPr="007A77F9">
        <w:rPr>
          <w:rFonts w:eastAsia="Times New Roman" w:cs="Times New Roman"/>
          <w:sz w:val="20"/>
          <w:szCs w:val="20"/>
          <w:lang w:val="fr-CA" w:eastAsia="en-CA"/>
        </w:rPr>
        <w:t>Dans la mesure où leurs intérêts sont similaires, les intervenants se consulteront pour éviter toute répétition.</w:t>
      </w:r>
    </w:p>
    <w:p w:rsidR="007A77F9" w:rsidRPr="007A77F9" w:rsidRDefault="007A77F9" w:rsidP="007A77F9">
      <w:pPr>
        <w:spacing w:line="233" w:lineRule="auto"/>
        <w:jc w:val="both"/>
        <w:rPr>
          <w:rFonts w:eastAsia="Times New Roman" w:cs="Times New Roman"/>
          <w:sz w:val="20"/>
          <w:szCs w:val="20"/>
          <w:lang w:val="fr-CA" w:eastAsia="en-CA"/>
        </w:rPr>
      </w:pPr>
    </w:p>
    <w:p w:rsidR="007A77F9" w:rsidRPr="007A77F9" w:rsidRDefault="007A77F9" w:rsidP="007A77F9">
      <w:pPr>
        <w:spacing w:line="233" w:lineRule="auto"/>
        <w:jc w:val="both"/>
        <w:rPr>
          <w:rFonts w:eastAsia="Times New Roman" w:cs="Times New Roman"/>
          <w:sz w:val="20"/>
          <w:szCs w:val="20"/>
          <w:lang w:val="fr-CA" w:eastAsia="en-CA"/>
        </w:rPr>
      </w:pPr>
      <w:r w:rsidRPr="007A77F9">
        <w:rPr>
          <w:rFonts w:eastAsia="Times New Roman" w:cs="Times New Roman"/>
          <w:sz w:val="20"/>
          <w:szCs w:val="20"/>
          <w:lang w:val="fr-CA" w:eastAsia="en-CA"/>
        </w:rPr>
        <w:t>Conformément à l’al. 59(1)</w:t>
      </w:r>
      <w:r w:rsidRPr="007A77F9">
        <w:rPr>
          <w:rFonts w:eastAsia="Times New Roman" w:cs="Times New Roman"/>
          <w:i/>
          <w:iCs/>
          <w:sz w:val="20"/>
          <w:szCs w:val="20"/>
          <w:lang w:val="fr-CA" w:eastAsia="en-CA"/>
        </w:rPr>
        <w:t>a</w:t>
      </w:r>
      <w:r w:rsidRPr="007A77F9">
        <w:rPr>
          <w:rFonts w:eastAsia="Times New Roman" w:cs="Times New Roman"/>
          <w:sz w:val="20"/>
          <w:szCs w:val="20"/>
          <w:lang w:val="fr-CA" w:eastAsia="en-CA"/>
        </w:rPr>
        <w:t xml:space="preserve">) des </w:t>
      </w:r>
      <w:r w:rsidRPr="007A77F9">
        <w:rPr>
          <w:rFonts w:eastAsia="Times New Roman" w:cs="Times New Roman"/>
          <w:i/>
          <w:iCs/>
          <w:sz w:val="20"/>
          <w:szCs w:val="20"/>
          <w:lang w:val="fr-CA" w:eastAsia="en-CA"/>
        </w:rPr>
        <w:t>Règles de la Cour suprême du Canada</w:t>
      </w:r>
      <w:r w:rsidRPr="007A77F9">
        <w:rPr>
          <w:rFonts w:eastAsia="Times New Roman" w:cs="Times New Roman"/>
          <w:sz w:val="20"/>
          <w:szCs w:val="20"/>
          <w:lang w:val="fr-CA" w:eastAsia="en-CA"/>
        </w:rPr>
        <w:t>, les intervenants paieront à l’appelante et à l’intimé tous les débours supplémentaires résultant de leur intervention.</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5F2BA7" w:rsidP="007A77F9">
      <w:pPr>
        <w:tabs>
          <w:tab w:val="left" w:pos="-1440"/>
          <w:tab w:val="left" w:pos="-720"/>
        </w:tabs>
        <w:jc w:val="both"/>
        <w:rPr>
          <w:rFonts w:eastAsia="Times New Roman" w:cs="Times New Roman"/>
          <w:sz w:val="20"/>
          <w:szCs w:val="20"/>
          <w:lang w:val="fr-CA" w:eastAsia="en-CA"/>
        </w:rPr>
      </w:pPr>
      <w:r w:rsidRPr="005F2BA7">
        <w:rPr>
          <w:rFonts w:eastAsia="Times New Roman" w:cs="Times New Roman"/>
          <w:sz w:val="20"/>
          <w:szCs w:val="20"/>
          <w:lang w:val="fr-CA" w:eastAsia="en-CA"/>
        </w:rPr>
        <w:pict>
          <v:rect id="_x0000_i1133" style="width:2in;height:1pt" o:hrpct="0" o:hralign="center" o:hrstd="t" o:hrnoshade="t" o:hr="t" fillcolor="black [3213]" stroked="f"/>
        </w:pict>
      </w:r>
    </w:p>
    <w:p w:rsidR="007A77F9" w:rsidRPr="007A77F9" w:rsidRDefault="007A77F9" w:rsidP="007A77F9">
      <w:pPr>
        <w:rPr>
          <w:rFonts w:eastAsia="Times New Roman" w:cs="Times New Roman"/>
          <w:sz w:val="20"/>
          <w:szCs w:val="20"/>
          <w:lang w:eastAsia="en-CA"/>
        </w:rPr>
      </w:pPr>
    </w:p>
    <w:p w:rsidR="007A77F9" w:rsidRPr="007A77F9" w:rsidRDefault="007A77F9" w:rsidP="007A77F9">
      <w:pPr>
        <w:tabs>
          <w:tab w:val="left" w:pos="-1440"/>
          <w:tab w:val="left" w:pos="-720"/>
        </w:tabs>
        <w:jc w:val="both"/>
        <w:rPr>
          <w:rFonts w:eastAsia="Times New Roman" w:cs="Times New Roman"/>
          <w:sz w:val="20"/>
          <w:szCs w:val="20"/>
          <w:lang w:eastAsia="en-CA"/>
        </w:rPr>
      </w:pPr>
      <w:r w:rsidRPr="007A77F9">
        <w:rPr>
          <w:rFonts w:eastAsia="Times New Roman" w:cs="Times New Roman"/>
          <w:sz w:val="20"/>
          <w:szCs w:val="20"/>
          <w:lang w:eastAsia="en-CA"/>
        </w:rPr>
        <w:t>15.08.2013</w:t>
      </w:r>
    </w:p>
    <w:p w:rsidR="007A77F9" w:rsidRPr="007A77F9" w:rsidRDefault="007A77F9" w:rsidP="007A77F9">
      <w:pPr>
        <w:tabs>
          <w:tab w:val="left" w:pos="-1440"/>
          <w:tab w:val="left" w:pos="-720"/>
        </w:tabs>
        <w:jc w:val="both"/>
        <w:rPr>
          <w:rFonts w:eastAsia="Times New Roman" w:cs="Times New Roman"/>
          <w:sz w:val="20"/>
          <w:szCs w:val="20"/>
          <w:lang w:eastAsia="en-CA"/>
        </w:rPr>
      </w:pPr>
    </w:p>
    <w:p w:rsidR="007A77F9" w:rsidRPr="007A77F9" w:rsidRDefault="007A77F9" w:rsidP="007A77F9">
      <w:pPr>
        <w:tabs>
          <w:tab w:val="left" w:pos="-1440"/>
          <w:tab w:val="left" w:pos="-720"/>
        </w:tabs>
        <w:jc w:val="both"/>
        <w:rPr>
          <w:rFonts w:eastAsia="Times New Roman" w:cs="Times New Roman"/>
          <w:sz w:val="20"/>
          <w:szCs w:val="20"/>
          <w:lang w:eastAsia="en-CA"/>
        </w:rPr>
      </w:pPr>
      <w:r w:rsidRPr="007A77F9">
        <w:rPr>
          <w:rFonts w:eastAsia="Times New Roman" w:cs="Times New Roman"/>
          <w:sz w:val="20"/>
          <w:szCs w:val="20"/>
          <w:lang w:eastAsia="en-CA"/>
        </w:rPr>
        <w:t xml:space="preserve">Before / </w:t>
      </w:r>
      <w:proofErr w:type="gramStart"/>
      <w:r w:rsidRPr="007A77F9">
        <w:rPr>
          <w:rFonts w:eastAsia="Times New Roman" w:cs="Times New Roman"/>
          <w:sz w:val="20"/>
          <w:szCs w:val="20"/>
          <w:lang w:eastAsia="en-CA"/>
        </w:rPr>
        <w:t>Devant :</w:t>
      </w:r>
      <w:proofErr w:type="gramEnd"/>
      <w:r w:rsidRPr="007A77F9">
        <w:rPr>
          <w:rFonts w:eastAsia="Times New Roman" w:cs="Times New Roman"/>
          <w:sz w:val="20"/>
          <w:szCs w:val="20"/>
          <w:lang w:eastAsia="en-CA"/>
        </w:rPr>
        <w:t xml:space="preserve">   WAGNER J. / LE JUGE WAGNER</w:t>
      </w:r>
    </w:p>
    <w:p w:rsidR="007A77F9" w:rsidRPr="007A77F9" w:rsidRDefault="007A77F9" w:rsidP="007A77F9">
      <w:pPr>
        <w:tabs>
          <w:tab w:val="left" w:pos="-1440"/>
          <w:tab w:val="left" w:pos="-720"/>
        </w:tabs>
        <w:jc w:val="both"/>
        <w:rPr>
          <w:rFonts w:eastAsia="Times New Roman" w:cs="Times New Roman"/>
          <w:sz w:val="20"/>
          <w:szCs w:val="20"/>
          <w:lang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7A77F9" w:rsidRPr="007C5A5B" w:rsidTr="00FB7665">
        <w:tc>
          <w:tcPr>
            <w:tcW w:w="4338" w:type="dxa"/>
            <w:gridSpan w:val="2"/>
          </w:tcPr>
          <w:p w:rsidR="007A77F9" w:rsidRPr="007A77F9" w:rsidRDefault="007A77F9" w:rsidP="007A77F9">
            <w:pPr>
              <w:jc w:val="both"/>
              <w:rPr>
                <w:b/>
              </w:rPr>
            </w:pPr>
            <w:r w:rsidRPr="007A77F9">
              <w:rPr>
                <w:b/>
                <w:bCs/>
                <w:lang w:val="en-GB"/>
              </w:rPr>
              <w:t>Motion for an extension of time for leave to intervene and for leave to intervene</w:t>
            </w:r>
            <w:r w:rsidRPr="007A77F9">
              <w:rPr>
                <w:lang w:val="en-US"/>
              </w:rPr>
              <w:t xml:space="preserve"> </w:t>
            </w:r>
            <w:r w:rsidR="005F2BA7" w:rsidRPr="007A77F9">
              <w:rPr>
                <w:lang w:val="en-US"/>
              </w:rPr>
              <w:fldChar w:fldCharType="begin"/>
            </w:r>
            <w:r w:rsidRPr="007A77F9">
              <w:instrText xml:space="preserve"> SEQ CHAPTER \h \r 1</w:instrText>
            </w:r>
            <w:r w:rsidR="005F2BA7" w:rsidRPr="007A77F9">
              <w:rPr>
                <w:lang w:val="en-US"/>
              </w:rPr>
              <w:fldChar w:fldCharType="end"/>
            </w:r>
          </w:p>
        </w:tc>
        <w:tc>
          <w:tcPr>
            <w:tcW w:w="1170" w:type="dxa"/>
          </w:tcPr>
          <w:p w:rsidR="007A77F9" w:rsidRPr="007A77F9" w:rsidRDefault="007A77F9" w:rsidP="007A77F9"/>
          <w:p w:rsidR="007A77F9" w:rsidRPr="007A77F9" w:rsidRDefault="007A77F9" w:rsidP="007A77F9"/>
          <w:p w:rsidR="007A77F9" w:rsidRPr="007A77F9" w:rsidRDefault="007A77F9" w:rsidP="007A77F9"/>
          <w:p w:rsidR="007A77F9" w:rsidRPr="007A77F9" w:rsidRDefault="007A77F9" w:rsidP="007A77F9"/>
        </w:tc>
        <w:tc>
          <w:tcPr>
            <w:tcW w:w="4327" w:type="dxa"/>
          </w:tcPr>
          <w:p w:rsidR="007A77F9" w:rsidRPr="007A77F9" w:rsidRDefault="007A77F9" w:rsidP="007A77F9">
            <w:pPr>
              <w:jc w:val="both"/>
              <w:rPr>
                <w:b/>
                <w:lang w:val="fr-CA"/>
              </w:rPr>
            </w:pPr>
            <w:r w:rsidRPr="007A77F9">
              <w:rPr>
                <w:b/>
                <w:bCs/>
                <w:color w:val="000000"/>
                <w:lang w:val="fr-CA"/>
              </w:rPr>
              <w:t>Requête en prorogation du délai pour demander l’autorisation d’intervenir et en autorisation d’intervenir</w:t>
            </w:r>
            <w:r w:rsidRPr="007A77F9">
              <w:rPr>
                <w:lang w:val="fr-CA"/>
              </w:rPr>
              <w:t xml:space="preserve"> </w:t>
            </w:r>
            <w:r w:rsidR="005F2BA7" w:rsidRPr="007A77F9">
              <w:rPr>
                <w:lang w:val="en-US"/>
              </w:rPr>
              <w:fldChar w:fldCharType="begin"/>
            </w:r>
            <w:r w:rsidRPr="007A77F9">
              <w:rPr>
                <w:lang w:val="fr-CA"/>
              </w:rPr>
              <w:instrText xml:space="preserve"> SEQ CHAPTER \h \r 1</w:instrText>
            </w:r>
            <w:r w:rsidR="005F2BA7" w:rsidRPr="007A77F9">
              <w:rPr>
                <w:lang w:val="en-US"/>
              </w:rPr>
              <w:fldChar w:fldCharType="end"/>
            </w:r>
          </w:p>
        </w:tc>
      </w:tr>
      <w:tr w:rsidR="007A77F9" w:rsidRPr="007C5A5B" w:rsidTr="00FB7665">
        <w:tc>
          <w:tcPr>
            <w:tcW w:w="1368" w:type="dxa"/>
          </w:tcPr>
          <w:p w:rsidR="007A77F9" w:rsidRPr="007A77F9" w:rsidRDefault="007A77F9" w:rsidP="007A77F9">
            <w:r w:rsidRPr="007A77F9">
              <w:t>BY / PAR</w:t>
            </w:r>
          </w:p>
        </w:tc>
        <w:tc>
          <w:tcPr>
            <w:tcW w:w="2970" w:type="dxa"/>
          </w:tcPr>
          <w:p w:rsidR="007A77F9" w:rsidRPr="007A77F9" w:rsidRDefault="007A77F9" w:rsidP="007A77F9">
            <w:pPr>
              <w:rPr>
                <w:lang w:val="fr-CA"/>
              </w:rPr>
            </w:pPr>
            <w:r w:rsidRPr="007A77F9">
              <w:rPr>
                <w:lang w:val="fr-CA"/>
              </w:rPr>
              <w:t>Association des avocats et avocates de la défense</w:t>
            </w:r>
          </w:p>
        </w:tc>
        <w:tc>
          <w:tcPr>
            <w:tcW w:w="1170" w:type="dxa"/>
          </w:tcPr>
          <w:p w:rsidR="007A77F9" w:rsidRPr="007A77F9" w:rsidRDefault="007A77F9" w:rsidP="007A77F9">
            <w:pPr>
              <w:rPr>
                <w:lang w:val="fr-CA"/>
              </w:rPr>
            </w:pPr>
          </w:p>
        </w:tc>
        <w:tc>
          <w:tcPr>
            <w:tcW w:w="4327" w:type="dxa"/>
          </w:tcPr>
          <w:p w:rsidR="007A77F9" w:rsidRPr="007A77F9" w:rsidRDefault="007A77F9" w:rsidP="007A77F9">
            <w:pPr>
              <w:rPr>
                <w:lang w:val="fr-CA"/>
              </w:rPr>
            </w:pPr>
          </w:p>
        </w:tc>
      </w:tr>
      <w:tr w:rsidR="007A77F9" w:rsidRPr="007C5A5B" w:rsidTr="00FB7665">
        <w:tc>
          <w:tcPr>
            <w:tcW w:w="1368" w:type="dxa"/>
          </w:tcPr>
          <w:p w:rsidR="007A77F9" w:rsidRPr="007A77F9" w:rsidRDefault="007A77F9" w:rsidP="007A77F9">
            <w:pPr>
              <w:rPr>
                <w:lang w:val="fr-CA"/>
              </w:rPr>
            </w:pPr>
          </w:p>
        </w:tc>
        <w:tc>
          <w:tcPr>
            <w:tcW w:w="2970" w:type="dxa"/>
          </w:tcPr>
          <w:p w:rsidR="007A77F9" w:rsidRPr="007A77F9" w:rsidRDefault="007A77F9" w:rsidP="007A77F9">
            <w:pPr>
              <w:rPr>
                <w:lang w:val="fr-CA"/>
              </w:rPr>
            </w:pPr>
          </w:p>
        </w:tc>
        <w:tc>
          <w:tcPr>
            <w:tcW w:w="1170" w:type="dxa"/>
          </w:tcPr>
          <w:p w:rsidR="007A77F9" w:rsidRPr="007A77F9" w:rsidRDefault="007A77F9" w:rsidP="007A77F9">
            <w:pPr>
              <w:rPr>
                <w:lang w:val="fr-CA"/>
              </w:rPr>
            </w:pPr>
          </w:p>
        </w:tc>
        <w:tc>
          <w:tcPr>
            <w:tcW w:w="4327" w:type="dxa"/>
          </w:tcPr>
          <w:p w:rsidR="007A77F9" w:rsidRPr="007A77F9" w:rsidRDefault="007A77F9" w:rsidP="007A77F9">
            <w:pPr>
              <w:rPr>
                <w:lang w:val="fr-CA"/>
              </w:rPr>
            </w:pPr>
          </w:p>
        </w:tc>
      </w:tr>
      <w:tr w:rsidR="007A77F9" w:rsidRPr="007A77F9" w:rsidTr="00FB7665">
        <w:tc>
          <w:tcPr>
            <w:tcW w:w="1368" w:type="dxa"/>
          </w:tcPr>
          <w:p w:rsidR="007A77F9" w:rsidRPr="007A77F9" w:rsidRDefault="007A77F9" w:rsidP="007A77F9">
            <w:r w:rsidRPr="007A77F9">
              <w:t>IN / DANS :</w:t>
            </w:r>
          </w:p>
        </w:tc>
        <w:tc>
          <w:tcPr>
            <w:tcW w:w="2970" w:type="dxa"/>
          </w:tcPr>
          <w:p w:rsidR="007A77F9" w:rsidRPr="007A77F9" w:rsidRDefault="007A77F9" w:rsidP="007A77F9">
            <w:pPr>
              <w:rPr>
                <w:lang w:val="fr-CA"/>
              </w:rPr>
            </w:pPr>
            <w:r w:rsidRPr="007A77F9">
              <w:rPr>
                <w:lang w:val="fr-CA"/>
              </w:rPr>
              <w:t>R.L.</w:t>
            </w:r>
          </w:p>
          <w:p w:rsidR="007A77F9" w:rsidRPr="007A77F9" w:rsidRDefault="007A77F9" w:rsidP="007A77F9">
            <w:pPr>
              <w:rPr>
                <w:lang w:val="fr-CA"/>
              </w:rPr>
            </w:pPr>
          </w:p>
          <w:p w:rsidR="007A77F9" w:rsidRPr="007A77F9" w:rsidRDefault="007A77F9" w:rsidP="007A77F9">
            <w:pPr>
              <w:rPr>
                <w:lang w:val="fr-CA"/>
              </w:rPr>
            </w:pPr>
            <w:r w:rsidRPr="007A77F9">
              <w:rPr>
                <w:lang w:val="fr-CA"/>
              </w:rPr>
              <w:tab/>
              <w:t>c. (34871)</w:t>
            </w:r>
          </w:p>
          <w:p w:rsidR="007A77F9" w:rsidRPr="007A77F9" w:rsidRDefault="007A77F9" w:rsidP="007A77F9">
            <w:pPr>
              <w:rPr>
                <w:lang w:val="fr-CA"/>
              </w:rPr>
            </w:pPr>
          </w:p>
          <w:p w:rsidR="007A77F9" w:rsidRPr="007A77F9" w:rsidRDefault="007A77F9" w:rsidP="007A77F9">
            <w:r w:rsidRPr="007A77F9">
              <w:rPr>
                <w:lang w:val="fr-CA"/>
              </w:rPr>
              <w:t xml:space="preserve">Sa Majesté la Reine (Crim.) </w:t>
            </w:r>
            <w:r w:rsidRPr="007A77F9">
              <w:t>(Qc)</w:t>
            </w:r>
          </w:p>
        </w:tc>
        <w:tc>
          <w:tcPr>
            <w:tcW w:w="1170" w:type="dxa"/>
          </w:tcPr>
          <w:p w:rsidR="007A77F9" w:rsidRPr="007A77F9" w:rsidRDefault="007A77F9" w:rsidP="007A77F9"/>
        </w:tc>
        <w:tc>
          <w:tcPr>
            <w:tcW w:w="4327" w:type="dxa"/>
          </w:tcPr>
          <w:p w:rsidR="007A77F9" w:rsidRPr="007A77F9" w:rsidRDefault="007A77F9" w:rsidP="007A77F9"/>
        </w:tc>
      </w:tr>
    </w:tbl>
    <w:p w:rsidR="007A77F9" w:rsidRPr="007A77F9" w:rsidRDefault="007A77F9" w:rsidP="007A77F9">
      <w:pPr>
        <w:tabs>
          <w:tab w:val="left" w:pos="-1440"/>
          <w:tab w:val="left" w:pos="-720"/>
        </w:tabs>
        <w:jc w:val="both"/>
        <w:rPr>
          <w:rFonts w:eastAsia="Times New Roman" w:cs="Times New Roman"/>
          <w:sz w:val="20"/>
          <w:szCs w:val="20"/>
          <w:lang w:eastAsia="en-CA"/>
        </w:rPr>
      </w:pPr>
    </w:p>
    <w:p w:rsidR="007A77F9" w:rsidRPr="007A77F9" w:rsidRDefault="007A77F9" w:rsidP="007A77F9">
      <w:pPr>
        <w:tabs>
          <w:tab w:val="left" w:pos="-1440"/>
          <w:tab w:val="left" w:pos="-720"/>
        </w:tabs>
        <w:jc w:val="both"/>
        <w:rPr>
          <w:rFonts w:eastAsia="Times New Roman" w:cs="Times New Roman"/>
          <w:sz w:val="20"/>
          <w:szCs w:val="20"/>
          <w:lang w:val="fr-CA" w:eastAsia="en-CA"/>
        </w:rPr>
      </w:pPr>
      <w:r w:rsidRPr="007A77F9">
        <w:rPr>
          <w:rFonts w:eastAsia="Times New Roman" w:cs="Times New Roman"/>
          <w:b/>
          <w:sz w:val="20"/>
          <w:szCs w:val="20"/>
          <w:lang w:val="fr-CA" w:eastAsia="en-CA"/>
        </w:rPr>
        <w:t>DISMISSED / REJETÉE</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spacing w:line="233" w:lineRule="auto"/>
        <w:jc w:val="both"/>
        <w:rPr>
          <w:rFonts w:eastAsia="Times New Roman" w:cs="Times New Roman"/>
          <w:sz w:val="20"/>
          <w:szCs w:val="20"/>
          <w:lang w:val="fr-CA" w:eastAsia="en-CA"/>
        </w:rPr>
      </w:pPr>
      <w:r w:rsidRPr="007A77F9">
        <w:rPr>
          <w:rFonts w:eastAsia="Times New Roman" w:cs="Times New Roman"/>
          <w:b/>
          <w:sz w:val="20"/>
          <w:szCs w:val="20"/>
          <w:lang w:val="fr-CA" w:eastAsia="en-CA"/>
        </w:rPr>
        <w:t>À LA SUITE DE LA DEMANDE</w:t>
      </w:r>
      <w:r w:rsidRPr="007A77F9">
        <w:rPr>
          <w:rFonts w:eastAsia="Times New Roman" w:cs="Times New Roman"/>
          <w:sz w:val="20"/>
          <w:szCs w:val="20"/>
          <w:lang w:val="fr-CA" w:eastAsia="en-CA"/>
        </w:rPr>
        <w:t xml:space="preserve"> présentée par l’Association des avocats et avocates de la défense en prorogation du délai de présentation d’une demande d’autorisation d’intervenir et en vue d’intervenir dans l’appel; </w:t>
      </w:r>
    </w:p>
    <w:p w:rsidR="007A77F9" w:rsidRPr="007A77F9" w:rsidRDefault="007A77F9" w:rsidP="007A77F9">
      <w:pPr>
        <w:spacing w:line="233" w:lineRule="auto"/>
        <w:jc w:val="both"/>
        <w:rPr>
          <w:rFonts w:eastAsia="Times New Roman" w:cs="Times New Roman"/>
          <w:b/>
          <w:sz w:val="20"/>
          <w:szCs w:val="20"/>
          <w:lang w:val="fr-CA" w:eastAsia="en-CA"/>
        </w:rPr>
      </w:pPr>
    </w:p>
    <w:p w:rsidR="007A77F9" w:rsidRPr="007A77F9" w:rsidRDefault="007A77F9" w:rsidP="007A77F9">
      <w:pPr>
        <w:spacing w:line="233" w:lineRule="auto"/>
        <w:jc w:val="both"/>
        <w:rPr>
          <w:rFonts w:eastAsia="Times New Roman" w:cs="Times New Roman"/>
          <w:sz w:val="20"/>
          <w:szCs w:val="20"/>
          <w:lang w:val="fr-CA" w:eastAsia="en-CA"/>
        </w:rPr>
      </w:pPr>
      <w:r w:rsidRPr="007A77F9">
        <w:rPr>
          <w:rFonts w:eastAsia="Times New Roman" w:cs="Times New Roman"/>
          <w:b/>
          <w:sz w:val="20"/>
          <w:szCs w:val="20"/>
          <w:lang w:val="fr-CA" w:eastAsia="en-CA"/>
        </w:rPr>
        <w:t>ET APRÈS EXAMEN</w:t>
      </w:r>
      <w:r w:rsidRPr="007A77F9">
        <w:rPr>
          <w:rFonts w:eastAsia="Times New Roman" w:cs="Times New Roman"/>
          <w:sz w:val="20"/>
          <w:szCs w:val="20"/>
          <w:lang w:val="fr-CA" w:eastAsia="en-CA"/>
        </w:rPr>
        <w:t xml:space="preserve"> des documents déposés;</w:t>
      </w:r>
    </w:p>
    <w:p w:rsidR="007A77F9" w:rsidRPr="007A77F9" w:rsidRDefault="007A77F9" w:rsidP="007A77F9">
      <w:pPr>
        <w:spacing w:line="233" w:lineRule="auto"/>
        <w:jc w:val="both"/>
        <w:rPr>
          <w:rFonts w:eastAsia="Times New Roman" w:cs="Times New Roman"/>
          <w:b/>
          <w:sz w:val="20"/>
          <w:szCs w:val="20"/>
          <w:lang w:val="fr-CA" w:eastAsia="en-CA"/>
        </w:rPr>
      </w:pPr>
    </w:p>
    <w:p w:rsidR="007A77F9" w:rsidRPr="007A77F9" w:rsidRDefault="007A77F9" w:rsidP="007A77F9">
      <w:pPr>
        <w:spacing w:line="233" w:lineRule="auto"/>
        <w:jc w:val="both"/>
        <w:rPr>
          <w:rFonts w:eastAsia="Times New Roman" w:cs="Times New Roman"/>
          <w:sz w:val="20"/>
          <w:szCs w:val="20"/>
          <w:lang w:val="fr-CA" w:eastAsia="en-CA"/>
        </w:rPr>
      </w:pPr>
      <w:r w:rsidRPr="007A77F9">
        <w:rPr>
          <w:rFonts w:eastAsia="Times New Roman" w:cs="Times New Roman"/>
          <w:b/>
          <w:sz w:val="20"/>
          <w:szCs w:val="20"/>
          <w:lang w:val="fr-CA" w:eastAsia="en-CA"/>
        </w:rPr>
        <w:t>IL EST PAR LA PRÉSENTE ORDONNÉ CE QUI SUIT</w:t>
      </w:r>
      <w:r w:rsidRPr="007A77F9">
        <w:rPr>
          <w:rFonts w:eastAsia="Times New Roman" w:cs="Times New Roman"/>
          <w:sz w:val="20"/>
          <w:szCs w:val="20"/>
          <w:lang w:val="fr-CA" w:eastAsia="en-CA"/>
        </w:rPr>
        <w:t xml:space="preserve"> :</w:t>
      </w:r>
    </w:p>
    <w:p w:rsidR="007A77F9" w:rsidRPr="007A77F9" w:rsidRDefault="007A77F9" w:rsidP="007A77F9">
      <w:pPr>
        <w:spacing w:line="233" w:lineRule="auto"/>
        <w:jc w:val="both"/>
        <w:rPr>
          <w:rFonts w:eastAsia="Times New Roman" w:cs="Times New Roman"/>
          <w:sz w:val="20"/>
          <w:szCs w:val="20"/>
          <w:lang w:val="fr-CA" w:eastAsia="en-CA"/>
        </w:rPr>
      </w:pPr>
    </w:p>
    <w:p w:rsidR="007A77F9" w:rsidRPr="007A77F9" w:rsidRDefault="007A77F9" w:rsidP="007A77F9">
      <w:pPr>
        <w:spacing w:line="233" w:lineRule="auto"/>
        <w:jc w:val="both"/>
        <w:rPr>
          <w:rFonts w:eastAsia="Times New Roman" w:cs="Times New Roman"/>
          <w:sz w:val="20"/>
          <w:szCs w:val="20"/>
          <w:lang w:val="fr-CA" w:eastAsia="en-CA"/>
        </w:rPr>
      </w:pPr>
      <w:r w:rsidRPr="007A77F9">
        <w:rPr>
          <w:rFonts w:eastAsia="Times New Roman" w:cs="Times New Roman"/>
          <w:sz w:val="20"/>
          <w:szCs w:val="20"/>
          <w:lang w:val="fr-CA" w:eastAsia="en-CA"/>
        </w:rPr>
        <w:t>La requête présentée par l’Association des avocats et avocates de la défense en prorogation du délai de présentation d’une demande d’autorisation d’intervenir est rejetée.</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spacing w:line="233" w:lineRule="auto"/>
        <w:jc w:val="both"/>
        <w:rPr>
          <w:rFonts w:eastAsia="Times New Roman" w:cs="Times New Roman"/>
          <w:sz w:val="20"/>
          <w:szCs w:val="20"/>
          <w:lang w:eastAsia="en-CA"/>
        </w:rPr>
      </w:pPr>
      <w:r w:rsidRPr="007A77F9">
        <w:rPr>
          <w:rFonts w:eastAsia="Times New Roman" w:cs="Times New Roman"/>
          <w:b/>
          <w:sz w:val="20"/>
          <w:szCs w:val="20"/>
          <w:lang w:eastAsia="en-CA"/>
        </w:rPr>
        <w:t xml:space="preserve">UPON APPLICATION </w:t>
      </w:r>
      <w:r w:rsidRPr="007A77F9">
        <w:rPr>
          <w:rFonts w:eastAsia="Times New Roman" w:cs="Times New Roman"/>
          <w:sz w:val="20"/>
          <w:szCs w:val="20"/>
          <w:lang w:eastAsia="en-CA"/>
        </w:rPr>
        <w:t xml:space="preserve">by the Association des avocats </w:t>
      </w:r>
      <w:proofErr w:type="gramStart"/>
      <w:r w:rsidRPr="007A77F9">
        <w:rPr>
          <w:rFonts w:eastAsia="Times New Roman" w:cs="Times New Roman"/>
          <w:sz w:val="20"/>
          <w:szCs w:val="20"/>
          <w:lang w:eastAsia="en-CA"/>
        </w:rPr>
        <w:t>et</w:t>
      </w:r>
      <w:proofErr w:type="gramEnd"/>
      <w:r w:rsidRPr="007A77F9">
        <w:rPr>
          <w:rFonts w:eastAsia="Times New Roman" w:cs="Times New Roman"/>
          <w:sz w:val="20"/>
          <w:szCs w:val="20"/>
          <w:lang w:eastAsia="en-CA"/>
        </w:rPr>
        <w:t xml:space="preserve"> avocates de la défense for an extension of time to apply for leave to intervene and for leave to intervene in the above appeal; </w:t>
      </w:r>
    </w:p>
    <w:p w:rsidR="007A77F9" w:rsidRPr="007A77F9" w:rsidRDefault="007A77F9" w:rsidP="007A77F9">
      <w:pPr>
        <w:spacing w:line="233" w:lineRule="auto"/>
        <w:jc w:val="both"/>
        <w:rPr>
          <w:rFonts w:eastAsia="Times New Roman" w:cs="Times New Roman"/>
          <w:b/>
          <w:sz w:val="20"/>
          <w:szCs w:val="20"/>
          <w:lang w:eastAsia="en-CA"/>
        </w:rPr>
      </w:pPr>
    </w:p>
    <w:p w:rsidR="007A77F9" w:rsidRPr="007A77F9" w:rsidRDefault="007A77F9" w:rsidP="007A77F9">
      <w:pPr>
        <w:spacing w:line="233" w:lineRule="auto"/>
        <w:jc w:val="both"/>
        <w:rPr>
          <w:rFonts w:eastAsia="Times New Roman" w:cs="Times New Roman"/>
          <w:sz w:val="20"/>
          <w:szCs w:val="20"/>
          <w:lang w:eastAsia="en-CA"/>
        </w:rPr>
      </w:pPr>
      <w:r w:rsidRPr="007A77F9">
        <w:rPr>
          <w:rFonts w:eastAsia="Times New Roman" w:cs="Times New Roman"/>
          <w:b/>
          <w:sz w:val="20"/>
          <w:szCs w:val="20"/>
          <w:lang w:eastAsia="en-CA"/>
        </w:rPr>
        <w:t>AND THE MATERIAL FILED</w:t>
      </w:r>
      <w:r w:rsidRPr="007A77F9">
        <w:rPr>
          <w:rFonts w:eastAsia="Times New Roman" w:cs="Times New Roman"/>
          <w:sz w:val="20"/>
          <w:szCs w:val="20"/>
          <w:lang w:eastAsia="en-CA"/>
        </w:rPr>
        <w:t xml:space="preserve"> having been read;</w:t>
      </w:r>
    </w:p>
    <w:p w:rsidR="007A77F9" w:rsidRPr="007A77F9" w:rsidRDefault="007A77F9" w:rsidP="007A77F9">
      <w:pPr>
        <w:spacing w:line="233" w:lineRule="auto"/>
        <w:jc w:val="both"/>
        <w:rPr>
          <w:rFonts w:eastAsia="Times New Roman" w:cs="Times New Roman"/>
          <w:b/>
          <w:sz w:val="20"/>
          <w:szCs w:val="20"/>
          <w:lang w:eastAsia="en-CA"/>
        </w:rPr>
      </w:pPr>
    </w:p>
    <w:p w:rsidR="007A77F9" w:rsidRDefault="007A77F9" w:rsidP="007A77F9">
      <w:pPr>
        <w:spacing w:line="233" w:lineRule="auto"/>
        <w:jc w:val="both"/>
        <w:rPr>
          <w:rFonts w:eastAsia="Times New Roman" w:cs="Times New Roman"/>
          <w:sz w:val="20"/>
          <w:szCs w:val="20"/>
          <w:lang w:eastAsia="en-CA"/>
        </w:rPr>
      </w:pPr>
      <w:r w:rsidRPr="007A77F9">
        <w:rPr>
          <w:rFonts w:eastAsia="Times New Roman" w:cs="Times New Roman"/>
          <w:b/>
          <w:sz w:val="20"/>
          <w:szCs w:val="20"/>
          <w:lang w:eastAsia="en-CA"/>
        </w:rPr>
        <w:t>IT IS HEREBY ORDERED THAT</w:t>
      </w:r>
      <w:r w:rsidRPr="007A77F9">
        <w:rPr>
          <w:rFonts w:eastAsia="Times New Roman" w:cs="Times New Roman"/>
          <w:sz w:val="20"/>
          <w:szCs w:val="20"/>
          <w:lang w:eastAsia="en-CA"/>
        </w:rPr>
        <w:t>:</w:t>
      </w:r>
    </w:p>
    <w:p w:rsidR="001555EA" w:rsidRPr="007A77F9" w:rsidRDefault="001555EA" w:rsidP="007A77F9">
      <w:pPr>
        <w:spacing w:line="233" w:lineRule="auto"/>
        <w:jc w:val="both"/>
        <w:rPr>
          <w:rFonts w:eastAsia="Times New Roman" w:cs="Times New Roman"/>
          <w:sz w:val="20"/>
          <w:szCs w:val="20"/>
          <w:lang w:eastAsia="en-CA"/>
        </w:rPr>
      </w:pPr>
    </w:p>
    <w:p w:rsidR="007A77F9" w:rsidRPr="007A77F9" w:rsidRDefault="007A77F9" w:rsidP="007A77F9">
      <w:pPr>
        <w:spacing w:line="233" w:lineRule="auto"/>
        <w:jc w:val="both"/>
        <w:rPr>
          <w:rFonts w:eastAsia="Times New Roman" w:cs="Times New Roman"/>
          <w:sz w:val="20"/>
          <w:szCs w:val="20"/>
          <w:lang w:eastAsia="en-CA"/>
        </w:rPr>
      </w:pPr>
      <w:r w:rsidRPr="007A77F9">
        <w:rPr>
          <w:rFonts w:eastAsia="Times New Roman" w:cs="Times New Roman"/>
          <w:sz w:val="20"/>
          <w:szCs w:val="20"/>
          <w:lang w:eastAsia="en-CA"/>
        </w:rPr>
        <w:t xml:space="preserve">The motion for an extension of time to apply for leave to intervene of the Association des avocats </w:t>
      </w:r>
      <w:proofErr w:type="gramStart"/>
      <w:r w:rsidRPr="007A77F9">
        <w:rPr>
          <w:rFonts w:eastAsia="Times New Roman" w:cs="Times New Roman"/>
          <w:sz w:val="20"/>
          <w:szCs w:val="20"/>
          <w:lang w:eastAsia="en-CA"/>
        </w:rPr>
        <w:t>et</w:t>
      </w:r>
      <w:proofErr w:type="gramEnd"/>
      <w:r w:rsidRPr="007A77F9">
        <w:rPr>
          <w:rFonts w:eastAsia="Times New Roman" w:cs="Times New Roman"/>
          <w:sz w:val="20"/>
          <w:szCs w:val="20"/>
          <w:lang w:eastAsia="en-CA"/>
        </w:rPr>
        <w:t xml:space="preserve"> avocates de la défense is dismissed.</w:t>
      </w:r>
    </w:p>
    <w:p w:rsidR="007A77F9" w:rsidRPr="007A77F9" w:rsidRDefault="007A77F9" w:rsidP="007A77F9">
      <w:pPr>
        <w:tabs>
          <w:tab w:val="left" w:pos="-1440"/>
          <w:tab w:val="left" w:pos="-720"/>
        </w:tabs>
        <w:jc w:val="both"/>
        <w:rPr>
          <w:rFonts w:eastAsia="Times New Roman" w:cs="Times New Roman"/>
          <w:sz w:val="20"/>
          <w:szCs w:val="20"/>
          <w:lang w:eastAsia="en-CA"/>
        </w:rPr>
      </w:pPr>
    </w:p>
    <w:p w:rsidR="007A77F9" w:rsidRPr="007A77F9" w:rsidRDefault="005F2BA7" w:rsidP="007A77F9">
      <w:pPr>
        <w:tabs>
          <w:tab w:val="left" w:pos="-1440"/>
          <w:tab w:val="left" w:pos="-720"/>
        </w:tabs>
        <w:jc w:val="both"/>
        <w:rPr>
          <w:rFonts w:eastAsia="Times New Roman" w:cs="Times New Roman"/>
          <w:sz w:val="20"/>
          <w:szCs w:val="20"/>
          <w:lang w:val="fr-CA" w:eastAsia="en-CA"/>
        </w:rPr>
      </w:pPr>
      <w:r w:rsidRPr="005F2BA7">
        <w:rPr>
          <w:rFonts w:eastAsia="Times New Roman" w:cs="Times New Roman"/>
          <w:sz w:val="20"/>
          <w:szCs w:val="20"/>
          <w:lang w:val="fr-CA" w:eastAsia="en-CA"/>
        </w:rPr>
        <w:pict>
          <v:rect id="_x0000_i1134" style="width:2in;height:1pt" o:hrpct="0" o:hralign="center" o:hrstd="t" o:hrnoshade="t" o:hr="t" fillcolor="black [3213]" stroked="f"/>
        </w:pict>
      </w:r>
    </w:p>
    <w:p w:rsidR="007A77F9" w:rsidRPr="007A77F9" w:rsidRDefault="007A77F9" w:rsidP="007A77F9">
      <w:pPr>
        <w:tabs>
          <w:tab w:val="left" w:pos="-1440"/>
          <w:tab w:val="left" w:pos="-720"/>
        </w:tabs>
        <w:jc w:val="both"/>
        <w:rPr>
          <w:rFonts w:eastAsia="Times New Roman" w:cs="Times New Roman"/>
          <w:sz w:val="20"/>
          <w:szCs w:val="20"/>
          <w:lang w:eastAsia="en-CA"/>
        </w:rPr>
      </w:pPr>
    </w:p>
    <w:p w:rsidR="007A77F9" w:rsidRPr="007A77F9" w:rsidRDefault="007A77F9" w:rsidP="007A77F9">
      <w:pPr>
        <w:tabs>
          <w:tab w:val="left" w:pos="-1440"/>
          <w:tab w:val="left" w:pos="-720"/>
        </w:tabs>
        <w:jc w:val="both"/>
        <w:rPr>
          <w:rFonts w:eastAsia="Times New Roman" w:cs="Times New Roman"/>
          <w:sz w:val="20"/>
          <w:szCs w:val="20"/>
          <w:lang w:val="fr-CA" w:eastAsia="en-CA"/>
        </w:rPr>
      </w:pPr>
      <w:r w:rsidRPr="007A77F9">
        <w:rPr>
          <w:rFonts w:eastAsia="Times New Roman" w:cs="Times New Roman"/>
          <w:sz w:val="20"/>
          <w:szCs w:val="20"/>
          <w:lang w:val="fr-CA" w:eastAsia="en-CA"/>
        </w:rPr>
        <w:t>15.08.2013</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jc w:val="both"/>
        <w:rPr>
          <w:rFonts w:eastAsia="Times New Roman" w:cs="Times New Roman"/>
          <w:sz w:val="20"/>
          <w:szCs w:val="20"/>
          <w:lang w:val="fr-CA" w:eastAsia="en-CA"/>
        </w:rPr>
      </w:pPr>
      <w:r w:rsidRPr="007A77F9">
        <w:rPr>
          <w:rFonts w:eastAsia="Times New Roman" w:cs="Times New Roman"/>
          <w:sz w:val="20"/>
          <w:szCs w:val="20"/>
          <w:lang w:val="fr-CA" w:eastAsia="en-CA"/>
        </w:rPr>
        <w:t>Before / Devant :   THE DEPUTY REGISTRAR / LA REGISTRAIRE ADJOINTE</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A77F9" w:rsidRPr="00B86261" w:rsidTr="00FB7665">
        <w:tc>
          <w:tcPr>
            <w:tcW w:w="4338" w:type="dxa"/>
          </w:tcPr>
          <w:p w:rsidR="007A77F9" w:rsidRPr="007A77F9" w:rsidRDefault="007A77F9" w:rsidP="007A77F9">
            <w:pPr>
              <w:tabs>
                <w:tab w:val="left" w:pos="-1440"/>
                <w:tab w:val="left" w:pos="-720"/>
              </w:tabs>
              <w:jc w:val="both"/>
              <w:rPr>
                <w:b/>
              </w:rPr>
            </w:pPr>
            <w:r w:rsidRPr="007A77F9">
              <w:rPr>
                <w:b/>
                <w:bCs/>
                <w:color w:val="000000"/>
                <w:lang w:val="en-GB"/>
              </w:rPr>
              <w:t>Motion to extend time to serve and file the factum and the book of authorities of the respondent, Attorney General of Canada, to October 4, 2013</w:t>
            </w:r>
            <w:r w:rsidR="005F2BA7" w:rsidRPr="007A77F9">
              <w:rPr>
                <w:szCs w:val="24"/>
                <w:lang w:val="en-US"/>
              </w:rPr>
              <w:fldChar w:fldCharType="begin"/>
            </w:r>
            <w:r w:rsidRPr="007A77F9">
              <w:rPr>
                <w:szCs w:val="24"/>
                <w:lang w:val="en-US"/>
              </w:rPr>
              <w:instrText xml:space="preserve"> SEQ CHAPTER \h \r 1</w:instrText>
            </w:r>
            <w:r w:rsidR="005F2BA7" w:rsidRPr="007A77F9">
              <w:rPr>
                <w:szCs w:val="24"/>
                <w:lang w:val="en-US"/>
              </w:rPr>
              <w:fldChar w:fldCharType="end"/>
            </w:r>
            <w:r w:rsidR="005F2BA7" w:rsidRPr="007A77F9">
              <w:rPr>
                <w:szCs w:val="24"/>
                <w:lang w:val="en-US"/>
              </w:rPr>
              <w:fldChar w:fldCharType="begin"/>
            </w:r>
            <w:r w:rsidRPr="007A77F9">
              <w:rPr>
                <w:szCs w:val="24"/>
                <w:lang w:val="en-US"/>
              </w:rPr>
              <w:instrText xml:space="preserve"> SEQ CHAPTER \h \r 1</w:instrText>
            </w:r>
            <w:r w:rsidR="005F2BA7" w:rsidRPr="007A77F9">
              <w:rPr>
                <w:szCs w:val="24"/>
                <w:lang w:val="en-US"/>
              </w:rPr>
              <w:fldChar w:fldCharType="end"/>
            </w:r>
          </w:p>
        </w:tc>
        <w:tc>
          <w:tcPr>
            <w:tcW w:w="1170" w:type="dxa"/>
          </w:tcPr>
          <w:p w:rsidR="007A77F9" w:rsidRPr="007A77F9" w:rsidRDefault="007A77F9" w:rsidP="007A77F9">
            <w:pPr>
              <w:tabs>
                <w:tab w:val="left" w:pos="-1440"/>
                <w:tab w:val="left" w:pos="-720"/>
              </w:tabs>
              <w:jc w:val="both"/>
            </w:pPr>
          </w:p>
          <w:p w:rsidR="007A77F9" w:rsidRPr="007A77F9" w:rsidRDefault="007A77F9" w:rsidP="007A77F9">
            <w:pPr>
              <w:tabs>
                <w:tab w:val="left" w:pos="-1440"/>
                <w:tab w:val="left" w:pos="-720"/>
              </w:tabs>
              <w:jc w:val="both"/>
            </w:pPr>
          </w:p>
          <w:p w:rsidR="007A77F9" w:rsidRPr="007A77F9" w:rsidRDefault="007A77F9" w:rsidP="007A77F9">
            <w:pPr>
              <w:tabs>
                <w:tab w:val="left" w:pos="-1440"/>
                <w:tab w:val="left" w:pos="-720"/>
              </w:tabs>
              <w:jc w:val="both"/>
            </w:pPr>
          </w:p>
          <w:p w:rsidR="007A77F9" w:rsidRPr="007A77F9" w:rsidRDefault="007A77F9" w:rsidP="007A77F9">
            <w:pPr>
              <w:tabs>
                <w:tab w:val="left" w:pos="-1440"/>
                <w:tab w:val="left" w:pos="-720"/>
              </w:tabs>
              <w:jc w:val="both"/>
            </w:pPr>
          </w:p>
          <w:p w:rsidR="007A77F9" w:rsidRPr="007A77F9" w:rsidRDefault="007A77F9" w:rsidP="007A77F9">
            <w:pPr>
              <w:tabs>
                <w:tab w:val="left" w:pos="-1440"/>
                <w:tab w:val="left" w:pos="-720"/>
              </w:tabs>
              <w:jc w:val="both"/>
            </w:pPr>
          </w:p>
        </w:tc>
        <w:tc>
          <w:tcPr>
            <w:tcW w:w="4327" w:type="dxa"/>
          </w:tcPr>
          <w:p w:rsidR="007A77F9" w:rsidRPr="007A77F9" w:rsidRDefault="007A77F9" w:rsidP="007A77F9">
            <w:pPr>
              <w:tabs>
                <w:tab w:val="left" w:pos="-1440"/>
                <w:tab w:val="left" w:pos="-720"/>
              </w:tabs>
              <w:jc w:val="both"/>
              <w:rPr>
                <w:lang w:val="fr-CA"/>
              </w:rPr>
            </w:pPr>
            <w:r w:rsidRPr="007A77F9">
              <w:rPr>
                <w:b/>
                <w:bCs/>
                <w:color w:val="000000"/>
                <w:lang w:val="fr-CA"/>
              </w:rPr>
              <w:t xml:space="preserve">Requête en prorogation du délai de signification et de dépôt </w:t>
            </w:r>
            <w:proofErr w:type="gramStart"/>
            <w:r w:rsidRPr="007A77F9">
              <w:rPr>
                <w:b/>
                <w:bCs/>
                <w:color w:val="000000"/>
                <w:lang w:val="fr-CA"/>
              </w:rPr>
              <w:t>des mémoire</w:t>
            </w:r>
            <w:proofErr w:type="gramEnd"/>
            <w:r w:rsidRPr="007A77F9">
              <w:rPr>
                <w:b/>
                <w:bCs/>
                <w:color w:val="000000"/>
                <w:lang w:val="fr-CA"/>
              </w:rPr>
              <w:t xml:space="preserve"> et recueil de sources de l’intimé, le procureur général du Canada jusqu'au 4 octobre 2013</w:t>
            </w:r>
            <w:r w:rsidR="005F2BA7" w:rsidRPr="007A77F9">
              <w:rPr>
                <w:szCs w:val="24"/>
                <w:lang w:val="en-US"/>
              </w:rPr>
              <w:fldChar w:fldCharType="begin"/>
            </w:r>
            <w:r w:rsidRPr="007A77F9">
              <w:rPr>
                <w:szCs w:val="24"/>
                <w:lang w:val="fr-CA"/>
              </w:rPr>
              <w:instrText xml:space="preserve"> SEQ CHAPTER \h \r 1</w:instrText>
            </w:r>
            <w:r w:rsidR="005F2BA7" w:rsidRPr="007A77F9">
              <w:rPr>
                <w:szCs w:val="24"/>
                <w:lang w:val="en-US"/>
              </w:rPr>
              <w:fldChar w:fldCharType="end"/>
            </w:r>
            <w:r w:rsidR="005F2BA7" w:rsidRPr="007A77F9">
              <w:rPr>
                <w:szCs w:val="24"/>
                <w:lang w:val="en-US"/>
              </w:rPr>
              <w:fldChar w:fldCharType="begin"/>
            </w:r>
            <w:r w:rsidRPr="007A77F9">
              <w:rPr>
                <w:szCs w:val="24"/>
                <w:lang w:val="fr-CA"/>
              </w:rPr>
              <w:instrText xml:space="preserve"> SEQ CHAPTER \h \r 1</w:instrText>
            </w:r>
            <w:r w:rsidR="005F2BA7" w:rsidRPr="007A77F9">
              <w:rPr>
                <w:szCs w:val="24"/>
                <w:lang w:val="en-US"/>
              </w:rPr>
              <w:fldChar w:fldCharType="end"/>
            </w:r>
            <w:r w:rsidRPr="007A77F9">
              <w:rPr>
                <w:szCs w:val="24"/>
                <w:lang w:val="fr-CA"/>
              </w:rPr>
              <w:t xml:space="preserve"> </w:t>
            </w:r>
            <w:r w:rsidR="005F2BA7" w:rsidRPr="007A77F9">
              <w:rPr>
                <w:szCs w:val="24"/>
                <w:lang w:val="en-US"/>
              </w:rPr>
              <w:fldChar w:fldCharType="begin"/>
            </w:r>
            <w:r w:rsidRPr="007A77F9">
              <w:rPr>
                <w:szCs w:val="24"/>
                <w:lang w:val="fr-CA"/>
              </w:rPr>
              <w:instrText xml:space="preserve"> SEQ CHAPTER \h \r 1</w:instrText>
            </w:r>
            <w:r w:rsidR="005F2BA7" w:rsidRPr="007A77F9">
              <w:rPr>
                <w:szCs w:val="24"/>
                <w:lang w:val="en-US"/>
              </w:rPr>
              <w:fldChar w:fldCharType="end"/>
            </w:r>
          </w:p>
        </w:tc>
      </w:tr>
      <w:tr w:rsidR="007A77F9" w:rsidRPr="007C5A5B" w:rsidTr="00FB7665">
        <w:tc>
          <w:tcPr>
            <w:tcW w:w="4338" w:type="dxa"/>
          </w:tcPr>
          <w:p w:rsidR="007A77F9" w:rsidRPr="007A77F9" w:rsidRDefault="007A77F9" w:rsidP="007A77F9">
            <w:pPr>
              <w:tabs>
                <w:tab w:val="left" w:pos="-1440"/>
                <w:tab w:val="left" w:pos="-720"/>
              </w:tabs>
              <w:jc w:val="both"/>
            </w:pPr>
            <w:r w:rsidRPr="007A77F9">
              <w:t>Estate of the Late Zahra (Ziba) Kazemi et al.</w:t>
            </w:r>
          </w:p>
          <w:p w:rsidR="007A77F9" w:rsidRPr="007A77F9" w:rsidRDefault="007A77F9" w:rsidP="007A77F9">
            <w:pPr>
              <w:tabs>
                <w:tab w:val="left" w:pos="-1440"/>
                <w:tab w:val="left" w:pos="-720"/>
              </w:tabs>
              <w:jc w:val="both"/>
            </w:pPr>
          </w:p>
          <w:p w:rsidR="007A77F9" w:rsidRPr="007A77F9" w:rsidRDefault="007A77F9" w:rsidP="007A77F9">
            <w:pPr>
              <w:tabs>
                <w:tab w:val="left" w:pos="-1440"/>
                <w:tab w:val="left" w:pos="-720"/>
              </w:tabs>
              <w:jc w:val="both"/>
              <w:rPr>
                <w:lang w:val="fr-CA"/>
              </w:rPr>
            </w:pPr>
            <w:r w:rsidRPr="007A77F9">
              <w:tab/>
            </w:r>
            <w:r w:rsidRPr="007A77F9">
              <w:rPr>
                <w:lang w:val="fr-CA"/>
              </w:rPr>
              <w:t>v. (35034)</w:t>
            </w:r>
          </w:p>
          <w:p w:rsidR="007A77F9" w:rsidRPr="007A77F9" w:rsidRDefault="007A77F9" w:rsidP="007A77F9">
            <w:pPr>
              <w:tabs>
                <w:tab w:val="left" w:pos="-1440"/>
                <w:tab w:val="left" w:pos="-720"/>
              </w:tabs>
              <w:jc w:val="both"/>
              <w:rPr>
                <w:lang w:val="fr-CA"/>
              </w:rPr>
            </w:pPr>
          </w:p>
          <w:p w:rsidR="007A77F9" w:rsidRPr="007A77F9" w:rsidRDefault="007A77F9" w:rsidP="007A77F9">
            <w:pPr>
              <w:tabs>
                <w:tab w:val="left" w:pos="-1440"/>
                <w:tab w:val="left" w:pos="-720"/>
              </w:tabs>
              <w:jc w:val="both"/>
              <w:rPr>
                <w:lang w:val="fr-CA"/>
              </w:rPr>
            </w:pPr>
            <w:r w:rsidRPr="007A77F9">
              <w:rPr>
                <w:lang w:val="fr-CA"/>
              </w:rPr>
              <w:t>Islamic Republic of Iran et al. (Que.)</w:t>
            </w:r>
          </w:p>
        </w:tc>
        <w:tc>
          <w:tcPr>
            <w:tcW w:w="1170" w:type="dxa"/>
          </w:tcPr>
          <w:p w:rsidR="007A77F9" w:rsidRPr="007A77F9" w:rsidRDefault="007A77F9" w:rsidP="007A77F9">
            <w:pPr>
              <w:tabs>
                <w:tab w:val="left" w:pos="-1440"/>
                <w:tab w:val="left" w:pos="-720"/>
              </w:tabs>
              <w:jc w:val="both"/>
              <w:rPr>
                <w:lang w:val="fr-CA"/>
              </w:rPr>
            </w:pPr>
          </w:p>
        </w:tc>
        <w:tc>
          <w:tcPr>
            <w:tcW w:w="4327" w:type="dxa"/>
          </w:tcPr>
          <w:p w:rsidR="007A77F9" w:rsidRPr="007A77F9" w:rsidRDefault="007A77F9" w:rsidP="007A77F9">
            <w:pPr>
              <w:tabs>
                <w:tab w:val="left" w:pos="-1440"/>
                <w:tab w:val="left" w:pos="-720"/>
              </w:tabs>
              <w:jc w:val="both"/>
              <w:rPr>
                <w:lang w:val="fr-CA"/>
              </w:rPr>
            </w:pPr>
          </w:p>
        </w:tc>
      </w:tr>
    </w:tbl>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tabs>
          <w:tab w:val="left" w:pos="-1440"/>
          <w:tab w:val="left" w:pos="-720"/>
        </w:tabs>
        <w:jc w:val="both"/>
        <w:rPr>
          <w:rFonts w:eastAsia="Times New Roman" w:cs="Times New Roman"/>
          <w:b/>
          <w:sz w:val="20"/>
          <w:szCs w:val="20"/>
          <w:lang w:eastAsia="en-CA"/>
        </w:rPr>
      </w:pPr>
      <w:r w:rsidRPr="007A77F9">
        <w:rPr>
          <w:rFonts w:eastAsia="Times New Roman" w:cs="Times New Roman"/>
          <w:b/>
          <w:sz w:val="20"/>
          <w:szCs w:val="20"/>
          <w:lang w:eastAsia="en-CA"/>
        </w:rPr>
        <w:t>GRANTED / ACCORDÉE</w:t>
      </w:r>
    </w:p>
    <w:p w:rsidR="007A77F9" w:rsidRPr="007A77F9" w:rsidRDefault="007A77F9" w:rsidP="007A77F9">
      <w:pPr>
        <w:tabs>
          <w:tab w:val="left" w:pos="-1440"/>
          <w:tab w:val="left" w:pos="-720"/>
        </w:tabs>
        <w:jc w:val="both"/>
        <w:rPr>
          <w:rFonts w:eastAsia="Times New Roman" w:cs="Times New Roman"/>
          <w:sz w:val="20"/>
          <w:szCs w:val="20"/>
          <w:lang w:eastAsia="en-CA"/>
        </w:rPr>
      </w:pPr>
    </w:p>
    <w:p w:rsidR="007A77F9" w:rsidRPr="007A77F9" w:rsidRDefault="005F2BA7" w:rsidP="007A77F9">
      <w:pPr>
        <w:tabs>
          <w:tab w:val="left" w:pos="-1440"/>
          <w:tab w:val="left" w:pos="-720"/>
        </w:tabs>
        <w:jc w:val="both"/>
        <w:rPr>
          <w:rFonts w:eastAsia="Times New Roman" w:cs="Times New Roman"/>
          <w:sz w:val="20"/>
          <w:szCs w:val="20"/>
          <w:lang w:eastAsia="en-CA"/>
        </w:rPr>
      </w:pPr>
      <w:r w:rsidRPr="005F2BA7">
        <w:rPr>
          <w:rFonts w:eastAsia="Times New Roman" w:cs="Times New Roman"/>
          <w:sz w:val="20"/>
          <w:szCs w:val="20"/>
          <w:lang w:val="fr-CA" w:eastAsia="en-CA"/>
        </w:rPr>
        <w:pict>
          <v:rect id="_x0000_i1135" style="width:2in;height:1pt" o:hrpct="0" o:hralign="center" o:hrstd="t" o:hrnoshade="t" o:hr="t" fillcolor="black [3213]" stroked="f"/>
        </w:pict>
      </w: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tabs>
          <w:tab w:val="left" w:pos="-1440"/>
          <w:tab w:val="left" w:pos="-720"/>
        </w:tabs>
        <w:jc w:val="both"/>
        <w:rPr>
          <w:rFonts w:eastAsia="Times New Roman" w:cs="Times New Roman"/>
          <w:sz w:val="20"/>
          <w:szCs w:val="20"/>
          <w:lang w:val="fr-CA" w:eastAsia="en-CA"/>
        </w:rPr>
      </w:pPr>
      <w:r w:rsidRPr="007A77F9">
        <w:rPr>
          <w:rFonts w:eastAsia="Times New Roman" w:cs="Times New Roman"/>
          <w:sz w:val="20"/>
          <w:szCs w:val="20"/>
          <w:lang w:val="fr-CA" w:eastAsia="en-CA"/>
        </w:rPr>
        <w:t>15.08.2013</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jc w:val="both"/>
        <w:rPr>
          <w:rFonts w:eastAsia="Times New Roman" w:cs="Times New Roman"/>
          <w:sz w:val="20"/>
          <w:szCs w:val="20"/>
          <w:lang w:val="fr-CA" w:eastAsia="en-CA"/>
        </w:rPr>
      </w:pPr>
      <w:r w:rsidRPr="007A77F9">
        <w:rPr>
          <w:rFonts w:eastAsia="Times New Roman" w:cs="Times New Roman"/>
          <w:sz w:val="20"/>
          <w:szCs w:val="20"/>
          <w:lang w:val="fr-CA" w:eastAsia="en-CA"/>
        </w:rPr>
        <w:t xml:space="preserve">Before / Devant :   </w:t>
      </w:r>
      <w:r w:rsidRPr="007A77F9">
        <w:rPr>
          <w:rFonts w:eastAsia="Times New Roman" w:cs="Times New Roman"/>
          <w:sz w:val="20"/>
          <w:szCs w:val="20"/>
          <w:lang w:eastAsia="en-CA"/>
        </w:rPr>
        <w:t>WAGNER J. / LE JUGE WAGNER</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A77F9" w:rsidRPr="007C5A5B" w:rsidTr="00FB7665">
        <w:tc>
          <w:tcPr>
            <w:tcW w:w="4338" w:type="dxa"/>
          </w:tcPr>
          <w:p w:rsidR="007A77F9" w:rsidRPr="007A77F9" w:rsidRDefault="007A77F9" w:rsidP="007A77F9">
            <w:pPr>
              <w:tabs>
                <w:tab w:val="left" w:pos="-1440"/>
                <w:tab w:val="left" w:pos="-720"/>
              </w:tabs>
              <w:jc w:val="both"/>
              <w:rPr>
                <w:b/>
              </w:rPr>
            </w:pPr>
            <w:r w:rsidRPr="007A77F9">
              <w:rPr>
                <w:b/>
                <w:bCs/>
              </w:rPr>
              <w:t>Motion for a stay of execution</w:t>
            </w:r>
            <w:r w:rsidRPr="007A77F9">
              <w:rPr>
                <w:szCs w:val="24"/>
                <w:lang w:val="en-US"/>
              </w:rPr>
              <w:t xml:space="preserve"> </w:t>
            </w:r>
            <w:r w:rsidR="005F2BA7" w:rsidRPr="007A77F9">
              <w:rPr>
                <w:szCs w:val="24"/>
                <w:lang w:val="en-US"/>
              </w:rPr>
              <w:fldChar w:fldCharType="begin"/>
            </w:r>
            <w:r w:rsidRPr="007A77F9">
              <w:rPr>
                <w:szCs w:val="24"/>
                <w:lang w:val="en-US"/>
              </w:rPr>
              <w:instrText xml:space="preserve"> SEQ CHAPTER \h \r 1</w:instrText>
            </w:r>
            <w:r w:rsidR="005F2BA7" w:rsidRPr="007A77F9">
              <w:rPr>
                <w:szCs w:val="24"/>
                <w:lang w:val="en-US"/>
              </w:rPr>
              <w:fldChar w:fldCharType="end"/>
            </w:r>
            <w:r w:rsidR="005F2BA7" w:rsidRPr="007A77F9">
              <w:rPr>
                <w:szCs w:val="24"/>
                <w:lang w:val="en-US"/>
              </w:rPr>
              <w:fldChar w:fldCharType="begin"/>
            </w:r>
            <w:r w:rsidRPr="007A77F9">
              <w:rPr>
                <w:szCs w:val="24"/>
                <w:lang w:val="en-US"/>
              </w:rPr>
              <w:instrText xml:space="preserve"> SEQ CHAPTER \h \r 1</w:instrText>
            </w:r>
            <w:r w:rsidR="005F2BA7" w:rsidRPr="007A77F9">
              <w:rPr>
                <w:szCs w:val="24"/>
                <w:lang w:val="en-US"/>
              </w:rPr>
              <w:fldChar w:fldCharType="end"/>
            </w:r>
          </w:p>
        </w:tc>
        <w:tc>
          <w:tcPr>
            <w:tcW w:w="1170" w:type="dxa"/>
          </w:tcPr>
          <w:p w:rsidR="007A77F9" w:rsidRPr="007A77F9" w:rsidRDefault="007A77F9" w:rsidP="007A77F9">
            <w:pPr>
              <w:tabs>
                <w:tab w:val="left" w:pos="-1440"/>
                <w:tab w:val="left" w:pos="-720"/>
              </w:tabs>
              <w:jc w:val="both"/>
            </w:pPr>
          </w:p>
          <w:p w:rsidR="007A77F9" w:rsidRPr="007A77F9" w:rsidRDefault="007A77F9" w:rsidP="007A77F9">
            <w:pPr>
              <w:tabs>
                <w:tab w:val="left" w:pos="-1440"/>
                <w:tab w:val="left" w:pos="-720"/>
              </w:tabs>
              <w:jc w:val="both"/>
            </w:pPr>
          </w:p>
        </w:tc>
        <w:tc>
          <w:tcPr>
            <w:tcW w:w="4327" w:type="dxa"/>
          </w:tcPr>
          <w:p w:rsidR="007A77F9" w:rsidRPr="007A77F9" w:rsidRDefault="007A77F9" w:rsidP="007A77F9">
            <w:pPr>
              <w:tabs>
                <w:tab w:val="left" w:pos="-1440"/>
                <w:tab w:val="left" w:pos="-720"/>
              </w:tabs>
              <w:jc w:val="both"/>
              <w:rPr>
                <w:lang w:val="fr-CA"/>
              </w:rPr>
            </w:pPr>
            <w:r w:rsidRPr="007A77F9">
              <w:rPr>
                <w:b/>
                <w:bCs/>
                <w:lang w:val="fr-CA"/>
              </w:rPr>
              <w:t>Requête en sursis à l’exécution</w:t>
            </w:r>
            <w:r w:rsidRPr="007A77F9">
              <w:rPr>
                <w:szCs w:val="24"/>
                <w:lang w:val="fr-CA"/>
              </w:rPr>
              <w:t xml:space="preserve"> </w:t>
            </w:r>
            <w:r w:rsidR="005F2BA7" w:rsidRPr="007A77F9">
              <w:rPr>
                <w:szCs w:val="24"/>
                <w:lang w:val="en-US"/>
              </w:rPr>
              <w:fldChar w:fldCharType="begin"/>
            </w:r>
            <w:r w:rsidRPr="007A77F9">
              <w:rPr>
                <w:szCs w:val="24"/>
                <w:lang w:val="fr-CA"/>
              </w:rPr>
              <w:instrText xml:space="preserve"> SEQ CHAPTER \h \r 1</w:instrText>
            </w:r>
            <w:r w:rsidR="005F2BA7" w:rsidRPr="007A77F9">
              <w:rPr>
                <w:szCs w:val="24"/>
                <w:lang w:val="en-US"/>
              </w:rPr>
              <w:fldChar w:fldCharType="end"/>
            </w:r>
          </w:p>
        </w:tc>
      </w:tr>
      <w:tr w:rsidR="007A77F9" w:rsidRPr="007A77F9" w:rsidTr="00FB7665">
        <w:tc>
          <w:tcPr>
            <w:tcW w:w="4338" w:type="dxa"/>
          </w:tcPr>
          <w:p w:rsidR="007A77F9" w:rsidRPr="007A77F9" w:rsidRDefault="007A77F9" w:rsidP="007A77F9">
            <w:pPr>
              <w:tabs>
                <w:tab w:val="left" w:pos="-1440"/>
                <w:tab w:val="left" w:pos="-720"/>
              </w:tabs>
              <w:jc w:val="both"/>
            </w:pPr>
            <w:r w:rsidRPr="007A77F9">
              <w:t>Attorney General of Quebec</w:t>
            </w:r>
          </w:p>
          <w:p w:rsidR="007A77F9" w:rsidRPr="007A77F9" w:rsidRDefault="007A77F9" w:rsidP="007A77F9">
            <w:pPr>
              <w:tabs>
                <w:tab w:val="left" w:pos="-1440"/>
                <w:tab w:val="left" w:pos="-720"/>
              </w:tabs>
              <w:jc w:val="both"/>
            </w:pPr>
          </w:p>
          <w:p w:rsidR="007A77F9" w:rsidRPr="007A77F9" w:rsidRDefault="007A77F9" w:rsidP="007A77F9">
            <w:pPr>
              <w:tabs>
                <w:tab w:val="left" w:pos="-1440"/>
                <w:tab w:val="left" w:pos="-720"/>
              </w:tabs>
              <w:jc w:val="both"/>
            </w:pPr>
            <w:r w:rsidRPr="007A77F9">
              <w:tab/>
              <w:t>v. (35448)</w:t>
            </w:r>
          </w:p>
          <w:p w:rsidR="007A77F9" w:rsidRPr="007A77F9" w:rsidRDefault="007A77F9" w:rsidP="007A77F9">
            <w:pPr>
              <w:tabs>
                <w:tab w:val="left" w:pos="-1440"/>
                <w:tab w:val="left" w:pos="-720"/>
              </w:tabs>
              <w:jc w:val="both"/>
            </w:pPr>
          </w:p>
          <w:p w:rsidR="007A77F9" w:rsidRPr="007A77F9" w:rsidRDefault="007A77F9" w:rsidP="007A77F9">
            <w:pPr>
              <w:tabs>
                <w:tab w:val="left" w:pos="-1440"/>
                <w:tab w:val="left" w:pos="-720"/>
              </w:tabs>
              <w:jc w:val="both"/>
            </w:pPr>
            <w:r w:rsidRPr="007A77F9">
              <w:t>Attorney General of Canada (Que.)</w:t>
            </w:r>
          </w:p>
        </w:tc>
        <w:tc>
          <w:tcPr>
            <w:tcW w:w="1170" w:type="dxa"/>
          </w:tcPr>
          <w:p w:rsidR="007A77F9" w:rsidRPr="007A77F9" w:rsidRDefault="007A77F9" w:rsidP="007A77F9">
            <w:pPr>
              <w:tabs>
                <w:tab w:val="left" w:pos="-1440"/>
                <w:tab w:val="left" w:pos="-720"/>
              </w:tabs>
              <w:jc w:val="both"/>
            </w:pPr>
          </w:p>
        </w:tc>
        <w:tc>
          <w:tcPr>
            <w:tcW w:w="4327" w:type="dxa"/>
          </w:tcPr>
          <w:p w:rsidR="007A77F9" w:rsidRPr="007A77F9" w:rsidRDefault="007A77F9" w:rsidP="007A77F9">
            <w:pPr>
              <w:tabs>
                <w:tab w:val="left" w:pos="-1440"/>
                <w:tab w:val="left" w:pos="-720"/>
              </w:tabs>
              <w:jc w:val="both"/>
            </w:pPr>
          </w:p>
        </w:tc>
      </w:tr>
    </w:tbl>
    <w:p w:rsidR="007A77F9" w:rsidRPr="007A77F9" w:rsidRDefault="007A77F9" w:rsidP="007A77F9">
      <w:pPr>
        <w:tabs>
          <w:tab w:val="left" w:pos="-1440"/>
          <w:tab w:val="left" w:pos="-720"/>
        </w:tabs>
        <w:jc w:val="both"/>
        <w:rPr>
          <w:rFonts w:eastAsia="Times New Roman" w:cs="Times New Roman"/>
          <w:sz w:val="20"/>
          <w:szCs w:val="20"/>
          <w:lang w:eastAsia="en-CA"/>
        </w:rPr>
      </w:pPr>
    </w:p>
    <w:p w:rsidR="007A77F9" w:rsidRPr="007A77F9" w:rsidRDefault="007A77F9" w:rsidP="007A77F9">
      <w:pPr>
        <w:tabs>
          <w:tab w:val="left" w:pos="-1440"/>
          <w:tab w:val="left" w:pos="-720"/>
        </w:tabs>
        <w:jc w:val="both"/>
        <w:rPr>
          <w:rFonts w:eastAsia="Times New Roman" w:cs="Times New Roman"/>
          <w:b/>
          <w:sz w:val="20"/>
          <w:szCs w:val="20"/>
          <w:lang w:val="fr-CA" w:eastAsia="en-CA"/>
        </w:rPr>
      </w:pPr>
      <w:r w:rsidRPr="007A77F9">
        <w:rPr>
          <w:rFonts w:eastAsia="Times New Roman" w:cs="Times New Roman"/>
          <w:b/>
          <w:sz w:val="20"/>
          <w:szCs w:val="20"/>
          <w:lang w:val="fr-CA" w:eastAsia="en-CA"/>
        </w:rPr>
        <w:t>REFERRED / RENVOYÉE</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jc w:val="both"/>
        <w:rPr>
          <w:rFonts w:eastAsia="Times New Roman" w:cs="Times New Roman"/>
          <w:sz w:val="20"/>
          <w:szCs w:val="20"/>
          <w:lang w:val="fr-CA" w:eastAsia="en-CA"/>
        </w:rPr>
      </w:pPr>
      <w:r w:rsidRPr="007A77F9">
        <w:rPr>
          <w:rFonts w:eastAsia="Times New Roman" w:cs="Times New Roman"/>
          <w:b/>
          <w:bCs/>
          <w:sz w:val="20"/>
          <w:szCs w:val="20"/>
          <w:lang w:val="fr-CA" w:eastAsia="en-CA"/>
        </w:rPr>
        <w:t xml:space="preserve">À LA SUITE DE LA REQUÊTE </w:t>
      </w:r>
      <w:r w:rsidRPr="007A77F9">
        <w:rPr>
          <w:rFonts w:eastAsia="Times New Roman" w:cs="Times New Roman"/>
          <w:sz w:val="20"/>
          <w:szCs w:val="20"/>
          <w:lang w:val="fr-CA" w:eastAsia="en-CA"/>
        </w:rPr>
        <w:t>du demandeur en vue d’obtenir un sursis d’exécution du jugement rendu par la Cour d’appel du Québec dans le dossier 500-09-023030-125 prononcé le 27 juin 2013;</w:t>
      </w:r>
    </w:p>
    <w:p w:rsidR="007A77F9" w:rsidRPr="007A77F9" w:rsidRDefault="007A77F9" w:rsidP="007A77F9">
      <w:pPr>
        <w:jc w:val="both"/>
        <w:rPr>
          <w:rFonts w:eastAsia="Times New Roman" w:cs="Times New Roman"/>
          <w:sz w:val="20"/>
          <w:szCs w:val="20"/>
          <w:lang w:val="fr-CA" w:eastAsia="en-CA"/>
        </w:rPr>
      </w:pPr>
    </w:p>
    <w:p w:rsidR="007A77F9" w:rsidRPr="007A77F9" w:rsidRDefault="007A77F9" w:rsidP="007A77F9">
      <w:pPr>
        <w:jc w:val="both"/>
        <w:rPr>
          <w:rFonts w:eastAsia="Times New Roman" w:cs="Times New Roman"/>
          <w:sz w:val="20"/>
          <w:szCs w:val="20"/>
          <w:lang w:val="fr-CA" w:eastAsia="en-CA"/>
        </w:rPr>
      </w:pPr>
      <w:r w:rsidRPr="007A77F9">
        <w:rPr>
          <w:rFonts w:eastAsia="Times New Roman" w:cs="Times New Roman"/>
          <w:b/>
          <w:bCs/>
          <w:sz w:val="20"/>
          <w:szCs w:val="20"/>
          <w:lang w:val="fr-CA" w:eastAsia="en-CA"/>
        </w:rPr>
        <w:t xml:space="preserve">ET APRÈS EXAMEN </w:t>
      </w:r>
      <w:r w:rsidRPr="007A77F9">
        <w:rPr>
          <w:rFonts w:eastAsia="Times New Roman" w:cs="Times New Roman"/>
          <w:sz w:val="20"/>
          <w:szCs w:val="20"/>
          <w:lang w:val="fr-CA" w:eastAsia="en-CA"/>
        </w:rPr>
        <w:t>des documents déposés;</w:t>
      </w:r>
    </w:p>
    <w:p w:rsidR="007A77F9" w:rsidRPr="007A77F9" w:rsidRDefault="007A77F9" w:rsidP="007A77F9">
      <w:pPr>
        <w:jc w:val="both"/>
        <w:rPr>
          <w:rFonts w:eastAsia="Times New Roman" w:cs="Times New Roman"/>
          <w:sz w:val="20"/>
          <w:szCs w:val="20"/>
          <w:lang w:val="fr-CA" w:eastAsia="en-CA"/>
        </w:rPr>
      </w:pPr>
    </w:p>
    <w:p w:rsidR="007A77F9" w:rsidRPr="007A77F9" w:rsidRDefault="007A77F9" w:rsidP="007A77F9">
      <w:pPr>
        <w:jc w:val="both"/>
        <w:rPr>
          <w:rFonts w:eastAsia="Times New Roman" w:cs="Times New Roman"/>
          <w:b/>
          <w:bCs/>
          <w:sz w:val="20"/>
          <w:szCs w:val="20"/>
          <w:lang w:val="fr-CA" w:eastAsia="en-CA"/>
        </w:rPr>
      </w:pPr>
      <w:r w:rsidRPr="007A77F9">
        <w:rPr>
          <w:rFonts w:eastAsia="Times New Roman" w:cs="Times New Roman"/>
          <w:b/>
          <w:bCs/>
          <w:sz w:val="20"/>
          <w:szCs w:val="20"/>
          <w:lang w:val="fr-CA" w:eastAsia="en-CA"/>
        </w:rPr>
        <w:t>IL EST PAR LA PRÉSENTE ORDONNÉ CE QUI SUIT :</w:t>
      </w:r>
    </w:p>
    <w:p w:rsidR="007A77F9" w:rsidRPr="007A77F9" w:rsidRDefault="007A77F9" w:rsidP="007A77F9">
      <w:pPr>
        <w:jc w:val="both"/>
        <w:rPr>
          <w:rFonts w:eastAsia="Times New Roman" w:cs="Times New Roman"/>
          <w:b/>
          <w:bCs/>
          <w:sz w:val="20"/>
          <w:szCs w:val="20"/>
          <w:lang w:val="fr-CA" w:eastAsia="en-CA"/>
        </w:rPr>
      </w:pPr>
    </w:p>
    <w:p w:rsidR="007A77F9" w:rsidRPr="007A77F9" w:rsidRDefault="007A77F9" w:rsidP="007A77F9">
      <w:pPr>
        <w:jc w:val="both"/>
        <w:rPr>
          <w:rFonts w:eastAsia="Times New Roman" w:cs="Times New Roman"/>
          <w:sz w:val="20"/>
          <w:szCs w:val="20"/>
          <w:lang w:val="fr-CA" w:eastAsia="en-CA"/>
        </w:rPr>
      </w:pPr>
      <w:r w:rsidRPr="007A77F9">
        <w:rPr>
          <w:rFonts w:eastAsia="Times New Roman" w:cs="Times New Roman"/>
          <w:sz w:val="20"/>
          <w:szCs w:val="20"/>
          <w:lang w:val="fr-CA" w:eastAsia="en-CA"/>
        </w:rPr>
        <w:t>La requête est renvoyée aux juges qui examineront la demande d’autorisation d’appel.</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jc w:val="both"/>
        <w:rPr>
          <w:rFonts w:eastAsia="Times New Roman" w:cs="Times New Roman"/>
          <w:sz w:val="20"/>
          <w:szCs w:val="20"/>
          <w:lang w:val="en-US" w:eastAsia="en-CA"/>
        </w:rPr>
      </w:pPr>
      <w:r w:rsidRPr="007A77F9">
        <w:rPr>
          <w:rFonts w:eastAsia="Times New Roman" w:cs="Times New Roman"/>
          <w:b/>
          <w:bCs/>
          <w:sz w:val="20"/>
          <w:szCs w:val="20"/>
          <w:lang w:val="en-US" w:eastAsia="en-CA"/>
        </w:rPr>
        <w:t xml:space="preserve">UPON MOTION </w:t>
      </w:r>
      <w:r w:rsidRPr="007A77F9">
        <w:rPr>
          <w:rFonts w:eastAsia="Times New Roman" w:cs="Times New Roman"/>
          <w:sz w:val="20"/>
          <w:szCs w:val="20"/>
          <w:lang w:val="en-US" w:eastAsia="en-CA"/>
        </w:rPr>
        <w:t>by the applicant for a stay of execution of the judgment of the Quebec Court of Appeal dated June 27, 2013 in file 500-09-023030-125;</w:t>
      </w:r>
    </w:p>
    <w:p w:rsidR="007A77F9" w:rsidRPr="007A77F9" w:rsidRDefault="007A77F9" w:rsidP="007A77F9">
      <w:pPr>
        <w:rPr>
          <w:rFonts w:eastAsia="Times New Roman" w:cs="Times New Roman"/>
          <w:sz w:val="20"/>
          <w:szCs w:val="20"/>
          <w:lang w:val="en-US" w:eastAsia="en-CA"/>
        </w:rPr>
      </w:pPr>
    </w:p>
    <w:p w:rsidR="007A77F9" w:rsidRPr="007A77F9" w:rsidRDefault="007A77F9" w:rsidP="007A77F9">
      <w:pPr>
        <w:rPr>
          <w:rFonts w:eastAsia="Times New Roman" w:cs="Times New Roman"/>
          <w:sz w:val="20"/>
          <w:szCs w:val="20"/>
          <w:lang w:val="en-US" w:eastAsia="en-CA"/>
        </w:rPr>
      </w:pPr>
      <w:r w:rsidRPr="007A77F9">
        <w:rPr>
          <w:rFonts w:eastAsia="Times New Roman" w:cs="Times New Roman"/>
          <w:b/>
          <w:bCs/>
          <w:sz w:val="20"/>
          <w:szCs w:val="20"/>
          <w:lang w:val="en-US" w:eastAsia="en-CA"/>
        </w:rPr>
        <w:t>AND THE MATERIAL FILED</w:t>
      </w:r>
      <w:r w:rsidRPr="007A77F9">
        <w:rPr>
          <w:rFonts w:eastAsia="Times New Roman" w:cs="Times New Roman"/>
          <w:bCs/>
          <w:sz w:val="20"/>
          <w:szCs w:val="20"/>
          <w:lang w:val="en-US" w:eastAsia="en-CA"/>
        </w:rPr>
        <w:t xml:space="preserve"> having been read;</w:t>
      </w:r>
    </w:p>
    <w:p w:rsidR="007A77F9" w:rsidRPr="007A77F9" w:rsidRDefault="007A77F9" w:rsidP="007A77F9">
      <w:pPr>
        <w:rPr>
          <w:rFonts w:eastAsia="Times New Roman" w:cs="Times New Roman"/>
          <w:b/>
          <w:bCs/>
          <w:sz w:val="20"/>
          <w:szCs w:val="20"/>
          <w:lang w:val="en-US" w:eastAsia="en-CA"/>
        </w:rPr>
      </w:pPr>
    </w:p>
    <w:p w:rsidR="007A77F9" w:rsidRPr="007A77F9" w:rsidRDefault="007A77F9" w:rsidP="007A77F9">
      <w:pPr>
        <w:rPr>
          <w:rFonts w:eastAsia="Times New Roman" w:cs="Times New Roman"/>
          <w:bCs/>
          <w:sz w:val="20"/>
          <w:szCs w:val="20"/>
          <w:lang w:val="en-US" w:eastAsia="en-CA"/>
        </w:rPr>
      </w:pPr>
      <w:r w:rsidRPr="007A77F9">
        <w:rPr>
          <w:rFonts w:eastAsia="Times New Roman" w:cs="Times New Roman"/>
          <w:b/>
          <w:bCs/>
          <w:sz w:val="20"/>
          <w:szCs w:val="20"/>
          <w:lang w:val="en-US" w:eastAsia="en-CA"/>
        </w:rPr>
        <w:t>IT IS HEREBY ORDERED THAT:</w:t>
      </w:r>
    </w:p>
    <w:p w:rsidR="007A77F9" w:rsidRPr="007A77F9" w:rsidRDefault="007A77F9" w:rsidP="007A77F9">
      <w:pPr>
        <w:rPr>
          <w:rFonts w:eastAsia="Times New Roman" w:cs="Times New Roman"/>
          <w:bCs/>
          <w:sz w:val="20"/>
          <w:szCs w:val="20"/>
          <w:lang w:val="en-US" w:eastAsia="en-CA"/>
        </w:rPr>
      </w:pPr>
    </w:p>
    <w:p w:rsidR="007A77F9" w:rsidRPr="007A77F9" w:rsidRDefault="007A77F9" w:rsidP="007A77F9">
      <w:pPr>
        <w:tabs>
          <w:tab w:val="left" w:pos="-1440"/>
          <w:tab w:val="left" w:pos="-720"/>
        </w:tabs>
        <w:jc w:val="both"/>
        <w:rPr>
          <w:rFonts w:eastAsia="Times New Roman" w:cs="Times New Roman"/>
          <w:sz w:val="20"/>
          <w:szCs w:val="20"/>
          <w:lang w:val="en-US" w:eastAsia="en-CA"/>
        </w:rPr>
      </w:pPr>
      <w:r w:rsidRPr="007A77F9">
        <w:rPr>
          <w:rFonts w:eastAsia="Times New Roman" w:cs="Times New Roman"/>
          <w:sz w:val="20"/>
          <w:szCs w:val="20"/>
          <w:lang w:val="en-US" w:eastAsia="en-CA"/>
        </w:rPr>
        <w:t>The motion is referred to the judges to whom the application for leave to appeal is submitted.</w:t>
      </w:r>
    </w:p>
    <w:p w:rsidR="007A77F9" w:rsidRPr="007A77F9" w:rsidRDefault="007A77F9" w:rsidP="007A77F9">
      <w:pPr>
        <w:tabs>
          <w:tab w:val="left" w:pos="-1440"/>
          <w:tab w:val="left" w:pos="-720"/>
        </w:tabs>
        <w:jc w:val="both"/>
        <w:rPr>
          <w:rFonts w:eastAsia="Times New Roman" w:cs="Times New Roman"/>
          <w:sz w:val="20"/>
          <w:szCs w:val="20"/>
          <w:lang w:eastAsia="en-CA"/>
        </w:rPr>
      </w:pPr>
    </w:p>
    <w:p w:rsidR="007A77F9" w:rsidRPr="007A77F9" w:rsidRDefault="005F2BA7" w:rsidP="007A77F9">
      <w:pPr>
        <w:tabs>
          <w:tab w:val="left" w:pos="-1440"/>
          <w:tab w:val="left" w:pos="-720"/>
        </w:tabs>
        <w:jc w:val="both"/>
        <w:rPr>
          <w:rFonts w:eastAsia="Times New Roman" w:cs="Times New Roman"/>
          <w:sz w:val="20"/>
          <w:szCs w:val="20"/>
          <w:lang w:eastAsia="en-CA"/>
        </w:rPr>
      </w:pPr>
      <w:r w:rsidRPr="005F2BA7">
        <w:rPr>
          <w:rFonts w:eastAsia="Times New Roman" w:cs="Times New Roman"/>
          <w:sz w:val="20"/>
          <w:szCs w:val="20"/>
          <w:lang w:val="fr-CA" w:eastAsia="en-CA"/>
        </w:rPr>
        <w:pict>
          <v:rect id="_x0000_i1136" style="width:2in;height:1pt" o:hrpct="0" o:hralign="center" o:hrstd="t" o:hrnoshade="t" o:hr="t" fillcolor="black [3213]" stroked="f"/>
        </w:pict>
      </w:r>
    </w:p>
    <w:p w:rsidR="007A77F9" w:rsidRPr="007A77F9" w:rsidRDefault="007A77F9" w:rsidP="007A77F9">
      <w:pPr>
        <w:tabs>
          <w:tab w:val="left" w:pos="-1440"/>
          <w:tab w:val="left" w:pos="-720"/>
        </w:tabs>
        <w:jc w:val="both"/>
        <w:rPr>
          <w:rFonts w:eastAsia="Times New Roman" w:cs="Times New Roman"/>
          <w:sz w:val="20"/>
          <w:szCs w:val="20"/>
          <w:lang w:eastAsia="en-CA"/>
        </w:rPr>
      </w:pPr>
    </w:p>
    <w:p w:rsidR="007A77F9" w:rsidRPr="007A77F9" w:rsidRDefault="007A77F9" w:rsidP="007A77F9">
      <w:pPr>
        <w:tabs>
          <w:tab w:val="left" w:pos="-1440"/>
          <w:tab w:val="left" w:pos="-720"/>
        </w:tabs>
        <w:jc w:val="both"/>
        <w:rPr>
          <w:rFonts w:eastAsia="Times New Roman" w:cs="Times New Roman"/>
          <w:sz w:val="20"/>
          <w:szCs w:val="20"/>
          <w:lang w:val="fr-CA" w:eastAsia="en-CA"/>
        </w:rPr>
      </w:pPr>
      <w:r w:rsidRPr="007A77F9">
        <w:rPr>
          <w:rFonts w:eastAsia="Times New Roman" w:cs="Times New Roman"/>
          <w:sz w:val="20"/>
          <w:szCs w:val="20"/>
          <w:lang w:val="fr-CA" w:eastAsia="en-CA"/>
        </w:rPr>
        <w:t>15.08.2013</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p w:rsidR="007A77F9" w:rsidRPr="007A77F9" w:rsidRDefault="007A77F9" w:rsidP="007A77F9">
      <w:pPr>
        <w:tabs>
          <w:tab w:val="left" w:pos="-1440"/>
          <w:tab w:val="left" w:pos="-720"/>
        </w:tabs>
        <w:jc w:val="both"/>
        <w:rPr>
          <w:rFonts w:eastAsia="Times New Roman" w:cs="Times New Roman"/>
          <w:sz w:val="20"/>
          <w:szCs w:val="20"/>
          <w:lang w:val="fr-CA" w:eastAsia="en-CA"/>
        </w:rPr>
      </w:pPr>
      <w:r w:rsidRPr="007A77F9">
        <w:rPr>
          <w:rFonts w:eastAsia="Times New Roman" w:cs="Times New Roman"/>
          <w:sz w:val="20"/>
          <w:szCs w:val="20"/>
          <w:lang w:val="fr-CA" w:eastAsia="en-CA"/>
        </w:rPr>
        <w:t>Before / Devant :   ROTHSTEIN J. / LE JUGE ROTHSTEIN</w:t>
      </w:r>
    </w:p>
    <w:p w:rsidR="007A77F9" w:rsidRPr="007A77F9" w:rsidRDefault="007A77F9" w:rsidP="007A77F9">
      <w:pPr>
        <w:tabs>
          <w:tab w:val="left" w:pos="-1440"/>
          <w:tab w:val="left" w:pos="-720"/>
        </w:tabs>
        <w:jc w:val="both"/>
        <w:rPr>
          <w:rFonts w:eastAsia="Times New Roman" w:cs="Times New Roman"/>
          <w:sz w:val="20"/>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A77F9" w:rsidRPr="007C5A5B" w:rsidTr="00FB7665">
        <w:tc>
          <w:tcPr>
            <w:tcW w:w="4338" w:type="dxa"/>
          </w:tcPr>
          <w:p w:rsidR="007A77F9" w:rsidRPr="007A77F9" w:rsidRDefault="005F2BA7" w:rsidP="00FB7665">
            <w:pPr>
              <w:tabs>
                <w:tab w:val="left" w:pos="-1440"/>
                <w:tab w:val="left" w:pos="-720"/>
              </w:tabs>
              <w:jc w:val="both"/>
              <w:rPr>
                <w:b/>
              </w:rPr>
            </w:pPr>
            <w:r w:rsidRPr="007A77F9">
              <w:rPr>
                <w:szCs w:val="24"/>
                <w:lang w:val="en-US"/>
              </w:rPr>
              <w:fldChar w:fldCharType="begin"/>
            </w:r>
            <w:r w:rsidR="007A77F9" w:rsidRPr="007A77F9">
              <w:rPr>
                <w:szCs w:val="24"/>
                <w:lang w:val="en-US"/>
              </w:rPr>
              <w:instrText xml:space="preserve"> SEQ CHAPTER \h \r 1</w:instrText>
            </w:r>
            <w:r w:rsidRPr="007A77F9">
              <w:rPr>
                <w:szCs w:val="24"/>
                <w:lang w:val="en-US"/>
              </w:rPr>
              <w:fldChar w:fldCharType="end"/>
            </w:r>
            <w:r w:rsidRPr="007A77F9">
              <w:rPr>
                <w:szCs w:val="24"/>
                <w:lang w:val="en-US"/>
              </w:rPr>
              <w:fldChar w:fldCharType="begin"/>
            </w:r>
            <w:r w:rsidR="007A77F9" w:rsidRPr="007A77F9">
              <w:rPr>
                <w:szCs w:val="24"/>
                <w:lang w:val="en-US"/>
              </w:rPr>
              <w:instrText xml:space="preserve"> SEQ CHAPTER \h \r 1</w:instrText>
            </w:r>
            <w:r w:rsidRPr="007A77F9">
              <w:rPr>
                <w:szCs w:val="24"/>
                <w:lang w:val="en-US"/>
              </w:rPr>
              <w:fldChar w:fldCharType="end"/>
            </w:r>
            <w:r w:rsidR="007A77F9" w:rsidRPr="007A77F9">
              <w:rPr>
                <w:b/>
                <w:bCs/>
                <w:lang w:val="en-US"/>
              </w:rPr>
              <w:t>Motion to extend the time to serve and file the factum of the respondent Person in Charge of Centre for Addiction and Mental Health to August 6, 2013, and for an order pursuant to Rule 71(3) permitting oral argument at the hearing  of the appeal</w:t>
            </w:r>
          </w:p>
        </w:tc>
        <w:tc>
          <w:tcPr>
            <w:tcW w:w="1170" w:type="dxa"/>
          </w:tcPr>
          <w:p w:rsidR="007A77F9" w:rsidRPr="007A77F9" w:rsidRDefault="007A77F9" w:rsidP="00FB7665">
            <w:pPr>
              <w:tabs>
                <w:tab w:val="left" w:pos="-1440"/>
                <w:tab w:val="left" w:pos="-720"/>
              </w:tabs>
              <w:jc w:val="both"/>
            </w:pPr>
          </w:p>
          <w:p w:rsidR="007A77F9" w:rsidRPr="007A77F9" w:rsidRDefault="007A77F9" w:rsidP="00FB7665">
            <w:pPr>
              <w:tabs>
                <w:tab w:val="left" w:pos="-1440"/>
                <w:tab w:val="left" w:pos="-720"/>
              </w:tabs>
              <w:jc w:val="both"/>
            </w:pPr>
          </w:p>
          <w:p w:rsidR="007A77F9" w:rsidRPr="007A77F9" w:rsidRDefault="007A77F9" w:rsidP="00FB7665">
            <w:pPr>
              <w:tabs>
                <w:tab w:val="left" w:pos="-1440"/>
                <w:tab w:val="left" w:pos="-720"/>
              </w:tabs>
              <w:jc w:val="both"/>
            </w:pPr>
          </w:p>
          <w:p w:rsidR="007A77F9" w:rsidRPr="007A77F9" w:rsidRDefault="007A77F9" w:rsidP="00FB7665">
            <w:pPr>
              <w:tabs>
                <w:tab w:val="left" w:pos="-1440"/>
                <w:tab w:val="left" w:pos="-720"/>
              </w:tabs>
              <w:jc w:val="both"/>
            </w:pPr>
          </w:p>
          <w:p w:rsidR="007A77F9" w:rsidRPr="007A77F9" w:rsidRDefault="007A77F9" w:rsidP="00FB7665">
            <w:pPr>
              <w:tabs>
                <w:tab w:val="left" w:pos="-1440"/>
                <w:tab w:val="left" w:pos="-720"/>
              </w:tabs>
              <w:jc w:val="both"/>
            </w:pPr>
          </w:p>
          <w:p w:rsidR="007A77F9" w:rsidRPr="007A77F9" w:rsidRDefault="007A77F9" w:rsidP="00FB7665">
            <w:pPr>
              <w:tabs>
                <w:tab w:val="left" w:pos="-1440"/>
                <w:tab w:val="left" w:pos="-720"/>
              </w:tabs>
              <w:jc w:val="both"/>
            </w:pPr>
          </w:p>
          <w:p w:rsidR="007A77F9" w:rsidRPr="007A77F9" w:rsidRDefault="007A77F9" w:rsidP="00FB7665">
            <w:pPr>
              <w:tabs>
                <w:tab w:val="left" w:pos="-1440"/>
                <w:tab w:val="left" w:pos="-720"/>
              </w:tabs>
              <w:jc w:val="both"/>
            </w:pPr>
          </w:p>
          <w:p w:rsidR="007A77F9" w:rsidRPr="007A77F9" w:rsidRDefault="007A77F9" w:rsidP="00FB7665">
            <w:pPr>
              <w:tabs>
                <w:tab w:val="left" w:pos="-1440"/>
                <w:tab w:val="left" w:pos="-720"/>
              </w:tabs>
              <w:jc w:val="both"/>
            </w:pPr>
          </w:p>
        </w:tc>
        <w:tc>
          <w:tcPr>
            <w:tcW w:w="4327" w:type="dxa"/>
          </w:tcPr>
          <w:p w:rsidR="007A77F9" w:rsidRPr="007A77F9" w:rsidRDefault="005F2BA7" w:rsidP="00FB7665">
            <w:pPr>
              <w:tabs>
                <w:tab w:val="left" w:pos="-1440"/>
                <w:tab w:val="left" w:pos="-720"/>
              </w:tabs>
              <w:jc w:val="both"/>
              <w:rPr>
                <w:lang w:val="fr-CA"/>
              </w:rPr>
            </w:pPr>
            <w:r w:rsidRPr="007A77F9">
              <w:rPr>
                <w:szCs w:val="24"/>
                <w:lang w:val="en-US"/>
              </w:rPr>
              <w:fldChar w:fldCharType="begin"/>
            </w:r>
            <w:r w:rsidR="007A77F9" w:rsidRPr="007A77F9">
              <w:rPr>
                <w:szCs w:val="24"/>
                <w:lang w:val="fr-CA"/>
              </w:rPr>
              <w:instrText xml:space="preserve"> SEQ CHAPTER \h \r 1</w:instrText>
            </w:r>
            <w:r w:rsidRPr="007A77F9">
              <w:rPr>
                <w:szCs w:val="24"/>
                <w:lang w:val="en-US"/>
              </w:rPr>
              <w:fldChar w:fldCharType="end"/>
            </w:r>
            <w:r w:rsidRPr="007A77F9">
              <w:rPr>
                <w:szCs w:val="24"/>
                <w:lang w:val="en-US"/>
              </w:rPr>
              <w:fldChar w:fldCharType="begin"/>
            </w:r>
            <w:r w:rsidR="007A77F9" w:rsidRPr="007A77F9">
              <w:rPr>
                <w:szCs w:val="24"/>
                <w:lang w:val="fr-CA"/>
              </w:rPr>
              <w:instrText xml:space="preserve"> SEQ CHAPTER \h \r 1</w:instrText>
            </w:r>
            <w:r w:rsidRPr="007A77F9">
              <w:rPr>
                <w:szCs w:val="24"/>
                <w:lang w:val="en-US"/>
              </w:rPr>
              <w:fldChar w:fldCharType="end"/>
            </w:r>
            <w:r w:rsidR="007A77F9" w:rsidRPr="007A77F9">
              <w:rPr>
                <w:b/>
                <w:bCs/>
                <w:lang w:val="fr-CA"/>
              </w:rPr>
              <w:t xml:space="preserve">Requête de l'intimé Person in Charge of Centre for Addiction and Mental Health en prorogation du délai de signification et de dépôt de son mémoire jusqu'au 6 août 2013, et en vue d’être autorisé, en vertu du par. 71(3) des </w:t>
            </w:r>
            <w:r w:rsidR="007A77F9" w:rsidRPr="007A77F9">
              <w:rPr>
                <w:b/>
                <w:bCs/>
                <w:i/>
                <w:lang w:val="fr-CA"/>
              </w:rPr>
              <w:t>Règles</w:t>
            </w:r>
            <w:r w:rsidR="007A77F9" w:rsidRPr="007A77F9">
              <w:rPr>
                <w:b/>
                <w:bCs/>
                <w:lang w:val="fr-CA"/>
              </w:rPr>
              <w:t>,</w:t>
            </w:r>
            <w:r w:rsidR="007A77F9" w:rsidRPr="007A77F9">
              <w:rPr>
                <w:szCs w:val="24"/>
                <w:lang w:val="fr-CA"/>
              </w:rPr>
              <w:t xml:space="preserve"> </w:t>
            </w:r>
            <w:r w:rsidR="007A77F9" w:rsidRPr="007A77F9">
              <w:rPr>
                <w:b/>
                <w:bCs/>
                <w:lang w:val="fr-CA"/>
              </w:rPr>
              <w:t xml:space="preserve">à présenter une plaidoirie orale à l'audition </w:t>
            </w:r>
            <w:r w:rsidRPr="007A77F9">
              <w:rPr>
                <w:szCs w:val="24"/>
                <w:lang w:val="en-US"/>
              </w:rPr>
              <w:fldChar w:fldCharType="begin"/>
            </w:r>
            <w:r w:rsidR="007A77F9" w:rsidRPr="007A77F9">
              <w:rPr>
                <w:szCs w:val="24"/>
                <w:lang w:val="fr-CA"/>
              </w:rPr>
              <w:instrText xml:space="preserve"> SEQ CHAPTER \h \r 1</w:instrText>
            </w:r>
            <w:r w:rsidRPr="007A77F9">
              <w:rPr>
                <w:szCs w:val="24"/>
                <w:lang w:val="en-US"/>
              </w:rPr>
              <w:fldChar w:fldCharType="end"/>
            </w:r>
          </w:p>
        </w:tc>
      </w:tr>
      <w:tr w:rsidR="007A77F9" w:rsidRPr="007A77F9" w:rsidTr="00FB7665">
        <w:tc>
          <w:tcPr>
            <w:tcW w:w="4338" w:type="dxa"/>
          </w:tcPr>
          <w:p w:rsidR="007A77F9" w:rsidRPr="007A77F9" w:rsidRDefault="007A77F9" w:rsidP="00FB7665">
            <w:pPr>
              <w:tabs>
                <w:tab w:val="left" w:pos="-1440"/>
                <w:tab w:val="left" w:pos="-720"/>
              </w:tabs>
              <w:jc w:val="both"/>
            </w:pPr>
            <w:r w:rsidRPr="007A77F9">
              <w:t>Brian Conception</w:t>
            </w:r>
          </w:p>
          <w:p w:rsidR="007A77F9" w:rsidRPr="007A77F9" w:rsidRDefault="007A77F9" w:rsidP="00FB7665">
            <w:pPr>
              <w:tabs>
                <w:tab w:val="left" w:pos="-1440"/>
                <w:tab w:val="left" w:pos="-720"/>
              </w:tabs>
              <w:jc w:val="both"/>
            </w:pPr>
          </w:p>
          <w:p w:rsidR="007A77F9" w:rsidRPr="007A77F9" w:rsidRDefault="007A77F9" w:rsidP="00FB7665">
            <w:pPr>
              <w:tabs>
                <w:tab w:val="left" w:pos="-1440"/>
                <w:tab w:val="left" w:pos="-720"/>
              </w:tabs>
              <w:jc w:val="both"/>
            </w:pPr>
            <w:r w:rsidRPr="007A77F9">
              <w:tab/>
              <w:t>v. (34930)</w:t>
            </w:r>
          </w:p>
          <w:p w:rsidR="007A77F9" w:rsidRPr="007A77F9" w:rsidRDefault="007A77F9" w:rsidP="00FB7665">
            <w:pPr>
              <w:tabs>
                <w:tab w:val="left" w:pos="-1440"/>
                <w:tab w:val="left" w:pos="-720"/>
              </w:tabs>
              <w:jc w:val="both"/>
            </w:pPr>
          </w:p>
          <w:p w:rsidR="007A77F9" w:rsidRPr="007A77F9" w:rsidRDefault="007A77F9" w:rsidP="00FB7665">
            <w:pPr>
              <w:tabs>
                <w:tab w:val="left" w:pos="-1440"/>
                <w:tab w:val="left" w:pos="-720"/>
              </w:tabs>
              <w:jc w:val="both"/>
            </w:pPr>
            <w:r w:rsidRPr="007A77F9">
              <w:t>Her Majesty the Queen et al. (Crim.) (Ont.)</w:t>
            </w:r>
          </w:p>
        </w:tc>
        <w:tc>
          <w:tcPr>
            <w:tcW w:w="1170" w:type="dxa"/>
          </w:tcPr>
          <w:p w:rsidR="007A77F9" w:rsidRPr="007A77F9" w:rsidRDefault="007A77F9" w:rsidP="00FB7665">
            <w:pPr>
              <w:tabs>
                <w:tab w:val="left" w:pos="-1440"/>
                <w:tab w:val="left" w:pos="-720"/>
              </w:tabs>
              <w:jc w:val="both"/>
            </w:pPr>
          </w:p>
        </w:tc>
        <w:tc>
          <w:tcPr>
            <w:tcW w:w="4327" w:type="dxa"/>
          </w:tcPr>
          <w:p w:rsidR="007A77F9" w:rsidRPr="007A77F9" w:rsidRDefault="007A77F9" w:rsidP="00FB7665">
            <w:pPr>
              <w:tabs>
                <w:tab w:val="left" w:pos="-1440"/>
                <w:tab w:val="left" w:pos="-720"/>
              </w:tabs>
              <w:jc w:val="both"/>
            </w:pPr>
          </w:p>
        </w:tc>
      </w:tr>
    </w:tbl>
    <w:p w:rsidR="007A77F9" w:rsidRPr="007A77F9" w:rsidRDefault="007A77F9" w:rsidP="007A77F9">
      <w:pPr>
        <w:tabs>
          <w:tab w:val="left" w:pos="-1440"/>
          <w:tab w:val="left" w:pos="-720"/>
        </w:tabs>
        <w:jc w:val="both"/>
        <w:rPr>
          <w:rFonts w:eastAsia="Times New Roman" w:cs="Times New Roman"/>
          <w:sz w:val="20"/>
          <w:szCs w:val="20"/>
          <w:lang w:eastAsia="en-CA"/>
        </w:rPr>
      </w:pPr>
    </w:p>
    <w:p w:rsidR="007A77F9" w:rsidRPr="007A77F9" w:rsidRDefault="007A77F9" w:rsidP="007A77F9">
      <w:pPr>
        <w:tabs>
          <w:tab w:val="left" w:pos="-1440"/>
          <w:tab w:val="left" w:pos="-720"/>
        </w:tabs>
        <w:jc w:val="both"/>
        <w:rPr>
          <w:rFonts w:eastAsia="Times New Roman" w:cs="Times New Roman"/>
          <w:b/>
          <w:sz w:val="20"/>
          <w:szCs w:val="20"/>
          <w:lang w:eastAsia="en-CA"/>
        </w:rPr>
      </w:pPr>
      <w:r w:rsidRPr="007A77F9">
        <w:rPr>
          <w:rFonts w:eastAsia="Times New Roman" w:cs="Times New Roman"/>
          <w:b/>
          <w:sz w:val="20"/>
          <w:szCs w:val="20"/>
          <w:lang w:eastAsia="en-CA"/>
        </w:rPr>
        <w:t>GRANTED / ACCORDÉE</w:t>
      </w:r>
    </w:p>
    <w:p w:rsidR="007A77F9" w:rsidRPr="007A77F9" w:rsidRDefault="007A77F9" w:rsidP="007A77F9">
      <w:pPr>
        <w:tabs>
          <w:tab w:val="left" w:pos="-1440"/>
          <w:tab w:val="left" w:pos="-720"/>
        </w:tabs>
        <w:jc w:val="both"/>
        <w:rPr>
          <w:rFonts w:eastAsia="Times New Roman" w:cs="Times New Roman"/>
          <w:sz w:val="20"/>
          <w:szCs w:val="20"/>
          <w:lang w:eastAsia="en-CA"/>
        </w:rPr>
      </w:pPr>
    </w:p>
    <w:p w:rsidR="007A77F9" w:rsidRPr="007A77F9" w:rsidRDefault="005F2BA7" w:rsidP="007A77F9">
      <w:pPr>
        <w:tabs>
          <w:tab w:val="left" w:pos="-1440"/>
          <w:tab w:val="left" w:pos="-720"/>
        </w:tabs>
        <w:jc w:val="both"/>
        <w:rPr>
          <w:rFonts w:eastAsia="Times New Roman" w:cs="Times New Roman"/>
          <w:sz w:val="20"/>
          <w:szCs w:val="20"/>
          <w:lang w:eastAsia="en-CA"/>
        </w:rPr>
      </w:pPr>
      <w:r w:rsidRPr="005F2BA7">
        <w:rPr>
          <w:rFonts w:eastAsia="Times New Roman" w:cs="Times New Roman"/>
          <w:sz w:val="20"/>
          <w:szCs w:val="20"/>
          <w:lang w:val="fr-CA" w:eastAsia="en-CA"/>
        </w:rPr>
        <w:pict>
          <v:rect id="_x0000_i1137" style="width:2in;height:1pt" o:hrpct="0" o:hralign="center" o:hrstd="t" o:hrnoshade="t" o:hr="t" fillcolor="black [3213]" stroked="f"/>
        </w:pict>
      </w:r>
    </w:p>
    <w:p w:rsidR="007A77F9" w:rsidRPr="007A77F9" w:rsidRDefault="007A77F9" w:rsidP="007A77F9">
      <w:pPr>
        <w:tabs>
          <w:tab w:val="left" w:pos="-1440"/>
          <w:tab w:val="left" w:pos="-720"/>
        </w:tabs>
        <w:jc w:val="both"/>
        <w:rPr>
          <w:rFonts w:eastAsia="Times New Roman" w:cs="Times New Roman"/>
          <w:sz w:val="20"/>
          <w:szCs w:val="20"/>
          <w:lang w:eastAsia="en-CA"/>
        </w:rPr>
      </w:pPr>
    </w:p>
    <w:p w:rsidR="003C6CD8" w:rsidRDefault="003C6CD8" w:rsidP="0010587F">
      <w:pPr>
        <w:tabs>
          <w:tab w:val="left" w:pos="-1440"/>
          <w:tab w:val="left" w:pos="-720"/>
        </w:tabs>
        <w:jc w:val="both"/>
        <w:rPr>
          <w:sz w:val="20"/>
          <w:szCs w:val="20"/>
        </w:rPr>
      </w:pPr>
    </w:p>
    <w:p w:rsidR="003C6CD8" w:rsidRDefault="003C6CD8" w:rsidP="0010587F">
      <w:pPr>
        <w:tabs>
          <w:tab w:val="left" w:pos="-1440"/>
          <w:tab w:val="left" w:pos="-720"/>
        </w:tabs>
        <w:jc w:val="both"/>
        <w:rPr>
          <w:sz w:val="20"/>
          <w:szCs w:val="20"/>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831CA9" w:rsidRPr="002D72EB" w:rsidTr="00BA6468">
        <w:tc>
          <w:tcPr>
            <w:tcW w:w="4200" w:type="dxa"/>
            <w:shd w:val="clear" w:color="auto" w:fill="auto"/>
            <w:tcMar>
              <w:left w:w="0" w:type="dxa"/>
              <w:right w:w="0" w:type="dxa"/>
            </w:tcMar>
          </w:tcPr>
          <w:p w:rsidR="00831CA9" w:rsidRPr="002D72EB" w:rsidRDefault="00831CA9" w:rsidP="00EB2B90">
            <w:pPr>
              <w:keepNext/>
              <w:keepLines/>
              <w:jc w:val="both"/>
              <w:rPr>
                <w:szCs w:val="24"/>
              </w:rPr>
            </w:pPr>
            <w:r w:rsidRPr="002D72EB">
              <w:rPr>
                <w:b/>
                <w:szCs w:val="24"/>
              </w:rPr>
              <w:t>TAXATION OF COSTS</w:t>
            </w:r>
          </w:p>
        </w:tc>
        <w:tc>
          <w:tcPr>
            <w:tcW w:w="1200" w:type="dxa"/>
            <w:shd w:val="clear" w:color="auto" w:fill="auto"/>
            <w:tcMar>
              <w:left w:w="0" w:type="dxa"/>
              <w:right w:w="0" w:type="dxa"/>
            </w:tcMar>
          </w:tcPr>
          <w:p w:rsidR="00831CA9" w:rsidRPr="002D72EB" w:rsidRDefault="00831CA9" w:rsidP="00831CA9">
            <w:pPr>
              <w:keepNext/>
              <w:keepLines/>
              <w:jc w:val="center"/>
              <w:rPr>
                <w:szCs w:val="24"/>
              </w:rPr>
            </w:pPr>
          </w:p>
          <w:p w:rsidR="00831CA9" w:rsidRPr="002D72EB" w:rsidRDefault="00831CA9" w:rsidP="00831CA9">
            <w:pPr>
              <w:keepNext/>
              <w:keepLines/>
              <w:jc w:val="center"/>
              <w:rPr>
                <w:szCs w:val="24"/>
              </w:rPr>
            </w:pPr>
          </w:p>
        </w:tc>
        <w:tc>
          <w:tcPr>
            <w:tcW w:w="4230" w:type="dxa"/>
            <w:shd w:val="clear" w:color="auto" w:fill="auto"/>
            <w:tcMar>
              <w:left w:w="0" w:type="dxa"/>
              <w:right w:w="0" w:type="dxa"/>
            </w:tcMar>
          </w:tcPr>
          <w:p w:rsidR="00831CA9" w:rsidRPr="00BA6468" w:rsidRDefault="00831CA9" w:rsidP="00755F22">
            <w:pPr>
              <w:keepNext/>
              <w:keepLines/>
              <w:rPr>
                <w:szCs w:val="24"/>
                <w:lang w:val="fr-CA"/>
              </w:rPr>
            </w:pPr>
            <w:r w:rsidRPr="00BA6468">
              <w:rPr>
                <w:b/>
                <w:szCs w:val="24"/>
                <w:lang w:val="fr-CA"/>
              </w:rPr>
              <w:t>TAXATION DES DÉPENS</w:t>
            </w:r>
          </w:p>
        </w:tc>
      </w:tr>
    </w:tbl>
    <w:p w:rsidR="00831CA9" w:rsidRPr="00C50A5C" w:rsidRDefault="00831CA9" w:rsidP="00831CA9">
      <w:pPr>
        <w:tabs>
          <w:tab w:val="left" w:pos="-1440"/>
          <w:tab w:val="left" w:pos="-720"/>
        </w:tabs>
        <w:jc w:val="both"/>
        <w:rPr>
          <w:sz w:val="20"/>
          <w:szCs w:val="20"/>
        </w:rPr>
      </w:pPr>
    </w:p>
    <w:p w:rsidR="00DB4CCA" w:rsidRDefault="00DB4CCA" w:rsidP="00831CA9">
      <w:pPr>
        <w:tabs>
          <w:tab w:val="left" w:pos="-1440"/>
          <w:tab w:val="left" w:pos="-720"/>
        </w:tabs>
        <w:jc w:val="both"/>
        <w:rPr>
          <w:sz w:val="20"/>
          <w:szCs w:val="20"/>
        </w:rPr>
      </w:pPr>
      <w:r>
        <w:rPr>
          <w:sz w:val="20"/>
          <w:szCs w:val="20"/>
        </w:rPr>
        <w:t>22.07.2013</w:t>
      </w:r>
    </w:p>
    <w:p w:rsidR="00DB4CCA" w:rsidRDefault="00DB4CCA" w:rsidP="00831CA9">
      <w:pPr>
        <w:tabs>
          <w:tab w:val="left" w:pos="-1440"/>
          <w:tab w:val="left" w:pos="-720"/>
        </w:tabs>
        <w:jc w:val="both"/>
        <w:rPr>
          <w:sz w:val="20"/>
          <w:szCs w:val="20"/>
        </w:rPr>
      </w:pPr>
    </w:p>
    <w:p w:rsidR="00DB4CCA" w:rsidRPr="00C50A5C" w:rsidRDefault="00DB4CCA" w:rsidP="00DB4CCA">
      <w:pPr>
        <w:tabs>
          <w:tab w:val="left" w:pos="-1440"/>
          <w:tab w:val="left" w:pos="-720"/>
        </w:tabs>
        <w:jc w:val="both"/>
        <w:rPr>
          <w:sz w:val="20"/>
          <w:szCs w:val="20"/>
        </w:rPr>
      </w:pPr>
      <w:r w:rsidRPr="00C50A5C">
        <w:rPr>
          <w:sz w:val="20"/>
          <w:szCs w:val="20"/>
        </w:rPr>
        <w:t>Before / Devant:   THE REGISTRAR</w:t>
      </w:r>
    </w:p>
    <w:p w:rsidR="00DB4CCA" w:rsidRDefault="00DB4CCA" w:rsidP="00DB4CCA">
      <w:pPr>
        <w:tabs>
          <w:tab w:val="left" w:pos="-1440"/>
          <w:tab w:val="left" w:pos="-720"/>
        </w:tabs>
        <w:jc w:val="both"/>
        <w:rPr>
          <w:sz w:val="20"/>
          <w:szCs w:val="20"/>
        </w:rPr>
      </w:pPr>
    </w:p>
    <w:p w:rsidR="00D00292" w:rsidRPr="00D00292" w:rsidRDefault="00D00292" w:rsidP="00D00292">
      <w:pPr>
        <w:tabs>
          <w:tab w:val="left" w:pos="-1440"/>
          <w:tab w:val="left" w:pos="-720"/>
        </w:tabs>
        <w:jc w:val="both"/>
        <w:rPr>
          <w:b/>
          <w:sz w:val="20"/>
          <w:szCs w:val="20"/>
          <w:lang w:val="fr-CA"/>
        </w:rPr>
      </w:pPr>
      <w:r w:rsidRPr="00D00292">
        <w:rPr>
          <w:b/>
          <w:sz w:val="20"/>
          <w:szCs w:val="20"/>
          <w:lang w:val="fr-CA"/>
        </w:rPr>
        <w:t>Ville de Westmount</w:t>
      </w:r>
    </w:p>
    <w:p w:rsidR="00D00292" w:rsidRPr="00D00292" w:rsidRDefault="00D00292" w:rsidP="00D00292">
      <w:pPr>
        <w:tabs>
          <w:tab w:val="left" w:pos="-1440"/>
          <w:tab w:val="left" w:pos="-720"/>
        </w:tabs>
        <w:jc w:val="both"/>
        <w:rPr>
          <w:b/>
          <w:sz w:val="20"/>
          <w:szCs w:val="20"/>
          <w:lang w:val="fr-CA"/>
        </w:rPr>
      </w:pPr>
    </w:p>
    <w:p w:rsidR="00D00292" w:rsidRPr="00DB0895" w:rsidRDefault="00D00292" w:rsidP="00D00292">
      <w:pPr>
        <w:tabs>
          <w:tab w:val="left" w:pos="-1440"/>
          <w:tab w:val="left" w:pos="-720"/>
        </w:tabs>
        <w:jc w:val="both"/>
        <w:rPr>
          <w:b/>
          <w:sz w:val="20"/>
          <w:szCs w:val="20"/>
          <w:lang w:val="fr-CA"/>
        </w:rPr>
      </w:pPr>
      <w:r w:rsidRPr="00D00292">
        <w:rPr>
          <w:b/>
          <w:sz w:val="20"/>
          <w:szCs w:val="20"/>
          <w:lang w:val="fr-CA"/>
        </w:rPr>
        <w:tab/>
      </w:r>
      <w:r w:rsidRPr="00DB0895">
        <w:rPr>
          <w:b/>
          <w:sz w:val="20"/>
          <w:szCs w:val="20"/>
          <w:lang w:val="fr-CA"/>
        </w:rPr>
        <w:t>c. (34060)</w:t>
      </w:r>
    </w:p>
    <w:p w:rsidR="00D00292" w:rsidRPr="00DB0895" w:rsidRDefault="00D00292" w:rsidP="00D00292">
      <w:pPr>
        <w:tabs>
          <w:tab w:val="left" w:pos="-1440"/>
          <w:tab w:val="left" w:pos="-720"/>
        </w:tabs>
        <w:jc w:val="both"/>
        <w:rPr>
          <w:b/>
          <w:sz w:val="20"/>
          <w:szCs w:val="20"/>
          <w:lang w:val="fr-CA"/>
        </w:rPr>
      </w:pPr>
    </w:p>
    <w:p w:rsidR="00D00292" w:rsidRPr="00D00292" w:rsidRDefault="00D00292" w:rsidP="00D00292">
      <w:pPr>
        <w:tabs>
          <w:tab w:val="left" w:pos="-1440"/>
          <w:tab w:val="left" w:pos="-720"/>
        </w:tabs>
        <w:jc w:val="both"/>
        <w:rPr>
          <w:sz w:val="20"/>
          <w:szCs w:val="20"/>
          <w:lang w:val="fr-CA"/>
        </w:rPr>
      </w:pPr>
      <w:r w:rsidRPr="00DB0895">
        <w:rPr>
          <w:b/>
          <w:sz w:val="20"/>
          <w:szCs w:val="20"/>
          <w:lang w:val="fr-CA"/>
        </w:rPr>
        <w:t>Richard Rossy et autres (Qc)</w:t>
      </w:r>
    </w:p>
    <w:p w:rsidR="00D00292" w:rsidRPr="00D00292" w:rsidRDefault="00D00292" w:rsidP="00DB4CCA">
      <w:pPr>
        <w:tabs>
          <w:tab w:val="left" w:pos="-1440"/>
          <w:tab w:val="left" w:pos="-720"/>
        </w:tabs>
        <w:jc w:val="both"/>
        <w:rPr>
          <w:sz w:val="20"/>
          <w:szCs w:val="20"/>
          <w:lang w:val="fr-CA"/>
        </w:rPr>
      </w:pPr>
    </w:p>
    <w:p w:rsidR="00A577B7" w:rsidRPr="00A577B7" w:rsidRDefault="00A577B7" w:rsidP="00A577B7">
      <w:pPr>
        <w:contextualSpacing/>
        <w:jc w:val="both"/>
        <w:rPr>
          <w:rFonts w:cs="Times New Roman"/>
          <w:b/>
          <w:sz w:val="20"/>
          <w:szCs w:val="20"/>
          <w:lang w:val="fr-FR"/>
        </w:rPr>
      </w:pPr>
      <w:r w:rsidRPr="00A577B7">
        <w:rPr>
          <w:rFonts w:cs="Times New Roman"/>
          <w:b/>
          <w:sz w:val="20"/>
          <w:szCs w:val="20"/>
          <w:lang w:val="fr-FR"/>
        </w:rPr>
        <w:t>Contexte</w:t>
      </w:r>
    </w:p>
    <w:p w:rsidR="00A577B7" w:rsidRPr="00A577B7" w:rsidRDefault="00A577B7" w:rsidP="00A577B7">
      <w:pPr>
        <w:jc w:val="both"/>
        <w:rPr>
          <w:rFonts w:cs="Times New Roman"/>
          <w:sz w:val="20"/>
          <w:szCs w:val="20"/>
          <w:lang w:val="fr-CA"/>
        </w:rPr>
      </w:pPr>
    </w:p>
    <w:p w:rsidR="00A577B7" w:rsidRPr="00A577B7" w:rsidRDefault="00A577B7" w:rsidP="00A577B7">
      <w:pPr>
        <w:jc w:val="both"/>
        <w:rPr>
          <w:rFonts w:cs="Times New Roman"/>
          <w:sz w:val="20"/>
          <w:szCs w:val="20"/>
          <w:lang w:val="fr-CA"/>
        </w:rPr>
      </w:pPr>
      <w:r w:rsidRPr="00A577B7">
        <w:rPr>
          <w:rFonts w:cs="Times New Roman"/>
          <w:sz w:val="20"/>
          <w:szCs w:val="20"/>
          <w:lang w:val="fr-CA"/>
        </w:rPr>
        <w:t>Cette Cour a accueilli l’appel de la Ville de Westmount (« Ville ») dans l’affaire mentionnée en rubrique, avec dépens.  Les parties désignées comme intimées étaient Richard, Sharon, Justin, Luke et Nicholas Rossy, d’une part, et la Société de l’assurance automobile du Québec (« SAAQ »), d’autre part.  Les membres ainsi désignés de la famille Rossy ont participé activement à l’audition de l’appel.  La SAAQ, pour sa part, s’est opposée aux procédures au stade de la demande d’autorisation d’appel, en déposant un mémoire en faveur de son rejet, puis, au stade de l’appel, elle a avisé la Cour qu’elle ne déposerait pas de mémoire, qu’elle ne ferait pas de représentations orales lors de l’audition et qu’elle souscrivait aux fondements juridiques et à la position des membres  désignés de la famille Rossy.</w:t>
      </w:r>
    </w:p>
    <w:p w:rsidR="00A577B7" w:rsidRPr="00A577B7" w:rsidRDefault="00A577B7" w:rsidP="00A577B7">
      <w:pPr>
        <w:jc w:val="both"/>
        <w:rPr>
          <w:rFonts w:cs="Times New Roman"/>
          <w:sz w:val="20"/>
          <w:szCs w:val="20"/>
          <w:lang w:val="fr-CA"/>
        </w:rPr>
      </w:pPr>
    </w:p>
    <w:p w:rsidR="00A577B7" w:rsidRPr="00A577B7" w:rsidRDefault="00A577B7" w:rsidP="00A577B7">
      <w:pPr>
        <w:jc w:val="both"/>
        <w:rPr>
          <w:rFonts w:cs="Times New Roman"/>
          <w:sz w:val="20"/>
          <w:szCs w:val="20"/>
          <w:lang w:val="fr-CA"/>
        </w:rPr>
      </w:pPr>
      <w:r w:rsidRPr="00A577B7">
        <w:rPr>
          <w:rFonts w:cs="Times New Roman"/>
          <w:sz w:val="20"/>
          <w:szCs w:val="20"/>
          <w:lang w:val="fr-CA"/>
        </w:rPr>
        <w:t>Dans son mémoire de frais, la Ville réclame les frais pour la demande d’autorisation d’appel ainsi que pour l’appel, soit la somme totale de 12 532,04$.  Deux objections ont été formulées à l’encontre du mémoire de frais déposé par la Ville : la première par Richard et Sharon Rossy, l’autre par la SAAQ.</w:t>
      </w:r>
    </w:p>
    <w:p w:rsidR="00A577B7" w:rsidRPr="00A577B7" w:rsidRDefault="00A577B7" w:rsidP="00A577B7">
      <w:pPr>
        <w:ind w:left="357"/>
        <w:jc w:val="both"/>
        <w:rPr>
          <w:rFonts w:cs="Times New Roman"/>
          <w:sz w:val="20"/>
          <w:szCs w:val="20"/>
          <w:lang w:val="fr-CA"/>
        </w:rPr>
      </w:pPr>
    </w:p>
    <w:p w:rsidR="00A577B7" w:rsidRPr="00A577B7" w:rsidRDefault="00A577B7" w:rsidP="00A577B7">
      <w:pPr>
        <w:numPr>
          <w:ilvl w:val="0"/>
          <w:numId w:val="11"/>
        </w:numPr>
        <w:spacing w:line="276" w:lineRule="auto"/>
        <w:ind w:left="360"/>
        <w:contextualSpacing/>
        <w:jc w:val="both"/>
        <w:rPr>
          <w:rFonts w:cs="Times New Roman"/>
          <w:b/>
          <w:i/>
          <w:sz w:val="20"/>
          <w:szCs w:val="20"/>
          <w:lang w:val="fr-CA"/>
        </w:rPr>
      </w:pPr>
      <w:r w:rsidRPr="00A577B7">
        <w:rPr>
          <w:rFonts w:cs="Times New Roman"/>
          <w:b/>
          <w:i/>
          <w:sz w:val="20"/>
          <w:szCs w:val="20"/>
          <w:lang w:val="fr-CA"/>
        </w:rPr>
        <w:t>Objection de Richard et Sharon Rossy</w:t>
      </w:r>
    </w:p>
    <w:p w:rsidR="00A577B7" w:rsidRPr="00A577B7" w:rsidRDefault="00A577B7" w:rsidP="00A577B7">
      <w:pPr>
        <w:jc w:val="both"/>
        <w:rPr>
          <w:rFonts w:cs="Times New Roman"/>
          <w:sz w:val="20"/>
          <w:szCs w:val="20"/>
          <w:lang w:val="fr-CA"/>
        </w:rPr>
      </w:pPr>
    </w:p>
    <w:p w:rsidR="00A577B7" w:rsidRPr="00A577B7" w:rsidRDefault="00A577B7" w:rsidP="00A577B7">
      <w:pPr>
        <w:jc w:val="both"/>
        <w:rPr>
          <w:rFonts w:cs="Times New Roman"/>
          <w:sz w:val="20"/>
          <w:szCs w:val="20"/>
          <w:lang w:val="fr-CA"/>
        </w:rPr>
      </w:pPr>
      <w:r w:rsidRPr="00A577B7">
        <w:rPr>
          <w:rFonts w:cs="Times New Roman"/>
          <w:sz w:val="20"/>
          <w:szCs w:val="20"/>
          <w:lang w:val="fr-CA"/>
        </w:rPr>
        <w:t>Richard et Sharon Rossy estiment que le montant de 2 574,70$ réclamé par la Ville au titre de frais de reproduction liés à la demande d’autorisation d’appel est excessif.  Ils soulignent que le montant de ces frais en ce qui a trait à l’appel est similaire, soit 3 188,01 $.</w:t>
      </w:r>
    </w:p>
    <w:p w:rsidR="00A577B7" w:rsidRPr="00A577B7" w:rsidRDefault="00A577B7" w:rsidP="00A577B7">
      <w:pPr>
        <w:jc w:val="both"/>
        <w:rPr>
          <w:rFonts w:cs="Times New Roman"/>
          <w:sz w:val="20"/>
          <w:szCs w:val="20"/>
          <w:lang w:val="fr-CA"/>
        </w:rPr>
      </w:pPr>
    </w:p>
    <w:p w:rsidR="00A577B7" w:rsidRPr="00A577B7" w:rsidRDefault="00A577B7" w:rsidP="00A577B7">
      <w:pPr>
        <w:jc w:val="both"/>
        <w:rPr>
          <w:rFonts w:cs="Times New Roman"/>
          <w:sz w:val="20"/>
          <w:szCs w:val="20"/>
          <w:lang w:val="fr-CA"/>
        </w:rPr>
      </w:pPr>
      <w:r w:rsidRPr="00A577B7">
        <w:rPr>
          <w:rFonts w:cs="Times New Roman"/>
          <w:sz w:val="20"/>
          <w:szCs w:val="20"/>
          <w:lang w:val="fr-CA"/>
        </w:rPr>
        <w:t>Après examen du dossier, rien ne justifie de réduire les montants ci-dessus réclamés par la Ville.  Les factures à l’appui de la réclamation sont produites au dossier et les montants ne sont pas excessifs.</w:t>
      </w:r>
    </w:p>
    <w:p w:rsidR="00A577B7" w:rsidRPr="00A577B7" w:rsidRDefault="00A577B7" w:rsidP="00A577B7">
      <w:pPr>
        <w:jc w:val="both"/>
        <w:rPr>
          <w:rFonts w:cs="Times New Roman"/>
          <w:sz w:val="20"/>
          <w:szCs w:val="20"/>
          <w:lang w:val="fr-CA"/>
        </w:rPr>
      </w:pPr>
    </w:p>
    <w:p w:rsidR="00A577B7" w:rsidRPr="00A577B7" w:rsidRDefault="00A577B7" w:rsidP="00A577B7">
      <w:pPr>
        <w:numPr>
          <w:ilvl w:val="0"/>
          <w:numId w:val="11"/>
        </w:numPr>
        <w:spacing w:after="200" w:line="276" w:lineRule="auto"/>
        <w:ind w:left="360"/>
        <w:contextualSpacing/>
        <w:jc w:val="both"/>
        <w:rPr>
          <w:rFonts w:cs="Times New Roman"/>
          <w:b/>
          <w:i/>
          <w:sz w:val="20"/>
          <w:szCs w:val="20"/>
          <w:lang w:val="fr-CA"/>
        </w:rPr>
      </w:pPr>
      <w:r w:rsidRPr="00A577B7">
        <w:rPr>
          <w:rFonts w:cs="Times New Roman"/>
          <w:b/>
          <w:i/>
          <w:sz w:val="20"/>
          <w:szCs w:val="20"/>
          <w:lang w:val="fr-CA"/>
        </w:rPr>
        <w:t>Objection de la SAAQ</w:t>
      </w:r>
    </w:p>
    <w:p w:rsidR="00A577B7" w:rsidRPr="00A577B7" w:rsidRDefault="00A577B7" w:rsidP="00A577B7">
      <w:pPr>
        <w:spacing w:line="276" w:lineRule="auto"/>
        <w:contextualSpacing/>
        <w:rPr>
          <w:rFonts w:cs="Times New Roman"/>
          <w:b/>
          <w:i/>
          <w:sz w:val="20"/>
          <w:szCs w:val="20"/>
          <w:lang w:val="fr-CA"/>
        </w:rPr>
      </w:pPr>
    </w:p>
    <w:p w:rsidR="00A577B7" w:rsidRPr="00A577B7" w:rsidRDefault="00A577B7" w:rsidP="00A577B7">
      <w:pPr>
        <w:jc w:val="both"/>
        <w:rPr>
          <w:rFonts w:cs="Times New Roman"/>
          <w:sz w:val="20"/>
          <w:szCs w:val="20"/>
          <w:lang w:val="fr-CA"/>
        </w:rPr>
      </w:pPr>
      <w:r w:rsidRPr="00A577B7">
        <w:rPr>
          <w:rFonts w:cs="Times New Roman"/>
          <w:sz w:val="20"/>
          <w:szCs w:val="20"/>
          <w:lang w:val="fr-CA"/>
        </w:rPr>
        <w:t xml:space="preserve">La SAAQ s’oppose en partie au mémoire de frais, au motif qu’elle n’était impliquée devant la Cour qu’à titre de « mise en cause » et qu’elle n’a pas pris part active à l’appel.  Elle admet que les frais afférents à la demande d’autorisation d’appel peuvent lui être réclamés, mais elle soutient que cela n’est pas le cas pour les frais afférents à l’appel sur le fond, vu qu’elle n’y a pas participé.  Elle invoque, à son profit, l’ordonnance rendue par le juge LeBel dans l’affaire </w:t>
      </w:r>
      <w:r w:rsidRPr="00A577B7">
        <w:rPr>
          <w:rFonts w:cs="Times New Roman"/>
          <w:i/>
          <w:sz w:val="20"/>
          <w:szCs w:val="20"/>
          <w:lang w:val="fr-CA"/>
        </w:rPr>
        <w:t>Kuwait Airways Corp. c. Irak</w:t>
      </w:r>
      <w:r w:rsidRPr="00A577B7">
        <w:rPr>
          <w:rFonts w:cs="Times New Roman"/>
          <w:sz w:val="20"/>
          <w:szCs w:val="20"/>
          <w:lang w:val="fr-CA"/>
        </w:rPr>
        <w:t>, 2011 CSC 41, [2011] 3 R.C.S. 42 (« </w:t>
      </w:r>
      <w:r w:rsidRPr="00A577B7">
        <w:rPr>
          <w:rFonts w:cs="Times New Roman"/>
          <w:i/>
          <w:sz w:val="20"/>
          <w:szCs w:val="20"/>
          <w:lang w:val="fr-CA"/>
        </w:rPr>
        <w:t>Kuwait Airways</w:t>
      </w:r>
      <w:r w:rsidRPr="00A577B7">
        <w:rPr>
          <w:rFonts w:cs="Times New Roman"/>
          <w:sz w:val="20"/>
          <w:szCs w:val="20"/>
          <w:lang w:val="fr-CA"/>
        </w:rPr>
        <w:t> »).</w:t>
      </w:r>
    </w:p>
    <w:p w:rsidR="00A577B7" w:rsidRPr="00A577B7" w:rsidRDefault="00A577B7" w:rsidP="00A577B7">
      <w:pPr>
        <w:jc w:val="both"/>
        <w:rPr>
          <w:rFonts w:cs="Times New Roman"/>
          <w:sz w:val="20"/>
          <w:szCs w:val="20"/>
          <w:lang w:val="fr-CA"/>
        </w:rPr>
      </w:pPr>
    </w:p>
    <w:p w:rsidR="00A577B7" w:rsidRPr="00A577B7" w:rsidRDefault="00A577B7" w:rsidP="00A577B7">
      <w:pPr>
        <w:jc w:val="both"/>
        <w:rPr>
          <w:rFonts w:cs="Times New Roman"/>
          <w:sz w:val="20"/>
          <w:szCs w:val="20"/>
          <w:lang w:val="fr-CA"/>
        </w:rPr>
      </w:pPr>
      <w:r w:rsidRPr="00A577B7">
        <w:rPr>
          <w:rFonts w:cs="Times New Roman"/>
          <w:sz w:val="20"/>
          <w:szCs w:val="20"/>
          <w:lang w:val="fr-CA"/>
        </w:rPr>
        <w:t xml:space="preserve">Dans cette affaire, la Cour avait accueilli l’appel de la compagnie Kuwait Airways « avec dépens devant toutes les cours », sans faire de distinctions entre les deux parties qualifiées d’intimées : la République d’Irak et la compagnie Bombardier Aéronautique (« Bombardier »).  Bombardier s’est </w:t>
      </w:r>
      <w:proofErr w:type="gramStart"/>
      <w:r w:rsidRPr="00A577B7">
        <w:rPr>
          <w:rFonts w:cs="Times New Roman"/>
          <w:sz w:val="20"/>
          <w:szCs w:val="20"/>
          <w:lang w:val="fr-CA"/>
        </w:rPr>
        <w:t>opposée</w:t>
      </w:r>
      <w:proofErr w:type="gramEnd"/>
      <w:r w:rsidRPr="00A577B7">
        <w:rPr>
          <w:rFonts w:cs="Times New Roman"/>
          <w:sz w:val="20"/>
          <w:szCs w:val="20"/>
          <w:lang w:val="fr-CA"/>
        </w:rPr>
        <w:t xml:space="preserve"> à ce que des frais lui soient réclamés, au moyen d’une requête en révision de l’ordonnance relative aux dépens et en prorogation de délai pour signification et dépôt (art. 47 des </w:t>
      </w:r>
      <w:r w:rsidRPr="00A577B7">
        <w:rPr>
          <w:rFonts w:cs="Times New Roman"/>
          <w:i/>
          <w:sz w:val="20"/>
          <w:szCs w:val="20"/>
          <w:lang w:val="fr-CA"/>
        </w:rPr>
        <w:t>Règles de la Cour suprême du Canada</w:t>
      </w:r>
      <w:r w:rsidRPr="00A577B7">
        <w:rPr>
          <w:rFonts w:cs="Times New Roman"/>
          <w:sz w:val="20"/>
          <w:szCs w:val="20"/>
          <w:lang w:val="fr-CA"/>
        </w:rPr>
        <w:t xml:space="preserve">, DORS/2002-156).  Le juge LeBel a fait droit à la demande de Bombardier, au motif que même si elle avait été qualifiée d’intimée en application des </w:t>
      </w:r>
      <w:r w:rsidRPr="00A577B7">
        <w:rPr>
          <w:rFonts w:cs="Times New Roman"/>
          <w:i/>
          <w:sz w:val="20"/>
          <w:szCs w:val="20"/>
          <w:lang w:val="fr-CA"/>
        </w:rPr>
        <w:t>Règles</w:t>
      </w:r>
      <w:r w:rsidRPr="00A577B7">
        <w:rPr>
          <w:rFonts w:cs="Times New Roman"/>
          <w:sz w:val="20"/>
          <w:szCs w:val="20"/>
          <w:lang w:val="fr-CA"/>
        </w:rPr>
        <w:t>, elle n’avait aucunement participé au débat devant la Cour et qu’il ne fallait pas interpréter la condamnation aux dépens comme s’appliquant à elle, dans les circonstances de cette affaire.  En effet, Bombardier avait été jointe aux procédures parce que des avions qu’elle avait vendus à la République d’Irak, mais qui étaient toujours en sa possession au Canada, avaient été saisis par Kuwait Airways par mesure de prudence pour garantir l’exécution d’un jugement étranger, le cas échéant (</w:t>
      </w:r>
      <w:r w:rsidRPr="00A577B7">
        <w:rPr>
          <w:rFonts w:cs="Times New Roman"/>
          <w:i/>
          <w:sz w:val="20"/>
          <w:szCs w:val="20"/>
          <w:lang w:val="fr-CA"/>
        </w:rPr>
        <w:t>Kuwait Airways Corp. c. Irak</w:t>
      </w:r>
      <w:r w:rsidRPr="00A577B7">
        <w:rPr>
          <w:rFonts w:cs="Times New Roman"/>
          <w:sz w:val="20"/>
          <w:szCs w:val="20"/>
          <w:lang w:val="fr-CA"/>
        </w:rPr>
        <w:t>, 2010 CSC 40, [2010] 2 R.C.S. 571, par. 3).  Le juge LeBel a donc déclaré que la condamnation aux dépens ne visait pas Bombardier et que le mémoire de frais ne pouvait être taxé contre elle.</w:t>
      </w:r>
    </w:p>
    <w:p w:rsidR="00A577B7" w:rsidRPr="00A577B7" w:rsidRDefault="00A577B7" w:rsidP="00A577B7">
      <w:pPr>
        <w:jc w:val="both"/>
        <w:rPr>
          <w:rFonts w:cs="Times New Roman"/>
          <w:sz w:val="20"/>
          <w:szCs w:val="20"/>
          <w:lang w:val="fr-CA"/>
        </w:rPr>
      </w:pPr>
    </w:p>
    <w:p w:rsidR="00A577B7" w:rsidRPr="00A577B7" w:rsidRDefault="00A577B7" w:rsidP="00A577B7">
      <w:pPr>
        <w:jc w:val="both"/>
        <w:rPr>
          <w:rFonts w:cs="Times New Roman"/>
          <w:sz w:val="20"/>
          <w:szCs w:val="20"/>
          <w:lang w:val="fr-CA"/>
        </w:rPr>
      </w:pPr>
      <w:r w:rsidRPr="00A577B7">
        <w:rPr>
          <w:rFonts w:cs="Times New Roman"/>
          <w:sz w:val="20"/>
          <w:szCs w:val="20"/>
          <w:lang w:val="fr-CA"/>
        </w:rPr>
        <w:t xml:space="preserve">À mon avis, lorsque les dépens sont adjugés par la Cour, la compétence du Registraire se limite à les taxer en application des </w:t>
      </w:r>
      <w:r w:rsidRPr="00A577B7">
        <w:rPr>
          <w:rFonts w:cs="Times New Roman"/>
          <w:i/>
          <w:sz w:val="20"/>
          <w:szCs w:val="20"/>
          <w:lang w:val="fr-CA"/>
        </w:rPr>
        <w:t>Règles</w:t>
      </w:r>
      <w:r w:rsidRPr="00A577B7">
        <w:rPr>
          <w:rFonts w:cs="Times New Roman"/>
          <w:sz w:val="20"/>
          <w:szCs w:val="20"/>
          <w:lang w:val="fr-CA"/>
        </w:rPr>
        <w:t xml:space="preserve"> et du tarif en vigueur (</w:t>
      </w:r>
      <w:r w:rsidRPr="00A577B7">
        <w:rPr>
          <w:rFonts w:cs="Times New Roman"/>
          <w:i/>
          <w:sz w:val="20"/>
          <w:szCs w:val="20"/>
          <w:lang w:val="fr-CA"/>
        </w:rPr>
        <w:t>Richman c. Wheaton</w:t>
      </w:r>
      <w:r w:rsidRPr="00A577B7">
        <w:rPr>
          <w:rFonts w:cs="Times New Roman"/>
          <w:sz w:val="20"/>
          <w:szCs w:val="20"/>
          <w:lang w:val="fr-CA"/>
        </w:rPr>
        <w:t xml:space="preserve"> (19 octobre 1990)).  En l’espèce, la condamnation aux dépens vise toutes les parties intimées, y compris la SAAQ.  Ici, contrairement à dans l’affaire </w:t>
      </w:r>
      <w:r w:rsidRPr="00A577B7">
        <w:rPr>
          <w:rFonts w:cs="Times New Roman"/>
          <w:i/>
          <w:sz w:val="20"/>
          <w:szCs w:val="20"/>
          <w:lang w:val="fr-CA"/>
        </w:rPr>
        <w:t>Kuwait Airways</w:t>
      </w:r>
      <w:r w:rsidRPr="00A577B7">
        <w:rPr>
          <w:rFonts w:cs="Times New Roman"/>
          <w:sz w:val="20"/>
          <w:szCs w:val="20"/>
          <w:lang w:val="fr-CA"/>
        </w:rPr>
        <w:t xml:space="preserve">, la SAAQ n’a pas demandé la révision de l’ordonnance relative aux dépens ou, avant le prononcé du jugement, cherché à faire clarifier son statut de partie au dossier ou l’étendue de son obligation éventuelle vis-à-vis des dépens. À mon avis, sa demande que le mémoire de frais ne soit pas taxé contre elle dépasse le cadre de la procédure de taxation des dépens, et y faire droit équivaudrait à modifier le dispositif de l’arrêt de la Cour, ce qui ne relève pas de ma compétence. </w:t>
      </w:r>
    </w:p>
    <w:p w:rsidR="00A577B7" w:rsidRPr="00A577B7" w:rsidRDefault="00A577B7" w:rsidP="00A577B7">
      <w:pPr>
        <w:jc w:val="both"/>
        <w:rPr>
          <w:rFonts w:cs="Times New Roman"/>
          <w:sz w:val="20"/>
          <w:szCs w:val="20"/>
          <w:lang w:val="fr-CA"/>
        </w:rPr>
      </w:pPr>
    </w:p>
    <w:p w:rsidR="00A577B7" w:rsidRPr="00A577B7" w:rsidRDefault="00A577B7" w:rsidP="00A577B7">
      <w:pPr>
        <w:jc w:val="both"/>
        <w:rPr>
          <w:rFonts w:cs="Times New Roman"/>
          <w:b/>
          <w:sz w:val="20"/>
          <w:szCs w:val="20"/>
          <w:lang w:val="fr-CA"/>
        </w:rPr>
      </w:pPr>
      <w:r w:rsidRPr="00A577B7">
        <w:rPr>
          <w:rFonts w:cs="Times New Roman"/>
          <w:b/>
          <w:sz w:val="20"/>
          <w:szCs w:val="20"/>
          <w:lang w:val="fr-CA"/>
        </w:rPr>
        <w:t>Conclusion</w:t>
      </w:r>
    </w:p>
    <w:p w:rsidR="00A577B7" w:rsidRPr="00A577B7" w:rsidRDefault="00A577B7" w:rsidP="00A577B7">
      <w:pPr>
        <w:jc w:val="both"/>
        <w:rPr>
          <w:rFonts w:cs="Times New Roman"/>
          <w:sz w:val="20"/>
          <w:szCs w:val="20"/>
          <w:lang w:val="fr-CA"/>
        </w:rPr>
      </w:pPr>
    </w:p>
    <w:p w:rsidR="00A577B7" w:rsidRPr="00A577B7" w:rsidRDefault="00A577B7" w:rsidP="00A577B7">
      <w:pPr>
        <w:jc w:val="both"/>
        <w:rPr>
          <w:rFonts w:cs="Times New Roman"/>
          <w:sz w:val="20"/>
          <w:szCs w:val="20"/>
          <w:lang w:val="fr-CA"/>
        </w:rPr>
      </w:pPr>
      <w:r w:rsidRPr="00A577B7">
        <w:rPr>
          <w:rFonts w:cs="Times New Roman"/>
          <w:sz w:val="20"/>
          <w:szCs w:val="20"/>
          <w:lang w:val="fr-CA"/>
        </w:rPr>
        <w:t>Conformément à ce qui précède, le mémoire de frais de la Ville sera taxé tel que soumis.</w:t>
      </w:r>
    </w:p>
    <w:p w:rsidR="00A577B7" w:rsidRPr="00A577B7" w:rsidRDefault="00A577B7" w:rsidP="00A577B7">
      <w:pPr>
        <w:jc w:val="both"/>
        <w:rPr>
          <w:rFonts w:cs="Times New Roman"/>
          <w:sz w:val="20"/>
          <w:szCs w:val="20"/>
          <w:lang w:val="fr-CA"/>
        </w:rPr>
      </w:pPr>
    </w:p>
    <w:p w:rsidR="00A577B7" w:rsidRPr="00A577B7" w:rsidRDefault="00A577B7" w:rsidP="00A577B7">
      <w:pPr>
        <w:contextualSpacing/>
        <w:jc w:val="both"/>
        <w:rPr>
          <w:rFonts w:cs="Times New Roman"/>
          <w:sz w:val="20"/>
          <w:szCs w:val="20"/>
          <w:lang w:val="fr-FR"/>
        </w:rPr>
      </w:pPr>
      <w:r w:rsidRPr="00A577B7">
        <w:rPr>
          <w:rFonts w:cs="Times New Roman"/>
          <w:sz w:val="20"/>
          <w:szCs w:val="20"/>
          <w:lang w:val="fr-FR"/>
        </w:rPr>
        <w:t>Pour conclure, je remercie Richard et Sharon Rossy ainsi que les avocats de la Ville et de la SAAQ, de leurs observations utiles.</w:t>
      </w:r>
    </w:p>
    <w:p w:rsidR="00DB4CCA" w:rsidRPr="00A577B7" w:rsidRDefault="00DB4CCA" w:rsidP="00831CA9">
      <w:pPr>
        <w:tabs>
          <w:tab w:val="left" w:pos="-1440"/>
          <w:tab w:val="left" w:pos="-720"/>
        </w:tabs>
        <w:jc w:val="both"/>
        <w:rPr>
          <w:sz w:val="20"/>
          <w:szCs w:val="20"/>
          <w:lang w:val="fr-FR"/>
        </w:rPr>
      </w:pPr>
    </w:p>
    <w:p w:rsidR="00DB0895" w:rsidRDefault="00DB0895" w:rsidP="00831CA9">
      <w:pPr>
        <w:tabs>
          <w:tab w:val="left" w:pos="-1440"/>
          <w:tab w:val="left" w:pos="-720"/>
        </w:tabs>
        <w:jc w:val="both"/>
        <w:rPr>
          <w:sz w:val="20"/>
          <w:szCs w:val="20"/>
          <w:lang w:val="fr-CA"/>
        </w:rPr>
      </w:pPr>
    </w:p>
    <w:p w:rsidR="00DB0895" w:rsidRDefault="00DB0895" w:rsidP="00831CA9">
      <w:pPr>
        <w:tabs>
          <w:tab w:val="left" w:pos="-1440"/>
          <w:tab w:val="left" w:pos="-720"/>
        </w:tabs>
        <w:jc w:val="both"/>
        <w:rPr>
          <w:sz w:val="20"/>
          <w:szCs w:val="20"/>
          <w:lang w:val="fr-CA"/>
        </w:rPr>
      </w:pPr>
    </w:p>
    <w:p w:rsidR="00A577B7" w:rsidRPr="00D0491A" w:rsidRDefault="00A577B7" w:rsidP="00A577B7">
      <w:pPr>
        <w:contextualSpacing/>
        <w:jc w:val="both"/>
        <w:rPr>
          <w:b/>
          <w:sz w:val="20"/>
          <w:szCs w:val="20"/>
        </w:rPr>
      </w:pPr>
      <w:r w:rsidRPr="00D0491A">
        <w:rPr>
          <w:b/>
          <w:sz w:val="20"/>
          <w:szCs w:val="20"/>
        </w:rPr>
        <w:t>Background</w:t>
      </w:r>
    </w:p>
    <w:p w:rsidR="00A577B7" w:rsidRPr="00D0491A" w:rsidRDefault="00A577B7" w:rsidP="00A577B7">
      <w:pPr>
        <w:jc w:val="both"/>
        <w:rPr>
          <w:sz w:val="20"/>
          <w:szCs w:val="20"/>
        </w:rPr>
      </w:pPr>
    </w:p>
    <w:p w:rsidR="00A577B7" w:rsidRPr="00D0491A" w:rsidRDefault="00A577B7" w:rsidP="00A577B7">
      <w:pPr>
        <w:jc w:val="both"/>
        <w:rPr>
          <w:sz w:val="20"/>
          <w:szCs w:val="20"/>
        </w:rPr>
      </w:pPr>
      <w:r w:rsidRPr="00D0491A">
        <w:rPr>
          <w:sz w:val="20"/>
          <w:szCs w:val="20"/>
        </w:rPr>
        <w:t>In the above case, this Court allowed the appeal of the City of Westmount (“City”) with costs.  The parties designated as respondents were Richard, Sharon, Justin, Luke and Nicholas Rossy, on the one hand, and the Société de l’assurance automobile du Québec (“SAAQ”), on the other.  The members of the Rossy family who were so designated participated actively in the hearing of the appeal.  As for the SAAQ, it contested the proceedings at the application for leave stage by filing a memorandum of argument in favour of the application’s dismissal, but at the appeal stage it advised the Court that it would not file a factum, that it would not present oral argument at the hearing and that it agreed with the legal grounds and the position of the designated members of the Rossy family.</w:t>
      </w:r>
    </w:p>
    <w:p w:rsidR="00A577B7" w:rsidRPr="00D0491A" w:rsidRDefault="00A577B7" w:rsidP="00A577B7">
      <w:pPr>
        <w:jc w:val="both"/>
        <w:rPr>
          <w:sz w:val="20"/>
          <w:szCs w:val="20"/>
        </w:rPr>
      </w:pPr>
    </w:p>
    <w:p w:rsidR="00A577B7" w:rsidRPr="00D0491A" w:rsidRDefault="00A577B7" w:rsidP="00A577B7">
      <w:pPr>
        <w:jc w:val="both"/>
        <w:rPr>
          <w:sz w:val="20"/>
          <w:szCs w:val="20"/>
        </w:rPr>
      </w:pPr>
      <w:r w:rsidRPr="00D0491A">
        <w:rPr>
          <w:sz w:val="20"/>
          <w:szCs w:val="20"/>
        </w:rPr>
        <w:t>In its bill of costs, the City claims costs with respect to both the application for leave to appeal and the appeal, for a total of $12,532.04.  Two objections to the City’s bill of costs have been raised: one by Richard and Sharon Rossy and the other by the SAAQ.</w:t>
      </w:r>
    </w:p>
    <w:p w:rsidR="00A577B7" w:rsidRPr="00D0491A" w:rsidRDefault="00A577B7" w:rsidP="00A577B7">
      <w:pPr>
        <w:jc w:val="both"/>
        <w:rPr>
          <w:sz w:val="20"/>
          <w:szCs w:val="20"/>
        </w:rPr>
      </w:pPr>
    </w:p>
    <w:p w:rsidR="00A577B7" w:rsidRPr="00D0491A" w:rsidRDefault="00A577B7" w:rsidP="00A577B7">
      <w:pPr>
        <w:pStyle w:val="ListParagraph"/>
        <w:numPr>
          <w:ilvl w:val="0"/>
          <w:numId w:val="12"/>
        </w:numPr>
        <w:spacing w:line="276" w:lineRule="auto"/>
        <w:ind w:left="360"/>
        <w:jc w:val="both"/>
        <w:rPr>
          <w:b/>
          <w:i/>
          <w:sz w:val="20"/>
          <w:szCs w:val="20"/>
        </w:rPr>
      </w:pPr>
      <w:r w:rsidRPr="00D0491A">
        <w:rPr>
          <w:b/>
          <w:i/>
          <w:sz w:val="20"/>
          <w:szCs w:val="20"/>
        </w:rPr>
        <w:t>Objection of Richard and Sharon Rossy</w:t>
      </w:r>
    </w:p>
    <w:p w:rsidR="00A577B7" w:rsidRDefault="00A577B7" w:rsidP="00A577B7">
      <w:pPr>
        <w:jc w:val="both"/>
        <w:rPr>
          <w:sz w:val="20"/>
          <w:szCs w:val="20"/>
        </w:rPr>
      </w:pPr>
    </w:p>
    <w:p w:rsidR="00A577B7" w:rsidRPr="00D0491A" w:rsidRDefault="00A577B7" w:rsidP="00A577B7">
      <w:pPr>
        <w:jc w:val="both"/>
        <w:rPr>
          <w:sz w:val="20"/>
          <w:szCs w:val="20"/>
        </w:rPr>
      </w:pPr>
      <w:r w:rsidRPr="00D0491A">
        <w:rPr>
          <w:sz w:val="20"/>
          <w:szCs w:val="20"/>
        </w:rPr>
        <w:t>In the opinion of Richard and Sharon Rossy, the amount of $2,574.70 claimed by the City for the reproduction of documents related to the application for leave is excessive.  They point out that the amount claimed for reproduction costs in respect of the appeal is similar, at $3,188.01.</w:t>
      </w:r>
    </w:p>
    <w:p w:rsidR="00A577B7" w:rsidRPr="00D0491A" w:rsidRDefault="00A577B7" w:rsidP="00A577B7">
      <w:pPr>
        <w:jc w:val="both"/>
        <w:rPr>
          <w:sz w:val="20"/>
          <w:szCs w:val="20"/>
        </w:rPr>
      </w:pPr>
    </w:p>
    <w:p w:rsidR="00A577B7" w:rsidRPr="00D0491A" w:rsidRDefault="00A577B7" w:rsidP="00A577B7">
      <w:pPr>
        <w:jc w:val="both"/>
        <w:rPr>
          <w:sz w:val="20"/>
          <w:szCs w:val="20"/>
        </w:rPr>
      </w:pPr>
      <w:r w:rsidRPr="00D0491A">
        <w:rPr>
          <w:sz w:val="20"/>
          <w:szCs w:val="20"/>
        </w:rPr>
        <w:t>A review of the file shows no justification for reducing the above amounts claimed by the City.  Invoices supporting the claim have been filed in the record, and the amounts are not excessive.</w:t>
      </w:r>
    </w:p>
    <w:p w:rsidR="00A577B7" w:rsidRPr="00D0491A" w:rsidRDefault="00A577B7" w:rsidP="00A577B7">
      <w:pPr>
        <w:jc w:val="both"/>
        <w:rPr>
          <w:sz w:val="20"/>
          <w:szCs w:val="20"/>
        </w:rPr>
      </w:pPr>
    </w:p>
    <w:p w:rsidR="00A577B7" w:rsidRPr="00D0491A" w:rsidRDefault="00A577B7" w:rsidP="00A577B7">
      <w:pPr>
        <w:pStyle w:val="ListParagraph"/>
        <w:numPr>
          <w:ilvl w:val="0"/>
          <w:numId w:val="12"/>
        </w:numPr>
        <w:spacing w:line="276" w:lineRule="auto"/>
        <w:ind w:left="360"/>
        <w:jc w:val="both"/>
        <w:rPr>
          <w:b/>
          <w:i/>
          <w:sz w:val="20"/>
          <w:szCs w:val="20"/>
        </w:rPr>
      </w:pPr>
      <w:r w:rsidRPr="00D0491A">
        <w:rPr>
          <w:b/>
          <w:i/>
          <w:sz w:val="20"/>
          <w:szCs w:val="20"/>
        </w:rPr>
        <w:t>Objection of the SAAQ</w:t>
      </w:r>
    </w:p>
    <w:p w:rsidR="00A577B7" w:rsidRDefault="00A577B7" w:rsidP="00A577B7">
      <w:pPr>
        <w:jc w:val="both"/>
        <w:rPr>
          <w:sz w:val="20"/>
          <w:szCs w:val="20"/>
        </w:rPr>
      </w:pPr>
    </w:p>
    <w:p w:rsidR="00A577B7" w:rsidRPr="00D0491A" w:rsidRDefault="00A577B7" w:rsidP="00A577B7">
      <w:pPr>
        <w:jc w:val="both"/>
        <w:rPr>
          <w:sz w:val="20"/>
          <w:szCs w:val="20"/>
        </w:rPr>
      </w:pPr>
      <w:r w:rsidRPr="00D0491A">
        <w:rPr>
          <w:sz w:val="20"/>
          <w:szCs w:val="20"/>
        </w:rPr>
        <w:t>The SAAQ objects in part to the bill of costs on the ground that it was involved in the proceedings in the Court only as a “</w:t>
      </w:r>
      <w:r w:rsidRPr="00D0491A">
        <w:rPr>
          <w:i/>
          <w:sz w:val="20"/>
          <w:szCs w:val="20"/>
        </w:rPr>
        <w:t>mis en cause</w:t>
      </w:r>
      <w:r w:rsidRPr="00D0491A">
        <w:rPr>
          <w:sz w:val="20"/>
          <w:szCs w:val="20"/>
        </w:rPr>
        <w:t xml:space="preserve">” and that it did not participate actively in the appeal.  It admits that costs related to the application for leave to appeal can be claimed from it, but submits that costs related to the appeal on the merits cannot, given that it did not participate in the appeal.  It relies in support of this argument on the order of LeBel J. in </w:t>
      </w:r>
      <w:r w:rsidRPr="00D0491A">
        <w:rPr>
          <w:i/>
          <w:sz w:val="20"/>
          <w:szCs w:val="20"/>
        </w:rPr>
        <w:t>Kuwait Airways Corp. v. Iraq</w:t>
      </w:r>
      <w:r w:rsidRPr="00D0491A">
        <w:rPr>
          <w:sz w:val="20"/>
          <w:szCs w:val="20"/>
        </w:rPr>
        <w:t>, 2011 SCC 41, [2011] 3 S.C.R. 42 (“</w:t>
      </w:r>
      <w:r w:rsidRPr="00D0491A">
        <w:rPr>
          <w:i/>
          <w:sz w:val="20"/>
          <w:szCs w:val="20"/>
        </w:rPr>
        <w:t>Kuwait Airways</w:t>
      </w:r>
      <w:r w:rsidRPr="00D0491A">
        <w:rPr>
          <w:sz w:val="20"/>
          <w:szCs w:val="20"/>
        </w:rPr>
        <w:t>”).</w:t>
      </w:r>
    </w:p>
    <w:p w:rsidR="00A577B7" w:rsidRPr="00D0491A" w:rsidRDefault="00A577B7" w:rsidP="00A577B7">
      <w:pPr>
        <w:jc w:val="both"/>
        <w:rPr>
          <w:sz w:val="20"/>
          <w:szCs w:val="20"/>
        </w:rPr>
      </w:pPr>
    </w:p>
    <w:p w:rsidR="00A577B7" w:rsidRPr="00D0491A" w:rsidRDefault="00A577B7" w:rsidP="00A577B7">
      <w:pPr>
        <w:jc w:val="both"/>
        <w:rPr>
          <w:sz w:val="20"/>
          <w:szCs w:val="20"/>
        </w:rPr>
      </w:pPr>
      <w:r w:rsidRPr="00D0491A">
        <w:rPr>
          <w:sz w:val="20"/>
          <w:szCs w:val="20"/>
        </w:rPr>
        <w:t xml:space="preserve">In that case, the Court had allowed the appeal of the Kuwait Airways company “with costs throughout” and had drawn no distinctions between the two parties designated as respondents: the Republic of Iraq and the Bombardier Aerospace </w:t>
      </w:r>
      <w:proofErr w:type="gramStart"/>
      <w:r w:rsidRPr="00D0491A">
        <w:rPr>
          <w:sz w:val="20"/>
          <w:szCs w:val="20"/>
        </w:rPr>
        <w:t>company</w:t>
      </w:r>
      <w:proofErr w:type="gramEnd"/>
      <w:r w:rsidRPr="00D0491A">
        <w:rPr>
          <w:sz w:val="20"/>
          <w:szCs w:val="20"/>
        </w:rPr>
        <w:t xml:space="preserve"> (“Bombardier”).  Bombardier objected to the costs claimed from it by making a motion for revision of the costs order and for an extension of time to serve and file (r. 47 of the </w:t>
      </w:r>
      <w:r w:rsidRPr="00D0491A">
        <w:rPr>
          <w:i/>
          <w:sz w:val="20"/>
          <w:szCs w:val="20"/>
        </w:rPr>
        <w:t>Rules of the Supreme Court of Canada</w:t>
      </w:r>
      <w:r w:rsidRPr="00D0491A">
        <w:rPr>
          <w:sz w:val="20"/>
          <w:szCs w:val="20"/>
        </w:rPr>
        <w:t xml:space="preserve">, SOR/2002-156).  LeBel J. granted Bombardier’s application on the basis that, even though Bombardier had been designated a respondent under the </w:t>
      </w:r>
      <w:r w:rsidRPr="00D0491A">
        <w:rPr>
          <w:i/>
          <w:sz w:val="20"/>
          <w:szCs w:val="20"/>
        </w:rPr>
        <w:t>Rules</w:t>
      </w:r>
      <w:r w:rsidRPr="00D0491A">
        <w:rPr>
          <w:sz w:val="20"/>
          <w:szCs w:val="20"/>
        </w:rPr>
        <w:t>, it had not participated in the proceedings before the Court, and that the award of costs should not be interpreted as applying to it in the circumstances of that case.  Indeed, Bombardier had been joined to the proceedings because some airplanes it had sold to the Republic of Iraq that were still in its possession in Canada had been seized by Kuwait Airways as a precautionary measure in order to guarantee enforcement of a foreign judgment, if applicable (</w:t>
      </w:r>
      <w:r w:rsidRPr="00D0491A">
        <w:rPr>
          <w:i/>
          <w:sz w:val="20"/>
          <w:szCs w:val="20"/>
        </w:rPr>
        <w:t>Kuwait Airways Corp. v. Iraq</w:t>
      </w:r>
      <w:r w:rsidRPr="00D0491A">
        <w:rPr>
          <w:sz w:val="20"/>
          <w:szCs w:val="20"/>
        </w:rPr>
        <w:t>, 2010 SCC 40, [2010] 2 S.C.R. 571, at para. 3).  LeBel J. accordingly held that the award of costs did not apply to Bombardier and that the bill of costs could not be taxed against it.</w:t>
      </w:r>
    </w:p>
    <w:p w:rsidR="00A577B7" w:rsidRPr="00D0491A" w:rsidRDefault="00A577B7" w:rsidP="00A577B7">
      <w:pPr>
        <w:jc w:val="both"/>
        <w:rPr>
          <w:sz w:val="20"/>
          <w:szCs w:val="20"/>
        </w:rPr>
      </w:pPr>
    </w:p>
    <w:p w:rsidR="00A577B7" w:rsidRPr="00D0491A" w:rsidRDefault="00A577B7" w:rsidP="00A577B7">
      <w:pPr>
        <w:jc w:val="both"/>
        <w:rPr>
          <w:sz w:val="20"/>
          <w:szCs w:val="20"/>
        </w:rPr>
      </w:pPr>
      <w:r w:rsidRPr="00D0491A">
        <w:rPr>
          <w:sz w:val="20"/>
          <w:szCs w:val="20"/>
        </w:rPr>
        <w:t xml:space="preserve">When the Court awards costs, the Registrar’s jurisdiction is in my opinion limited to taxing them in accordance with the </w:t>
      </w:r>
      <w:r w:rsidRPr="00D0491A">
        <w:rPr>
          <w:i/>
          <w:sz w:val="20"/>
          <w:szCs w:val="20"/>
        </w:rPr>
        <w:t>Rules</w:t>
      </w:r>
      <w:r w:rsidRPr="00D0491A">
        <w:rPr>
          <w:sz w:val="20"/>
          <w:szCs w:val="20"/>
        </w:rPr>
        <w:t xml:space="preserve"> and with the current tariff (</w:t>
      </w:r>
      <w:r w:rsidRPr="00D0491A">
        <w:rPr>
          <w:i/>
          <w:sz w:val="20"/>
          <w:szCs w:val="20"/>
        </w:rPr>
        <w:t>Richman v. Wheaton</w:t>
      </w:r>
      <w:r w:rsidRPr="00D0491A">
        <w:rPr>
          <w:sz w:val="20"/>
          <w:szCs w:val="20"/>
        </w:rPr>
        <w:t xml:space="preserve"> (October 19, 1990)).  In the case at bar, the award of costs applied to all the respondents, including the SAAQ.  Here, unlike in </w:t>
      </w:r>
      <w:r w:rsidRPr="00D0491A">
        <w:rPr>
          <w:i/>
          <w:sz w:val="20"/>
          <w:szCs w:val="20"/>
        </w:rPr>
        <w:t>Kuwait Airways</w:t>
      </w:r>
      <w:r w:rsidRPr="00D0491A">
        <w:rPr>
          <w:sz w:val="20"/>
          <w:szCs w:val="20"/>
        </w:rPr>
        <w:t xml:space="preserve">, the SAAQ did not apply for revision of the costs order, nor did it seek, before the judgment was rendered, clarification of its status as a party to the case or of the extent to which it might be obligated to pay costs.  In my view, its request that the bill of costs not be taxed against it exceeds the scope of the taxation procedure, and to grant this request would amount to modifying the disposition of the Court’s judgment, which I do not have jurisdiction to do. </w:t>
      </w:r>
    </w:p>
    <w:p w:rsidR="00A577B7" w:rsidRPr="00D0491A" w:rsidRDefault="00A577B7" w:rsidP="00A577B7">
      <w:pPr>
        <w:jc w:val="both"/>
        <w:rPr>
          <w:sz w:val="20"/>
          <w:szCs w:val="20"/>
        </w:rPr>
      </w:pPr>
    </w:p>
    <w:p w:rsidR="00A577B7" w:rsidRPr="00D0491A" w:rsidRDefault="00A577B7" w:rsidP="00A577B7">
      <w:pPr>
        <w:jc w:val="both"/>
        <w:rPr>
          <w:b/>
          <w:sz w:val="20"/>
          <w:szCs w:val="20"/>
        </w:rPr>
      </w:pPr>
      <w:r w:rsidRPr="00D0491A">
        <w:rPr>
          <w:b/>
          <w:sz w:val="20"/>
          <w:szCs w:val="20"/>
        </w:rPr>
        <w:t>Conclusion</w:t>
      </w:r>
    </w:p>
    <w:p w:rsidR="00A577B7" w:rsidRPr="00D0491A" w:rsidRDefault="00A577B7" w:rsidP="00A577B7">
      <w:pPr>
        <w:jc w:val="both"/>
        <w:rPr>
          <w:sz w:val="20"/>
          <w:szCs w:val="20"/>
        </w:rPr>
      </w:pPr>
    </w:p>
    <w:p w:rsidR="00A577B7" w:rsidRPr="00D0491A" w:rsidRDefault="00A577B7" w:rsidP="00A577B7">
      <w:pPr>
        <w:jc w:val="both"/>
        <w:rPr>
          <w:sz w:val="20"/>
          <w:szCs w:val="20"/>
        </w:rPr>
      </w:pPr>
      <w:r w:rsidRPr="00D0491A">
        <w:rPr>
          <w:sz w:val="20"/>
          <w:szCs w:val="20"/>
        </w:rPr>
        <w:t>For the foregoing reasons, the City’s bill of costs will be taxed as filed.</w:t>
      </w:r>
    </w:p>
    <w:p w:rsidR="00A577B7" w:rsidRPr="00D0491A" w:rsidRDefault="00A577B7" w:rsidP="00A577B7">
      <w:pPr>
        <w:jc w:val="both"/>
        <w:rPr>
          <w:sz w:val="20"/>
          <w:szCs w:val="20"/>
        </w:rPr>
      </w:pPr>
    </w:p>
    <w:p w:rsidR="00A577B7" w:rsidRPr="00D0491A" w:rsidRDefault="00A577B7" w:rsidP="00A577B7">
      <w:pPr>
        <w:contextualSpacing/>
        <w:jc w:val="both"/>
        <w:rPr>
          <w:sz w:val="20"/>
          <w:szCs w:val="20"/>
        </w:rPr>
      </w:pPr>
      <w:r w:rsidRPr="00D0491A">
        <w:rPr>
          <w:sz w:val="20"/>
          <w:szCs w:val="20"/>
        </w:rPr>
        <w:t>In conclusion, I wish to thank Richard and Sharon Rossy, as well as counsel for the City and the SAAQ, for their helpful submissions.</w:t>
      </w:r>
    </w:p>
    <w:p w:rsidR="00831CA9" w:rsidRPr="00C50A5C" w:rsidRDefault="00831CA9" w:rsidP="00831CA9">
      <w:pPr>
        <w:tabs>
          <w:tab w:val="left" w:pos="-1440"/>
          <w:tab w:val="left" w:pos="-720"/>
        </w:tabs>
        <w:jc w:val="both"/>
        <w:rPr>
          <w:sz w:val="20"/>
          <w:szCs w:val="20"/>
        </w:rPr>
      </w:pPr>
    </w:p>
    <w:p w:rsidR="00831CA9" w:rsidRDefault="005F2BA7" w:rsidP="00831CA9">
      <w:pPr>
        <w:jc w:val="both"/>
        <w:rPr>
          <w:sz w:val="20"/>
          <w:szCs w:val="20"/>
          <w:lang w:val="fr-CA"/>
        </w:rPr>
      </w:pPr>
      <w:r w:rsidRPr="005F2BA7">
        <w:rPr>
          <w:sz w:val="20"/>
          <w:szCs w:val="20"/>
          <w:lang w:val="fr-CA"/>
        </w:rPr>
        <w:pict>
          <v:rect id="_x0000_i1140" style="width:2in;height:1pt" o:hrpct="0" o:hralign="center" o:hrstd="t" o:hrnoshade="t" o:hr="t" fillcolor="black [3213]" stroked="f"/>
        </w:pict>
      </w:r>
    </w:p>
    <w:p w:rsidR="00D004FC" w:rsidRPr="00C50A5C" w:rsidRDefault="00D004FC" w:rsidP="00831CA9">
      <w:pPr>
        <w:jc w:val="both"/>
        <w:rPr>
          <w:sz w:val="20"/>
          <w:szCs w:val="20"/>
          <w:lang w:val="fr-CA"/>
        </w:rPr>
      </w:pPr>
    </w:p>
    <w:p w:rsidR="00831CA9" w:rsidRPr="00C50A5C" w:rsidRDefault="00831CA9" w:rsidP="00831CA9">
      <w:pPr>
        <w:tabs>
          <w:tab w:val="left" w:pos="-1440"/>
          <w:tab w:val="left" w:pos="-720"/>
        </w:tabs>
        <w:spacing w:line="0" w:lineRule="atLeast"/>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7C5A5B"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9100FD" w:rsidTr="0010587F">
        <w:trPr>
          <w:cantSplit/>
        </w:trPr>
        <w:tc>
          <w:tcPr>
            <w:tcW w:w="2206" w:type="pct"/>
            <w:tcMar>
              <w:left w:w="0" w:type="dxa"/>
              <w:right w:w="0" w:type="dxa"/>
            </w:tcMar>
          </w:tcPr>
          <w:p w:rsidR="0010587F" w:rsidRPr="000B7F35" w:rsidRDefault="0010587F" w:rsidP="003B3977">
            <w:pPr>
              <w:rPr>
                <w:sz w:val="20"/>
                <w:szCs w:val="20"/>
                <w:lang w:val="fr-CA"/>
              </w:rPr>
            </w:pPr>
            <w:r w:rsidRPr="000B7F35">
              <w:rPr>
                <w:sz w:val="20"/>
                <w:szCs w:val="20"/>
                <w:lang w:val="fr-CA"/>
              </w:rPr>
              <w:t>06.0</w:t>
            </w:r>
            <w:r w:rsidR="000B7F35" w:rsidRPr="000B7F35">
              <w:rPr>
                <w:sz w:val="20"/>
                <w:szCs w:val="20"/>
                <w:lang w:val="fr-CA"/>
              </w:rPr>
              <w:t>8</w:t>
            </w:r>
            <w:r w:rsidRPr="000B7F35">
              <w:rPr>
                <w:sz w:val="20"/>
                <w:szCs w:val="20"/>
                <w:lang w:val="fr-CA"/>
              </w:rPr>
              <w:t>.201</w:t>
            </w:r>
            <w:r w:rsidR="000B7F35" w:rsidRPr="000B7F35">
              <w:rPr>
                <w:sz w:val="20"/>
                <w:szCs w:val="20"/>
                <w:lang w:val="fr-CA"/>
              </w:rPr>
              <w:t>3</w:t>
            </w:r>
          </w:p>
          <w:p w:rsidR="0010587F" w:rsidRPr="000B7F35" w:rsidRDefault="0010587F" w:rsidP="003B3977">
            <w:pPr>
              <w:rPr>
                <w:sz w:val="20"/>
                <w:szCs w:val="20"/>
                <w:lang w:val="fr-CA"/>
              </w:rPr>
            </w:pPr>
          </w:p>
          <w:p w:rsidR="0010587F" w:rsidRPr="000B7F35" w:rsidRDefault="000B7F35" w:rsidP="003B3977">
            <w:pPr>
              <w:rPr>
                <w:b/>
                <w:sz w:val="20"/>
                <w:szCs w:val="20"/>
                <w:lang w:val="fr-CA"/>
              </w:rPr>
            </w:pPr>
            <w:r w:rsidRPr="000B7F35">
              <w:rPr>
                <w:b/>
                <w:sz w:val="20"/>
                <w:szCs w:val="20"/>
                <w:lang w:val="fr-CA"/>
              </w:rPr>
              <w:t>Pétroliè</w:t>
            </w:r>
            <w:r w:rsidR="0010587F" w:rsidRPr="000B7F35">
              <w:rPr>
                <w:b/>
                <w:sz w:val="20"/>
                <w:szCs w:val="20"/>
                <w:lang w:val="fr-CA"/>
              </w:rPr>
              <w:t>re</w:t>
            </w:r>
            <w:r w:rsidRPr="000B7F35">
              <w:rPr>
                <w:b/>
                <w:sz w:val="20"/>
                <w:szCs w:val="20"/>
                <w:lang w:val="fr-CA"/>
              </w:rPr>
              <w:t xml:space="preserve"> Impéri</w:t>
            </w:r>
            <w:r w:rsidR="0010587F" w:rsidRPr="000B7F35">
              <w:rPr>
                <w:b/>
                <w:sz w:val="20"/>
                <w:szCs w:val="20"/>
                <w:lang w:val="fr-CA"/>
              </w:rPr>
              <w:t>a</w:t>
            </w:r>
            <w:r w:rsidRPr="000B7F35">
              <w:rPr>
                <w:b/>
                <w:sz w:val="20"/>
                <w:szCs w:val="20"/>
                <w:lang w:val="fr-CA"/>
              </w:rPr>
              <w:t>l</w:t>
            </w:r>
            <w:r w:rsidR="0010587F" w:rsidRPr="000B7F35">
              <w:rPr>
                <w:b/>
                <w:sz w:val="20"/>
                <w:szCs w:val="20"/>
                <w:lang w:val="fr-CA"/>
              </w:rPr>
              <w:t>e</w:t>
            </w:r>
          </w:p>
          <w:p w:rsidR="0010587F" w:rsidRPr="000B7F35" w:rsidRDefault="0010587F" w:rsidP="003B3977">
            <w:pPr>
              <w:rPr>
                <w:b/>
                <w:sz w:val="20"/>
                <w:szCs w:val="20"/>
                <w:lang w:val="fr-CA"/>
              </w:rPr>
            </w:pPr>
          </w:p>
          <w:p w:rsidR="0010587F" w:rsidRPr="000B7F35" w:rsidRDefault="0010587F" w:rsidP="003B3977">
            <w:pPr>
              <w:rPr>
                <w:b/>
                <w:sz w:val="20"/>
                <w:szCs w:val="20"/>
                <w:lang w:val="fr-CA"/>
              </w:rPr>
            </w:pPr>
            <w:r w:rsidRPr="000B7F35">
              <w:rPr>
                <w:b/>
                <w:sz w:val="20"/>
                <w:szCs w:val="20"/>
                <w:lang w:val="fr-CA"/>
              </w:rPr>
              <w:tab/>
            </w:r>
            <w:r w:rsidR="000B7F35" w:rsidRPr="000B7F35">
              <w:rPr>
                <w:b/>
                <w:sz w:val="20"/>
                <w:szCs w:val="20"/>
                <w:lang w:val="fr-CA"/>
              </w:rPr>
              <w:t>c</w:t>
            </w:r>
            <w:r w:rsidRPr="000B7F35">
              <w:rPr>
                <w:b/>
                <w:sz w:val="20"/>
                <w:szCs w:val="20"/>
                <w:lang w:val="fr-CA"/>
              </w:rPr>
              <w:t>. (3</w:t>
            </w:r>
            <w:r w:rsidR="000B7F35" w:rsidRPr="000B7F35">
              <w:rPr>
                <w:b/>
                <w:sz w:val="20"/>
                <w:szCs w:val="20"/>
                <w:lang w:val="fr-CA"/>
              </w:rPr>
              <w:t>5226</w:t>
            </w:r>
            <w:r w:rsidRPr="000B7F35">
              <w:rPr>
                <w:b/>
                <w:sz w:val="20"/>
                <w:szCs w:val="20"/>
                <w:lang w:val="fr-CA"/>
              </w:rPr>
              <w:t>)</w:t>
            </w:r>
          </w:p>
          <w:p w:rsidR="0010587F" w:rsidRPr="000B7F35" w:rsidRDefault="0010587F" w:rsidP="003B3977">
            <w:pPr>
              <w:rPr>
                <w:b/>
                <w:sz w:val="20"/>
                <w:szCs w:val="20"/>
                <w:lang w:val="fr-CA"/>
              </w:rPr>
            </w:pPr>
          </w:p>
          <w:p w:rsidR="0010587F" w:rsidRPr="000B7F35" w:rsidRDefault="000B7F35" w:rsidP="003B3977">
            <w:pPr>
              <w:rPr>
                <w:b/>
                <w:sz w:val="20"/>
                <w:szCs w:val="20"/>
                <w:lang w:val="fr-CA"/>
              </w:rPr>
            </w:pPr>
            <w:r w:rsidRPr="000B7F35">
              <w:rPr>
                <w:b/>
                <w:sz w:val="20"/>
                <w:szCs w:val="20"/>
                <w:lang w:val="fr-CA"/>
              </w:rPr>
              <w:t xml:space="preserve">Simon Jacques </w:t>
            </w:r>
            <w:r w:rsidR="0010587F" w:rsidRPr="000B7F35">
              <w:rPr>
                <w:b/>
                <w:sz w:val="20"/>
                <w:szCs w:val="20"/>
                <w:lang w:val="fr-CA"/>
              </w:rPr>
              <w:t>e</w:t>
            </w:r>
            <w:r>
              <w:rPr>
                <w:b/>
                <w:sz w:val="20"/>
                <w:szCs w:val="20"/>
                <w:lang w:val="fr-CA"/>
              </w:rPr>
              <w:t xml:space="preserve">t </w:t>
            </w:r>
            <w:r w:rsidR="0010587F" w:rsidRPr="000B7F35">
              <w:rPr>
                <w:b/>
                <w:sz w:val="20"/>
                <w:szCs w:val="20"/>
                <w:lang w:val="fr-CA"/>
              </w:rPr>
              <w:t>a</w:t>
            </w:r>
            <w:r>
              <w:rPr>
                <w:b/>
                <w:sz w:val="20"/>
                <w:szCs w:val="20"/>
                <w:lang w:val="fr-CA"/>
              </w:rPr>
              <w:t>u</w:t>
            </w:r>
            <w:r w:rsidR="0010587F" w:rsidRPr="000B7F35">
              <w:rPr>
                <w:b/>
                <w:sz w:val="20"/>
                <w:szCs w:val="20"/>
                <w:lang w:val="fr-CA"/>
              </w:rPr>
              <w:t>t</w:t>
            </w:r>
            <w:r>
              <w:rPr>
                <w:b/>
                <w:sz w:val="20"/>
                <w:szCs w:val="20"/>
                <w:lang w:val="fr-CA"/>
              </w:rPr>
              <w:t>r</w:t>
            </w:r>
            <w:r w:rsidR="0010587F" w:rsidRPr="000B7F35">
              <w:rPr>
                <w:b/>
                <w:sz w:val="20"/>
                <w:szCs w:val="20"/>
                <w:lang w:val="fr-CA"/>
              </w:rPr>
              <w:t>e</w:t>
            </w:r>
            <w:r>
              <w:rPr>
                <w:b/>
                <w:sz w:val="20"/>
                <w:szCs w:val="20"/>
                <w:lang w:val="fr-CA"/>
              </w:rPr>
              <w:t>s</w:t>
            </w:r>
            <w:r w:rsidR="0010587F" w:rsidRPr="000B7F35">
              <w:rPr>
                <w:b/>
                <w:sz w:val="20"/>
                <w:szCs w:val="20"/>
                <w:lang w:val="fr-CA"/>
              </w:rPr>
              <w:t xml:space="preserve"> (</w:t>
            </w:r>
            <w:r>
              <w:rPr>
                <w:b/>
                <w:sz w:val="20"/>
                <w:szCs w:val="20"/>
                <w:lang w:val="fr-CA"/>
              </w:rPr>
              <w:t>Qc</w:t>
            </w:r>
            <w:r w:rsidR="0010587F" w:rsidRPr="000B7F35">
              <w:rPr>
                <w:b/>
                <w:sz w:val="20"/>
                <w:szCs w:val="20"/>
                <w:lang w:val="fr-CA"/>
              </w:rPr>
              <w:t>)</w:t>
            </w:r>
          </w:p>
          <w:p w:rsidR="0010587F" w:rsidRPr="000B7F35" w:rsidRDefault="0010587F" w:rsidP="003B3977">
            <w:pPr>
              <w:rPr>
                <w:sz w:val="20"/>
                <w:szCs w:val="20"/>
                <w:lang w:val="fr-CA"/>
              </w:rPr>
            </w:pPr>
          </w:p>
          <w:p w:rsidR="0010587F" w:rsidRPr="003B3977" w:rsidRDefault="0010587F" w:rsidP="003B3977">
            <w:pPr>
              <w:rPr>
                <w:sz w:val="20"/>
                <w:szCs w:val="20"/>
              </w:rPr>
            </w:pPr>
            <w:r w:rsidRPr="003B3977">
              <w:rPr>
                <w:sz w:val="20"/>
                <w:szCs w:val="20"/>
              </w:rPr>
              <w:t>(A</w:t>
            </w:r>
            <w:r w:rsidR="000B7F35">
              <w:rPr>
                <w:sz w:val="20"/>
                <w:szCs w:val="20"/>
              </w:rPr>
              <w:t>utorisation</w:t>
            </w:r>
            <w:r w:rsidRPr="003B3977">
              <w:rPr>
                <w:sz w:val="20"/>
                <w:szCs w:val="20"/>
              </w:rPr>
              <w:t>)</w:t>
            </w:r>
          </w:p>
          <w:p w:rsidR="0010587F" w:rsidRPr="003B3977" w:rsidRDefault="0010587F" w:rsidP="003B3977">
            <w:pPr>
              <w:rPr>
                <w:sz w:val="20"/>
                <w:szCs w:val="20"/>
              </w:rPr>
            </w:pPr>
          </w:p>
          <w:p w:rsidR="0010587F" w:rsidRPr="003B3977" w:rsidRDefault="005F2BA7" w:rsidP="003B3977">
            <w:pPr>
              <w:rPr>
                <w:sz w:val="20"/>
                <w:szCs w:val="20"/>
                <w:lang w:val="fr-CA"/>
              </w:rPr>
            </w:pPr>
            <w:r w:rsidRPr="005F2BA7">
              <w:rPr>
                <w:sz w:val="20"/>
                <w:szCs w:val="20"/>
                <w:lang w:val="fr-CA"/>
              </w:rPr>
              <w:pict>
                <v:rect id="_x0000_i1143"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0B7F35" w:rsidRDefault="003C6B3A" w:rsidP="003B3977">
            <w:pPr>
              <w:rPr>
                <w:sz w:val="20"/>
                <w:szCs w:val="20"/>
                <w:lang w:val="fr-CA"/>
              </w:rPr>
            </w:pPr>
            <w:r>
              <w:rPr>
                <w:sz w:val="20"/>
                <w:szCs w:val="20"/>
                <w:lang w:val="fr-CA"/>
              </w:rPr>
              <w:t>06</w:t>
            </w:r>
            <w:r w:rsidR="0010587F" w:rsidRPr="000B7F35">
              <w:rPr>
                <w:sz w:val="20"/>
                <w:szCs w:val="20"/>
                <w:lang w:val="fr-CA"/>
              </w:rPr>
              <w:t>.0</w:t>
            </w:r>
            <w:r w:rsidR="000B7F35" w:rsidRPr="000B7F35">
              <w:rPr>
                <w:sz w:val="20"/>
                <w:szCs w:val="20"/>
                <w:lang w:val="fr-CA"/>
              </w:rPr>
              <w:t>8</w:t>
            </w:r>
            <w:r w:rsidR="0010587F" w:rsidRPr="000B7F35">
              <w:rPr>
                <w:sz w:val="20"/>
                <w:szCs w:val="20"/>
                <w:lang w:val="fr-CA"/>
              </w:rPr>
              <w:t>.201</w:t>
            </w:r>
            <w:r w:rsidR="000B7F35" w:rsidRPr="000B7F35">
              <w:rPr>
                <w:sz w:val="20"/>
                <w:szCs w:val="20"/>
                <w:lang w:val="fr-CA"/>
              </w:rPr>
              <w:t>3</w:t>
            </w:r>
          </w:p>
          <w:p w:rsidR="0010587F" w:rsidRPr="000B7F35" w:rsidRDefault="0010587F" w:rsidP="003B3977">
            <w:pPr>
              <w:rPr>
                <w:sz w:val="20"/>
                <w:szCs w:val="20"/>
                <w:lang w:val="fr-CA"/>
              </w:rPr>
            </w:pPr>
          </w:p>
          <w:p w:rsidR="0010587F" w:rsidRPr="000B7F35" w:rsidRDefault="009100FD" w:rsidP="003B3977">
            <w:pPr>
              <w:rPr>
                <w:b/>
                <w:sz w:val="20"/>
                <w:szCs w:val="20"/>
                <w:lang w:val="fr-CA"/>
              </w:rPr>
            </w:pPr>
            <w:r>
              <w:rPr>
                <w:b/>
                <w:sz w:val="20"/>
                <w:szCs w:val="20"/>
                <w:lang w:val="fr-CA"/>
              </w:rPr>
              <w:t xml:space="preserve">Couche-Tard inc., Alimentation Couche-Tard inc., Dépan-Escompte Couche-Tard inc. </w:t>
            </w:r>
            <w:r w:rsidR="0010587F" w:rsidRPr="000B7F35">
              <w:rPr>
                <w:b/>
                <w:sz w:val="20"/>
                <w:szCs w:val="20"/>
                <w:lang w:val="fr-CA"/>
              </w:rPr>
              <w:t>e</w:t>
            </w:r>
            <w:r>
              <w:rPr>
                <w:b/>
                <w:sz w:val="20"/>
                <w:szCs w:val="20"/>
                <w:lang w:val="fr-CA"/>
              </w:rPr>
              <w:t>t autres</w:t>
            </w:r>
          </w:p>
          <w:p w:rsidR="0010587F" w:rsidRPr="000B7F35" w:rsidRDefault="0010587F" w:rsidP="003B3977">
            <w:pPr>
              <w:rPr>
                <w:b/>
                <w:sz w:val="20"/>
                <w:szCs w:val="20"/>
                <w:lang w:val="fr-CA"/>
              </w:rPr>
            </w:pPr>
          </w:p>
          <w:p w:rsidR="0010587F" w:rsidRPr="000B7F35" w:rsidRDefault="0010587F" w:rsidP="003B3977">
            <w:pPr>
              <w:rPr>
                <w:b/>
                <w:sz w:val="20"/>
                <w:szCs w:val="20"/>
                <w:lang w:val="fr-CA"/>
              </w:rPr>
            </w:pPr>
            <w:r w:rsidRPr="000B7F35">
              <w:rPr>
                <w:b/>
                <w:sz w:val="20"/>
                <w:szCs w:val="20"/>
                <w:lang w:val="fr-CA"/>
              </w:rPr>
              <w:tab/>
            </w:r>
            <w:r w:rsidR="000B7F35" w:rsidRPr="000B7F35">
              <w:rPr>
                <w:b/>
                <w:sz w:val="20"/>
                <w:szCs w:val="20"/>
                <w:lang w:val="fr-CA"/>
              </w:rPr>
              <w:t>c</w:t>
            </w:r>
            <w:r w:rsidRPr="000B7F35">
              <w:rPr>
                <w:b/>
                <w:sz w:val="20"/>
                <w:szCs w:val="20"/>
                <w:lang w:val="fr-CA"/>
              </w:rPr>
              <w:t>. (3</w:t>
            </w:r>
            <w:r w:rsidR="000B7F35">
              <w:rPr>
                <w:b/>
                <w:sz w:val="20"/>
                <w:szCs w:val="20"/>
                <w:lang w:val="fr-CA"/>
              </w:rPr>
              <w:t>52</w:t>
            </w:r>
            <w:r w:rsidR="009100FD">
              <w:rPr>
                <w:b/>
                <w:sz w:val="20"/>
                <w:szCs w:val="20"/>
                <w:lang w:val="fr-CA"/>
              </w:rPr>
              <w:t>3</w:t>
            </w:r>
            <w:r w:rsidR="000B7F35">
              <w:rPr>
                <w:b/>
                <w:sz w:val="20"/>
                <w:szCs w:val="20"/>
                <w:lang w:val="fr-CA"/>
              </w:rPr>
              <w:t>1</w:t>
            </w:r>
            <w:r w:rsidRPr="000B7F35">
              <w:rPr>
                <w:b/>
                <w:sz w:val="20"/>
                <w:szCs w:val="20"/>
                <w:lang w:val="fr-CA"/>
              </w:rPr>
              <w:t>)</w:t>
            </w:r>
          </w:p>
          <w:p w:rsidR="0010587F" w:rsidRPr="000B7F35" w:rsidRDefault="0010587F" w:rsidP="003B3977">
            <w:pPr>
              <w:rPr>
                <w:b/>
                <w:sz w:val="20"/>
                <w:szCs w:val="20"/>
                <w:lang w:val="fr-CA"/>
              </w:rPr>
            </w:pPr>
          </w:p>
          <w:p w:rsidR="0010587F" w:rsidRPr="003B3977" w:rsidRDefault="009100FD" w:rsidP="003B3977">
            <w:pPr>
              <w:rPr>
                <w:b/>
                <w:sz w:val="20"/>
                <w:szCs w:val="20"/>
                <w:lang w:val="fr-CA"/>
              </w:rPr>
            </w:pPr>
            <w:r w:rsidRPr="000B7F35">
              <w:rPr>
                <w:b/>
                <w:sz w:val="20"/>
                <w:szCs w:val="20"/>
                <w:lang w:val="fr-CA"/>
              </w:rPr>
              <w:t>Simon Jacques e</w:t>
            </w:r>
            <w:r>
              <w:rPr>
                <w:b/>
                <w:sz w:val="20"/>
                <w:szCs w:val="20"/>
                <w:lang w:val="fr-CA"/>
              </w:rPr>
              <w:t xml:space="preserve">t </w:t>
            </w:r>
            <w:r w:rsidRPr="000B7F35">
              <w:rPr>
                <w:b/>
                <w:sz w:val="20"/>
                <w:szCs w:val="20"/>
                <w:lang w:val="fr-CA"/>
              </w:rPr>
              <w:t>a</w:t>
            </w:r>
            <w:r>
              <w:rPr>
                <w:b/>
                <w:sz w:val="20"/>
                <w:szCs w:val="20"/>
                <w:lang w:val="fr-CA"/>
              </w:rPr>
              <w:t>u</w:t>
            </w:r>
            <w:r w:rsidRPr="000B7F35">
              <w:rPr>
                <w:b/>
                <w:sz w:val="20"/>
                <w:szCs w:val="20"/>
                <w:lang w:val="fr-CA"/>
              </w:rPr>
              <w:t>t</w:t>
            </w:r>
            <w:r>
              <w:rPr>
                <w:b/>
                <w:sz w:val="20"/>
                <w:szCs w:val="20"/>
                <w:lang w:val="fr-CA"/>
              </w:rPr>
              <w:t>r</w:t>
            </w:r>
            <w:r w:rsidRPr="000B7F35">
              <w:rPr>
                <w:b/>
                <w:sz w:val="20"/>
                <w:szCs w:val="20"/>
                <w:lang w:val="fr-CA"/>
              </w:rPr>
              <w:t>e</w:t>
            </w:r>
            <w:r>
              <w:rPr>
                <w:b/>
                <w:sz w:val="20"/>
                <w:szCs w:val="20"/>
                <w:lang w:val="fr-CA"/>
              </w:rPr>
              <w:t>s</w:t>
            </w:r>
            <w:r w:rsidRPr="000B7F35">
              <w:rPr>
                <w:b/>
                <w:sz w:val="20"/>
                <w:szCs w:val="20"/>
                <w:lang w:val="fr-CA"/>
              </w:rPr>
              <w:t xml:space="preserve"> </w:t>
            </w:r>
            <w:r w:rsidR="0010587F" w:rsidRPr="003B3977">
              <w:rPr>
                <w:b/>
                <w:sz w:val="20"/>
                <w:szCs w:val="20"/>
                <w:lang w:val="fr-CA"/>
              </w:rPr>
              <w:t>(</w:t>
            </w:r>
            <w:r w:rsidR="000B7F35">
              <w:rPr>
                <w:b/>
                <w:sz w:val="20"/>
                <w:szCs w:val="20"/>
                <w:lang w:val="fr-CA"/>
              </w:rPr>
              <w:t>Qc</w:t>
            </w:r>
            <w:r w:rsidR="0010587F" w:rsidRPr="003B3977">
              <w:rPr>
                <w:b/>
                <w:sz w:val="20"/>
                <w:szCs w:val="20"/>
                <w:lang w:val="fr-CA"/>
              </w:rPr>
              <w:t>)</w:t>
            </w:r>
          </w:p>
          <w:p w:rsidR="0010587F" w:rsidRPr="003B3977" w:rsidRDefault="0010587F" w:rsidP="003B3977">
            <w:pPr>
              <w:rPr>
                <w:sz w:val="20"/>
                <w:szCs w:val="20"/>
                <w:lang w:val="fr-CA"/>
              </w:rPr>
            </w:pPr>
          </w:p>
          <w:p w:rsidR="0010587F" w:rsidRPr="009100FD" w:rsidRDefault="0010587F" w:rsidP="003B3977">
            <w:pPr>
              <w:rPr>
                <w:sz w:val="20"/>
                <w:szCs w:val="20"/>
                <w:lang w:val="fr-CA"/>
              </w:rPr>
            </w:pPr>
            <w:r w:rsidRPr="009100FD">
              <w:rPr>
                <w:sz w:val="20"/>
                <w:szCs w:val="20"/>
                <w:lang w:val="fr-CA"/>
              </w:rPr>
              <w:t>(A</w:t>
            </w:r>
            <w:r w:rsidR="000B7F35" w:rsidRPr="009100FD">
              <w:rPr>
                <w:sz w:val="20"/>
                <w:szCs w:val="20"/>
                <w:lang w:val="fr-CA"/>
              </w:rPr>
              <w:t>ut</w:t>
            </w:r>
            <w:r w:rsidRPr="009100FD">
              <w:rPr>
                <w:sz w:val="20"/>
                <w:szCs w:val="20"/>
                <w:lang w:val="fr-CA"/>
              </w:rPr>
              <w:t>o</w:t>
            </w:r>
            <w:r w:rsidR="000B7F35" w:rsidRPr="009100FD">
              <w:rPr>
                <w:sz w:val="20"/>
                <w:szCs w:val="20"/>
                <w:lang w:val="fr-CA"/>
              </w:rPr>
              <w:t>r</w:t>
            </w:r>
            <w:r w:rsidRPr="009100FD">
              <w:rPr>
                <w:sz w:val="20"/>
                <w:szCs w:val="20"/>
                <w:lang w:val="fr-CA"/>
              </w:rPr>
              <w:t>i</w:t>
            </w:r>
            <w:r w:rsidR="000B7F35" w:rsidRPr="009100FD">
              <w:rPr>
                <w:sz w:val="20"/>
                <w:szCs w:val="20"/>
                <w:lang w:val="fr-CA"/>
              </w:rPr>
              <w:t>sa</w:t>
            </w:r>
            <w:r w:rsidRPr="009100FD">
              <w:rPr>
                <w:sz w:val="20"/>
                <w:szCs w:val="20"/>
                <w:lang w:val="fr-CA"/>
              </w:rPr>
              <w:t>t</w:t>
            </w:r>
            <w:r w:rsidR="000B7F35" w:rsidRPr="009100FD">
              <w:rPr>
                <w:sz w:val="20"/>
                <w:szCs w:val="20"/>
                <w:lang w:val="fr-CA"/>
              </w:rPr>
              <w:t>ion</w:t>
            </w:r>
            <w:r w:rsidRPr="009100FD">
              <w:rPr>
                <w:sz w:val="20"/>
                <w:szCs w:val="20"/>
                <w:lang w:val="fr-CA"/>
              </w:rPr>
              <w:t>)</w:t>
            </w:r>
          </w:p>
          <w:p w:rsidR="0010587F" w:rsidRPr="009100FD" w:rsidRDefault="0010587F" w:rsidP="003B3977">
            <w:pPr>
              <w:rPr>
                <w:sz w:val="20"/>
                <w:szCs w:val="20"/>
                <w:lang w:val="fr-CA"/>
              </w:rPr>
            </w:pPr>
          </w:p>
          <w:p w:rsidR="0010587F" w:rsidRPr="009100FD" w:rsidRDefault="005F2BA7" w:rsidP="003B3977">
            <w:pPr>
              <w:rPr>
                <w:sz w:val="20"/>
                <w:szCs w:val="20"/>
                <w:lang w:val="fr-CA"/>
              </w:rPr>
            </w:pPr>
            <w:r w:rsidRPr="005F2BA7">
              <w:rPr>
                <w:sz w:val="20"/>
                <w:szCs w:val="20"/>
                <w:lang w:val="fr-CA"/>
              </w:rPr>
              <w:pict>
                <v:rect id="_x0000_i1144" style="width:106.1pt;height:1pt" o:hrpct="500" o:hralign="center" o:hrstd="t" o:hrnoshade="t" o:hr="t" fillcolor="black [3213]" stroked="f"/>
              </w:pict>
            </w:r>
          </w:p>
        </w:tc>
      </w:tr>
      <w:tr w:rsidR="003C6B3A" w:rsidRPr="009100FD" w:rsidTr="0010587F">
        <w:trPr>
          <w:cantSplit/>
        </w:trPr>
        <w:tc>
          <w:tcPr>
            <w:tcW w:w="2206" w:type="pct"/>
            <w:tcMar>
              <w:left w:w="0" w:type="dxa"/>
              <w:right w:w="0" w:type="dxa"/>
            </w:tcMar>
          </w:tcPr>
          <w:p w:rsidR="003C6B3A" w:rsidRPr="000B7F35" w:rsidRDefault="003C6B3A" w:rsidP="003C6B3A">
            <w:pPr>
              <w:rPr>
                <w:sz w:val="20"/>
                <w:szCs w:val="20"/>
                <w:lang w:val="fr-CA"/>
              </w:rPr>
            </w:pPr>
            <w:r>
              <w:rPr>
                <w:sz w:val="20"/>
                <w:szCs w:val="20"/>
                <w:lang w:val="fr-CA"/>
              </w:rPr>
              <w:t>12</w:t>
            </w:r>
            <w:r w:rsidRPr="000B7F35">
              <w:rPr>
                <w:sz w:val="20"/>
                <w:szCs w:val="20"/>
                <w:lang w:val="fr-CA"/>
              </w:rPr>
              <w:t>.08.2013</w:t>
            </w:r>
          </w:p>
          <w:p w:rsidR="003C6B3A" w:rsidRPr="000B7F35" w:rsidRDefault="003C6B3A" w:rsidP="003C6B3A">
            <w:pPr>
              <w:rPr>
                <w:sz w:val="20"/>
                <w:szCs w:val="20"/>
                <w:lang w:val="fr-CA"/>
              </w:rPr>
            </w:pPr>
          </w:p>
          <w:p w:rsidR="003C6B3A" w:rsidRPr="000B7F35" w:rsidRDefault="003C6B3A" w:rsidP="003C6B3A">
            <w:pPr>
              <w:rPr>
                <w:b/>
                <w:sz w:val="20"/>
                <w:szCs w:val="20"/>
                <w:lang w:val="fr-CA"/>
              </w:rPr>
            </w:pPr>
            <w:r w:rsidRPr="000B7F35">
              <w:rPr>
                <w:b/>
                <w:sz w:val="20"/>
                <w:szCs w:val="20"/>
                <w:lang w:val="fr-CA"/>
              </w:rPr>
              <w:t xml:space="preserve">École </w:t>
            </w:r>
            <w:r w:rsidR="001D7E7E">
              <w:rPr>
                <w:b/>
                <w:sz w:val="20"/>
                <w:szCs w:val="20"/>
                <w:lang w:val="fr-CA"/>
              </w:rPr>
              <w:t>s</w:t>
            </w:r>
            <w:r w:rsidRPr="000B7F35">
              <w:rPr>
                <w:b/>
                <w:sz w:val="20"/>
                <w:szCs w:val="20"/>
                <w:lang w:val="fr-CA"/>
              </w:rPr>
              <w:t>econdaire Loyola et autre</w:t>
            </w:r>
          </w:p>
          <w:p w:rsidR="003C6B3A" w:rsidRPr="000B7F35" w:rsidRDefault="003C6B3A" w:rsidP="003C6B3A">
            <w:pPr>
              <w:rPr>
                <w:b/>
                <w:sz w:val="20"/>
                <w:szCs w:val="20"/>
                <w:lang w:val="fr-CA"/>
              </w:rPr>
            </w:pPr>
          </w:p>
          <w:p w:rsidR="003C6B3A" w:rsidRPr="000B7F35" w:rsidRDefault="003C6B3A" w:rsidP="003C6B3A">
            <w:pPr>
              <w:rPr>
                <w:b/>
                <w:sz w:val="20"/>
                <w:szCs w:val="20"/>
                <w:lang w:val="fr-CA"/>
              </w:rPr>
            </w:pPr>
            <w:r w:rsidRPr="000B7F35">
              <w:rPr>
                <w:b/>
                <w:sz w:val="20"/>
                <w:szCs w:val="20"/>
                <w:lang w:val="fr-CA"/>
              </w:rPr>
              <w:tab/>
              <w:t>c. (3</w:t>
            </w:r>
            <w:r>
              <w:rPr>
                <w:b/>
                <w:sz w:val="20"/>
                <w:szCs w:val="20"/>
                <w:lang w:val="fr-CA"/>
              </w:rPr>
              <w:t>5201</w:t>
            </w:r>
            <w:r w:rsidRPr="000B7F35">
              <w:rPr>
                <w:b/>
                <w:sz w:val="20"/>
                <w:szCs w:val="20"/>
                <w:lang w:val="fr-CA"/>
              </w:rPr>
              <w:t>)</w:t>
            </w:r>
          </w:p>
          <w:p w:rsidR="003C6B3A" w:rsidRPr="000B7F35" w:rsidRDefault="003C6B3A" w:rsidP="003C6B3A">
            <w:pPr>
              <w:rPr>
                <w:b/>
                <w:sz w:val="20"/>
                <w:szCs w:val="20"/>
                <w:lang w:val="fr-CA"/>
              </w:rPr>
            </w:pPr>
          </w:p>
          <w:p w:rsidR="003C6B3A" w:rsidRPr="000B7F35" w:rsidRDefault="003C6B3A" w:rsidP="003C6B3A">
            <w:pPr>
              <w:rPr>
                <w:b/>
                <w:sz w:val="20"/>
                <w:szCs w:val="20"/>
                <w:lang w:val="fr-CA"/>
              </w:rPr>
            </w:pPr>
            <w:r>
              <w:rPr>
                <w:b/>
                <w:sz w:val="20"/>
                <w:szCs w:val="20"/>
                <w:lang w:val="fr-CA"/>
              </w:rPr>
              <w:t>Procureur général du Québec (Qc)</w:t>
            </w:r>
          </w:p>
          <w:p w:rsidR="003C6B3A" w:rsidRPr="000B7F35" w:rsidRDefault="003C6B3A" w:rsidP="003C6B3A">
            <w:pPr>
              <w:rPr>
                <w:sz w:val="20"/>
                <w:szCs w:val="20"/>
                <w:lang w:val="fr-CA"/>
              </w:rPr>
            </w:pPr>
          </w:p>
          <w:p w:rsidR="003C6B3A" w:rsidRPr="009100FD" w:rsidRDefault="003C6B3A" w:rsidP="003C6B3A">
            <w:pPr>
              <w:rPr>
                <w:sz w:val="20"/>
                <w:szCs w:val="20"/>
                <w:lang w:val="fr-CA"/>
              </w:rPr>
            </w:pPr>
            <w:r w:rsidRPr="009100FD">
              <w:rPr>
                <w:sz w:val="20"/>
                <w:szCs w:val="20"/>
                <w:lang w:val="fr-CA"/>
              </w:rPr>
              <w:t>(Autorisation)</w:t>
            </w:r>
          </w:p>
          <w:p w:rsidR="003C6B3A" w:rsidRPr="009100FD" w:rsidRDefault="003C6B3A" w:rsidP="003C6B3A">
            <w:pPr>
              <w:rPr>
                <w:sz w:val="20"/>
                <w:szCs w:val="20"/>
                <w:lang w:val="fr-CA"/>
              </w:rPr>
            </w:pPr>
          </w:p>
          <w:p w:rsidR="003C6B3A" w:rsidRPr="000B7F35" w:rsidRDefault="005F2BA7" w:rsidP="003C6B3A">
            <w:pPr>
              <w:rPr>
                <w:sz w:val="20"/>
                <w:szCs w:val="20"/>
                <w:lang w:val="fr-CA"/>
              </w:rPr>
            </w:pPr>
            <w:r w:rsidRPr="005F2BA7">
              <w:rPr>
                <w:sz w:val="20"/>
                <w:szCs w:val="20"/>
                <w:lang w:val="fr-CA"/>
              </w:rPr>
              <w:pict>
                <v:rect id="_x0000_i1145" style="width:106.1pt;height:1pt" o:hrpct="500" o:hralign="center" o:hrstd="t" o:hrnoshade="t" o:hr="t" fillcolor="black [3213]" stroked="f"/>
              </w:pict>
            </w:r>
          </w:p>
        </w:tc>
        <w:tc>
          <w:tcPr>
            <w:tcW w:w="588" w:type="pct"/>
          </w:tcPr>
          <w:p w:rsidR="003C6B3A" w:rsidRPr="009100FD" w:rsidRDefault="003C6B3A" w:rsidP="0010587F">
            <w:pPr>
              <w:jc w:val="center"/>
              <w:rPr>
                <w:sz w:val="20"/>
                <w:szCs w:val="20"/>
                <w:lang w:val="fr-CA"/>
              </w:rPr>
            </w:pPr>
          </w:p>
          <w:p w:rsidR="003C6B3A" w:rsidRPr="009100FD" w:rsidRDefault="003C6B3A" w:rsidP="0010587F">
            <w:pPr>
              <w:jc w:val="center"/>
              <w:rPr>
                <w:sz w:val="20"/>
                <w:szCs w:val="20"/>
                <w:lang w:val="fr-CA"/>
              </w:rPr>
            </w:pPr>
          </w:p>
          <w:p w:rsidR="003C6B3A" w:rsidRPr="009100FD" w:rsidRDefault="003C6B3A" w:rsidP="0010587F">
            <w:pPr>
              <w:jc w:val="center"/>
              <w:rPr>
                <w:sz w:val="20"/>
                <w:szCs w:val="20"/>
                <w:lang w:val="fr-CA"/>
              </w:rPr>
            </w:pPr>
          </w:p>
          <w:p w:rsidR="003C6B3A" w:rsidRPr="009100FD" w:rsidRDefault="003C6B3A" w:rsidP="0010587F">
            <w:pPr>
              <w:jc w:val="center"/>
              <w:rPr>
                <w:sz w:val="20"/>
                <w:szCs w:val="20"/>
                <w:lang w:val="fr-CA"/>
              </w:rPr>
            </w:pPr>
          </w:p>
          <w:p w:rsidR="003C6B3A" w:rsidRPr="009100FD" w:rsidRDefault="003C6B3A" w:rsidP="0010587F">
            <w:pPr>
              <w:jc w:val="center"/>
              <w:rPr>
                <w:sz w:val="20"/>
                <w:szCs w:val="20"/>
                <w:lang w:val="fr-CA"/>
              </w:rPr>
            </w:pPr>
          </w:p>
          <w:p w:rsidR="003C6B3A" w:rsidRPr="009100FD" w:rsidRDefault="003C6B3A" w:rsidP="0010587F">
            <w:pPr>
              <w:jc w:val="center"/>
              <w:rPr>
                <w:sz w:val="20"/>
                <w:szCs w:val="20"/>
                <w:lang w:val="fr-CA"/>
              </w:rPr>
            </w:pPr>
          </w:p>
          <w:p w:rsidR="003C6B3A" w:rsidRPr="009100FD" w:rsidRDefault="003C6B3A" w:rsidP="0010587F">
            <w:pPr>
              <w:jc w:val="center"/>
              <w:rPr>
                <w:sz w:val="20"/>
                <w:szCs w:val="20"/>
                <w:lang w:val="fr-CA"/>
              </w:rPr>
            </w:pPr>
          </w:p>
          <w:p w:rsidR="003C6B3A" w:rsidRPr="009100FD" w:rsidRDefault="003C6B3A" w:rsidP="0010587F">
            <w:pPr>
              <w:jc w:val="center"/>
              <w:rPr>
                <w:sz w:val="20"/>
                <w:szCs w:val="20"/>
                <w:lang w:val="fr-CA"/>
              </w:rPr>
            </w:pPr>
          </w:p>
          <w:p w:rsidR="003C6B3A" w:rsidRPr="009100FD" w:rsidRDefault="003C6B3A" w:rsidP="0010587F">
            <w:pPr>
              <w:jc w:val="center"/>
              <w:rPr>
                <w:sz w:val="20"/>
                <w:szCs w:val="20"/>
                <w:lang w:val="fr-CA"/>
              </w:rPr>
            </w:pPr>
          </w:p>
          <w:p w:rsidR="003C6B3A" w:rsidRPr="009100FD" w:rsidRDefault="003C6B3A" w:rsidP="0010587F">
            <w:pPr>
              <w:jc w:val="center"/>
              <w:rPr>
                <w:sz w:val="20"/>
                <w:szCs w:val="20"/>
                <w:lang w:val="fr-CA"/>
              </w:rPr>
            </w:pPr>
          </w:p>
          <w:p w:rsidR="003C6B3A" w:rsidRPr="009100FD" w:rsidRDefault="003C6B3A" w:rsidP="0010587F">
            <w:pPr>
              <w:jc w:val="center"/>
              <w:rPr>
                <w:sz w:val="20"/>
                <w:szCs w:val="20"/>
                <w:lang w:val="fr-CA"/>
              </w:rPr>
            </w:pPr>
          </w:p>
        </w:tc>
        <w:tc>
          <w:tcPr>
            <w:tcW w:w="2206" w:type="pct"/>
          </w:tcPr>
          <w:p w:rsidR="003C6B3A" w:rsidRPr="000B7F35" w:rsidRDefault="003C6B3A" w:rsidP="003B3977">
            <w:pPr>
              <w:rPr>
                <w:sz w:val="20"/>
                <w:szCs w:val="20"/>
                <w:lang w:val="fr-CA"/>
              </w:rPr>
            </w:pPr>
          </w:p>
        </w:tc>
      </w:tr>
    </w:tbl>
    <w:p w:rsidR="00F40249" w:rsidRPr="009100FD" w:rsidRDefault="00F40249" w:rsidP="00F40249">
      <w:pPr>
        <w:rPr>
          <w:sz w:val="20"/>
          <w:szCs w:val="20"/>
          <w:lang w:val="fr-CA"/>
        </w:rPr>
      </w:pPr>
    </w:p>
    <w:p w:rsidR="0010587F" w:rsidRPr="009100FD" w:rsidRDefault="0010587F" w:rsidP="00F40249">
      <w:pPr>
        <w:rPr>
          <w:sz w:val="20"/>
          <w:szCs w:val="20"/>
          <w:lang w:val="fr-CA"/>
        </w:rPr>
      </w:pPr>
    </w:p>
    <w:p w:rsidR="00EB2B90" w:rsidRPr="009100FD" w:rsidRDefault="00EB2B90" w:rsidP="00F40249">
      <w:pPr>
        <w:rPr>
          <w:sz w:val="20"/>
          <w:szCs w:val="20"/>
          <w:lang w:val="fr-CA"/>
        </w:rPr>
        <w:sectPr w:rsidR="00EB2B90" w:rsidRPr="009100FD" w:rsidSect="00F4024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7C5A5B"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8D3207" w:rsidRDefault="00FF6EEC" w:rsidP="00FF6EEC">
      <w:pPr>
        <w:rPr>
          <w:sz w:val="20"/>
          <w:szCs w:val="20"/>
          <w:lang w:val="fr-CA"/>
        </w:rPr>
      </w:pPr>
    </w:p>
    <w:p w:rsidR="008D3207" w:rsidRPr="008D3207" w:rsidRDefault="008D3207" w:rsidP="00AF1715">
      <w:pPr>
        <w:rPr>
          <w:b/>
          <w:sz w:val="20"/>
          <w:szCs w:val="20"/>
        </w:rPr>
      </w:pPr>
      <w:r>
        <w:rPr>
          <w:b/>
          <w:sz w:val="20"/>
          <w:szCs w:val="20"/>
        </w:rPr>
        <w:t>AUGUST 1, 2013 / LE 1</w:t>
      </w:r>
      <w:r w:rsidRPr="008D3207">
        <w:rPr>
          <w:b/>
          <w:sz w:val="20"/>
          <w:szCs w:val="20"/>
          <w:vertAlign w:val="superscript"/>
        </w:rPr>
        <w:t>er</w:t>
      </w:r>
      <w:r>
        <w:rPr>
          <w:b/>
          <w:sz w:val="20"/>
          <w:szCs w:val="20"/>
        </w:rPr>
        <w:t xml:space="preserve"> AOÛT 2013</w:t>
      </w:r>
    </w:p>
    <w:p w:rsidR="008D3207" w:rsidRPr="008D3207" w:rsidRDefault="008D3207" w:rsidP="00AF1715">
      <w:pPr>
        <w:rPr>
          <w:sz w:val="20"/>
          <w:szCs w:val="20"/>
        </w:rPr>
      </w:pPr>
    </w:p>
    <w:p w:rsidR="008D3207" w:rsidRPr="00FD4B78" w:rsidRDefault="005F2BA7" w:rsidP="008D3207">
      <w:pPr>
        <w:tabs>
          <w:tab w:val="left" w:pos="0"/>
          <w:tab w:val="left" w:pos="1440"/>
        </w:tabs>
        <w:ind w:left="1440" w:hanging="1440"/>
        <w:jc w:val="both"/>
        <w:rPr>
          <w:sz w:val="20"/>
          <w:szCs w:val="20"/>
        </w:rPr>
      </w:pPr>
      <w:r w:rsidRPr="00FD4B78">
        <w:rPr>
          <w:b/>
          <w:sz w:val="20"/>
          <w:szCs w:val="20"/>
        </w:rPr>
        <w:fldChar w:fldCharType="begin"/>
      </w:r>
      <w:r w:rsidR="008D3207" w:rsidRPr="00FD4B78">
        <w:rPr>
          <w:b/>
          <w:sz w:val="20"/>
          <w:szCs w:val="20"/>
        </w:rPr>
        <w:instrText xml:space="preserve"> SEQ CHAPTER \h \r 1</w:instrText>
      </w:r>
      <w:r w:rsidRPr="00FD4B78">
        <w:rPr>
          <w:b/>
          <w:sz w:val="20"/>
          <w:szCs w:val="20"/>
        </w:rPr>
        <w:fldChar w:fldCharType="end"/>
      </w:r>
      <w:r w:rsidR="008D3207" w:rsidRPr="00FD4B78">
        <w:rPr>
          <w:b/>
          <w:sz w:val="20"/>
          <w:szCs w:val="20"/>
        </w:rPr>
        <w:t>34317</w:t>
      </w:r>
      <w:r w:rsidR="008D3207" w:rsidRPr="00FD4B78">
        <w:rPr>
          <w:b/>
          <w:sz w:val="20"/>
          <w:szCs w:val="20"/>
        </w:rPr>
        <w:tab/>
      </w:r>
      <w:r w:rsidR="008D3207" w:rsidRPr="00FD4B78">
        <w:rPr>
          <w:b/>
          <w:sz w:val="20"/>
          <w:szCs w:val="20"/>
          <w:u w:val="single"/>
        </w:rPr>
        <w:t>Her Majesty the Queen v. Criminal Lawyers’ Association of Ontario and Lawrence Greenspon - and - Attorney General of Canada, Attorney General of Quebec, Attorney General of Manitoba, Attorney General of British Columbia, British Columbia Civil Liberties Association, Advocates’ Society and Mental Health Legal Committee</w:t>
      </w:r>
      <w:r w:rsidR="008D3207" w:rsidRPr="00FD4B78">
        <w:rPr>
          <w:b/>
          <w:iCs/>
          <w:sz w:val="20"/>
          <w:szCs w:val="20"/>
          <w:u w:val="single"/>
        </w:rPr>
        <w:t xml:space="preserve"> </w:t>
      </w:r>
      <w:r w:rsidR="008D3207" w:rsidRPr="00FD4B78">
        <w:rPr>
          <w:iCs/>
          <w:sz w:val="20"/>
          <w:szCs w:val="20"/>
        </w:rPr>
        <w:t>(Ont.)</w:t>
      </w:r>
    </w:p>
    <w:p w:rsidR="008D3207" w:rsidRPr="00FD4B78" w:rsidRDefault="008D3207" w:rsidP="008D3207">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FD4B78">
        <w:rPr>
          <w:b/>
          <w:sz w:val="20"/>
          <w:szCs w:val="20"/>
        </w:rPr>
        <w:t>2013 SCC 43 / 2013 CSC 43</w:t>
      </w:r>
    </w:p>
    <w:p w:rsidR="008D3207" w:rsidRPr="00FD4B78" w:rsidRDefault="008D3207" w:rsidP="008D3207">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p>
    <w:p w:rsidR="008D3207" w:rsidRPr="00FD4B78" w:rsidRDefault="008D3207" w:rsidP="008D3207">
      <w:pPr>
        <w:ind w:left="1440" w:hanging="1440"/>
        <w:jc w:val="both"/>
        <w:rPr>
          <w:sz w:val="20"/>
          <w:szCs w:val="20"/>
          <w:u w:val="single"/>
        </w:rPr>
      </w:pPr>
      <w:r w:rsidRPr="00FD4B78">
        <w:rPr>
          <w:sz w:val="20"/>
          <w:szCs w:val="20"/>
        </w:rPr>
        <w:t>Coram:</w:t>
      </w:r>
      <w:r w:rsidRPr="00FD4B78">
        <w:rPr>
          <w:sz w:val="20"/>
          <w:szCs w:val="20"/>
        </w:rPr>
        <w:tab/>
      </w:r>
      <w:r w:rsidRPr="00FD4B78">
        <w:rPr>
          <w:sz w:val="20"/>
          <w:szCs w:val="20"/>
          <w:u w:val="single"/>
        </w:rPr>
        <w:t>McLachlin C.J. and LeBel, Fish, Abella, Rothstein, Cromwell, Moldaver, Karakatsanis and Wagner JJ.</w:t>
      </w:r>
    </w:p>
    <w:p w:rsidR="008D3207" w:rsidRPr="00FD4B78" w:rsidRDefault="008D3207" w:rsidP="008D3207">
      <w:pPr>
        <w:ind w:left="1440" w:hanging="1440"/>
        <w:jc w:val="both"/>
        <w:rPr>
          <w:sz w:val="20"/>
          <w:szCs w:val="20"/>
          <w:u w:val="single"/>
        </w:rPr>
      </w:pPr>
    </w:p>
    <w:p w:rsidR="008D3207" w:rsidRPr="00FD4B78" w:rsidRDefault="008D3207" w:rsidP="008D3207">
      <w:pPr>
        <w:jc w:val="both"/>
        <w:rPr>
          <w:rFonts w:eastAsia="Calibri"/>
          <w:sz w:val="20"/>
          <w:szCs w:val="20"/>
        </w:rPr>
      </w:pPr>
      <w:r w:rsidRPr="00FD4B78">
        <w:rPr>
          <w:rFonts w:eastAsia="Calibri"/>
          <w:sz w:val="20"/>
          <w:szCs w:val="20"/>
        </w:rPr>
        <w:t xml:space="preserve">The appeal from the judgment of the Court of Appeal for Ontario, Numbers C51139, C51166, C51456, C51877, 2011 ONCA 303, dated April 19, 2011, heard on December 12, 2012, is allowed.  </w:t>
      </w:r>
      <w:proofErr w:type="gramStart"/>
      <w:r w:rsidRPr="00FD4B78">
        <w:rPr>
          <w:rFonts w:eastAsia="Calibri"/>
          <w:sz w:val="20"/>
          <w:szCs w:val="20"/>
        </w:rPr>
        <w:t>LeBel, Fish, Abella and Cromwell JJ.</w:t>
      </w:r>
      <w:proofErr w:type="gramEnd"/>
      <w:r w:rsidRPr="00FD4B78">
        <w:rPr>
          <w:rFonts w:eastAsia="Calibri"/>
          <w:sz w:val="20"/>
          <w:szCs w:val="20"/>
        </w:rPr>
        <w:t xml:space="preserve"> </w:t>
      </w:r>
      <w:proofErr w:type="gramStart"/>
      <w:r w:rsidRPr="00FD4B78">
        <w:rPr>
          <w:rFonts w:eastAsia="Calibri"/>
          <w:sz w:val="20"/>
          <w:szCs w:val="20"/>
        </w:rPr>
        <w:t>dissenting</w:t>
      </w:r>
      <w:proofErr w:type="gramEnd"/>
      <w:r w:rsidRPr="00FD4B78">
        <w:rPr>
          <w:rFonts w:eastAsia="Calibri"/>
          <w:sz w:val="20"/>
          <w:szCs w:val="20"/>
        </w:rPr>
        <w:t>.  The parties will bear their own costs.</w:t>
      </w:r>
    </w:p>
    <w:p w:rsidR="008D3207" w:rsidRPr="00FD4B78" w:rsidRDefault="008D3207" w:rsidP="008D3207">
      <w:pPr>
        <w:jc w:val="both"/>
        <w:rPr>
          <w:rFonts w:eastAsia="Calibri"/>
          <w:sz w:val="20"/>
          <w:szCs w:val="20"/>
        </w:rPr>
      </w:pPr>
    </w:p>
    <w:p w:rsidR="008D3207" w:rsidRPr="00FD4B78" w:rsidRDefault="008D3207" w:rsidP="008D3207">
      <w:pPr>
        <w:jc w:val="both"/>
        <w:rPr>
          <w:sz w:val="20"/>
          <w:szCs w:val="20"/>
          <w:lang w:val="fr-CA"/>
        </w:rPr>
      </w:pPr>
      <w:r w:rsidRPr="00FD4B78">
        <w:rPr>
          <w:rFonts w:eastAsia="Calibri"/>
          <w:sz w:val="20"/>
          <w:szCs w:val="20"/>
          <w:lang w:val="fr-CA"/>
        </w:rPr>
        <w:t>L’appel interjeté contre l’arrêt de la Cour d’appel de l’Ontario, numéros C51139, C51166, C51456, C51877, 2011 ONCA 303, en date du 19 avril 2011, entendu le 12 décembre 2012, est accueilli.  Les juges LeBel, Fish, Abella et Cromwell sont dissidents.  Les parties assumeront leurs propres dépens.</w:t>
      </w:r>
    </w:p>
    <w:p w:rsidR="008D3207" w:rsidRPr="008D3207" w:rsidRDefault="008D3207" w:rsidP="00AF1715">
      <w:pPr>
        <w:rPr>
          <w:sz w:val="20"/>
          <w:szCs w:val="20"/>
          <w:lang w:val="fr-CA"/>
        </w:rPr>
      </w:pPr>
    </w:p>
    <w:p w:rsidR="00AF1715" w:rsidRPr="003B3977" w:rsidRDefault="005F2BA7" w:rsidP="00AF1715">
      <w:pPr>
        <w:spacing w:line="0" w:lineRule="atLeast"/>
        <w:rPr>
          <w:sz w:val="20"/>
          <w:szCs w:val="20"/>
        </w:rPr>
      </w:pPr>
      <w:r w:rsidRPr="005F2BA7">
        <w:rPr>
          <w:b/>
          <w:sz w:val="20"/>
          <w:szCs w:val="20"/>
        </w:rPr>
        <w:pict>
          <v:rect id="_x0000_i1148" style="width:144.3pt;height:1pt" o:hrpct="300" o:hralign="center" o:hrstd="t" o:hrnoshade="t" o:hr="t" fillcolor="black [3213]" stroked="f"/>
        </w:pict>
      </w:r>
    </w:p>
    <w:p w:rsidR="00AF1715" w:rsidRDefault="00AF1715" w:rsidP="00AF1715">
      <w:pPr>
        <w:spacing w:line="0" w:lineRule="atLeast"/>
        <w:rPr>
          <w:sz w:val="20"/>
          <w:szCs w:val="20"/>
        </w:rPr>
      </w:pPr>
    </w:p>
    <w:p w:rsidR="008D3207" w:rsidRPr="008D3207" w:rsidRDefault="008D3207" w:rsidP="008D3207">
      <w:pPr>
        <w:rPr>
          <w:b/>
          <w:sz w:val="20"/>
          <w:szCs w:val="20"/>
        </w:rPr>
      </w:pPr>
      <w:r>
        <w:rPr>
          <w:b/>
          <w:sz w:val="20"/>
          <w:szCs w:val="20"/>
        </w:rPr>
        <w:t>AUGUST 2, 2013 / LE 2 AOÛT 2013</w:t>
      </w:r>
    </w:p>
    <w:p w:rsidR="008D3207" w:rsidRDefault="008D3207" w:rsidP="00AF1715">
      <w:pPr>
        <w:spacing w:line="0" w:lineRule="atLeast"/>
        <w:rPr>
          <w:sz w:val="20"/>
          <w:szCs w:val="20"/>
        </w:rPr>
      </w:pPr>
    </w:p>
    <w:p w:rsidR="008D3207" w:rsidRPr="00E365B8" w:rsidRDefault="008D3207" w:rsidP="008D3207">
      <w:pPr>
        <w:pStyle w:val="SCCLsocParty"/>
        <w:ind w:left="1440" w:hanging="1440"/>
        <w:jc w:val="both"/>
        <w:rPr>
          <w:sz w:val="20"/>
          <w:szCs w:val="20"/>
          <w:lang w:val="en-CA"/>
        </w:rPr>
      </w:pPr>
      <w:r w:rsidRPr="00E365B8">
        <w:rPr>
          <w:rStyle w:val="Hyperlink"/>
          <w:b/>
          <w:color w:val="auto"/>
          <w:sz w:val="20"/>
          <w:szCs w:val="20"/>
          <w:u w:val="none"/>
          <w:lang w:val="en-CA"/>
        </w:rPr>
        <w:t>34429</w:t>
      </w:r>
      <w:r w:rsidRPr="00E365B8">
        <w:rPr>
          <w:rStyle w:val="Hyperlink"/>
          <w:b/>
          <w:color w:val="auto"/>
          <w:sz w:val="20"/>
          <w:szCs w:val="20"/>
          <w:u w:val="none"/>
          <w:lang w:val="en-CA"/>
        </w:rPr>
        <w:tab/>
      </w:r>
      <w:r w:rsidRPr="00E365B8">
        <w:rPr>
          <w:b/>
          <w:sz w:val="20"/>
          <w:szCs w:val="20"/>
          <w:u w:val="single"/>
          <w:lang w:val="en-CA"/>
        </w:rPr>
        <w:t xml:space="preserve">Marine Services International Limited and David Porter v. Estate of Joseph Ryan, by its Administratrix, Yvonne Ryan, Yvonne Ryan, in her own right, Stephen Ryan, a Minor, by his Guardian </w:t>
      </w:r>
      <w:r w:rsidRPr="00E365B8">
        <w:rPr>
          <w:b/>
          <w:i/>
          <w:sz w:val="20"/>
          <w:szCs w:val="20"/>
          <w:u w:val="single"/>
          <w:lang w:val="en-CA"/>
        </w:rPr>
        <w:t>ad litem</w:t>
      </w:r>
      <w:r w:rsidRPr="00E365B8">
        <w:rPr>
          <w:b/>
          <w:sz w:val="20"/>
          <w:szCs w:val="20"/>
          <w:u w:val="single"/>
          <w:lang w:val="en-CA"/>
        </w:rPr>
        <w:t xml:space="preserve">, Yvonne Ryan, Jennifer Ryan, a Minor, by her Guardian </w:t>
      </w:r>
      <w:r w:rsidRPr="00E365B8">
        <w:rPr>
          <w:b/>
          <w:i/>
          <w:sz w:val="20"/>
          <w:szCs w:val="20"/>
          <w:u w:val="single"/>
          <w:lang w:val="en-CA"/>
        </w:rPr>
        <w:t>ad litem</w:t>
      </w:r>
      <w:r w:rsidRPr="00E365B8">
        <w:rPr>
          <w:b/>
          <w:sz w:val="20"/>
          <w:szCs w:val="20"/>
          <w:u w:val="single"/>
          <w:lang w:val="en-CA"/>
        </w:rPr>
        <w:t xml:space="preserve">, Yvonne Ryan, Estate of David Ryan, by its Administratrix, Marilyn Ryan, Marilyn Ryan, in her own right, David Michael Ryan, a Minor, by his Guardian </w:t>
      </w:r>
      <w:r w:rsidRPr="00E365B8">
        <w:rPr>
          <w:b/>
          <w:i/>
          <w:sz w:val="20"/>
          <w:szCs w:val="20"/>
          <w:u w:val="single"/>
          <w:lang w:val="en-CA"/>
        </w:rPr>
        <w:t>ad litem</w:t>
      </w:r>
      <w:r w:rsidRPr="00E365B8">
        <w:rPr>
          <w:b/>
          <w:sz w:val="20"/>
          <w:szCs w:val="20"/>
          <w:u w:val="single"/>
          <w:lang w:val="en-CA"/>
        </w:rPr>
        <w:t>, Marilyn Ryan, J and Y Fisheries Inc. and D and M Fisheries Inc., bodies corporate, trading and operating as Ryan’s Fisheries Partnership, Universal Marine Limited and Attorney General of Canada - and - Attorney General of Ontario, Attorney General of Nova Scotia, Attorney General of British Columbia, Attorney General of Newfoundland and Labrador, Workplace Health, Safety and Compensation Commission and Workers’ Compensation Board of British Columbia</w:t>
      </w:r>
      <w:r w:rsidRPr="00E365B8">
        <w:rPr>
          <w:sz w:val="20"/>
          <w:szCs w:val="20"/>
          <w:lang w:val="en-CA"/>
        </w:rPr>
        <w:t xml:space="preserve"> (N.L.)</w:t>
      </w:r>
    </w:p>
    <w:p w:rsidR="008D3207" w:rsidRPr="00E365B8" w:rsidRDefault="008D3207" w:rsidP="008D3207">
      <w:pPr>
        <w:ind w:left="1440" w:hanging="1440"/>
        <w:rPr>
          <w:rFonts w:eastAsia="Calibri" w:cs="Times New Roman"/>
          <w:b/>
          <w:sz w:val="20"/>
          <w:szCs w:val="20"/>
        </w:rPr>
      </w:pPr>
      <w:r w:rsidRPr="00E365B8">
        <w:rPr>
          <w:rFonts w:eastAsia="Calibri" w:cs="Times New Roman"/>
          <w:b/>
          <w:sz w:val="20"/>
          <w:szCs w:val="20"/>
        </w:rPr>
        <w:tab/>
        <w:t>2013 SCC 44 / 2013 CSC 44</w:t>
      </w:r>
    </w:p>
    <w:p w:rsidR="008D3207" w:rsidRPr="00E365B8" w:rsidRDefault="008D3207" w:rsidP="008D3207">
      <w:pPr>
        <w:rPr>
          <w:rStyle w:val="Hyperlink"/>
          <w:rFonts w:eastAsia="Calibri" w:cs="Times New Roman"/>
          <w:color w:val="auto"/>
          <w:sz w:val="20"/>
          <w:szCs w:val="20"/>
        </w:rPr>
      </w:pPr>
    </w:p>
    <w:p w:rsidR="008D3207" w:rsidRPr="00E365B8" w:rsidRDefault="008D3207" w:rsidP="008D3207">
      <w:pPr>
        <w:ind w:left="1440" w:hanging="1440"/>
        <w:jc w:val="both"/>
        <w:rPr>
          <w:rFonts w:eastAsia="Calibri" w:cs="Times New Roman"/>
          <w:sz w:val="20"/>
          <w:szCs w:val="20"/>
        </w:rPr>
      </w:pPr>
      <w:r w:rsidRPr="00E365B8">
        <w:rPr>
          <w:rFonts w:eastAsia="Calibri" w:cs="Times New Roman"/>
          <w:sz w:val="20"/>
          <w:szCs w:val="20"/>
        </w:rPr>
        <w:t>Coram:</w:t>
      </w:r>
      <w:r w:rsidRPr="00E365B8">
        <w:rPr>
          <w:rFonts w:eastAsia="Calibri" w:cs="Times New Roman"/>
          <w:sz w:val="20"/>
          <w:szCs w:val="20"/>
        </w:rPr>
        <w:tab/>
      </w:r>
      <w:r w:rsidRPr="00E365B8">
        <w:rPr>
          <w:rFonts w:eastAsia="Calibri" w:cs="Times New Roman"/>
          <w:sz w:val="20"/>
          <w:szCs w:val="20"/>
          <w:u w:val="single"/>
        </w:rPr>
        <w:t>McLachlin C.J. and LeBel, Fish, Abella, Rothstein, Cromwell, Moldaver, Karakatsanis and Wagner JJ.</w:t>
      </w:r>
    </w:p>
    <w:p w:rsidR="008D3207" w:rsidRPr="00E365B8" w:rsidRDefault="008D3207" w:rsidP="008D3207">
      <w:pPr>
        <w:rPr>
          <w:rStyle w:val="Hyperlink"/>
          <w:rFonts w:eastAsia="Calibri" w:cs="Times New Roman"/>
          <w:color w:val="auto"/>
          <w:sz w:val="20"/>
          <w:szCs w:val="20"/>
        </w:rPr>
      </w:pPr>
    </w:p>
    <w:p w:rsidR="008D3207" w:rsidRPr="00B06510" w:rsidRDefault="008D3207" w:rsidP="008D3207">
      <w:pPr>
        <w:jc w:val="both"/>
        <w:rPr>
          <w:rFonts w:eastAsia="Calibri" w:cs="Times New Roman"/>
          <w:sz w:val="20"/>
          <w:szCs w:val="20"/>
        </w:rPr>
      </w:pPr>
      <w:r w:rsidRPr="00B06510">
        <w:rPr>
          <w:rFonts w:eastAsia="Calibri" w:cs="Times New Roman"/>
          <w:sz w:val="20"/>
          <w:szCs w:val="20"/>
        </w:rPr>
        <w:t xml:space="preserve">The appeal from the judgment </w:t>
      </w:r>
      <w:bookmarkStart w:id="3" w:name="BM_1_"/>
      <w:bookmarkEnd w:id="3"/>
      <w:r w:rsidRPr="00B06510">
        <w:rPr>
          <w:rFonts w:eastAsia="Calibri" w:cs="Times New Roman"/>
          <w:sz w:val="20"/>
          <w:szCs w:val="20"/>
        </w:rPr>
        <w:t xml:space="preserve">of the Supreme Court of Newfoundland and Labrador – Court of Appeal, Number 09/95, 2011 NLCA 42, dated June 15, 2011, heard on January 15, 2013, is allowed.  The Ryan Estates’ claims are barred by s. 44 of the </w:t>
      </w:r>
      <w:r w:rsidRPr="00B06510">
        <w:rPr>
          <w:rFonts w:eastAsia="Calibri" w:cs="Times New Roman"/>
          <w:i/>
          <w:sz w:val="20"/>
          <w:szCs w:val="20"/>
        </w:rPr>
        <w:t>Workplace Health, Safety and Compensation Act</w:t>
      </w:r>
      <w:r w:rsidRPr="00B06510">
        <w:rPr>
          <w:rFonts w:eastAsia="Calibri" w:cs="Times New Roman"/>
          <w:sz w:val="20"/>
          <w:szCs w:val="20"/>
        </w:rPr>
        <w:t>, R.S.N.L. 1990, c. W-11 and their action is dismissed.  There is no order as to costs.</w:t>
      </w:r>
    </w:p>
    <w:p w:rsidR="008D3207" w:rsidRPr="00B06510" w:rsidRDefault="008D3207" w:rsidP="008D3207">
      <w:pPr>
        <w:jc w:val="both"/>
        <w:rPr>
          <w:rFonts w:eastAsia="Calibri" w:cs="Times New Roman"/>
          <w:sz w:val="20"/>
          <w:szCs w:val="20"/>
        </w:rPr>
      </w:pPr>
    </w:p>
    <w:p w:rsidR="008D3207" w:rsidRPr="00B06510" w:rsidRDefault="008D3207" w:rsidP="008D3207">
      <w:pPr>
        <w:jc w:val="both"/>
        <w:rPr>
          <w:rFonts w:eastAsia="Calibri" w:cs="Times New Roman"/>
          <w:sz w:val="20"/>
          <w:szCs w:val="20"/>
        </w:rPr>
      </w:pPr>
      <w:r w:rsidRPr="00B06510">
        <w:rPr>
          <w:rFonts w:eastAsia="Calibri" w:cs="Times New Roman"/>
          <w:sz w:val="20"/>
          <w:szCs w:val="20"/>
        </w:rPr>
        <w:t>The constitutional questions are answered as follows:</w:t>
      </w:r>
    </w:p>
    <w:p w:rsidR="008D3207" w:rsidRPr="00B06510" w:rsidRDefault="008D3207" w:rsidP="008D3207">
      <w:pPr>
        <w:jc w:val="both"/>
        <w:rPr>
          <w:rFonts w:eastAsia="Calibri" w:cs="Times New Roman"/>
          <w:sz w:val="20"/>
          <w:szCs w:val="20"/>
        </w:rPr>
      </w:pPr>
    </w:p>
    <w:p w:rsidR="008D3207" w:rsidRPr="00B06510" w:rsidRDefault="008D3207" w:rsidP="008D3207">
      <w:pPr>
        <w:pStyle w:val="Citation-AltC"/>
        <w:spacing w:after="0"/>
        <w:ind w:left="0"/>
        <w:rPr>
          <w:sz w:val="20"/>
          <w:lang w:val="en-CA"/>
        </w:rPr>
      </w:pPr>
      <w:r w:rsidRPr="00B06510">
        <w:rPr>
          <w:sz w:val="20"/>
          <w:lang w:val="en-CA"/>
        </w:rPr>
        <w:t xml:space="preserve">1.  Is s. 44 of the </w:t>
      </w:r>
      <w:r w:rsidRPr="00B06510">
        <w:rPr>
          <w:i/>
          <w:sz w:val="20"/>
          <w:lang w:val="en-CA"/>
        </w:rPr>
        <w:t>Workplace Health, Safety and Compensation Act</w:t>
      </w:r>
      <w:r w:rsidRPr="00B06510">
        <w:rPr>
          <w:sz w:val="20"/>
          <w:lang w:val="en-CA"/>
        </w:rPr>
        <w:t xml:space="preserve">, R.S.N.L. 1990, c. W-11, constitutionally inoperative in respect of federal maritime negligence claims made pursuant to s. 6 of the </w:t>
      </w:r>
      <w:r w:rsidRPr="00B06510">
        <w:rPr>
          <w:i/>
          <w:sz w:val="20"/>
          <w:lang w:val="en-CA"/>
        </w:rPr>
        <w:t>Marine Liability Act</w:t>
      </w:r>
      <w:r w:rsidRPr="00B06510">
        <w:rPr>
          <w:sz w:val="20"/>
          <w:lang w:val="en-CA"/>
        </w:rPr>
        <w:t>, S.C. 2001, c. 6, by reason of the doctrine of federal paramountcy?</w:t>
      </w:r>
    </w:p>
    <w:p w:rsidR="008D3207" w:rsidRPr="00B06510" w:rsidRDefault="008D3207" w:rsidP="008D3207">
      <w:pPr>
        <w:pStyle w:val="Citation-AltC"/>
        <w:spacing w:after="0"/>
        <w:ind w:left="0"/>
        <w:rPr>
          <w:sz w:val="20"/>
          <w:lang w:val="en-CA"/>
        </w:rPr>
      </w:pPr>
    </w:p>
    <w:p w:rsidR="008D3207" w:rsidRPr="00B06510" w:rsidRDefault="008D3207" w:rsidP="008D3207">
      <w:pPr>
        <w:pStyle w:val="Citation-AltC"/>
        <w:spacing w:after="0"/>
        <w:ind w:left="0"/>
        <w:rPr>
          <w:sz w:val="20"/>
          <w:lang w:val="en-CA"/>
        </w:rPr>
      </w:pPr>
      <w:r w:rsidRPr="00B06510">
        <w:rPr>
          <w:sz w:val="20"/>
          <w:lang w:val="en-CA"/>
        </w:rPr>
        <w:t>Answer:  No.</w:t>
      </w:r>
    </w:p>
    <w:p w:rsidR="008D3207" w:rsidRPr="00B06510" w:rsidRDefault="008D3207" w:rsidP="008D3207">
      <w:pPr>
        <w:pStyle w:val="Citation-AltC"/>
        <w:spacing w:after="0"/>
        <w:ind w:left="0"/>
        <w:rPr>
          <w:sz w:val="20"/>
          <w:lang w:val="en-CA"/>
        </w:rPr>
      </w:pPr>
    </w:p>
    <w:p w:rsidR="008D3207" w:rsidRPr="00B06510" w:rsidRDefault="008D3207" w:rsidP="008D3207">
      <w:pPr>
        <w:pStyle w:val="Citation-AltC"/>
        <w:spacing w:after="0"/>
        <w:ind w:left="0"/>
        <w:rPr>
          <w:sz w:val="20"/>
          <w:lang w:val="en-CA"/>
        </w:rPr>
      </w:pPr>
      <w:r w:rsidRPr="00B06510">
        <w:rPr>
          <w:sz w:val="20"/>
          <w:lang w:val="en-CA"/>
        </w:rPr>
        <w:t xml:space="preserve">2.  Is s. 44 of the </w:t>
      </w:r>
      <w:r w:rsidRPr="00B06510">
        <w:rPr>
          <w:i/>
          <w:sz w:val="20"/>
          <w:lang w:val="en-CA"/>
        </w:rPr>
        <w:t>Workplace Health, Safety and Compensation Act</w:t>
      </w:r>
      <w:r w:rsidRPr="00B06510">
        <w:rPr>
          <w:sz w:val="20"/>
          <w:lang w:val="en-CA"/>
        </w:rPr>
        <w:t xml:space="preserve">, R.S.N.L. 1990, c. W-11, constitutionally inapplicable to federal maritime negligence claims made pursuant to s. 6 of the </w:t>
      </w:r>
      <w:r w:rsidRPr="00B06510">
        <w:rPr>
          <w:i/>
          <w:sz w:val="20"/>
          <w:lang w:val="en-CA"/>
        </w:rPr>
        <w:t>Marine Liability Act</w:t>
      </w:r>
      <w:r w:rsidRPr="00B06510">
        <w:rPr>
          <w:sz w:val="20"/>
          <w:lang w:val="en-CA"/>
        </w:rPr>
        <w:t>, S.C. 2001, c. 6, by reason of the doctrine of interjurisdictional immunity?</w:t>
      </w:r>
    </w:p>
    <w:p w:rsidR="008D3207" w:rsidRPr="00B06510" w:rsidRDefault="008D3207" w:rsidP="008D3207">
      <w:pPr>
        <w:pStyle w:val="Citation-AltC"/>
        <w:spacing w:after="0"/>
        <w:ind w:left="0"/>
        <w:rPr>
          <w:sz w:val="20"/>
          <w:lang w:val="en-CA"/>
        </w:rPr>
      </w:pPr>
    </w:p>
    <w:p w:rsidR="008D3207" w:rsidRPr="00B06510" w:rsidRDefault="008D3207" w:rsidP="008D3207">
      <w:pPr>
        <w:pStyle w:val="Citation-AltC"/>
        <w:spacing w:after="0"/>
        <w:ind w:left="0"/>
        <w:rPr>
          <w:sz w:val="20"/>
        </w:rPr>
      </w:pPr>
      <w:r w:rsidRPr="00B06510">
        <w:rPr>
          <w:sz w:val="20"/>
        </w:rPr>
        <w:t>Answer</w:t>
      </w:r>
      <w:proofErr w:type="gramStart"/>
      <w:r w:rsidRPr="00B06510">
        <w:rPr>
          <w:sz w:val="20"/>
        </w:rPr>
        <w:t>:  No</w:t>
      </w:r>
      <w:proofErr w:type="gramEnd"/>
      <w:r w:rsidRPr="00B06510">
        <w:rPr>
          <w:sz w:val="20"/>
        </w:rPr>
        <w:t>.</w:t>
      </w:r>
    </w:p>
    <w:p w:rsidR="008D3207" w:rsidRPr="00B06510" w:rsidRDefault="008D3207" w:rsidP="008D3207">
      <w:pPr>
        <w:rPr>
          <w:rStyle w:val="Hyperlink"/>
          <w:rFonts w:eastAsia="Calibri" w:cs="Times New Roman"/>
          <w:color w:val="0000FF"/>
          <w:sz w:val="20"/>
          <w:szCs w:val="20"/>
          <w:lang w:val="fr-CA"/>
        </w:rPr>
      </w:pPr>
    </w:p>
    <w:p w:rsidR="008D3207" w:rsidRDefault="008D3207" w:rsidP="008D3207">
      <w:pPr>
        <w:rPr>
          <w:rStyle w:val="Hyperlink"/>
          <w:sz w:val="20"/>
          <w:szCs w:val="20"/>
          <w:lang w:val="fr-CA"/>
        </w:rPr>
      </w:pPr>
    </w:p>
    <w:p w:rsidR="008D3207" w:rsidRPr="00B06510" w:rsidRDefault="008D3207" w:rsidP="008D3207">
      <w:pPr>
        <w:rPr>
          <w:rStyle w:val="Hyperlink"/>
          <w:rFonts w:eastAsia="Calibri" w:cs="Times New Roman"/>
          <w:color w:val="0000FF"/>
          <w:sz w:val="20"/>
          <w:szCs w:val="20"/>
          <w:lang w:val="fr-CA"/>
        </w:rPr>
      </w:pPr>
    </w:p>
    <w:p w:rsidR="008D3207" w:rsidRPr="00B06510" w:rsidRDefault="008D3207" w:rsidP="008D3207">
      <w:pPr>
        <w:jc w:val="both"/>
        <w:rPr>
          <w:rFonts w:eastAsia="Calibri" w:cs="Times New Roman"/>
          <w:sz w:val="20"/>
          <w:szCs w:val="20"/>
          <w:lang w:val="fr-CA"/>
        </w:rPr>
      </w:pPr>
      <w:r w:rsidRPr="00B06510">
        <w:rPr>
          <w:rFonts w:eastAsia="Calibri" w:cs="Times New Roman"/>
          <w:sz w:val="20"/>
          <w:szCs w:val="20"/>
          <w:lang w:val="fr-CA"/>
        </w:rPr>
        <w:t xml:space="preserve">L’appel interjeté contre l’arrêt de la Cour suprême de Terre-Neuve-et-Labrador – Cour d’appel, numéro 09/95, 2011 NLCA 42, en date du 15 juin 2011, entendu le 15 janvier 2013, est accueilli.  L’article 44 de la loi intitulée </w:t>
      </w:r>
      <w:r w:rsidRPr="00B06510">
        <w:rPr>
          <w:rFonts w:eastAsia="Calibri" w:cs="Times New Roman"/>
          <w:i/>
          <w:sz w:val="20"/>
          <w:szCs w:val="20"/>
          <w:lang w:val="fr-CA"/>
        </w:rPr>
        <w:t>Workplace Health, Safety and Compensation Act</w:t>
      </w:r>
      <w:r w:rsidRPr="00B06510">
        <w:rPr>
          <w:rFonts w:eastAsia="Calibri" w:cs="Times New Roman"/>
          <w:sz w:val="20"/>
          <w:szCs w:val="20"/>
          <w:lang w:val="fr-CA"/>
        </w:rPr>
        <w:t>, R.S.N.L. 1990, ch. W-11  fait obstacle aux réclamations des successions Ryan et leur action est rejetée. Il n’y a aucune ordonnance quant aux dépens.</w:t>
      </w:r>
    </w:p>
    <w:p w:rsidR="008D3207" w:rsidRPr="00B06510" w:rsidRDefault="008D3207" w:rsidP="008D3207">
      <w:pPr>
        <w:rPr>
          <w:rFonts w:eastAsia="Calibri" w:cs="Times New Roman"/>
          <w:sz w:val="20"/>
          <w:szCs w:val="20"/>
          <w:lang w:val="fr-CA"/>
        </w:rPr>
      </w:pPr>
    </w:p>
    <w:p w:rsidR="008D3207" w:rsidRPr="00B06510" w:rsidRDefault="008D3207" w:rsidP="008D3207">
      <w:pPr>
        <w:jc w:val="both"/>
        <w:rPr>
          <w:rFonts w:eastAsia="Calibri" w:cs="Times New Roman"/>
          <w:sz w:val="20"/>
          <w:szCs w:val="20"/>
          <w:lang w:val="fr-CA"/>
        </w:rPr>
      </w:pPr>
      <w:r w:rsidRPr="00B06510">
        <w:rPr>
          <w:rFonts w:eastAsia="Calibri" w:cs="Times New Roman"/>
          <w:sz w:val="20"/>
          <w:szCs w:val="20"/>
          <w:lang w:val="fr-CA"/>
        </w:rPr>
        <w:t>Les questions constitutionnelles reçoivent les réponses suivantes :</w:t>
      </w:r>
    </w:p>
    <w:p w:rsidR="008D3207" w:rsidRPr="00B06510" w:rsidRDefault="008D3207" w:rsidP="008D3207">
      <w:pPr>
        <w:jc w:val="both"/>
        <w:rPr>
          <w:rFonts w:eastAsia="Calibri" w:cs="Times New Roman"/>
          <w:sz w:val="20"/>
          <w:szCs w:val="20"/>
          <w:lang w:val="fr-CA"/>
        </w:rPr>
      </w:pPr>
    </w:p>
    <w:p w:rsidR="008D3207" w:rsidRPr="00B06510" w:rsidRDefault="008D3207" w:rsidP="008D3207">
      <w:pPr>
        <w:jc w:val="both"/>
        <w:rPr>
          <w:rFonts w:eastAsia="Calibri" w:cs="Times New Roman"/>
          <w:sz w:val="20"/>
          <w:szCs w:val="20"/>
          <w:lang w:val="fr-CA"/>
        </w:rPr>
      </w:pPr>
      <w:r w:rsidRPr="00B06510">
        <w:rPr>
          <w:rFonts w:eastAsia="Calibri" w:cs="Times New Roman"/>
          <w:sz w:val="20"/>
          <w:szCs w:val="20"/>
          <w:lang w:val="fr-CA"/>
        </w:rPr>
        <w:t xml:space="preserve">1.  Est-ce que l’art. 44 de la loi intitulée </w:t>
      </w:r>
      <w:r w:rsidRPr="00B06510">
        <w:rPr>
          <w:rFonts w:eastAsia="Calibri" w:cs="Times New Roman"/>
          <w:i/>
          <w:sz w:val="20"/>
          <w:szCs w:val="20"/>
          <w:lang w:val="fr-CA"/>
        </w:rPr>
        <w:t>Workplace Health, Safety and Compensation Act</w:t>
      </w:r>
      <w:r w:rsidRPr="00B06510">
        <w:rPr>
          <w:rFonts w:eastAsia="Calibri" w:cs="Times New Roman"/>
          <w:sz w:val="20"/>
          <w:szCs w:val="20"/>
          <w:lang w:val="fr-CA"/>
        </w:rPr>
        <w:t xml:space="preserve">, R.S.N.L. 1990, ch. W-11, est inopérant du point de vue constitutionnel, en raison de la doctrine de la prépondérance des lois fédérales, à l’égard des actions en négligence fondées sur le droit maritime fédéral qui sont présentées en vertu de l’art. 6 de la </w:t>
      </w:r>
      <w:r w:rsidRPr="00B06510">
        <w:rPr>
          <w:rFonts w:eastAsia="Calibri" w:cs="Times New Roman"/>
          <w:i/>
          <w:sz w:val="20"/>
          <w:szCs w:val="20"/>
          <w:lang w:val="fr-CA"/>
        </w:rPr>
        <w:t>Loi sur la responsabilité en matière maritime</w:t>
      </w:r>
      <w:r w:rsidRPr="00B06510">
        <w:rPr>
          <w:rFonts w:eastAsia="Calibri" w:cs="Times New Roman"/>
          <w:sz w:val="20"/>
          <w:szCs w:val="20"/>
          <w:lang w:val="fr-CA"/>
        </w:rPr>
        <w:t>, L.C. 2001, ch. 6?</w:t>
      </w:r>
    </w:p>
    <w:p w:rsidR="008D3207" w:rsidRPr="00B06510" w:rsidRDefault="008D3207" w:rsidP="008D3207">
      <w:pPr>
        <w:jc w:val="both"/>
        <w:rPr>
          <w:rFonts w:eastAsia="Calibri" w:cs="Times New Roman"/>
          <w:sz w:val="20"/>
          <w:szCs w:val="20"/>
          <w:lang w:val="fr-CA"/>
        </w:rPr>
      </w:pPr>
    </w:p>
    <w:p w:rsidR="008D3207" w:rsidRPr="00B06510" w:rsidRDefault="008D3207" w:rsidP="008D3207">
      <w:pPr>
        <w:jc w:val="both"/>
        <w:rPr>
          <w:rFonts w:eastAsia="Calibri" w:cs="Times New Roman"/>
          <w:sz w:val="20"/>
          <w:szCs w:val="20"/>
          <w:lang w:val="fr-CA"/>
        </w:rPr>
      </w:pPr>
      <w:r w:rsidRPr="00B06510">
        <w:rPr>
          <w:rFonts w:eastAsia="Calibri" w:cs="Times New Roman"/>
          <w:sz w:val="20"/>
          <w:szCs w:val="20"/>
          <w:lang w:val="fr-CA"/>
        </w:rPr>
        <w:t>Réponse : Non.</w:t>
      </w:r>
    </w:p>
    <w:p w:rsidR="008D3207" w:rsidRPr="00B06510" w:rsidRDefault="008D3207" w:rsidP="008D3207">
      <w:pPr>
        <w:jc w:val="both"/>
        <w:rPr>
          <w:rFonts w:eastAsia="Calibri" w:cs="Times New Roman"/>
          <w:sz w:val="20"/>
          <w:szCs w:val="20"/>
          <w:lang w:val="fr-CA"/>
        </w:rPr>
      </w:pPr>
    </w:p>
    <w:p w:rsidR="008D3207" w:rsidRPr="00B06510" w:rsidRDefault="008D3207" w:rsidP="008D3207">
      <w:pPr>
        <w:jc w:val="both"/>
        <w:rPr>
          <w:rFonts w:eastAsia="Calibri" w:cs="Times New Roman"/>
          <w:sz w:val="20"/>
          <w:szCs w:val="20"/>
          <w:lang w:val="fr-CA"/>
        </w:rPr>
      </w:pPr>
      <w:r w:rsidRPr="00B06510">
        <w:rPr>
          <w:rFonts w:eastAsia="Calibri" w:cs="Times New Roman"/>
          <w:sz w:val="20"/>
          <w:szCs w:val="20"/>
          <w:lang w:val="fr-CA"/>
        </w:rPr>
        <w:t xml:space="preserve">2.  Est-ce que l’art. 44 de la loi intitulée </w:t>
      </w:r>
      <w:r w:rsidRPr="00B06510">
        <w:rPr>
          <w:rFonts w:eastAsia="Calibri" w:cs="Times New Roman"/>
          <w:i/>
          <w:sz w:val="20"/>
          <w:szCs w:val="20"/>
          <w:lang w:val="fr-CA"/>
        </w:rPr>
        <w:t>Workplace Health, Safety and Compensation Act</w:t>
      </w:r>
      <w:r w:rsidRPr="00B06510">
        <w:rPr>
          <w:rFonts w:eastAsia="Calibri" w:cs="Times New Roman"/>
          <w:sz w:val="20"/>
          <w:szCs w:val="20"/>
          <w:lang w:val="fr-CA"/>
        </w:rPr>
        <w:t xml:space="preserve">, R.S.N.L. 1990, ch. W-11, est inapplicable du point de vue constitutionnel, en raison de la doctrine de l’exclusivité des compétences, à l’égard des actions en négligence fondées sur le droit maritime fédéral qui sont présentées en vertu de l’art. 6 de la </w:t>
      </w:r>
      <w:r w:rsidRPr="00B06510">
        <w:rPr>
          <w:rFonts w:eastAsia="Calibri" w:cs="Times New Roman"/>
          <w:i/>
          <w:sz w:val="20"/>
          <w:szCs w:val="20"/>
          <w:lang w:val="fr-CA"/>
        </w:rPr>
        <w:t>Loi sur la responsabilité en matière maritime</w:t>
      </w:r>
      <w:r w:rsidRPr="00B06510">
        <w:rPr>
          <w:rFonts w:eastAsia="Calibri" w:cs="Times New Roman"/>
          <w:sz w:val="20"/>
          <w:szCs w:val="20"/>
          <w:lang w:val="fr-CA"/>
        </w:rPr>
        <w:t>, L.C. 2001, ch. 6?</w:t>
      </w:r>
    </w:p>
    <w:p w:rsidR="008D3207" w:rsidRPr="00B06510" w:rsidRDefault="008D3207" w:rsidP="008D3207">
      <w:pPr>
        <w:jc w:val="both"/>
        <w:rPr>
          <w:rFonts w:eastAsia="Calibri" w:cs="Times New Roman"/>
          <w:sz w:val="20"/>
          <w:szCs w:val="20"/>
          <w:lang w:val="fr-CA"/>
        </w:rPr>
      </w:pPr>
    </w:p>
    <w:p w:rsidR="008D3207" w:rsidRPr="00B06510" w:rsidRDefault="008D3207" w:rsidP="008D3207">
      <w:pPr>
        <w:jc w:val="both"/>
        <w:rPr>
          <w:rFonts w:eastAsia="Calibri" w:cs="Times New Roman"/>
          <w:sz w:val="20"/>
          <w:szCs w:val="20"/>
          <w:lang w:val="fr-CA"/>
        </w:rPr>
      </w:pPr>
      <w:r w:rsidRPr="00B06510">
        <w:rPr>
          <w:rFonts w:eastAsia="Calibri" w:cs="Times New Roman"/>
          <w:sz w:val="20"/>
          <w:szCs w:val="20"/>
          <w:lang w:val="fr-CA"/>
        </w:rPr>
        <w:t>Réponse : Non.</w:t>
      </w:r>
    </w:p>
    <w:p w:rsidR="008D3207" w:rsidRDefault="008D3207" w:rsidP="00AF1715">
      <w:pPr>
        <w:spacing w:line="0" w:lineRule="atLeast"/>
        <w:rPr>
          <w:sz w:val="20"/>
          <w:szCs w:val="20"/>
        </w:rPr>
      </w:pPr>
    </w:p>
    <w:p w:rsidR="00AF1715" w:rsidRPr="006C5F7A" w:rsidRDefault="005F2BA7" w:rsidP="00AF1715">
      <w:pPr>
        <w:spacing w:line="0" w:lineRule="atLeast"/>
        <w:rPr>
          <w:rFonts w:cs="Times New Roman"/>
          <w:b/>
          <w:sz w:val="20"/>
          <w:szCs w:val="20"/>
        </w:rPr>
      </w:pPr>
      <w:r w:rsidRPr="005F2BA7">
        <w:rPr>
          <w:rFonts w:cs="Times New Roman"/>
          <w:b/>
          <w:sz w:val="20"/>
          <w:szCs w:val="20"/>
        </w:rPr>
        <w:pict>
          <v:rect id="_x0000_i1149" style="width:144.3pt;height:1pt" o:hrpct="300" o:hralign="center" o:hrstd="t" o:hrnoshade="t" o:hr="t" fillcolor="black [3213]" stroked="f"/>
        </w:pict>
      </w:r>
    </w:p>
    <w:p w:rsidR="00AF1715" w:rsidRPr="008D3207" w:rsidRDefault="00AF1715" w:rsidP="00AF1715">
      <w:pPr>
        <w:spacing w:line="0" w:lineRule="atLeast"/>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1542D3" w:rsidRPr="000C4A58" w:rsidRDefault="001542D3" w:rsidP="001542D3">
      <w:pPr>
        <w:ind w:left="720" w:hanging="720"/>
        <w:rPr>
          <w:rFonts w:eastAsia="Calibri" w:cs="Times New Roman"/>
          <w:sz w:val="20"/>
          <w:szCs w:val="20"/>
        </w:rPr>
      </w:pPr>
      <w:r w:rsidRPr="000C4A58">
        <w:rPr>
          <w:rFonts w:eastAsia="Calibri" w:cs="Times New Roman"/>
          <w:i/>
          <w:sz w:val="20"/>
          <w:szCs w:val="20"/>
        </w:rPr>
        <w:t>Her Majesty the Queen v. Criminal Lawyers' Association of Ontario et al.</w:t>
      </w:r>
      <w:r w:rsidRPr="000C4A58">
        <w:rPr>
          <w:rFonts w:eastAsia="Calibri" w:cs="Times New Roman"/>
          <w:sz w:val="20"/>
          <w:szCs w:val="20"/>
        </w:rPr>
        <w:t xml:space="preserve"> (Ont.) (34317)</w:t>
      </w:r>
    </w:p>
    <w:p w:rsidR="001542D3" w:rsidRDefault="001542D3" w:rsidP="001542D3">
      <w:pPr>
        <w:jc w:val="both"/>
        <w:rPr>
          <w:b/>
          <w:sz w:val="20"/>
          <w:szCs w:val="20"/>
        </w:rPr>
      </w:pPr>
      <w:r w:rsidRPr="00BA0058">
        <w:rPr>
          <w:b/>
          <w:sz w:val="20"/>
          <w:szCs w:val="20"/>
        </w:rPr>
        <w:t xml:space="preserve">Indexed as:  Ontario </w:t>
      </w:r>
      <w:r w:rsidRPr="00BA0058">
        <w:rPr>
          <w:b/>
          <w:i/>
          <w:sz w:val="20"/>
          <w:szCs w:val="20"/>
        </w:rPr>
        <w:t>v.</w:t>
      </w:r>
      <w:r w:rsidRPr="00BA0058">
        <w:rPr>
          <w:b/>
          <w:sz w:val="20"/>
          <w:szCs w:val="20"/>
        </w:rPr>
        <w:t xml:space="preserve"> Criminal Lawyers’ Association of Ontario</w:t>
      </w:r>
      <w:r>
        <w:rPr>
          <w:b/>
          <w:sz w:val="20"/>
          <w:szCs w:val="20"/>
        </w:rPr>
        <w:t xml:space="preserve"> / </w:t>
      </w:r>
    </w:p>
    <w:p w:rsidR="001542D3" w:rsidRPr="00017052" w:rsidRDefault="001542D3" w:rsidP="001542D3">
      <w:pPr>
        <w:jc w:val="both"/>
        <w:rPr>
          <w:b/>
          <w:sz w:val="20"/>
          <w:szCs w:val="20"/>
          <w:lang w:val="fr-CA"/>
        </w:rPr>
      </w:pPr>
      <w:r w:rsidRPr="00017052">
        <w:rPr>
          <w:b/>
          <w:sz w:val="20"/>
          <w:szCs w:val="20"/>
          <w:lang w:val="fr-CA"/>
        </w:rPr>
        <w:t xml:space="preserve">Répertorié : Ontario </w:t>
      </w:r>
      <w:r w:rsidRPr="00017052">
        <w:rPr>
          <w:b/>
          <w:i/>
          <w:sz w:val="20"/>
          <w:szCs w:val="20"/>
          <w:lang w:val="fr-CA"/>
        </w:rPr>
        <w:t>c.</w:t>
      </w:r>
      <w:r w:rsidRPr="00017052">
        <w:rPr>
          <w:b/>
          <w:sz w:val="20"/>
          <w:szCs w:val="20"/>
          <w:lang w:val="fr-CA"/>
        </w:rPr>
        <w:t xml:space="preserve"> Criminal Lawyers’ Association of Ontario</w:t>
      </w:r>
    </w:p>
    <w:p w:rsidR="005C6840" w:rsidRPr="003B3977" w:rsidRDefault="005C6840" w:rsidP="005C6840">
      <w:pPr>
        <w:pStyle w:val="SCCSystemYear"/>
        <w:jc w:val="both"/>
        <w:rPr>
          <w:sz w:val="20"/>
        </w:rPr>
      </w:pPr>
      <w:r w:rsidRPr="003B3977">
        <w:rPr>
          <w:sz w:val="20"/>
        </w:rPr>
        <w:t>Neutral citation</w:t>
      </w:r>
      <w:proofErr w:type="gramStart"/>
      <w:r w:rsidRPr="003B3977">
        <w:rPr>
          <w:sz w:val="20"/>
        </w:rPr>
        <w:t>:  201</w:t>
      </w:r>
      <w:r w:rsidR="00F761A3">
        <w:rPr>
          <w:sz w:val="20"/>
        </w:rPr>
        <w:t>3</w:t>
      </w:r>
      <w:proofErr w:type="gramEnd"/>
      <w:r w:rsidRPr="003B3977">
        <w:rPr>
          <w:sz w:val="20"/>
        </w:rPr>
        <w:t xml:space="preserve"> SCC </w:t>
      </w:r>
      <w:r w:rsidR="001542D3">
        <w:rPr>
          <w:sz w:val="20"/>
        </w:rPr>
        <w:t>43</w:t>
      </w:r>
      <w:r w:rsidRPr="003B3977">
        <w:rPr>
          <w:sz w:val="20"/>
        </w:rPr>
        <w:t xml:space="preserve"> / Référence neutre : 201</w:t>
      </w:r>
      <w:r w:rsidR="00F761A3">
        <w:rPr>
          <w:sz w:val="20"/>
        </w:rPr>
        <w:t>3</w:t>
      </w:r>
      <w:r w:rsidRPr="003B3977">
        <w:rPr>
          <w:sz w:val="20"/>
        </w:rPr>
        <w:t xml:space="preserve"> CSC </w:t>
      </w:r>
      <w:r w:rsidR="001542D3">
        <w:rPr>
          <w:sz w:val="20"/>
        </w:rPr>
        <w:t>43</w:t>
      </w:r>
    </w:p>
    <w:p w:rsidR="005C6840" w:rsidRPr="003B3977" w:rsidRDefault="005C6840" w:rsidP="005C6840">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xml:space="preserve">:  </w:t>
      </w:r>
      <w:r w:rsidR="001542D3">
        <w:rPr>
          <w:rFonts w:cs="Times New Roman"/>
          <w:sz w:val="20"/>
          <w:szCs w:val="20"/>
          <w:lang w:val="fr-CA"/>
        </w:rPr>
        <w:t>Decem</w:t>
      </w:r>
      <w:r w:rsidRPr="003B3977">
        <w:rPr>
          <w:rFonts w:cs="Times New Roman"/>
          <w:sz w:val="20"/>
          <w:szCs w:val="20"/>
          <w:lang w:val="fr-CA"/>
        </w:rPr>
        <w:t>ber</w:t>
      </w:r>
      <w:proofErr w:type="gramEnd"/>
      <w:r w:rsidRPr="003B3977">
        <w:rPr>
          <w:rFonts w:cs="Times New Roman"/>
          <w:sz w:val="20"/>
          <w:szCs w:val="20"/>
          <w:lang w:val="fr-CA"/>
        </w:rPr>
        <w:t xml:space="preserve"> </w:t>
      </w:r>
      <w:r w:rsidR="001542D3">
        <w:rPr>
          <w:rFonts w:cs="Times New Roman"/>
          <w:sz w:val="20"/>
          <w:szCs w:val="20"/>
          <w:lang w:val="fr-CA"/>
        </w:rPr>
        <w:t>12</w:t>
      </w:r>
      <w:r w:rsidRPr="003B3977">
        <w:rPr>
          <w:rFonts w:cs="Times New Roman"/>
          <w:sz w:val="20"/>
          <w:szCs w:val="20"/>
          <w:lang w:val="fr-CA"/>
        </w:rPr>
        <w:t>, 201</w:t>
      </w:r>
      <w:r w:rsidR="001542D3">
        <w:rPr>
          <w:rFonts w:cs="Times New Roman"/>
          <w:sz w:val="20"/>
          <w:szCs w:val="20"/>
          <w:lang w:val="fr-CA"/>
        </w:rPr>
        <w:t>2</w:t>
      </w:r>
      <w:r w:rsidRPr="003B3977">
        <w:rPr>
          <w:rFonts w:cs="Times New Roman"/>
          <w:sz w:val="20"/>
          <w:szCs w:val="20"/>
          <w:lang w:val="fr-CA"/>
        </w:rPr>
        <w:t xml:space="preserve"> / Judgment:  </w:t>
      </w:r>
      <w:r w:rsidR="001542D3">
        <w:rPr>
          <w:rFonts w:cs="Times New Roman"/>
          <w:sz w:val="20"/>
          <w:szCs w:val="20"/>
          <w:lang w:val="fr-CA"/>
        </w:rPr>
        <w:t>August 1</w:t>
      </w:r>
      <w:r w:rsidRPr="003B3977">
        <w:rPr>
          <w:rFonts w:cs="Times New Roman"/>
          <w:sz w:val="20"/>
          <w:szCs w:val="20"/>
          <w:lang w:val="fr-CA"/>
        </w:rPr>
        <w:t>, 201</w:t>
      </w:r>
      <w:r w:rsidR="001542D3">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1542D3">
        <w:rPr>
          <w:rFonts w:cs="Times New Roman"/>
          <w:sz w:val="20"/>
          <w:szCs w:val="20"/>
          <w:lang w:val="fr-CA"/>
        </w:rPr>
        <w:t>12 décem</w:t>
      </w:r>
      <w:r w:rsidRPr="003B3977">
        <w:rPr>
          <w:rFonts w:cs="Times New Roman"/>
          <w:sz w:val="20"/>
          <w:szCs w:val="20"/>
          <w:lang w:val="fr-CA"/>
        </w:rPr>
        <w:t>bre 201</w:t>
      </w:r>
      <w:r w:rsidR="001542D3">
        <w:rPr>
          <w:rFonts w:cs="Times New Roman"/>
          <w:sz w:val="20"/>
          <w:szCs w:val="20"/>
          <w:lang w:val="fr-CA"/>
        </w:rPr>
        <w:t>2</w:t>
      </w:r>
      <w:r w:rsidRPr="003B3977">
        <w:rPr>
          <w:rFonts w:cs="Times New Roman"/>
          <w:sz w:val="20"/>
          <w:szCs w:val="20"/>
          <w:lang w:val="fr-CA"/>
        </w:rPr>
        <w:t xml:space="preserve"> / Jugement : Le </w:t>
      </w:r>
      <w:r w:rsidR="001542D3">
        <w:rPr>
          <w:rFonts w:cs="Times New Roman"/>
          <w:sz w:val="20"/>
          <w:szCs w:val="20"/>
          <w:lang w:val="fr-CA"/>
        </w:rPr>
        <w:t>1</w:t>
      </w:r>
      <w:r w:rsidR="001542D3" w:rsidRPr="001542D3">
        <w:rPr>
          <w:rFonts w:cs="Times New Roman"/>
          <w:sz w:val="20"/>
          <w:szCs w:val="20"/>
          <w:vertAlign w:val="superscript"/>
          <w:lang w:val="fr-CA"/>
        </w:rPr>
        <w:t>er</w:t>
      </w:r>
      <w:r w:rsidR="001542D3">
        <w:rPr>
          <w:rFonts w:cs="Times New Roman"/>
          <w:sz w:val="20"/>
          <w:szCs w:val="20"/>
          <w:lang w:val="fr-CA"/>
        </w:rPr>
        <w:t xml:space="preserve"> août</w:t>
      </w:r>
      <w:r w:rsidRPr="003B3977">
        <w:rPr>
          <w:rFonts w:cs="Times New Roman"/>
          <w:sz w:val="20"/>
          <w:szCs w:val="20"/>
          <w:lang w:val="fr-CA"/>
        </w:rPr>
        <w:t xml:space="preserve"> 201</w:t>
      </w:r>
      <w:r w:rsidR="001542D3">
        <w:rPr>
          <w:rFonts w:cs="Times New Roman"/>
          <w:sz w:val="20"/>
          <w:szCs w:val="20"/>
          <w:lang w:val="fr-CA"/>
        </w:rPr>
        <w:t>3</w:t>
      </w:r>
    </w:p>
    <w:p w:rsidR="005C6840" w:rsidRPr="003B3977" w:rsidRDefault="005F2BA7" w:rsidP="005C6840">
      <w:pPr>
        <w:rPr>
          <w:rFonts w:cs="Times New Roman"/>
          <w:sz w:val="20"/>
          <w:szCs w:val="20"/>
          <w:lang w:val="fr-CA"/>
        </w:rPr>
      </w:pPr>
      <w:r w:rsidRPr="005F2BA7">
        <w:rPr>
          <w:rFonts w:cs="Times New Roman"/>
          <w:i/>
          <w:sz w:val="20"/>
          <w:szCs w:val="20"/>
        </w:rPr>
        <w:pict>
          <v:rect id="_x0000_i115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Present:  McLachlin C.J. and LeBel, Fish, Abella, Rothstein, Cromwell, Moldaver, Karakatsanis and Wagner JJ.</w:t>
      </w:r>
    </w:p>
    <w:p w:rsidR="001542D3" w:rsidRPr="001542D3" w:rsidRDefault="001542D3" w:rsidP="001542D3">
      <w:pPr>
        <w:tabs>
          <w:tab w:val="left" w:pos="1168"/>
        </w:tabs>
        <w:jc w:val="both"/>
        <w:rPr>
          <w:rFonts w:eastAsia="Times New Roman" w:cs="Times New Roman"/>
          <w:smallCaps/>
          <w:sz w:val="20"/>
          <w:szCs w:val="20"/>
          <w:lang w:eastAsia="en-CA"/>
        </w:rPr>
      </w:pPr>
    </w:p>
    <w:p w:rsidR="001542D3" w:rsidRPr="001542D3" w:rsidRDefault="001542D3" w:rsidP="001542D3">
      <w:pPr>
        <w:jc w:val="both"/>
        <w:rPr>
          <w:rFonts w:eastAsia="Times New Roman" w:cs="Times New Roman"/>
          <w:i/>
          <w:sz w:val="20"/>
          <w:szCs w:val="20"/>
          <w:lang w:eastAsia="en-CA"/>
        </w:rPr>
      </w:pPr>
      <w:r w:rsidRPr="001542D3">
        <w:rPr>
          <w:rFonts w:eastAsia="Times New Roman" w:cs="Times New Roman"/>
          <w:sz w:val="20"/>
          <w:szCs w:val="20"/>
          <w:lang w:eastAsia="en-CA"/>
        </w:rPr>
        <w:tab/>
      </w:r>
      <w:r w:rsidRPr="001542D3">
        <w:rPr>
          <w:rFonts w:eastAsia="Times New Roman" w:cs="Times New Roman"/>
          <w:i/>
          <w:sz w:val="20"/>
          <w:szCs w:val="20"/>
          <w:lang w:eastAsia="en-CA"/>
        </w:rPr>
        <w:t xml:space="preserve">Courts — Jurisdiction — Appointment of amici curiae — Provincial Attorney General and amici curiae appointed by trial judges in criminal proceedings disagreeing on amici’s rate of remuneration — Whether superior and statutory courts have inherent or implied jurisdiction to determine rate of remuneration of amici curiae. </w:t>
      </w:r>
    </w:p>
    <w:p w:rsidR="001542D3" w:rsidRPr="001542D3" w:rsidRDefault="001542D3" w:rsidP="001542D3">
      <w:pPr>
        <w:jc w:val="both"/>
        <w:rPr>
          <w:rFonts w:eastAsia="Times New Roman" w:cs="Times New Roman"/>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ab/>
        <w:t xml:space="preserve">In three cases arising in the context of criminal proceedings in Ontario, trial judges appointed </w:t>
      </w:r>
      <w:r w:rsidRPr="001542D3">
        <w:rPr>
          <w:rFonts w:eastAsia="Times New Roman" w:cs="Times New Roman"/>
          <w:i/>
          <w:sz w:val="20"/>
          <w:szCs w:val="20"/>
          <w:lang w:eastAsia="en-CA"/>
        </w:rPr>
        <w:t>amici curiae</w:t>
      </w:r>
      <w:r w:rsidRPr="001542D3">
        <w:rPr>
          <w:rFonts w:eastAsia="Times New Roman" w:cs="Times New Roman"/>
          <w:sz w:val="20"/>
          <w:szCs w:val="20"/>
          <w:lang w:eastAsia="en-CA"/>
        </w:rPr>
        <w:t xml:space="preserve"> to assist the accused, who had discharged counsel of their choice.  The judges did so in order to maintain the orderly conduct of the trials or to avoid delay in these complex, lengthy proceedings.  The cases were not decided under the </w:t>
      </w:r>
      <w:r w:rsidRPr="001542D3">
        <w:rPr>
          <w:rFonts w:eastAsia="Times New Roman" w:cs="Times New Roman"/>
          <w:i/>
          <w:sz w:val="20"/>
          <w:szCs w:val="20"/>
          <w:lang w:eastAsia="en-CA"/>
        </w:rPr>
        <w:t>Canadian Charter of Rights and Freedoms</w:t>
      </w:r>
      <w:r w:rsidRPr="001542D3">
        <w:rPr>
          <w:rFonts w:eastAsia="Times New Roman" w:cs="Times New Roman"/>
          <w:sz w:val="20"/>
          <w:szCs w:val="20"/>
          <w:lang w:eastAsia="en-CA"/>
        </w:rPr>
        <w:t xml:space="preserve"> and did not proceed on the basis that the accused could not have fair trials without the assistance of counsel.  The Attorney General took the position that here, the </w:t>
      </w:r>
      <w:r w:rsidRPr="001542D3">
        <w:rPr>
          <w:rFonts w:eastAsia="Times New Roman" w:cs="Times New Roman"/>
          <w:i/>
          <w:sz w:val="20"/>
          <w:szCs w:val="20"/>
          <w:lang w:eastAsia="en-CA"/>
        </w:rPr>
        <w:t>amici</w:t>
      </w:r>
      <w:r w:rsidRPr="001542D3">
        <w:rPr>
          <w:rFonts w:eastAsia="Times New Roman" w:cs="Times New Roman"/>
          <w:sz w:val="20"/>
          <w:szCs w:val="20"/>
          <w:lang w:eastAsia="en-CA"/>
        </w:rPr>
        <w:t xml:space="preserve"> played a role similar to that of defence counsel and should accept legal aid rates.  However, the </w:t>
      </w:r>
      <w:r w:rsidRPr="001542D3">
        <w:rPr>
          <w:rFonts w:eastAsia="Times New Roman" w:cs="Times New Roman"/>
          <w:i/>
          <w:sz w:val="20"/>
          <w:szCs w:val="20"/>
          <w:lang w:eastAsia="en-CA"/>
        </w:rPr>
        <w:t>amici</w:t>
      </w:r>
      <w:r w:rsidRPr="001542D3">
        <w:rPr>
          <w:rFonts w:eastAsia="Times New Roman" w:cs="Times New Roman"/>
          <w:sz w:val="20"/>
          <w:szCs w:val="20"/>
          <w:lang w:eastAsia="en-CA"/>
        </w:rPr>
        <w:t xml:space="preserve"> refused to accept those rates, and the judges fixed rates that exceeded the tariff and ordered the Attorney General to pay.  In one case, a judge also appointed a senior lawyer to set a budget for the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and to review, monitor and assess his accounts on an ongoing basis.  The Crown appealed the decisions, on the basis that courts lacked jurisdiction to fix the rates of compensation for </w:t>
      </w:r>
      <w:r w:rsidRPr="001542D3">
        <w:rPr>
          <w:rFonts w:eastAsia="Times New Roman" w:cs="Times New Roman"/>
          <w:i/>
          <w:sz w:val="20"/>
          <w:szCs w:val="20"/>
          <w:lang w:eastAsia="en-CA"/>
        </w:rPr>
        <w:t>amici curiae</w:t>
      </w:r>
      <w:r w:rsidRPr="001542D3">
        <w:rPr>
          <w:rFonts w:eastAsia="Times New Roman" w:cs="Times New Roman"/>
          <w:sz w:val="20"/>
          <w:szCs w:val="20"/>
          <w:lang w:eastAsia="en-CA"/>
        </w:rPr>
        <w:t xml:space="preserve">.  The Court of Appeal dismissed the appeal, holding that incidental to a superior or statutory court’s power to appoint an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is the power to set the terms and conditions of that appointment, including the rate of compensation and the monitoring of accounts.</w:t>
      </w:r>
    </w:p>
    <w:p w:rsidR="001542D3" w:rsidRPr="001542D3" w:rsidRDefault="001542D3" w:rsidP="001542D3">
      <w:pPr>
        <w:jc w:val="both"/>
        <w:rPr>
          <w:rFonts w:eastAsia="Times New Roman" w:cs="Times New Roman"/>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ab/>
      </w:r>
      <w:r w:rsidRPr="001542D3">
        <w:rPr>
          <w:rFonts w:eastAsia="Times New Roman" w:cs="Times New Roman"/>
          <w:i/>
          <w:sz w:val="20"/>
          <w:szCs w:val="20"/>
          <w:lang w:eastAsia="en-CA"/>
        </w:rPr>
        <w:t xml:space="preserve">Held </w:t>
      </w:r>
      <w:r w:rsidRPr="001542D3">
        <w:rPr>
          <w:rFonts w:eastAsia="Times New Roman" w:cs="Times New Roman"/>
          <w:sz w:val="20"/>
          <w:szCs w:val="20"/>
          <w:lang w:eastAsia="en-CA"/>
        </w:rPr>
        <w:t xml:space="preserve">(LeBel, Fish, Abella and Cromwell JJ. </w:t>
      </w:r>
      <w:proofErr w:type="gramStart"/>
      <w:r w:rsidRPr="001542D3">
        <w:rPr>
          <w:rFonts w:eastAsia="Times New Roman" w:cs="Times New Roman"/>
          <w:sz w:val="20"/>
          <w:szCs w:val="20"/>
          <w:lang w:eastAsia="en-CA"/>
        </w:rPr>
        <w:t>dissenting)</w:t>
      </w:r>
      <w:proofErr w:type="gramEnd"/>
      <w:r w:rsidRPr="001542D3">
        <w:rPr>
          <w:rFonts w:eastAsia="Times New Roman" w:cs="Times New Roman"/>
          <w:sz w:val="20"/>
          <w:szCs w:val="20"/>
          <w:lang w:eastAsia="en-CA"/>
        </w:rPr>
        <w:t xml:space="preserve">:  The appeal should be allowed. </w:t>
      </w:r>
    </w:p>
    <w:p w:rsidR="001542D3" w:rsidRPr="001542D3" w:rsidRDefault="001542D3" w:rsidP="001542D3">
      <w:pPr>
        <w:jc w:val="both"/>
        <w:rPr>
          <w:rFonts w:eastAsia="Times New Roman" w:cs="Times New Roman"/>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ab/>
      </w:r>
      <w:r w:rsidRPr="001542D3">
        <w:rPr>
          <w:rFonts w:eastAsia="Times New Roman" w:cs="Times New Roman"/>
          <w:i/>
          <w:sz w:val="20"/>
          <w:szCs w:val="20"/>
          <w:lang w:eastAsia="en-CA"/>
        </w:rPr>
        <w:t>Per</w:t>
      </w:r>
      <w:r w:rsidRPr="001542D3">
        <w:rPr>
          <w:rFonts w:eastAsia="Times New Roman" w:cs="Times New Roman"/>
          <w:sz w:val="20"/>
          <w:szCs w:val="20"/>
          <w:lang w:eastAsia="en-CA"/>
        </w:rPr>
        <w:t xml:space="preserve"> McLachlin C.J. and Rothstein, Moldaver, </w:t>
      </w:r>
      <w:r w:rsidRPr="001542D3">
        <w:rPr>
          <w:rFonts w:eastAsia="Times New Roman" w:cs="Times New Roman"/>
          <w:b/>
          <w:sz w:val="20"/>
          <w:szCs w:val="20"/>
          <w:lang w:eastAsia="en-CA"/>
        </w:rPr>
        <w:t>Karakatsanis</w:t>
      </w:r>
      <w:r w:rsidRPr="001542D3">
        <w:rPr>
          <w:rFonts w:eastAsia="Times New Roman" w:cs="Times New Roman"/>
          <w:sz w:val="20"/>
          <w:szCs w:val="20"/>
          <w:lang w:eastAsia="en-CA"/>
        </w:rPr>
        <w:t xml:space="preserve"> and Wagner JJ.: Courts of inherent jurisdiction have the power to appoint </w:t>
      </w:r>
      <w:r w:rsidRPr="001542D3">
        <w:rPr>
          <w:rFonts w:eastAsia="Times New Roman" w:cs="Times New Roman"/>
          <w:i/>
          <w:sz w:val="20"/>
          <w:szCs w:val="20"/>
          <w:lang w:eastAsia="en-CA"/>
        </w:rPr>
        <w:t>amici curiae</w:t>
      </w:r>
      <w:r w:rsidRPr="001542D3">
        <w:rPr>
          <w:rFonts w:eastAsia="Times New Roman" w:cs="Times New Roman"/>
          <w:sz w:val="20"/>
          <w:szCs w:val="20"/>
          <w:lang w:eastAsia="en-CA"/>
        </w:rPr>
        <w:t xml:space="preserve"> exceptionally, where this is necessary to permit a particular proceeding to be successfully and justly adjudicated.  This power is also implied by the ability of statutory courts to function as courts of law.  </w:t>
      </w:r>
      <w:r w:rsidRPr="001542D3">
        <w:rPr>
          <w:rFonts w:eastAsia="Times New Roman" w:cs="Times New Roman"/>
          <w:i/>
          <w:sz w:val="20"/>
          <w:szCs w:val="20"/>
          <w:lang w:eastAsia="en-CA"/>
        </w:rPr>
        <w:t>Amici curiae</w:t>
      </w:r>
      <w:r w:rsidRPr="001542D3">
        <w:rPr>
          <w:rFonts w:eastAsia="Times New Roman" w:cs="Times New Roman"/>
          <w:sz w:val="20"/>
          <w:szCs w:val="20"/>
          <w:lang w:eastAsia="en-CA"/>
        </w:rPr>
        <w:t xml:space="preserve"> have long played a part in our system of justice.  However, to the extent that the terms of an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appointment mirror the responsibilities of defence counsel, they blur the lines between those two roles.  The appointment of an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for such a purpose can conflict with the accused’s constitutional right to represent himself, can defeat previous judicial decisions to refuse to grant state</w:t>
      </w:r>
      <w:r w:rsidRPr="001542D3">
        <w:rPr>
          <w:rFonts w:eastAsia="Times New Roman" w:cs="Times New Roman"/>
          <w:sz w:val="20"/>
          <w:szCs w:val="20"/>
          <w:lang w:eastAsia="en-CA"/>
        </w:rPr>
        <w:noBreakHyphen/>
        <w:t xml:space="preserve">funded counsel following an application invoking the accused’s fair trial rights under the </w:t>
      </w:r>
      <w:r w:rsidRPr="001542D3">
        <w:rPr>
          <w:rFonts w:eastAsia="Times New Roman" w:cs="Times New Roman"/>
          <w:i/>
          <w:sz w:val="20"/>
          <w:szCs w:val="20"/>
          <w:lang w:eastAsia="en-CA"/>
        </w:rPr>
        <w:t>Charter</w:t>
      </w:r>
      <w:r w:rsidRPr="001542D3">
        <w:rPr>
          <w:rFonts w:eastAsia="Times New Roman" w:cs="Times New Roman"/>
          <w:sz w:val="20"/>
          <w:szCs w:val="20"/>
          <w:lang w:eastAsia="en-CA"/>
        </w:rPr>
        <w:t xml:space="preserve">, can require the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to make legal submissions that are not favourable to the accused or are contrary to the accused’s wishes, can result in the court’s lawyer taking on a role that the court is precluded from taking and can undermine the provincial legal aid scheme.  Hence, a lawyer appointed as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who takes on the role of defence counsel is no longer a friend of the court.</w:t>
      </w:r>
    </w:p>
    <w:p w:rsidR="001542D3" w:rsidRPr="001542D3" w:rsidRDefault="001542D3" w:rsidP="001542D3">
      <w:pPr>
        <w:jc w:val="both"/>
        <w:rPr>
          <w:rFonts w:eastAsia="Times New Roman" w:cs="Times New Roman"/>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ab/>
        <w:t xml:space="preserve">Absent authority flowing from a constitutional challenge or a statutory provision, the jurisdiction to fix the compensation of </w:t>
      </w:r>
      <w:r w:rsidRPr="001542D3">
        <w:rPr>
          <w:rFonts w:eastAsia="Times New Roman" w:cs="Times New Roman"/>
          <w:i/>
          <w:sz w:val="20"/>
          <w:szCs w:val="20"/>
          <w:lang w:eastAsia="en-CA"/>
        </w:rPr>
        <w:t>amici curiae</w:t>
      </w:r>
      <w:r w:rsidRPr="001542D3">
        <w:rPr>
          <w:rFonts w:eastAsia="Times New Roman" w:cs="Times New Roman"/>
          <w:sz w:val="20"/>
          <w:szCs w:val="20"/>
          <w:lang w:eastAsia="en-CA"/>
        </w:rPr>
        <w:t xml:space="preserve"> must be found within the inherent or implied jurisdiction of the courts.  The inherent jurisdiction of superior courts permits them to make orders necessary to protect the judicial process and the rule of law and fulfill the judicial function of administering justice in a regular, orderly and effective manner.  Similarly, to function as courts of law, statutory courts have implicit powers.  However, the doctrine of inherent jurisdiction does not operate without limits.  Such inherent and implicit powers are subject to any statutory provisions and must be responsive to the separation of powers that exists among the various players in our constitutional order and the particular institutional capacities that have evolved from that separation.  The development of separate executive, legislative and judicial functions has allowed for the evolution of certain core competencies in the various institutions vested with these functions.  A court’s inherent or implied powers must not trench on the provinces’ role in the administration of justice </w:t>
      </w:r>
    </w:p>
    <w:p w:rsidR="001542D3" w:rsidRPr="001542D3" w:rsidRDefault="001542D3" w:rsidP="001542D3">
      <w:pPr>
        <w:jc w:val="both"/>
        <w:rPr>
          <w:rFonts w:eastAsia="Times New Roman" w:cs="Times New Roman"/>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ab/>
        <w:t xml:space="preserve">While the courts have the jurisdiction to set terms to give effect to their authority to appoint </w:t>
      </w:r>
      <w:r w:rsidRPr="001542D3">
        <w:rPr>
          <w:rFonts w:eastAsia="Times New Roman" w:cs="Times New Roman"/>
          <w:i/>
          <w:sz w:val="20"/>
          <w:szCs w:val="20"/>
          <w:lang w:eastAsia="en-CA"/>
        </w:rPr>
        <w:t>amici curiae</w:t>
      </w:r>
      <w:r w:rsidRPr="001542D3">
        <w:rPr>
          <w:rFonts w:eastAsia="Times New Roman" w:cs="Times New Roman"/>
          <w:sz w:val="20"/>
          <w:szCs w:val="20"/>
          <w:lang w:eastAsia="en-CA"/>
        </w:rPr>
        <w:t xml:space="preserve">, the ability to fix rates of compensation for </w:t>
      </w:r>
      <w:r w:rsidRPr="001542D3">
        <w:rPr>
          <w:rFonts w:eastAsia="Times New Roman" w:cs="Times New Roman"/>
          <w:i/>
          <w:sz w:val="20"/>
          <w:szCs w:val="20"/>
          <w:lang w:eastAsia="en-CA"/>
        </w:rPr>
        <w:t>amici</w:t>
      </w:r>
      <w:r w:rsidRPr="001542D3">
        <w:rPr>
          <w:rFonts w:eastAsia="Times New Roman" w:cs="Times New Roman"/>
          <w:sz w:val="20"/>
          <w:szCs w:val="20"/>
          <w:lang w:eastAsia="en-CA"/>
        </w:rPr>
        <w:t xml:space="preserve"> is not essential to the power to appoint them and its absence does not imperil the judiciary’s ability to administer justice according to law in a regular, orderly and effective manner.  Furthermore, an order that the Attorney General must provide compensation to an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at a particular rate is an order directing the Attorney General to pay specific monies out of public funds.  While court decisions can have ancillary financial consequences, the allocation of resources between competing priorities remains a policy and economic question; it is a political decision and the legislature and the executive are accountable to the public for it.  Making such an order absent authority flowing from a constitutional challenge or a statutory provision does not respect the institutional roles and capacities of the legislature, the executive (including the Attorney General), and the judiciary, or the principle that the legislature and the executive are accountable to the public for the spending of public funds.  There is a real risk that such a disregard of the separation of powers and the constitutional role and institutional capacity of the different branches of government could undermine the legal aid system and cause a lack of public confidence in judges and the courts.  Accordingly, superior and statutory courts’ inherent or implied jurisdiction to appoint </w:t>
      </w:r>
      <w:r w:rsidRPr="001542D3">
        <w:rPr>
          <w:rFonts w:eastAsia="Times New Roman" w:cs="Times New Roman"/>
          <w:i/>
          <w:sz w:val="20"/>
          <w:szCs w:val="20"/>
          <w:lang w:eastAsia="en-CA"/>
        </w:rPr>
        <w:t>amici</w:t>
      </w:r>
      <w:r w:rsidRPr="001542D3">
        <w:rPr>
          <w:rFonts w:eastAsia="Times New Roman" w:cs="Times New Roman"/>
          <w:sz w:val="20"/>
          <w:szCs w:val="20"/>
          <w:lang w:eastAsia="en-CA"/>
        </w:rPr>
        <w:t xml:space="preserve"> does not extend to setting rates of compensation for </w:t>
      </w:r>
      <w:r w:rsidRPr="001542D3">
        <w:rPr>
          <w:rFonts w:eastAsia="Times New Roman" w:cs="Times New Roman"/>
          <w:i/>
          <w:sz w:val="20"/>
          <w:szCs w:val="20"/>
          <w:lang w:eastAsia="en-CA"/>
        </w:rPr>
        <w:t>amici</w:t>
      </w:r>
      <w:r w:rsidRPr="001542D3">
        <w:rPr>
          <w:rFonts w:eastAsia="Times New Roman" w:cs="Times New Roman"/>
          <w:sz w:val="20"/>
          <w:szCs w:val="20"/>
          <w:lang w:eastAsia="en-CA"/>
        </w:rPr>
        <w:t xml:space="preserve"> and ordering the provinces to pay.</w:t>
      </w:r>
    </w:p>
    <w:p w:rsidR="001542D3" w:rsidRPr="001542D3" w:rsidRDefault="001542D3" w:rsidP="001542D3">
      <w:pPr>
        <w:jc w:val="both"/>
        <w:rPr>
          <w:rFonts w:eastAsia="Times New Roman" w:cs="Times New Roman"/>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ab/>
        <w:t xml:space="preserve">In those exceptional cases where </w:t>
      </w:r>
      <w:r w:rsidRPr="001542D3">
        <w:rPr>
          <w:rFonts w:eastAsia="Times New Roman" w:cs="Times New Roman"/>
          <w:i/>
          <w:sz w:val="20"/>
          <w:szCs w:val="20"/>
          <w:lang w:eastAsia="en-CA"/>
        </w:rPr>
        <w:t>Charter</w:t>
      </w:r>
      <w:r w:rsidRPr="001542D3">
        <w:rPr>
          <w:rFonts w:eastAsia="Times New Roman" w:cs="Times New Roman"/>
          <w:sz w:val="20"/>
          <w:szCs w:val="20"/>
          <w:lang w:eastAsia="en-CA"/>
        </w:rPr>
        <w:t xml:space="preserve"> rights are not at stake but the judge must have help to do justice and appoints an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the person appointed and the Attorney General should meet to set rates and modes of payment.  The judge may be consulted, but should not make orders regarding payment that the Attorney General would have no choice but to obey.  If the assistance of an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is truly essential and the matter cannot be amicably resolved between the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and the Attorney General, the judge’s only recourse may be to exercise his jurisdiction to impose a stay until an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can be found.  If the trial cannot proceed, the court can give reasons for the stay, so that the responsibility for the delay is clear.</w:t>
      </w:r>
    </w:p>
    <w:p w:rsidR="001542D3" w:rsidRPr="001542D3" w:rsidRDefault="001542D3" w:rsidP="001542D3">
      <w:pPr>
        <w:jc w:val="both"/>
        <w:rPr>
          <w:rFonts w:eastAsia="Times New Roman" w:cs="Times New Roman"/>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ab/>
      </w:r>
      <w:proofErr w:type="gramStart"/>
      <w:r w:rsidRPr="001542D3">
        <w:rPr>
          <w:rFonts w:eastAsia="Times New Roman" w:cs="Times New Roman"/>
          <w:i/>
          <w:sz w:val="20"/>
          <w:szCs w:val="20"/>
          <w:lang w:eastAsia="en-CA"/>
        </w:rPr>
        <w:t>Per</w:t>
      </w:r>
      <w:r w:rsidRPr="001542D3">
        <w:rPr>
          <w:rFonts w:eastAsia="Times New Roman" w:cs="Times New Roman"/>
          <w:sz w:val="20"/>
          <w:szCs w:val="20"/>
          <w:lang w:eastAsia="en-CA"/>
        </w:rPr>
        <w:t xml:space="preserve"> LeBel, </w:t>
      </w:r>
      <w:r w:rsidRPr="001542D3">
        <w:rPr>
          <w:rFonts w:eastAsia="Times New Roman" w:cs="Times New Roman"/>
          <w:b/>
          <w:sz w:val="20"/>
          <w:szCs w:val="20"/>
          <w:lang w:eastAsia="en-CA"/>
        </w:rPr>
        <w:t>Fish</w:t>
      </w:r>
      <w:r w:rsidRPr="001542D3">
        <w:rPr>
          <w:rFonts w:eastAsia="Times New Roman" w:cs="Times New Roman"/>
          <w:sz w:val="20"/>
          <w:szCs w:val="20"/>
          <w:lang w:eastAsia="en-CA"/>
        </w:rPr>
        <w:t>, Abella and Cromwell JJ.</w:t>
      </w:r>
      <w:proofErr w:type="gramEnd"/>
      <w:r w:rsidRPr="001542D3">
        <w:rPr>
          <w:rFonts w:eastAsia="Times New Roman" w:cs="Times New Roman"/>
          <w:sz w:val="20"/>
          <w:szCs w:val="20"/>
          <w:lang w:eastAsia="en-CA"/>
        </w:rPr>
        <w:t xml:space="preserve"> (</w:t>
      </w:r>
      <w:proofErr w:type="gramStart"/>
      <w:r w:rsidRPr="001542D3">
        <w:rPr>
          <w:rFonts w:eastAsia="Times New Roman" w:cs="Times New Roman"/>
          <w:sz w:val="20"/>
          <w:szCs w:val="20"/>
          <w:lang w:eastAsia="en-CA"/>
        </w:rPr>
        <w:t>dissenting</w:t>
      </w:r>
      <w:proofErr w:type="gramEnd"/>
      <w:r w:rsidRPr="001542D3">
        <w:rPr>
          <w:rFonts w:eastAsia="Times New Roman" w:cs="Times New Roman"/>
          <w:sz w:val="20"/>
          <w:szCs w:val="20"/>
          <w:lang w:eastAsia="en-CA"/>
        </w:rPr>
        <w:t xml:space="preserve">): Trial judges may appoint an </w:t>
      </w:r>
      <w:r w:rsidRPr="001542D3">
        <w:rPr>
          <w:rFonts w:eastAsia="Times New Roman" w:cs="Times New Roman"/>
          <w:i/>
          <w:sz w:val="20"/>
          <w:szCs w:val="20"/>
          <w:lang w:eastAsia="en-CA"/>
        </w:rPr>
        <w:t>amicus curiae</w:t>
      </w:r>
      <w:r w:rsidRPr="001542D3">
        <w:rPr>
          <w:rFonts w:eastAsia="Times New Roman" w:cs="Times New Roman"/>
          <w:sz w:val="20"/>
          <w:szCs w:val="20"/>
          <w:lang w:eastAsia="en-CA"/>
        </w:rPr>
        <w:t xml:space="preserve"> to ensure the orderly conduct of proceedings and the availability of relevant submissions.  They should not be required to decide contested, uncertain, complex and important points of law or of fact without the benefit of thorough submissions.  The power to appoint an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should be exercised exceptionally and with caution.  An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should not be appointed to impose counsel on an unwilling accused or permit an accused to circumvent the established procedure for obtaining government</w:t>
      </w:r>
      <w:r w:rsidRPr="001542D3">
        <w:rPr>
          <w:rFonts w:eastAsia="Times New Roman" w:cs="Times New Roman"/>
          <w:sz w:val="20"/>
          <w:szCs w:val="20"/>
          <w:lang w:eastAsia="en-CA"/>
        </w:rPr>
        <w:noBreakHyphen/>
        <w:t xml:space="preserve">funded counsel.  Furthering the best interests of the accused may be </w:t>
      </w:r>
      <w:r w:rsidRPr="001542D3">
        <w:rPr>
          <w:rFonts w:eastAsia="Times New Roman" w:cs="Times New Roman"/>
          <w:i/>
          <w:sz w:val="20"/>
          <w:szCs w:val="20"/>
          <w:lang w:eastAsia="en-CA"/>
        </w:rPr>
        <w:t>an incidental result</w:t>
      </w:r>
      <w:r w:rsidRPr="001542D3">
        <w:rPr>
          <w:rFonts w:eastAsia="Times New Roman" w:cs="Times New Roman"/>
          <w:sz w:val="20"/>
          <w:szCs w:val="20"/>
          <w:lang w:eastAsia="en-CA"/>
        </w:rPr>
        <w:t xml:space="preserve">, but is not </w:t>
      </w:r>
      <w:r w:rsidRPr="001542D3">
        <w:rPr>
          <w:rFonts w:eastAsia="Times New Roman" w:cs="Times New Roman"/>
          <w:i/>
          <w:sz w:val="20"/>
          <w:szCs w:val="20"/>
          <w:lang w:eastAsia="en-CA"/>
        </w:rPr>
        <w:t>the purpose</w:t>
      </w:r>
      <w:r w:rsidRPr="001542D3">
        <w:rPr>
          <w:rFonts w:eastAsia="Times New Roman" w:cs="Times New Roman"/>
          <w:sz w:val="20"/>
          <w:szCs w:val="20"/>
          <w:lang w:eastAsia="en-CA"/>
        </w:rPr>
        <w:t xml:space="preserve">, of an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appointment.</w:t>
      </w:r>
    </w:p>
    <w:p w:rsidR="001542D3" w:rsidRPr="001542D3" w:rsidRDefault="001542D3" w:rsidP="001542D3">
      <w:pPr>
        <w:jc w:val="both"/>
        <w:rPr>
          <w:rFonts w:eastAsia="Times New Roman" w:cs="Times New Roman"/>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ab/>
        <w:t xml:space="preserve">The jurisdiction to fix the fees of </w:t>
      </w:r>
      <w:r w:rsidRPr="001542D3">
        <w:rPr>
          <w:rFonts w:eastAsia="Times New Roman" w:cs="Times New Roman"/>
          <w:i/>
          <w:sz w:val="20"/>
          <w:szCs w:val="20"/>
          <w:lang w:eastAsia="en-CA"/>
        </w:rPr>
        <w:t>amici curiae</w:t>
      </w:r>
      <w:r w:rsidRPr="001542D3">
        <w:rPr>
          <w:rFonts w:eastAsia="Times New Roman" w:cs="Times New Roman"/>
          <w:sz w:val="20"/>
          <w:szCs w:val="20"/>
          <w:lang w:eastAsia="en-CA"/>
        </w:rPr>
        <w:t xml:space="preserve"> is necessarily incidental to the power of trial judges to appoint them.  Granting the provincial Attorney General the exclusive power to fix an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rate of remuneration would unduly weaken the courts’ appointment power and ability to name an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of their choosing.  It would also imperil the integrity of the judicial process, as the ability of courts to ensure fair and orderly process should not depend on a reliance on the continuous and exemplary conduct of the Crown, which is impossible to monitor or control.  Finally, the Attorney General’s unilateral control over the remuneration of </w:t>
      </w:r>
      <w:r w:rsidRPr="001542D3">
        <w:rPr>
          <w:rFonts w:eastAsia="Times New Roman" w:cs="Times New Roman"/>
          <w:i/>
          <w:sz w:val="20"/>
          <w:szCs w:val="20"/>
          <w:lang w:eastAsia="en-CA"/>
        </w:rPr>
        <w:t>amici curiae</w:t>
      </w:r>
      <w:r w:rsidRPr="001542D3">
        <w:rPr>
          <w:rFonts w:eastAsia="Times New Roman" w:cs="Times New Roman"/>
          <w:sz w:val="20"/>
          <w:szCs w:val="20"/>
          <w:lang w:eastAsia="en-CA"/>
        </w:rPr>
        <w:t xml:space="preserve"> might create an appearance of bias and place </w:t>
      </w:r>
      <w:r w:rsidRPr="001542D3">
        <w:rPr>
          <w:rFonts w:eastAsia="Times New Roman" w:cs="Times New Roman"/>
          <w:i/>
          <w:sz w:val="20"/>
          <w:szCs w:val="20"/>
          <w:lang w:eastAsia="en-CA"/>
        </w:rPr>
        <w:t>amici</w:t>
      </w:r>
      <w:r w:rsidRPr="001542D3">
        <w:rPr>
          <w:rFonts w:eastAsia="Times New Roman" w:cs="Times New Roman"/>
          <w:sz w:val="20"/>
          <w:szCs w:val="20"/>
          <w:lang w:eastAsia="en-CA"/>
        </w:rPr>
        <w:t xml:space="preserve"> themselves in an unavoidable conflict of interest.  As </w:t>
      </w:r>
      <w:r w:rsidRPr="001542D3">
        <w:rPr>
          <w:rFonts w:eastAsia="Times New Roman" w:cs="Times New Roman"/>
          <w:i/>
          <w:sz w:val="20"/>
          <w:szCs w:val="20"/>
          <w:lang w:eastAsia="en-CA"/>
        </w:rPr>
        <w:t xml:space="preserve">amici </w:t>
      </w:r>
      <w:r w:rsidRPr="001542D3">
        <w:rPr>
          <w:rFonts w:eastAsia="Times New Roman" w:cs="Times New Roman"/>
          <w:sz w:val="20"/>
          <w:szCs w:val="20"/>
          <w:lang w:eastAsia="en-CA"/>
        </w:rPr>
        <w:t xml:space="preserve">often play a role that can be said to be adversarial to the Crown, if the Crown were permitted to determine unilaterally and exclusively how much an </w:t>
      </w:r>
      <w:r w:rsidRPr="001542D3">
        <w:rPr>
          <w:rFonts w:eastAsia="Times New Roman" w:cs="Times New Roman"/>
          <w:i/>
          <w:sz w:val="20"/>
          <w:szCs w:val="20"/>
          <w:lang w:eastAsia="en-CA"/>
        </w:rPr>
        <w:t xml:space="preserve">amicus </w:t>
      </w:r>
      <w:r w:rsidRPr="001542D3">
        <w:rPr>
          <w:rFonts w:eastAsia="Times New Roman" w:cs="Times New Roman"/>
          <w:sz w:val="20"/>
          <w:szCs w:val="20"/>
          <w:lang w:eastAsia="en-CA"/>
        </w:rPr>
        <w:t xml:space="preserve">is paid, the reasonable person might conclude that the expectation of give and take might lead the </w:t>
      </w:r>
      <w:r w:rsidRPr="001542D3">
        <w:rPr>
          <w:rFonts w:eastAsia="Times New Roman" w:cs="Times New Roman"/>
          <w:i/>
          <w:sz w:val="20"/>
          <w:szCs w:val="20"/>
          <w:lang w:eastAsia="en-CA"/>
        </w:rPr>
        <w:t xml:space="preserve">amicus </w:t>
      </w:r>
      <w:r w:rsidRPr="001542D3">
        <w:rPr>
          <w:rFonts w:eastAsia="Times New Roman" w:cs="Times New Roman"/>
          <w:sz w:val="20"/>
          <w:szCs w:val="20"/>
          <w:lang w:eastAsia="en-CA"/>
        </w:rPr>
        <w:t>to discharge his duties so as to curry favour with the Attorney General.</w:t>
      </w:r>
    </w:p>
    <w:p w:rsidR="001542D3" w:rsidRPr="001542D3" w:rsidRDefault="001542D3" w:rsidP="001542D3">
      <w:pPr>
        <w:jc w:val="both"/>
        <w:rPr>
          <w:rFonts w:eastAsia="Times New Roman" w:cs="Times New Roman"/>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ab/>
        <w:t xml:space="preserve">There is no constitutional impediment to vesting in trial judges the authority to fix the fees of </w:t>
      </w:r>
      <w:r w:rsidRPr="001542D3">
        <w:rPr>
          <w:rFonts w:eastAsia="Times New Roman" w:cs="Times New Roman"/>
          <w:i/>
          <w:sz w:val="20"/>
          <w:szCs w:val="20"/>
          <w:lang w:eastAsia="en-CA"/>
        </w:rPr>
        <w:t>amici curiae</w:t>
      </w:r>
      <w:r w:rsidRPr="001542D3">
        <w:rPr>
          <w:rFonts w:eastAsia="Times New Roman" w:cs="Times New Roman"/>
          <w:sz w:val="20"/>
          <w:szCs w:val="20"/>
          <w:lang w:eastAsia="en-CA"/>
        </w:rPr>
        <w:t xml:space="preserve"> when necessary in the circumstances.  The principle that only Parliament can authorize payment out of money from the consolidated revenue fund acts only to constrain the ability of the executive branch of government to spend money in the absence of authorization by the legislature.  Here, however, the Attorney General has the authority to disburse public funds to pay </w:t>
      </w:r>
      <w:r w:rsidRPr="001542D3">
        <w:rPr>
          <w:rFonts w:eastAsia="Times New Roman" w:cs="Times New Roman"/>
          <w:i/>
          <w:sz w:val="20"/>
          <w:szCs w:val="20"/>
          <w:lang w:eastAsia="en-CA"/>
        </w:rPr>
        <w:t>amici curiae</w:t>
      </w:r>
      <w:r w:rsidRPr="001542D3">
        <w:rPr>
          <w:rFonts w:eastAsia="Times New Roman" w:cs="Times New Roman"/>
          <w:sz w:val="20"/>
          <w:szCs w:val="20"/>
          <w:lang w:eastAsia="en-CA"/>
        </w:rPr>
        <w:t xml:space="preserve"> whether or not their rate of remuneration is fixed by the courts, because, with the </w:t>
      </w:r>
      <w:r w:rsidRPr="001542D3">
        <w:rPr>
          <w:rFonts w:eastAsia="Times New Roman" w:cs="Times New Roman"/>
          <w:i/>
          <w:sz w:val="20"/>
          <w:szCs w:val="20"/>
          <w:lang w:eastAsia="en-CA"/>
        </w:rPr>
        <w:t>Financial Administration Act</w:t>
      </w:r>
      <w:r w:rsidRPr="001542D3">
        <w:rPr>
          <w:rFonts w:eastAsia="Times New Roman" w:cs="Times New Roman"/>
          <w:sz w:val="20"/>
          <w:szCs w:val="20"/>
          <w:lang w:eastAsia="en-CA"/>
        </w:rPr>
        <w:t>, R.S.O. 1990, c. F.12, the Legislative Assembly has pre</w:t>
      </w:r>
      <w:r w:rsidRPr="001542D3">
        <w:rPr>
          <w:rFonts w:eastAsia="Times New Roman" w:cs="Times New Roman"/>
          <w:sz w:val="20"/>
          <w:szCs w:val="20"/>
          <w:lang w:eastAsia="en-CA"/>
        </w:rPr>
        <w:noBreakHyphen/>
        <w:t>approved the disbursement of funds for the purpose of satisfying court orders.</w:t>
      </w:r>
    </w:p>
    <w:p w:rsidR="001542D3" w:rsidRPr="001542D3" w:rsidRDefault="001542D3" w:rsidP="001542D3">
      <w:pPr>
        <w:jc w:val="both"/>
        <w:rPr>
          <w:rFonts w:eastAsia="Times New Roman" w:cs="Times New Roman"/>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ab/>
        <w:t xml:space="preserve">Once a trial judge names and defines the role </w:t>
      </w:r>
      <w:proofErr w:type="gramStart"/>
      <w:r w:rsidRPr="001542D3">
        <w:rPr>
          <w:rFonts w:eastAsia="Times New Roman" w:cs="Times New Roman"/>
          <w:sz w:val="20"/>
          <w:szCs w:val="20"/>
          <w:lang w:eastAsia="en-CA"/>
        </w:rPr>
        <w:t>of an</w:t>
      </w:r>
      <w:proofErr w:type="gramEnd"/>
      <w:r w:rsidRPr="001542D3">
        <w:rPr>
          <w:rFonts w:eastAsia="Times New Roman" w:cs="Times New Roman"/>
          <w:sz w:val="20"/>
          <w:szCs w:val="20"/>
          <w:lang w:eastAsia="en-CA"/>
        </w:rPr>
        <w:t xml:space="preserve"> </w:t>
      </w:r>
      <w:r w:rsidRPr="001542D3">
        <w:rPr>
          <w:rFonts w:eastAsia="Times New Roman" w:cs="Times New Roman"/>
          <w:i/>
          <w:sz w:val="20"/>
          <w:szCs w:val="20"/>
          <w:lang w:eastAsia="en-CA"/>
        </w:rPr>
        <w:t>amicus curiae</w:t>
      </w:r>
      <w:r w:rsidRPr="001542D3">
        <w:rPr>
          <w:rFonts w:eastAsia="Times New Roman" w:cs="Times New Roman"/>
          <w:sz w:val="20"/>
          <w:szCs w:val="20"/>
          <w:lang w:eastAsia="en-CA"/>
        </w:rPr>
        <w:t xml:space="preserve">, a consensual approach ought to be favoured.  The Attorney General and the </w:t>
      </w:r>
      <w:r w:rsidRPr="001542D3">
        <w:rPr>
          <w:rFonts w:eastAsia="Times New Roman" w:cs="Times New Roman"/>
          <w:i/>
          <w:sz w:val="20"/>
          <w:szCs w:val="20"/>
          <w:lang w:eastAsia="en-CA"/>
        </w:rPr>
        <w:t xml:space="preserve">amicus </w:t>
      </w:r>
      <w:r w:rsidRPr="001542D3">
        <w:rPr>
          <w:rFonts w:eastAsia="Times New Roman" w:cs="Times New Roman"/>
          <w:sz w:val="20"/>
          <w:szCs w:val="20"/>
          <w:lang w:eastAsia="en-CA"/>
        </w:rPr>
        <w:t xml:space="preserve">should be invited to agree on both the rate of remuneration and the manner in which the </w:t>
      </w:r>
      <w:r w:rsidRPr="001542D3">
        <w:rPr>
          <w:rFonts w:eastAsia="Times New Roman" w:cs="Times New Roman"/>
          <w:i/>
          <w:sz w:val="20"/>
          <w:szCs w:val="20"/>
          <w:lang w:eastAsia="en-CA"/>
        </w:rPr>
        <w:t>amicus</w:t>
      </w:r>
      <w:r w:rsidRPr="001542D3">
        <w:rPr>
          <w:rFonts w:eastAsia="Times New Roman" w:cs="Times New Roman"/>
          <w:sz w:val="20"/>
          <w:szCs w:val="20"/>
          <w:lang w:eastAsia="en-CA"/>
        </w:rPr>
        <w:t>’</w:t>
      </w:r>
      <w:r w:rsidRPr="001542D3">
        <w:rPr>
          <w:rFonts w:eastAsia="Times New Roman" w:cs="Times New Roman"/>
          <w:sz w:val="20"/>
          <w:szCs w:val="20"/>
          <w:lang w:val="en-US" w:eastAsia="en-CA"/>
        </w:rPr>
        <w:t>s</w:t>
      </w:r>
      <w:r w:rsidRPr="001542D3">
        <w:rPr>
          <w:rFonts w:eastAsia="Times New Roman" w:cs="Times New Roman"/>
          <w:sz w:val="20"/>
          <w:szCs w:val="20"/>
          <w:lang w:eastAsia="en-CA"/>
        </w:rPr>
        <w:t xml:space="preserve"> budget is to be administered.  If an agreement cannot be reached, the trial judge should fix the rate.  In fixing the rate of remuneration, the judge should consider the importance of the assignment undertaken, the legal complexity of the work, the skill and experience of counsel and his normal rate, and should consider that the </w:t>
      </w:r>
      <w:r w:rsidRPr="001542D3">
        <w:rPr>
          <w:rFonts w:eastAsia="Times New Roman" w:cs="Times New Roman"/>
          <w:i/>
          <w:sz w:val="20"/>
          <w:szCs w:val="20"/>
          <w:lang w:eastAsia="en-CA"/>
        </w:rPr>
        <w:t>amicus</w:t>
      </w:r>
      <w:r w:rsidRPr="001542D3">
        <w:rPr>
          <w:rFonts w:eastAsia="Times New Roman" w:cs="Times New Roman"/>
          <w:sz w:val="20"/>
          <w:szCs w:val="20"/>
          <w:lang w:eastAsia="en-CA"/>
        </w:rPr>
        <w:t xml:space="preserve"> is performing a public service paid for with public funds.  While the legal aid tariff should be taken into account as a guide, it is not determinative.  The ultimate choice of whether to proceed with the prosecution in light of the associated costs remains that of the Attorney General, which thus preserves the proper balance between prosecutorial discretion and the jurisdiction of courts.</w:t>
      </w:r>
    </w:p>
    <w:p w:rsidR="001542D3" w:rsidRPr="001542D3" w:rsidRDefault="001542D3" w:rsidP="001542D3">
      <w:pPr>
        <w:jc w:val="both"/>
        <w:rPr>
          <w:rFonts w:eastAsia="Times New Roman" w:cs="Times New Roman"/>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ab/>
        <w:t xml:space="preserve">APPEAL from a judgment of the Ontario Court of Appeal (Rosenberg, Goudge and Armstrong JJ.A.), 2011 ONCA 303, 104 O.R. (3d) 721, 277 O.A.C. 264, 270 C.C.C. (3d) 256, 86 C.R. (6th) 407, 234 C.R.R. (2d) 157, [2011] O.J. No. 1792 (QL), 2011 CarswellOnt 2608, affirming orders for the setting of rates of compensation for and the monitoring of accounts of </w:t>
      </w:r>
      <w:r w:rsidRPr="001542D3">
        <w:rPr>
          <w:rFonts w:eastAsia="Times New Roman" w:cs="Times New Roman"/>
          <w:i/>
          <w:sz w:val="20"/>
          <w:szCs w:val="20"/>
          <w:lang w:eastAsia="en-CA"/>
        </w:rPr>
        <w:t>amici curiae</w:t>
      </w:r>
      <w:r w:rsidRPr="001542D3">
        <w:rPr>
          <w:rFonts w:eastAsia="Times New Roman" w:cs="Times New Roman"/>
          <w:sz w:val="20"/>
          <w:szCs w:val="20"/>
          <w:lang w:eastAsia="en-CA"/>
        </w:rPr>
        <w:t xml:space="preserve">.  Appeal allowed, LeBel, Fish, Abella and Cromwell JJ. </w:t>
      </w:r>
      <w:proofErr w:type="gramStart"/>
      <w:r w:rsidRPr="001542D3">
        <w:rPr>
          <w:rFonts w:eastAsia="Times New Roman" w:cs="Times New Roman"/>
          <w:sz w:val="20"/>
          <w:szCs w:val="20"/>
          <w:lang w:eastAsia="en-CA"/>
        </w:rPr>
        <w:t>dissenting</w:t>
      </w:r>
      <w:proofErr w:type="gramEnd"/>
      <w:r w:rsidRPr="001542D3">
        <w:rPr>
          <w:rFonts w:eastAsia="Times New Roman" w:cs="Times New Roman"/>
          <w:sz w:val="20"/>
          <w:szCs w:val="20"/>
          <w:lang w:eastAsia="en-CA"/>
        </w:rPr>
        <w:t>.</w:t>
      </w:r>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i/>
          <w:sz w:val="20"/>
          <w:szCs w:val="20"/>
          <w:lang w:eastAsia="en-CA"/>
        </w:rPr>
        <w:tab/>
      </w:r>
      <w:proofErr w:type="gramStart"/>
      <w:r w:rsidRPr="001542D3">
        <w:rPr>
          <w:rFonts w:eastAsia="Times New Roman" w:cs="Times New Roman"/>
          <w:i/>
          <w:sz w:val="20"/>
          <w:szCs w:val="20"/>
          <w:lang w:eastAsia="en-CA"/>
        </w:rPr>
        <w:t>Malliha Wilson</w:t>
      </w:r>
      <w:r w:rsidRPr="001542D3">
        <w:rPr>
          <w:rFonts w:eastAsia="Times New Roman" w:cs="Times New Roman"/>
          <w:sz w:val="20"/>
          <w:szCs w:val="20"/>
          <w:lang w:eastAsia="en-CA"/>
        </w:rPr>
        <w:t xml:space="preserve">, </w:t>
      </w:r>
      <w:r w:rsidRPr="001542D3">
        <w:rPr>
          <w:rFonts w:eastAsia="Times New Roman" w:cs="Times New Roman"/>
          <w:i/>
          <w:sz w:val="20"/>
          <w:szCs w:val="20"/>
          <w:lang w:eastAsia="en-CA"/>
        </w:rPr>
        <w:t>Troy Harrison</w:t>
      </w:r>
      <w:r w:rsidRPr="001542D3">
        <w:rPr>
          <w:rFonts w:eastAsia="Times New Roman" w:cs="Times New Roman"/>
          <w:sz w:val="20"/>
          <w:szCs w:val="20"/>
          <w:lang w:eastAsia="en-CA"/>
        </w:rPr>
        <w:t xml:space="preserve">, </w:t>
      </w:r>
      <w:r w:rsidRPr="001542D3">
        <w:rPr>
          <w:rFonts w:eastAsia="Times New Roman" w:cs="Times New Roman"/>
          <w:i/>
          <w:sz w:val="20"/>
          <w:szCs w:val="20"/>
          <w:lang w:eastAsia="en-CA"/>
        </w:rPr>
        <w:t>Kristin Smith</w:t>
      </w:r>
      <w:r w:rsidRPr="001542D3">
        <w:rPr>
          <w:rFonts w:eastAsia="Times New Roman" w:cs="Times New Roman"/>
          <w:sz w:val="20"/>
          <w:szCs w:val="20"/>
          <w:lang w:eastAsia="en-CA"/>
        </w:rPr>
        <w:t xml:space="preserve"> and </w:t>
      </w:r>
      <w:r w:rsidRPr="001542D3">
        <w:rPr>
          <w:rFonts w:eastAsia="Times New Roman" w:cs="Times New Roman"/>
          <w:i/>
          <w:sz w:val="20"/>
          <w:szCs w:val="20"/>
          <w:lang w:eastAsia="en-CA"/>
        </w:rPr>
        <w:t>Baaba Forson</w:t>
      </w:r>
      <w:r w:rsidRPr="001542D3">
        <w:rPr>
          <w:rFonts w:eastAsia="Times New Roman" w:cs="Times New Roman"/>
          <w:sz w:val="20"/>
          <w:szCs w:val="20"/>
          <w:lang w:eastAsia="en-CA"/>
        </w:rPr>
        <w:t>, for the appellant.</w:t>
      </w:r>
      <w:proofErr w:type="gramEnd"/>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i/>
          <w:sz w:val="20"/>
          <w:szCs w:val="20"/>
          <w:lang w:eastAsia="en-CA"/>
        </w:rPr>
        <w:tab/>
        <w:t>P. Andras Schreck</w:t>
      </w:r>
      <w:r w:rsidRPr="001542D3">
        <w:rPr>
          <w:rFonts w:eastAsia="Times New Roman" w:cs="Times New Roman"/>
          <w:sz w:val="20"/>
          <w:szCs w:val="20"/>
          <w:lang w:eastAsia="en-CA"/>
        </w:rPr>
        <w:t xml:space="preserve"> and </w:t>
      </w:r>
      <w:r w:rsidRPr="001542D3">
        <w:rPr>
          <w:rFonts w:eastAsia="Times New Roman" w:cs="Times New Roman"/>
          <w:i/>
          <w:sz w:val="20"/>
          <w:szCs w:val="20"/>
          <w:lang w:eastAsia="en-CA"/>
        </w:rPr>
        <w:t>Louis P. Strezos</w:t>
      </w:r>
      <w:r w:rsidRPr="001542D3">
        <w:rPr>
          <w:rFonts w:eastAsia="Times New Roman" w:cs="Times New Roman"/>
          <w:sz w:val="20"/>
          <w:szCs w:val="20"/>
          <w:lang w:eastAsia="en-CA"/>
        </w:rPr>
        <w:t>, for the respondent the Criminal Lawyers’ Association of Ontario.</w:t>
      </w:r>
    </w:p>
    <w:p w:rsidR="001542D3" w:rsidRPr="001542D3" w:rsidRDefault="001542D3" w:rsidP="001542D3">
      <w:pPr>
        <w:jc w:val="both"/>
        <w:rPr>
          <w:rFonts w:eastAsia="Times New Roman" w:cs="Times New Roman"/>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ab/>
        <w:t>No one appeared for the respondent</w:t>
      </w:r>
      <w:r w:rsidRPr="001542D3">
        <w:rPr>
          <w:rFonts w:eastAsia="Times New Roman" w:cs="Times New Roman"/>
          <w:i/>
          <w:sz w:val="20"/>
          <w:szCs w:val="20"/>
          <w:lang w:eastAsia="en-CA"/>
        </w:rPr>
        <w:t xml:space="preserve"> Lawrence Greenspon</w:t>
      </w:r>
      <w:r w:rsidRPr="001542D3">
        <w:rPr>
          <w:rFonts w:eastAsia="Times New Roman" w:cs="Times New Roman"/>
          <w:sz w:val="20"/>
          <w:szCs w:val="20"/>
          <w:lang w:eastAsia="en-CA"/>
        </w:rPr>
        <w:t>.</w:t>
      </w:r>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i/>
          <w:sz w:val="20"/>
          <w:szCs w:val="20"/>
          <w:lang w:eastAsia="en-CA"/>
        </w:rPr>
        <w:tab/>
      </w:r>
      <w:proofErr w:type="gramStart"/>
      <w:r w:rsidRPr="001542D3">
        <w:rPr>
          <w:rFonts w:eastAsia="Times New Roman" w:cs="Times New Roman"/>
          <w:i/>
          <w:sz w:val="20"/>
          <w:szCs w:val="20"/>
          <w:lang w:eastAsia="en-CA"/>
        </w:rPr>
        <w:t>Alain Préfontaine</w:t>
      </w:r>
      <w:r w:rsidRPr="001542D3">
        <w:rPr>
          <w:rFonts w:eastAsia="Times New Roman" w:cs="Times New Roman"/>
          <w:sz w:val="20"/>
          <w:szCs w:val="20"/>
          <w:lang w:eastAsia="en-CA"/>
        </w:rPr>
        <w:t>, for the intervener the Attorney General of Canada.</w:t>
      </w:r>
      <w:proofErr w:type="gramEnd"/>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i/>
          <w:sz w:val="20"/>
          <w:szCs w:val="20"/>
          <w:lang w:eastAsia="en-CA"/>
        </w:rPr>
        <w:tab/>
      </w:r>
      <w:proofErr w:type="gramStart"/>
      <w:r w:rsidRPr="001542D3">
        <w:rPr>
          <w:rFonts w:eastAsia="Times New Roman" w:cs="Times New Roman"/>
          <w:i/>
          <w:sz w:val="20"/>
          <w:szCs w:val="20"/>
          <w:lang w:eastAsia="en-CA"/>
        </w:rPr>
        <w:t>Jean</w:t>
      </w:r>
      <w:r w:rsidRPr="001542D3">
        <w:rPr>
          <w:rFonts w:eastAsia="Times New Roman" w:cs="Times New Roman"/>
          <w:i/>
          <w:sz w:val="20"/>
          <w:szCs w:val="20"/>
          <w:lang w:eastAsia="en-CA"/>
        </w:rPr>
        <w:noBreakHyphen/>
        <w:t xml:space="preserve">Yves Bernard </w:t>
      </w:r>
      <w:r w:rsidRPr="001542D3">
        <w:rPr>
          <w:rFonts w:eastAsia="Times New Roman" w:cs="Times New Roman"/>
          <w:sz w:val="20"/>
          <w:szCs w:val="20"/>
          <w:lang w:eastAsia="en-CA"/>
        </w:rPr>
        <w:t>and</w:t>
      </w:r>
      <w:r w:rsidRPr="001542D3">
        <w:rPr>
          <w:rFonts w:eastAsia="Times New Roman" w:cs="Times New Roman"/>
          <w:i/>
          <w:sz w:val="20"/>
          <w:szCs w:val="20"/>
          <w:lang w:eastAsia="en-CA"/>
        </w:rPr>
        <w:t xml:space="preserve"> Brigitte Bussières</w:t>
      </w:r>
      <w:r w:rsidRPr="001542D3">
        <w:rPr>
          <w:rFonts w:eastAsia="Times New Roman" w:cs="Times New Roman"/>
          <w:sz w:val="20"/>
          <w:szCs w:val="20"/>
          <w:lang w:eastAsia="en-CA"/>
        </w:rPr>
        <w:t>, for the intervener the Attorney General of Quebec.</w:t>
      </w:r>
      <w:proofErr w:type="gramEnd"/>
    </w:p>
    <w:p w:rsidR="001542D3" w:rsidRPr="001542D3" w:rsidRDefault="001542D3" w:rsidP="001542D3">
      <w:pPr>
        <w:jc w:val="both"/>
        <w:rPr>
          <w:rFonts w:eastAsia="Times New Roman" w:cs="Times New Roman"/>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sz w:val="20"/>
          <w:szCs w:val="20"/>
          <w:lang w:eastAsia="en-CA"/>
        </w:rPr>
        <w:tab/>
      </w:r>
      <w:proofErr w:type="gramStart"/>
      <w:r w:rsidRPr="001542D3">
        <w:rPr>
          <w:rFonts w:eastAsia="Times New Roman" w:cs="Times New Roman"/>
          <w:sz w:val="20"/>
          <w:szCs w:val="20"/>
          <w:lang w:eastAsia="en-CA"/>
        </w:rPr>
        <w:t>Written submissions only by</w:t>
      </w:r>
      <w:r w:rsidRPr="001542D3">
        <w:rPr>
          <w:rFonts w:eastAsia="Times New Roman" w:cs="Times New Roman"/>
          <w:i/>
          <w:sz w:val="20"/>
          <w:szCs w:val="20"/>
          <w:lang w:eastAsia="en-CA"/>
        </w:rPr>
        <w:t xml:space="preserve"> Deborah Carlson</w:t>
      </w:r>
      <w:r w:rsidRPr="001542D3">
        <w:rPr>
          <w:rFonts w:eastAsia="Times New Roman" w:cs="Times New Roman"/>
          <w:sz w:val="20"/>
          <w:szCs w:val="20"/>
          <w:lang w:eastAsia="en-CA"/>
        </w:rPr>
        <w:t xml:space="preserve"> and </w:t>
      </w:r>
      <w:r w:rsidRPr="001542D3">
        <w:rPr>
          <w:rFonts w:eastAsia="Times New Roman" w:cs="Times New Roman"/>
          <w:i/>
          <w:sz w:val="20"/>
          <w:szCs w:val="20"/>
          <w:lang w:eastAsia="en-CA"/>
        </w:rPr>
        <w:t>Allison Kindle Pejovic</w:t>
      </w:r>
      <w:r w:rsidRPr="001542D3">
        <w:rPr>
          <w:rFonts w:eastAsia="Times New Roman" w:cs="Times New Roman"/>
          <w:sz w:val="20"/>
          <w:szCs w:val="20"/>
          <w:lang w:eastAsia="en-CA"/>
        </w:rPr>
        <w:t>, for the intervener the Attorney General of Manitoba.</w:t>
      </w:r>
      <w:proofErr w:type="gramEnd"/>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i/>
          <w:sz w:val="20"/>
          <w:szCs w:val="20"/>
          <w:lang w:eastAsia="en-CA"/>
        </w:rPr>
        <w:tab/>
        <w:t>Bryant Alexander Mackey</w:t>
      </w:r>
      <w:r w:rsidRPr="001542D3">
        <w:rPr>
          <w:rFonts w:eastAsia="Times New Roman" w:cs="Times New Roman"/>
          <w:sz w:val="20"/>
          <w:szCs w:val="20"/>
          <w:lang w:eastAsia="en-CA"/>
        </w:rPr>
        <w:t>, for the intervener the Attorney General of British Columbia.</w:t>
      </w:r>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i/>
          <w:sz w:val="20"/>
          <w:szCs w:val="20"/>
          <w:lang w:eastAsia="en-CA"/>
        </w:rPr>
        <w:tab/>
      </w:r>
      <w:proofErr w:type="gramStart"/>
      <w:r w:rsidRPr="001542D3">
        <w:rPr>
          <w:rFonts w:eastAsia="Times New Roman" w:cs="Times New Roman"/>
          <w:i/>
          <w:sz w:val="20"/>
          <w:szCs w:val="20"/>
          <w:lang w:eastAsia="en-CA"/>
        </w:rPr>
        <w:t>Micah B. Rankin</w:t>
      </w:r>
      <w:r w:rsidRPr="001542D3">
        <w:rPr>
          <w:rFonts w:eastAsia="Times New Roman" w:cs="Times New Roman"/>
          <w:sz w:val="20"/>
          <w:szCs w:val="20"/>
          <w:lang w:eastAsia="en-CA"/>
        </w:rPr>
        <w:t xml:space="preserve">, </w:t>
      </w:r>
      <w:r w:rsidRPr="001542D3">
        <w:rPr>
          <w:rFonts w:eastAsia="Times New Roman" w:cs="Times New Roman"/>
          <w:i/>
          <w:sz w:val="20"/>
          <w:szCs w:val="20"/>
          <w:lang w:eastAsia="en-CA"/>
        </w:rPr>
        <w:t>Michael Sobkin</w:t>
      </w:r>
      <w:r w:rsidRPr="001542D3">
        <w:rPr>
          <w:rFonts w:eastAsia="Times New Roman" w:cs="Times New Roman"/>
          <w:sz w:val="20"/>
          <w:szCs w:val="20"/>
          <w:lang w:eastAsia="en-CA"/>
        </w:rPr>
        <w:t xml:space="preserve"> and </w:t>
      </w:r>
      <w:r w:rsidRPr="001542D3">
        <w:rPr>
          <w:rFonts w:eastAsia="Times New Roman" w:cs="Times New Roman"/>
          <w:i/>
          <w:sz w:val="20"/>
          <w:szCs w:val="20"/>
          <w:lang w:eastAsia="en-CA"/>
        </w:rPr>
        <w:t>Elizabeth France</w:t>
      </w:r>
      <w:r w:rsidRPr="001542D3">
        <w:rPr>
          <w:rFonts w:eastAsia="Times New Roman" w:cs="Times New Roman"/>
          <w:sz w:val="20"/>
          <w:szCs w:val="20"/>
          <w:lang w:eastAsia="en-CA"/>
        </w:rPr>
        <w:t>, for the intervener the British Columbia Civil Liberties Association.</w:t>
      </w:r>
      <w:proofErr w:type="gramEnd"/>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i/>
          <w:sz w:val="20"/>
          <w:szCs w:val="20"/>
          <w:lang w:eastAsia="en-CA"/>
        </w:rPr>
        <w:tab/>
      </w:r>
      <w:proofErr w:type="gramStart"/>
      <w:r w:rsidRPr="001542D3">
        <w:rPr>
          <w:rFonts w:eastAsia="Times New Roman" w:cs="Times New Roman"/>
          <w:i/>
          <w:sz w:val="20"/>
          <w:szCs w:val="20"/>
          <w:lang w:eastAsia="en-CA"/>
        </w:rPr>
        <w:t>John Norris</w:t>
      </w:r>
      <w:r w:rsidRPr="001542D3">
        <w:rPr>
          <w:rFonts w:eastAsia="Times New Roman" w:cs="Times New Roman"/>
          <w:sz w:val="20"/>
          <w:szCs w:val="20"/>
          <w:lang w:eastAsia="en-CA"/>
        </w:rPr>
        <w:t>, for the intervener the Advocates’ Society.</w:t>
      </w:r>
      <w:proofErr w:type="gramEnd"/>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sz w:val="20"/>
          <w:szCs w:val="20"/>
          <w:lang w:eastAsia="en-CA"/>
        </w:rPr>
      </w:pPr>
      <w:r w:rsidRPr="001542D3">
        <w:rPr>
          <w:rFonts w:eastAsia="Times New Roman" w:cs="Times New Roman"/>
          <w:i/>
          <w:sz w:val="20"/>
          <w:szCs w:val="20"/>
          <w:lang w:eastAsia="en-CA"/>
        </w:rPr>
        <w:tab/>
      </w:r>
      <w:proofErr w:type="gramStart"/>
      <w:r w:rsidRPr="001542D3">
        <w:rPr>
          <w:rFonts w:eastAsia="Times New Roman" w:cs="Times New Roman"/>
          <w:i/>
          <w:sz w:val="20"/>
          <w:szCs w:val="20"/>
          <w:lang w:eastAsia="en-CA"/>
        </w:rPr>
        <w:t>Anita Szigeti</w:t>
      </w:r>
      <w:r w:rsidRPr="001542D3">
        <w:rPr>
          <w:rFonts w:eastAsia="Times New Roman" w:cs="Times New Roman"/>
          <w:sz w:val="20"/>
          <w:szCs w:val="20"/>
          <w:lang w:eastAsia="en-CA"/>
        </w:rPr>
        <w:t xml:space="preserve">, </w:t>
      </w:r>
      <w:r w:rsidRPr="001542D3">
        <w:rPr>
          <w:rFonts w:eastAsia="Times New Roman" w:cs="Times New Roman"/>
          <w:i/>
          <w:sz w:val="20"/>
          <w:szCs w:val="20"/>
          <w:lang w:eastAsia="en-CA"/>
        </w:rPr>
        <w:t>Mercedes Perez</w:t>
      </w:r>
      <w:r w:rsidRPr="001542D3">
        <w:rPr>
          <w:rFonts w:eastAsia="Times New Roman" w:cs="Times New Roman"/>
          <w:sz w:val="20"/>
          <w:szCs w:val="20"/>
          <w:lang w:eastAsia="en-CA"/>
        </w:rPr>
        <w:t xml:space="preserve"> and </w:t>
      </w:r>
      <w:r w:rsidRPr="001542D3">
        <w:rPr>
          <w:rFonts w:eastAsia="Times New Roman" w:cs="Times New Roman"/>
          <w:i/>
          <w:sz w:val="20"/>
          <w:szCs w:val="20"/>
          <w:lang w:eastAsia="en-CA"/>
        </w:rPr>
        <w:t>Marie</w:t>
      </w:r>
      <w:r w:rsidRPr="001542D3">
        <w:rPr>
          <w:rFonts w:eastAsia="Times New Roman" w:cs="Times New Roman"/>
          <w:i/>
          <w:sz w:val="20"/>
          <w:szCs w:val="20"/>
          <w:lang w:eastAsia="en-CA"/>
        </w:rPr>
        <w:noBreakHyphen/>
        <w:t>France Major</w:t>
      </w:r>
      <w:r w:rsidRPr="001542D3">
        <w:rPr>
          <w:rFonts w:eastAsia="Times New Roman" w:cs="Times New Roman"/>
          <w:sz w:val="20"/>
          <w:szCs w:val="20"/>
          <w:lang w:eastAsia="en-CA"/>
        </w:rPr>
        <w:t>, for the intervener the Mental Health Legal Committee.</w:t>
      </w:r>
      <w:proofErr w:type="gramEnd"/>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i/>
          <w:sz w:val="20"/>
          <w:szCs w:val="20"/>
          <w:lang w:eastAsia="en-CA"/>
        </w:rPr>
      </w:pPr>
      <w:r w:rsidRPr="001542D3">
        <w:rPr>
          <w:rFonts w:eastAsia="Times New Roman" w:cs="Times New Roman"/>
          <w:i/>
          <w:sz w:val="20"/>
          <w:szCs w:val="20"/>
          <w:lang w:eastAsia="en-CA"/>
        </w:rPr>
        <w:tab/>
        <w:t>Solicitor for the appellant:  Attorney General of Ontario, Toronto.</w:t>
      </w:r>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i/>
          <w:sz w:val="20"/>
          <w:szCs w:val="20"/>
          <w:lang w:eastAsia="en-CA"/>
        </w:rPr>
      </w:pPr>
      <w:r w:rsidRPr="001542D3">
        <w:rPr>
          <w:rFonts w:eastAsia="Times New Roman" w:cs="Times New Roman"/>
          <w:i/>
          <w:sz w:val="20"/>
          <w:szCs w:val="20"/>
          <w:lang w:eastAsia="en-CA"/>
        </w:rPr>
        <w:tab/>
        <w:t>Solicitors for the respondent the Criminal Lawyers’ Association of Ontario:  Schreck Presser, Toronto; Louis P. Strezos &amp; Associate, Toronto.</w:t>
      </w:r>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i/>
          <w:sz w:val="20"/>
          <w:szCs w:val="20"/>
          <w:lang w:eastAsia="en-CA"/>
        </w:rPr>
      </w:pPr>
      <w:r w:rsidRPr="001542D3">
        <w:rPr>
          <w:rFonts w:eastAsia="Times New Roman" w:cs="Times New Roman"/>
          <w:i/>
          <w:sz w:val="20"/>
          <w:szCs w:val="20"/>
          <w:lang w:eastAsia="en-CA"/>
        </w:rPr>
        <w:tab/>
        <w:t>Solicitor for the intervener the Attorney General of Canada:  Attorney General of Canada, Ottawa.</w:t>
      </w:r>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i/>
          <w:sz w:val="20"/>
          <w:szCs w:val="20"/>
          <w:lang w:eastAsia="en-CA"/>
        </w:rPr>
      </w:pPr>
      <w:r w:rsidRPr="001542D3">
        <w:rPr>
          <w:rFonts w:eastAsia="Times New Roman" w:cs="Times New Roman"/>
          <w:i/>
          <w:sz w:val="20"/>
          <w:szCs w:val="20"/>
          <w:lang w:eastAsia="en-CA"/>
        </w:rPr>
        <w:tab/>
        <w:t>Solicitor for the intervener the Attorney General of Quebec:  Attorney General of Quebec, Québec.</w:t>
      </w:r>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i/>
          <w:sz w:val="20"/>
          <w:szCs w:val="20"/>
          <w:lang w:eastAsia="en-CA"/>
        </w:rPr>
      </w:pPr>
      <w:r w:rsidRPr="001542D3">
        <w:rPr>
          <w:rFonts w:eastAsia="Times New Roman" w:cs="Times New Roman"/>
          <w:i/>
          <w:sz w:val="20"/>
          <w:szCs w:val="20"/>
          <w:lang w:eastAsia="en-CA"/>
        </w:rPr>
        <w:tab/>
        <w:t>Solicitor for the intervener the Attorney General of Manitoba:  Attorney General of Manitoba, Winnipeg.</w:t>
      </w:r>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i/>
          <w:sz w:val="20"/>
          <w:szCs w:val="20"/>
          <w:lang w:eastAsia="en-CA"/>
        </w:rPr>
      </w:pPr>
      <w:r w:rsidRPr="001542D3">
        <w:rPr>
          <w:rFonts w:eastAsia="Times New Roman" w:cs="Times New Roman"/>
          <w:i/>
          <w:sz w:val="20"/>
          <w:szCs w:val="20"/>
          <w:lang w:eastAsia="en-CA"/>
        </w:rPr>
        <w:tab/>
        <w:t>Solicitor for the intervener the Attorney General of British Columbia:  Attorney General of British Columbia, Victoria.</w:t>
      </w:r>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i/>
          <w:sz w:val="20"/>
          <w:szCs w:val="20"/>
          <w:lang w:eastAsia="en-CA"/>
        </w:rPr>
      </w:pPr>
      <w:r w:rsidRPr="001542D3">
        <w:rPr>
          <w:rFonts w:eastAsia="Times New Roman" w:cs="Times New Roman"/>
          <w:i/>
          <w:sz w:val="20"/>
          <w:szCs w:val="20"/>
          <w:lang w:eastAsia="en-CA"/>
        </w:rPr>
        <w:tab/>
        <w:t>Solicitors for the intervener the British Columbia Civil Liberties Association:  Sugden, McFee &amp; Roos, Vancouver.</w:t>
      </w:r>
    </w:p>
    <w:p w:rsidR="001542D3" w:rsidRPr="001542D3" w:rsidRDefault="001542D3" w:rsidP="001542D3">
      <w:pPr>
        <w:jc w:val="both"/>
        <w:rPr>
          <w:rFonts w:eastAsia="Times New Roman" w:cs="Times New Roman"/>
          <w:i/>
          <w:sz w:val="20"/>
          <w:szCs w:val="20"/>
          <w:lang w:eastAsia="en-CA"/>
        </w:rPr>
      </w:pPr>
    </w:p>
    <w:p w:rsidR="001542D3" w:rsidRPr="001542D3" w:rsidRDefault="001542D3" w:rsidP="001542D3">
      <w:pPr>
        <w:jc w:val="both"/>
        <w:rPr>
          <w:rFonts w:eastAsia="Times New Roman" w:cs="Times New Roman"/>
          <w:i/>
          <w:sz w:val="20"/>
          <w:szCs w:val="20"/>
          <w:lang w:eastAsia="en-CA"/>
        </w:rPr>
      </w:pPr>
      <w:r w:rsidRPr="001542D3">
        <w:rPr>
          <w:rFonts w:eastAsia="Times New Roman" w:cs="Times New Roman"/>
          <w:i/>
          <w:sz w:val="20"/>
          <w:szCs w:val="20"/>
          <w:lang w:eastAsia="en-CA"/>
        </w:rPr>
        <w:tab/>
        <w:t>Solicitors for the intervener the Advocates’ Society:  Simcoe Chambers, Toronto.</w:t>
      </w:r>
    </w:p>
    <w:p w:rsidR="001542D3" w:rsidRPr="001542D3" w:rsidRDefault="001542D3" w:rsidP="001542D3">
      <w:pPr>
        <w:jc w:val="both"/>
        <w:rPr>
          <w:rFonts w:eastAsia="Times New Roman" w:cs="Times New Roman"/>
          <w:i/>
          <w:sz w:val="20"/>
          <w:szCs w:val="20"/>
          <w:lang w:eastAsia="en-CA"/>
        </w:rPr>
      </w:pPr>
    </w:p>
    <w:p w:rsidR="001542D3" w:rsidRDefault="001542D3" w:rsidP="001542D3">
      <w:pPr>
        <w:rPr>
          <w:rFonts w:eastAsia="Times New Roman" w:cs="Times New Roman"/>
          <w:i/>
          <w:sz w:val="20"/>
          <w:szCs w:val="20"/>
          <w:lang w:eastAsia="en-CA"/>
        </w:rPr>
      </w:pPr>
      <w:r>
        <w:rPr>
          <w:rFonts w:eastAsia="Times New Roman" w:cs="Times New Roman"/>
          <w:i/>
          <w:sz w:val="20"/>
          <w:szCs w:val="20"/>
          <w:lang w:eastAsia="en-CA"/>
        </w:rPr>
        <w:br w:type="page"/>
      </w:r>
    </w:p>
    <w:p w:rsidR="001542D3" w:rsidRPr="001542D3" w:rsidRDefault="001542D3" w:rsidP="001542D3">
      <w:pPr>
        <w:jc w:val="both"/>
        <w:rPr>
          <w:rFonts w:eastAsia="Times New Roman" w:cs="Times New Roman"/>
          <w:i/>
          <w:sz w:val="20"/>
          <w:szCs w:val="20"/>
          <w:lang w:eastAsia="en-CA"/>
        </w:rPr>
      </w:pPr>
      <w:r w:rsidRPr="001542D3">
        <w:rPr>
          <w:rFonts w:eastAsia="Times New Roman" w:cs="Times New Roman"/>
          <w:i/>
          <w:sz w:val="20"/>
          <w:szCs w:val="20"/>
          <w:lang w:eastAsia="en-CA"/>
        </w:rPr>
        <w:tab/>
        <w:t>Solicitors for the intervener the Mental Health Legal Committee:  Hiltz Szigeti, Toronto; Swandron Associates, Toronto; Supreme Advocacy, Ottawa.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sz w:val="20"/>
          <w:szCs w:val="20"/>
          <w:lang w:val="fr-CA" w:eastAsia="en-CA"/>
        </w:rPr>
        <w:t>Présents : La juge en chef McLachlin et les juges LeBel, Fish, Abella, Rothstein, Cromwell, Moldaver, Karakatsanis et Wagner.</w:t>
      </w:r>
    </w:p>
    <w:p w:rsidR="001542D3" w:rsidRPr="001542D3" w:rsidRDefault="001542D3" w:rsidP="001542D3">
      <w:pPr>
        <w:jc w:val="both"/>
        <w:rPr>
          <w:rFonts w:eastAsia="Times New Roman" w:cs="Times New Roman"/>
          <w:smallCaps/>
          <w:sz w:val="20"/>
          <w:szCs w:val="20"/>
          <w:lang w:val="fr-CA" w:eastAsia="en-CA"/>
        </w:rPr>
      </w:pPr>
    </w:p>
    <w:p w:rsidR="001542D3" w:rsidRPr="001542D3" w:rsidRDefault="001542D3" w:rsidP="001542D3">
      <w:pPr>
        <w:jc w:val="both"/>
        <w:rPr>
          <w:rFonts w:eastAsia="Times New Roman" w:cs="Times New Roman"/>
          <w:i/>
          <w:sz w:val="20"/>
          <w:szCs w:val="20"/>
          <w:lang w:val="fr-CA" w:eastAsia="en-CA"/>
        </w:rPr>
      </w:pPr>
      <w:r w:rsidRPr="001542D3">
        <w:rPr>
          <w:rFonts w:eastAsia="Times New Roman" w:cs="Times New Roman"/>
          <w:sz w:val="20"/>
          <w:szCs w:val="20"/>
          <w:lang w:val="fr-CA" w:eastAsia="en-CA"/>
        </w:rPr>
        <w:tab/>
      </w:r>
      <w:r w:rsidRPr="001542D3">
        <w:rPr>
          <w:rFonts w:eastAsia="Times New Roman" w:cs="Times New Roman"/>
          <w:i/>
          <w:sz w:val="20"/>
          <w:szCs w:val="20"/>
          <w:lang w:val="fr-CA" w:eastAsia="en-CA"/>
        </w:rPr>
        <w:t>Tribunaux — Compétence — Nomination d’un amicus curiae — Mésentente entre le procureur général provincial et des amici curiae nommés par des juges présidant des procès criminels au sujet du taux de rémunération des amici — Les cours supérieures et les tribunaux d’origine législative ont</w:t>
      </w:r>
      <w:r w:rsidRPr="001542D3">
        <w:rPr>
          <w:rFonts w:eastAsia="Times New Roman" w:cs="Times New Roman"/>
          <w:i/>
          <w:sz w:val="20"/>
          <w:szCs w:val="20"/>
          <w:lang w:val="fr-CA" w:eastAsia="en-CA"/>
        </w:rPr>
        <w:noBreakHyphen/>
        <w:t>ils une compétence inhérente ou tacite pour fixer le taux de la rénumération des amici curiae?</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i/>
          <w:sz w:val="20"/>
          <w:szCs w:val="20"/>
          <w:lang w:val="fr-CA" w:eastAsia="en-CA"/>
        </w:rPr>
        <w:tab/>
      </w:r>
      <w:r w:rsidRPr="001542D3">
        <w:rPr>
          <w:rFonts w:eastAsia="Times New Roman" w:cs="Times New Roman"/>
          <w:sz w:val="20"/>
          <w:szCs w:val="20"/>
          <w:lang w:val="fr-CA" w:eastAsia="en-CA"/>
        </w:rPr>
        <w:t xml:space="preserve">Dans trois affaires issues de dossiers criminels ontariens, les juges des procès ont nommé des </w:t>
      </w:r>
      <w:r w:rsidRPr="001542D3">
        <w:rPr>
          <w:rFonts w:eastAsia="Times New Roman" w:cs="Times New Roman"/>
          <w:i/>
          <w:sz w:val="20"/>
          <w:szCs w:val="20"/>
          <w:lang w:val="fr-CA" w:eastAsia="en-CA"/>
        </w:rPr>
        <w:t>amici curiae</w:t>
      </w:r>
      <w:r w:rsidRPr="001542D3">
        <w:rPr>
          <w:rFonts w:eastAsia="Times New Roman" w:cs="Times New Roman"/>
          <w:sz w:val="20"/>
          <w:szCs w:val="20"/>
          <w:lang w:val="fr-CA" w:eastAsia="en-CA"/>
        </w:rPr>
        <w:t xml:space="preserve"> pour assister les accusés après que ceux</w:t>
      </w:r>
      <w:r w:rsidRPr="001542D3">
        <w:rPr>
          <w:rFonts w:eastAsia="Times New Roman" w:cs="Times New Roman"/>
          <w:sz w:val="20"/>
          <w:szCs w:val="20"/>
          <w:lang w:val="fr-CA" w:eastAsia="en-CA"/>
        </w:rPr>
        <w:noBreakHyphen/>
        <w:t xml:space="preserve">ci eurent révoqué les avocats dont ils avaient retenu les services.  Cette mesure visait à assurer le bon déroulement des procès ou à ne pas retarder des instances longues et complexes.  Les juges n’ont pas statué sur le fondement de la </w:t>
      </w:r>
      <w:r w:rsidRPr="001542D3">
        <w:rPr>
          <w:rFonts w:eastAsia="Times New Roman" w:cs="Times New Roman"/>
          <w:i/>
          <w:sz w:val="20"/>
          <w:szCs w:val="20"/>
          <w:lang w:val="fr-CA" w:eastAsia="en-CA"/>
        </w:rPr>
        <w:t>Charte</w:t>
      </w:r>
      <w:r w:rsidRPr="001542D3">
        <w:rPr>
          <w:rFonts w:eastAsia="Times New Roman" w:cs="Times New Roman"/>
          <w:sz w:val="20"/>
          <w:szCs w:val="20"/>
          <w:lang w:val="fr-CA" w:eastAsia="en-CA"/>
        </w:rPr>
        <w:t xml:space="preserve"> </w:t>
      </w:r>
      <w:r w:rsidRPr="001542D3">
        <w:rPr>
          <w:rFonts w:eastAsia="Times New Roman" w:cs="Times New Roman"/>
          <w:i/>
          <w:sz w:val="20"/>
          <w:szCs w:val="20"/>
          <w:lang w:val="fr-CA" w:eastAsia="en-CA"/>
        </w:rPr>
        <w:t>canadienne des droits et libertés</w:t>
      </w:r>
      <w:r w:rsidRPr="001542D3">
        <w:rPr>
          <w:rFonts w:eastAsia="Times New Roman" w:cs="Times New Roman"/>
          <w:sz w:val="20"/>
          <w:szCs w:val="20"/>
          <w:lang w:val="fr-CA" w:eastAsia="en-CA"/>
        </w:rPr>
        <w:t>, ni estimé que les procès ne seraient pas équitables si les accusés n’étaient pas représentés.  Le procureur général a fait valoir que, dans chacune des instances considérées, l’</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xml:space="preserve"> jouait un rôle semblable à celui d’un avocat de la défense et qu’il devait accepter d’être rémunéré au tarif de l’aide juridique.  Or, les </w:t>
      </w:r>
      <w:r w:rsidRPr="001542D3">
        <w:rPr>
          <w:rFonts w:eastAsia="Times New Roman" w:cs="Times New Roman"/>
          <w:i/>
          <w:sz w:val="20"/>
          <w:szCs w:val="20"/>
          <w:lang w:val="fr-CA" w:eastAsia="en-CA"/>
        </w:rPr>
        <w:t>amici</w:t>
      </w:r>
      <w:r w:rsidRPr="001542D3">
        <w:rPr>
          <w:rFonts w:eastAsia="Times New Roman" w:cs="Times New Roman"/>
          <w:sz w:val="20"/>
          <w:szCs w:val="20"/>
          <w:lang w:val="fr-CA" w:eastAsia="en-CA"/>
        </w:rPr>
        <w:t xml:space="preserve"> ayant refusé ce tarif, les juges des procès ont fixé des taux supérieurs et ordonné au procureur général de rémunérer les </w:t>
      </w:r>
      <w:r w:rsidRPr="001542D3">
        <w:rPr>
          <w:rFonts w:eastAsia="Times New Roman" w:cs="Times New Roman"/>
          <w:i/>
          <w:sz w:val="20"/>
          <w:szCs w:val="20"/>
          <w:lang w:val="fr-CA" w:eastAsia="en-CA"/>
        </w:rPr>
        <w:t>amici</w:t>
      </w:r>
      <w:r w:rsidRPr="001542D3">
        <w:rPr>
          <w:rFonts w:eastAsia="Times New Roman" w:cs="Times New Roman"/>
          <w:sz w:val="20"/>
          <w:szCs w:val="20"/>
          <w:lang w:val="fr-CA" w:eastAsia="en-CA"/>
        </w:rPr>
        <w:t xml:space="preserve"> en conséquence.  Dans l’une des affaires, la juge du procès a confié à un avocat chevronné la tâche d’établir un budget pour l’</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xml:space="preserve"> et de faire droit ou non, après examen, à ses demandes de paiement au fur et à mesure qu’il les présentait.  Le ministère public a interjeté appel des décisions et fait valoir que les tribunaux n’avaient pas compétence pour fixer le taux de rémunération des </w:t>
      </w:r>
      <w:r w:rsidRPr="001542D3">
        <w:rPr>
          <w:rFonts w:eastAsia="Times New Roman" w:cs="Times New Roman"/>
          <w:i/>
          <w:sz w:val="20"/>
          <w:szCs w:val="20"/>
          <w:lang w:val="fr-CA" w:eastAsia="en-CA"/>
        </w:rPr>
        <w:t>amici curiae</w:t>
      </w:r>
      <w:r w:rsidRPr="001542D3">
        <w:rPr>
          <w:rFonts w:eastAsia="Times New Roman" w:cs="Times New Roman"/>
          <w:sz w:val="20"/>
          <w:szCs w:val="20"/>
          <w:lang w:val="fr-CA" w:eastAsia="en-CA"/>
        </w:rPr>
        <w:t>.  La Cour d’appel l’a débouté au motif que le pouvoir d’une cour supérieure ou d’un tribunal d’origine législative de fixer les conditions du mandat de l’</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y compris sa rémunération et le contrôle des demandes de paiement, était connexe à son pouvoir de nommer l’</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xml:space="preserve">.  </w:t>
      </w:r>
    </w:p>
    <w:p w:rsidR="001542D3" w:rsidRPr="001542D3" w:rsidRDefault="001542D3" w:rsidP="001542D3">
      <w:pPr>
        <w:jc w:val="both"/>
        <w:rPr>
          <w:rFonts w:eastAsia="Times New Roman" w:cs="Times New Roman"/>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sz w:val="20"/>
          <w:szCs w:val="20"/>
          <w:lang w:val="fr-CA" w:eastAsia="en-CA"/>
        </w:rPr>
        <w:tab/>
      </w:r>
      <w:r w:rsidRPr="001542D3">
        <w:rPr>
          <w:rFonts w:eastAsia="Times New Roman" w:cs="Times New Roman"/>
          <w:i/>
          <w:sz w:val="20"/>
          <w:szCs w:val="20"/>
          <w:lang w:val="fr-CA" w:eastAsia="en-CA"/>
        </w:rPr>
        <w:t xml:space="preserve">Arrêt </w:t>
      </w:r>
      <w:r w:rsidRPr="001542D3">
        <w:rPr>
          <w:rFonts w:eastAsia="Times New Roman" w:cs="Times New Roman"/>
          <w:sz w:val="20"/>
          <w:szCs w:val="20"/>
          <w:lang w:val="fr-CA" w:eastAsia="en-CA"/>
        </w:rPr>
        <w:t>(les juges LeBel, Fish, Abella et Cromwell sont dissidents) : Le pourvoi est accueilli.</w:t>
      </w:r>
    </w:p>
    <w:p w:rsidR="001542D3" w:rsidRPr="001542D3" w:rsidRDefault="001542D3" w:rsidP="001542D3">
      <w:pPr>
        <w:jc w:val="both"/>
        <w:rPr>
          <w:rFonts w:eastAsia="Times New Roman" w:cs="Times New Roman"/>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sz w:val="20"/>
          <w:szCs w:val="20"/>
          <w:lang w:val="fr-CA" w:eastAsia="en-CA"/>
        </w:rPr>
        <w:tab/>
      </w:r>
      <w:r w:rsidRPr="001542D3">
        <w:rPr>
          <w:rFonts w:eastAsia="Times New Roman" w:cs="Times New Roman"/>
          <w:i/>
          <w:sz w:val="20"/>
          <w:szCs w:val="20"/>
          <w:lang w:val="fr-CA" w:eastAsia="en-CA"/>
        </w:rPr>
        <w:t>La</w:t>
      </w:r>
      <w:r w:rsidRPr="001542D3">
        <w:rPr>
          <w:rFonts w:eastAsia="Times New Roman" w:cs="Times New Roman"/>
          <w:sz w:val="20"/>
          <w:szCs w:val="20"/>
          <w:lang w:val="fr-CA" w:eastAsia="en-CA"/>
        </w:rPr>
        <w:t xml:space="preserve"> juge en chef McLachlin et les juges Rothstein, Moldaver, </w:t>
      </w:r>
      <w:r w:rsidRPr="001542D3">
        <w:rPr>
          <w:rFonts w:eastAsia="Times New Roman" w:cs="Times New Roman"/>
          <w:b/>
          <w:sz w:val="20"/>
          <w:szCs w:val="20"/>
          <w:lang w:val="fr-CA" w:eastAsia="en-CA"/>
        </w:rPr>
        <w:t>Karakatsanis</w:t>
      </w:r>
      <w:r w:rsidRPr="001542D3">
        <w:rPr>
          <w:rFonts w:eastAsia="Times New Roman" w:cs="Times New Roman"/>
          <w:sz w:val="20"/>
          <w:szCs w:val="20"/>
          <w:lang w:val="fr-CA" w:eastAsia="en-CA"/>
        </w:rPr>
        <w:t xml:space="preserve"> et Wagner : Une cour dotée d’une compétence inhérente peut, de manière exceptionnelle, nommer un </w:t>
      </w:r>
      <w:r w:rsidRPr="001542D3">
        <w:rPr>
          <w:rFonts w:eastAsia="Times New Roman" w:cs="Times New Roman"/>
          <w:i/>
          <w:sz w:val="20"/>
          <w:szCs w:val="20"/>
          <w:lang w:val="fr-CA" w:eastAsia="en-CA"/>
        </w:rPr>
        <w:t>amicus curiae</w:t>
      </w:r>
      <w:r w:rsidRPr="001542D3">
        <w:rPr>
          <w:rFonts w:eastAsia="Times New Roman" w:cs="Times New Roman"/>
          <w:sz w:val="20"/>
          <w:szCs w:val="20"/>
          <w:lang w:val="fr-CA" w:eastAsia="en-CA"/>
        </w:rPr>
        <w:t xml:space="preserve"> si la mesure s’impose afin que justice puisse être rendue dans une instance.  Ce pouvoir découle aussi implicitement de la faculté d’un tribunal d’origine législative de constituer une cour de justice.  La fonction d’</w:t>
      </w:r>
      <w:r w:rsidRPr="001542D3">
        <w:rPr>
          <w:rFonts w:eastAsia="Times New Roman" w:cs="Times New Roman"/>
          <w:i/>
          <w:sz w:val="20"/>
          <w:szCs w:val="20"/>
          <w:lang w:val="fr-CA" w:eastAsia="en-CA"/>
        </w:rPr>
        <w:t>amicus curiae</w:t>
      </w:r>
      <w:r w:rsidRPr="001542D3">
        <w:rPr>
          <w:rFonts w:eastAsia="Times New Roman" w:cs="Times New Roman"/>
          <w:sz w:val="20"/>
          <w:szCs w:val="20"/>
          <w:lang w:val="fr-CA" w:eastAsia="en-CA"/>
        </w:rPr>
        <w:t xml:space="preserve"> existe depuis longtemps dans notre système de justice.  Toutefois, lorsque le mandat de l’</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xml:space="preserve"> s’apparente à celui d’un avocat de la défense, la ligne de séparation entre ces deux fonctions est brouillée.  La nomination peut alors aller à l’encontre du droit constitutionnel de l’accusé d’assurer sa propre défense, ainsi que de la décision antérieure d’un tribunal saisi d’une demande fondée sur le droit constitutionnel de l’accusé à un procès équitable de lui refuser les services d’un avocat rémunéré par l’État; en outre, elle peut obliger l’</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xml:space="preserve"> à faire valoir des points de droit qui ne sont pas favorables à l’accusé ou qui sont contraires aux vœux de ce dernier, elle peut faire en sorte que l’avocat retenu exerce une fonction que la cour n’a pas le droit d’exercer et elle peut compromettre le régime provincial d’aide juridique.  Une fois nommé </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l’avocat</w:t>
      </w:r>
      <w:r w:rsidRPr="001542D3">
        <w:rPr>
          <w:rFonts w:eastAsia="Times New Roman" w:cs="Times New Roman"/>
          <w:i/>
          <w:sz w:val="20"/>
          <w:szCs w:val="20"/>
          <w:lang w:val="fr-CA" w:eastAsia="en-CA"/>
        </w:rPr>
        <w:t xml:space="preserve"> </w:t>
      </w:r>
      <w:r w:rsidRPr="001542D3">
        <w:rPr>
          <w:rFonts w:eastAsia="Times New Roman" w:cs="Times New Roman"/>
          <w:sz w:val="20"/>
          <w:szCs w:val="20"/>
          <w:lang w:val="fr-CA" w:eastAsia="en-CA"/>
        </w:rPr>
        <w:t>qui accepte de tenir le rôle d’avocat de la défense n’est donc plus l’ami de la cour.</w:t>
      </w:r>
    </w:p>
    <w:p w:rsidR="001542D3" w:rsidRPr="001542D3" w:rsidRDefault="001542D3" w:rsidP="001542D3">
      <w:pPr>
        <w:jc w:val="both"/>
        <w:rPr>
          <w:rFonts w:eastAsia="Times New Roman" w:cs="Times New Roman"/>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sz w:val="20"/>
          <w:szCs w:val="20"/>
          <w:lang w:val="fr-CA" w:eastAsia="en-CA"/>
        </w:rPr>
        <w:tab/>
        <w:t>À défaut d’une habilitation découlant d’une contestation constitutionnelle ou d’une disposition législative, le pouvoir de fixer la rémunération de l’</w:t>
      </w:r>
      <w:r w:rsidRPr="001542D3">
        <w:rPr>
          <w:rFonts w:eastAsia="Times New Roman" w:cs="Times New Roman"/>
          <w:i/>
          <w:sz w:val="20"/>
          <w:szCs w:val="20"/>
          <w:lang w:val="fr-CA" w:eastAsia="en-CA"/>
        </w:rPr>
        <w:t>amicus curiae</w:t>
      </w:r>
      <w:r w:rsidRPr="001542D3">
        <w:rPr>
          <w:rFonts w:eastAsia="Times New Roman" w:cs="Times New Roman"/>
          <w:sz w:val="20"/>
          <w:szCs w:val="20"/>
          <w:lang w:val="fr-CA" w:eastAsia="en-CA"/>
        </w:rPr>
        <w:t xml:space="preserve"> doit s’originer de la compétence inhérente ou tacite de la cour.  La compétence inhérente d’une cour supérieure lui permet de rendre les ordonnances nécessaires à la protection du processus judiciaire et de la primauté du droit et de s’acquitter de sa fonction judiciaire qui consiste à administrer la justice d’une manière régulière, ordonnée et efficace.  De même, pour constituer une cour de justice, un tribunal d’origine législative possède des pouvoirs tacites.  La théorie de la compétence inhérente ne s’applique cependant pas sans </w:t>
      </w:r>
      <w:proofErr w:type="gramStart"/>
      <w:r w:rsidRPr="001542D3">
        <w:rPr>
          <w:rFonts w:eastAsia="Times New Roman" w:cs="Times New Roman"/>
          <w:sz w:val="20"/>
          <w:szCs w:val="20"/>
          <w:lang w:val="fr-CA" w:eastAsia="en-CA"/>
        </w:rPr>
        <w:t>réserves</w:t>
      </w:r>
      <w:proofErr w:type="gramEnd"/>
      <w:r w:rsidRPr="001542D3">
        <w:rPr>
          <w:rFonts w:eastAsia="Times New Roman" w:cs="Times New Roman"/>
          <w:sz w:val="20"/>
          <w:szCs w:val="20"/>
          <w:lang w:val="fr-CA" w:eastAsia="en-CA"/>
        </w:rPr>
        <w:t>.  Ces pouvoirs inhérents et tacites existent sous réserve de toute disposition législative, ainsi que du respect de la séparation des pouvoirs entre les différents acteurs de notre ordre constitutionnel et des attributions institutionnelles particulières qui résultent de cette séparation.  L’évolution de fonctions exécutive, législative et judiciaire distinctes a permis l’acquisition de certaines compétences essentielles par les diverses institutions appelées à exercer ces fonctions.  Le pouvoir inhérent ou tacite d’une cour de justice ne doit pas empiéter sur la fonction provinciale d’administration de la justice.</w:t>
      </w:r>
    </w:p>
    <w:p w:rsidR="001542D3" w:rsidRPr="001542D3" w:rsidRDefault="001542D3" w:rsidP="001542D3">
      <w:pPr>
        <w:jc w:val="both"/>
        <w:rPr>
          <w:rFonts w:eastAsia="Times New Roman" w:cs="Times New Roman"/>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sz w:val="20"/>
          <w:szCs w:val="20"/>
          <w:lang w:val="fr-CA" w:eastAsia="en-CA"/>
        </w:rPr>
        <w:tab/>
        <w:t>Bien qu’une cour ait compétence pour fixer les conditions du mandat de l’</w:t>
      </w:r>
      <w:r w:rsidRPr="001542D3">
        <w:rPr>
          <w:rFonts w:eastAsia="Times New Roman" w:cs="Times New Roman"/>
          <w:i/>
          <w:sz w:val="20"/>
          <w:szCs w:val="20"/>
          <w:lang w:val="fr-CA" w:eastAsia="en-CA"/>
        </w:rPr>
        <w:t>amicus curiae</w:t>
      </w:r>
      <w:r w:rsidRPr="001542D3">
        <w:rPr>
          <w:rFonts w:eastAsia="Times New Roman" w:cs="Times New Roman"/>
          <w:sz w:val="20"/>
          <w:szCs w:val="20"/>
          <w:lang w:val="fr-CA" w:eastAsia="en-CA"/>
        </w:rPr>
        <w:t xml:space="preserve"> et donner ainsi effet à son pouvoir de le nommer, la faculté de déterminer sa rémunération n’est pas essentielle à l’exercice de ce pouvoir, et son inexistence n’empêche pas la cour de rendre justice dans le respect de la loi, d’une manière régulière, ordonnée et efficace.  De plus, l’ordonnance qui lui enjoint de rémunérer l’</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xml:space="preserve"> selon un taux précis somme le procureur général de verser une certaine somme par prélèvement sur le trésor.  Une décision judiciaire peut accessoirement avoir des conséquences financières, mais l’affectation de ressources en fonction de priorités concurrentes relève de la politique et de l’économie; cette mesure ressortit au législatif et à l’exécutif, qui en sont responsables vis</w:t>
      </w:r>
      <w:r w:rsidRPr="001542D3">
        <w:rPr>
          <w:rFonts w:eastAsia="Times New Roman" w:cs="Times New Roman"/>
          <w:sz w:val="20"/>
          <w:szCs w:val="20"/>
          <w:lang w:val="fr-CA" w:eastAsia="en-CA"/>
        </w:rPr>
        <w:noBreakHyphen/>
        <w:t>à</w:t>
      </w:r>
      <w:r w:rsidRPr="001542D3">
        <w:rPr>
          <w:rFonts w:eastAsia="Times New Roman" w:cs="Times New Roman"/>
          <w:sz w:val="20"/>
          <w:szCs w:val="20"/>
          <w:lang w:val="fr-CA" w:eastAsia="en-CA"/>
        </w:rPr>
        <w:noBreakHyphen/>
        <w:t>vis de la population.  À défaut d’une habilitation découlant d’une contestation constitutionnelle ou d’une disposition législative, une telle ordonnance ne respecte pas les fonctions et les compétences institutionnelles du législatif, de l’exécutif (y compris le procureur général) et du judiciaire, ni le principe voulant que le législateur et l’exécutif soient responsables vis</w:t>
      </w:r>
      <w:r w:rsidRPr="001542D3">
        <w:rPr>
          <w:rFonts w:eastAsia="Times New Roman" w:cs="Times New Roman"/>
          <w:sz w:val="20"/>
          <w:szCs w:val="20"/>
          <w:lang w:val="fr-CA" w:eastAsia="en-CA"/>
        </w:rPr>
        <w:noBreakHyphen/>
        <w:t>à</w:t>
      </w:r>
      <w:r w:rsidRPr="001542D3">
        <w:rPr>
          <w:rFonts w:eastAsia="Times New Roman" w:cs="Times New Roman"/>
          <w:sz w:val="20"/>
          <w:szCs w:val="20"/>
          <w:lang w:val="fr-CA" w:eastAsia="en-CA"/>
        </w:rPr>
        <w:noBreakHyphen/>
        <w:t>vis des citoyens de l’affectation des fonds publics.  Le risque existe bel et bien que le non</w:t>
      </w:r>
      <w:r w:rsidRPr="001542D3">
        <w:rPr>
          <w:rFonts w:eastAsia="Times New Roman" w:cs="Times New Roman"/>
          <w:sz w:val="20"/>
          <w:szCs w:val="20"/>
          <w:lang w:val="fr-CA" w:eastAsia="en-CA"/>
        </w:rPr>
        <w:noBreakHyphen/>
        <w:t xml:space="preserve">respect de la séparation des pouvoirs, ainsi que des attributions constitutionnelles et institutionnelles des différentes branches de l’État, porte atteinte au programme d’aide juridique et sape la confiance du public dans les juges et les tribunaux.  Le pouvoir d’une cour supérieure ou d’un tribunal d’origine législative de nommer un </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xml:space="preserve"> n’englobe donc pas celui de fixer le taux de sa rémunération et d’ordonner à la province de le rémunérer en conséquence.</w:t>
      </w:r>
    </w:p>
    <w:p w:rsidR="001542D3" w:rsidRPr="001542D3" w:rsidRDefault="001542D3" w:rsidP="001542D3">
      <w:pPr>
        <w:jc w:val="both"/>
        <w:rPr>
          <w:rFonts w:eastAsia="Times New Roman" w:cs="Times New Roman"/>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sz w:val="20"/>
          <w:szCs w:val="20"/>
          <w:lang w:val="fr-CA" w:eastAsia="en-CA"/>
        </w:rPr>
        <w:tab/>
        <w:t xml:space="preserve">Dans les cas exceptionnels où, sans qu’un droit garanti par la </w:t>
      </w:r>
      <w:r w:rsidRPr="001542D3">
        <w:rPr>
          <w:rFonts w:eastAsia="Times New Roman" w:cs="Times New Roman"/>
          <w:i/>
          <w:sz w:val="20"/>
          <w:szCs w:val="20"/>
          <w:lang w:val="fr-CA" w:eastAsia="en-CA"/>
        </w:rPr>
        <w:t>Charte</w:t>
      </w:r>
      <w:r w:rsidRPr="001542D3">
        <w:rPr>
          <w:rFonts w:eastAsia="Times New Roman" w:cs="Times New Roman"/>
          <w:sz w:val="20"/>
          <w:szCs w:val="20"/>
          <w:lang w:val="fr-CA" w:eastAsia="en-CA"/>
        </w:rPr>
        <w:t xml:space="preserve"> ne soit en jeu, le juge doit obtenir l’aide d’un </w:t>
      </w:r>
      <w:r w:rsidRPr="001542D3">
        <w:rPr>
          <w:rFonts w:eastAsia="Times New Roman" w:cs="Times New Roman"/>
          <w:i/>
          <w:sz w:val="20"/>
          <w:szCs w:val="20"/>
          <w:lang w:val="fr-CA" w:eastAsia="en-CA"/>
        </w:rPr>
        <w:t xml:space="preserve">amicus </w:t>
      </w:r>
      <w:r w:rsidRPr="001542D3">
        <w:rPr>
          <w:rFonts w:eastAsia="Times New Roman" w:cs="Times New Roman"/>
          <w:sz w:val="20"/>
          <w:szCs w:val="20"/>
          <w:lang w:val="fr-CA" w:eastAsia="en-CA"/>
        </w:rPr>
        <w:t xml:space="preserve">pour rendre justice, le candidat retenu et le procureur général se rencontrent pour déterminer tarif et modalités de paiement.  Ils peuvent consulter le juge, mais ce dernier doit s’abstenir de rendre, relativement à la rémunération, une ordonnance à laquelle le procureur général n’aurait d’autre choix que d’obéir.  Lorsque le recours à un </w:t>
      </w:r>
      <w:r w:rsidRPr="001542D3">
        <w:rPr>
          <w:rFonts w:eastAsia="Times New Roman" w:cs="Times New Roman"/>
          <w:i/>
          <w:sz w:val="20"/>
          <w:szCs w:val="20"/>
          <w:lang w:val="fr-CA" w:eastAsia="en-CA"/>
        </w:rPr>
        <w:t xml:space="preserve">amicus </w:t>
      </w:r>
      <w:r w:rsidRPr="001542D3">
        <w:rPr>
          <w:rFonts w:eastAsia="Times New Roman" w:cs="Times New Roman"/>
          <w:sz w:val="20"/>
          <w:szCs w:val="20"/>
          <w:lang w:val="fr-CA" w:eastAsia="en-CA"/>
        </w:rPr>
        <w:t xml:space="preserve">est vraiment essentiel et que l’avocat pressenti et le procureur général ne parviennent pas à s’entendre, le juge peut n’avoir d’autre recours que l’exercice de sa compétence inhérente et la suspension de l’instance jusqu’à la nomination d’un </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xml:space="preserve">.  Si le procès ne peut aller de l’avant, la cour peut motiver la suspension d’instance et préciser la cause du retard. </w:t>
      </w:r>
    </w:p>
    <w:p w:rsidR="001542D3" w:rsidRPr="001542D3" w:rsidRDefault="001542D3" w:rsidP="001542D3">
      <w:pPr>
        <w:jc w:val="both"/>
        <w:rPr>
          <w:rFonts w:eastAsia="Times New Roman" w:cs="Times New Roman"/>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sz w:val="20"/>
          <w:szCs w:val="20"/>
          <w:lang w:val="fr-CA" w:eastAsia="en-CA"/>
        </w:rPr>
        <w:tab/>
      </w:r>
      <w:r w:rsidRPr="001542D3">
        <w:rPr>
          <w:rFonts w:eastAsia="Times New Roman" w:cs="Times New Roman"/>
          <w:i/>
          <w:sz w:val="20"/>
          <w:szCs w:val="20"/>
          <w:lang w:val="fr-CA" w:eastAsia="en-CA"/>
        </w:rPr>
        <w:t>Les</w:t>
      </w:r>
      <w:r w:rsidRPr="001542D3">
        <w:rPr>
          <w:rFonts w:eastAsia="Times New Roman" w:cs="Times New Roman"/>
          <w:b/>
          <w:sz w:val="20"/>
          <w:szCs w:val="20"/>
          <w:lang w:val="fr-CA" w:eastAsia="en-CA"/>
        </w:rPr>
        <w:t xml:space="preserve"> </w:t>
      </w:r>
      <w:r w:rsidRPr="001542D3">
        <w:rPr>
          <w:rFonts w:eastAsia="Times New Roman" w:cs="Times New Roman"/>
          <w:sz w:val="20"/>
          <w:szCs w:val="20"/>
          <w:lang w:val="fr-CA" w:eastAsia="en-CA"/>
        </w:rPr>
        <w:t>juges LeBel</w:t>
      </w:r>
      <w:r w:rsidRPr="001542D3">
        <w:rPr>
          <w:rFonts w:eastAsia="Times New Roman" w:cs="Times New Roman"/>
          <w:b/>
          <w:sz w:val="20"/>
          <w:szCs w:val="20"/>
          <w:lang w:val="fr-CA" w:eastAsia="en-CA"/>
        </w:rPr>
        <w:t>, Fish</w:t>
      </w:r>
      <w:r w:rsidRPr="001542D3">
        <w:rPr>
          <w:rFonts w:eastAsia="Times New Roman" w:cs="Times New Roman"/>
          <w:sz w:val="20"/>
          <w:szCs w:val="20"/>
          <w:lang w:val="fr-CA" w:eastAsia="en-CA"/>
        </w:rPr>
        <w:t xml:space="preserve">, Abella et Cromwell (dissidents) : Le juge du procès peut nommer un </w:t>
      </w:r>
      <w:r w:rsidRPr="001542D3">
        <w:rPr>
          <w:rFonts w:eastAsia="Times New Roman" w:cs="Times New Roman"/>
          <w:i/>
          <w:sz w:val="20"/>
          <w:szCs w:val="20"/>
          <w:lang w:val="fr-CA" w:eastAsia="en-CA"/>
        </w:rPr>
        <w:t>amicus curiae</w:t>
      </w:r>
      <w:r w:rsidRPr="001542D3">
        <w:rPr>
          <w:rFonts w:eastAsia="Times New Roman" w:cs="Times New Roman"/>
          <w:sz w:val="20"/>
          <w:szCs w:val="20"/>
          <w:lang w:val="fr-CA" w:eastAsia="en-CA"/>
        </w:rPr>
        <w:t xml:space="preserve"> pour assurer le bon déroulement de l’instance et la formulation d’observations pertinentes.  Il ne saurait être tenu de trancher une question de droit ou de fait contestée, complexe et importante en l’absence des plaidoiries complètes qui s’imposent.  Le pouvoir de nommer un </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xml:space="preserve"> doit être exercé de manière exceptionnelle et avec circonspection.  Un </w:t>
      </w:r>
      <w:r w:rsidRPr="001542D3">
        <w:rPr>
          <w:rFonts w:eastAsia="Times New Roman" w:cs="Times New Roman"/>
          <w:i/>
          <w:sz w:val="20"/>
          <w:szCs w:val="20"/>
          <w:lang w:val="fr-CA" w:eastAsia="en-CA"/>
        </w:rPr>
        <w:t xml:space="preserve">amicus </w:t>
      </w:r>
      <w:r w:rsidRPr="001542D3">
        <w:rPr>
          <w:rFonts w:eastAsia="Times New Roman" w:cs="Times New Roman"/>
          <w:sz w:val="20"/>
          <w:szCs w:val="20"/>
          <w:lang w:val="fr-CA" w:eastAsia="en-CA"/>
        </w:rPr>
        <w:t xml:space="preserve">ne doit pas être nommé pour imposer un avocat à l’accusé ou permettre à ce dernier de contourner la procédure établie pour l’obtention des services d’un avocat rénuméré par l’État.  Protéger l’intérêt de l’accusé peut constituer </w:t>
      </w:r>
      <w:r w:rsidRPr="001542D3">
        <w:rPr>
          <w:rFonts w:eastAsia="Times New Roman" w:cs="Times New Roman"/>
          <w:i/>
          <w:sz w:val="20"/>
          <w:szCs w:val="20"/>
          <w:lang w:val="fr-CA" w:eastAsia="en-CA"/>
        </w:rPr>
        <w:t>un</w:t>
      </w:r>
      <w:r w:rsidRPr="001542D3">
        <w:rPr>
          <w:rFonts w:eastAsia="Times New Roman" w:cs="Times New Roman"/>
          <w:sz w:val="20"/>
          <w:szCs w:val="20"/>
          <w:lang w:val="fr-CA" w:eastAsia="en-CA"/>
        </w:rPr>
        <w:t xml:space="preserve"> </w:t>
      </w:r>
      <w:r w:rsidRPr="001542D3">
        <w:rPr>
          <w:rFonts w:eastAsia="Times New Roman" w:cs="Times New Roman"/>
          <w:i/>
          <w:sz w:val="20"/>
          <w:szCs w:val="20"/>
          <w:lang w:val="fr-CA" w:eastAsia="en-CA"/>
        </w:rPr>
        <w:t xml:space="preserve">résultat accessoire </w:t>
      </w:r>
      <w:r w:rsidRPr="001542D3">
        <w:rPr>
          <w:rFonts w:eastAsia="Times New Roman" w:cs="Times New Roman"/>
          <w:sz w:val="20"/>
          <w:szCs w:val="20"/>
          <w:lang w:val="fr-CA" w:eastAsia="en-CA"/>
        </w:rPr>
        <w:t>de la nomination de l’</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xml:space="preserve">, mais ne saurait en être </w:t>
      </w:r>
      <w:r w:rsidRPr="001542D3">
        <w:rPr>
          <w:rFonts w:eastAsia="Times New Roman" w:cs="Times New Roman"/>
          <w:i/>
          <w:sz w:val="20"/>
          <w:szCs w:val="20"/>
          <w:lang w:val="fr-CA" w:eastAsia="en-CA"/>
        </w:rPr>
        <w:t>l’objectif</w:t>
      </w:r>
      <w:r w:rsidRPr="001542D3">
        <w:rPr>
          <w:rFonts w:eastAsia="Times New Roman" w:cs="Times New Roman"/>
          <w:sz w:val="20"/>
          <w:szCs w:val="20"/>
          <w:lang w:val="fr-CA" w:eastAsia="en-CA"/>
        </w:rPr>
        <w:t xml:space="preserve">. </w:t>
      </w:r>
    </w:p>
    <w:p w:rsidR="001542D3" w:rsidRPr="001542D3" w:rsidRDefault="001542D3" w:rsidP="001542D3">
      <w:pPr>
        <w:jc w:val="both"/>
        <w:rPr>
          <w:rFonts w:eastAsia="Times New Roman" w:cs="Times New Roman"/>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sz w:val="20"/>
          <w:szCs w:val="20"/>
          <w:lang w:val="fr-CA" w:eastAsia="en-CA"/>
        </w:rPr>
        <w:tab/>
        <w:t>Le pouvoir du juge du procès de fixer les honoraires de l’</w:t>
      </w:r>
      <w:r w:rsidRPr="001542D3">
        <w:rPr>
          <w:rFonts w:eastAsia="Times New Roman" w:cs="Times New Roman"/>
          <w:i/>
          <w:sz w:val="20"/>
          <w:szCs w:val="20"/>
          <w:lang w:val="fr-CA" w:eastAsia="en-CA"/>
        </w:rPr>
        <w:t>amicus curiae</w:t>
      </w:r>
      <w:r w:rsidRPr="001542D3">
        <w:rPr>
          <w:rFonts w:eastAsia="Times New Roman" w:cs="Times New Roman"/>
          <w:sz w:val="20"/>
          <w:szCs w:val="20"/>
          <w:lang w:val="fr-CA" w:eastAsia="en-CA"/>
        </w:rPr>
        <w:t xml:space="preserve"> est nécessairement accessoire à son pouvoir de le nommer.  Accorder au procureur général d’une province le pouvoir exclusif de déterminer le taux de rémunération de l’</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xml:space="preserve"> affaiblirait indûment le pouvoir de nomination du tribunal et sa faculté de nommer la personne</w:t>
      </w:r>
      <w:r w:rsidRPr="001542D3">
        <w:rPr>
          <w:rFonts w:eastAsia="Times New Roman" w:cs="Times New Roman"/>
          <w:i/>
          <w:sz w:val="20"/>
          <w:szCs w:val="20"/>
          <w:lang w:val="fr-CA" w:eastAsia="en-CA"/>
        </w:rPr>
        <w:t xml:space="preserve"> </w:t>
      </w:r>
      <w:r w:rsidRPr="001542D3">
        <w:rPr>
          <w:rFonts w:eastAsia="Times New Roman" w:cs="Times New Roman"/>
          <w:sz w:val="20"/>
          <w:szCs w:val="20"/>
          <w:lang w:val="fr-CA" w:eastAsia="en-CA"/>
        </w:rPr>
        <w:t>de son choix.  L’intégrité du processus judiciaire serait également compromise, car la faculté du tribunal d’assurer l’équité et le bon déroulement du procès ne devrait pas être fondée sur la confiance à l’égard du comportement exemplaire permanent du ministère public, chose qu’il est impossible de surveiller ou de maîtriser.  Enfin, le pouvoir unilatéral du procureur général de déterminer la rémunération de l’</w:t>
      </w:r>
      <w:r w:rsidRPr="001542D3">
        <w:rPr>
          <w:rFonts w:eastAsia="Times New Roman" w:cs="Times New Roman"/>
          <w:i/>
          <w:sz w:val="20"/>
          <w:szCs w:val="20"/>
          <w:lang w:val="fr-CA" w:eastAsia="en-CA"/>
        </w:rPr>
        <w:t xml:space="preserve">amicus curiae </w:t>
      </w:r>
      <w:r w:rsidRPr="001542D3">
        <w:rPr>
          <w:rFonts w:eastAsia="Times New Roman" w:cs="Times New Roman"/>
          <w:sz w:val="20"/>
          <w:szCs w:val="20"/>
          <w:lang w:val="fr-CA" w:eastAsia="en-CA"/>
        </w:rPr>
        <w:t>pourrait créer une apparence de partialité et faire en sorte que l’</w:t>
      </w:r>
      <w:r w:rsidRPr="001542D3">
        <w:rPr>
          <w:rFonts w:eastAsia="Times New Roman" w:cs="Times New Roman"/>
          <w:i/>
          <w:sz w:val="20"/>
          <w:szCs w:val="20"/>
          <w:lang w:val="fr-CA" w:eastAsia="en-CA"/>
        </w:rPr>
        <w:t xml:space="preserve">amicus </w:t>
      </w:r>
      <w:r w:rsidRPr="001542D3">
        <w:rPr>
          <w:rFonts w:eastAsia="Times New Roman" w:cs="Times New Roman"/>
          <w:sz w:val="20"/>
          <w:szCs w:val="20"/>
          <w:lang w:val="fr-CA" w:eastAsia="en-CA"/>
        </w:rPr>
        <w:t>se retrouve inévitablement en situation de conflit d’intérêts.  Puisque l’</w:t>
      </w:r>
      <w:r w:rsidRPr="001542D3">
        <w:rPr>
          <w:rFonts w:eastAsia="Times New Roman" w:cs="Times New Roman"/>
          <w:i/>
          <w:sz w:val="20"/>
          <w:szCs w:val="20"/>
          <w:lang w:val="fr-CA" w:eastAsia="en-CA"/>
        </w:rPr>
        <w:t xml:space="preserve">amicus </w:t>
      </w:r>
      <w:r w:rsidRPr="001542D3">
        <w:rPr>
          <w:rFonts w:eastAsia="Times New Roman" w:cs="Times New Roman"/>
          <w:sz w:val="20"/>
          <w:szCs w:val="20"/>
          <w:lang w:val="fr-CA" w:eastAsia="en-CA"/>
        </w:rPr>
        <w:t>joue souvent un rôle qu’on peut qualifier d’opposé à celui du ministère public, si on conférait à ce dernier le pouvoir unilatéral et exclusif de déterminer la rémunération de l’</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une personne raisonnable pourrait conclure que l’attente de concessions mutuelles est susceptible d’amener l’</w:t>
      </w:r>
      <w:r w:rsidRPr="001542D3">
        <w:rPr>
          <w:rFonts w:eastAsia="Times New Roman" w:cs="Times New Roman"/>
          <w:i/>
          <w:sz w:val="20"/>
          <w:szCs w:val="20"/>
          <w:lang w:val="fr-CA" w:eastAsia="en-CA"/>
        </w:rPr>
        <w:t xml:space="preserve">amicus </w:t>
      </w:r>
      <w:r w:rsidRPr="001542D3">
        <w:rPr>
          <w:rFonts w:eastAsia="Times New Roman" w:cs="Times New Roman"/>
          <w:sz w:val="20"/>
          <w:szCs w:val="20"/>
          <w:lang w:val="fr-CA" w:eastAsia="en-CA"/>
        </w:rPr>
        <w:t>à s’acquitter de ses fonctions de manière à gagner la faveur du procureur général.</w:t>
      </w:r>
    </w:p>
    <w:p w:rsidR="001542D3" w:rsidRPr="001542D3" w:rsidRDefault="001542D3" w:rsidP="001542D3">
      <w:pPr>
        <w:jc w:val="both"/>
        <w:rPr>
          <w:rFonts w:eastAsia="Times New Roman" w:cs="Times New Roman"/>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sz w:val="20"/>
          <w:szCs w:val="20"/>
          <w:lang w:val="fr-CA" w:eastAsia="en-CA"/>
        </w:rPr>
        <w:tab/>
        <w:t>Nulle disposition constitutionnelle ne fait obstacle à l’octroi au juge du procès du pouvoir de déterminer les honoraires de l’</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xml:space="preserve"> lorsque la situation l’exige.  Le principe selon lequel seul le Parlement peut autoriser un paiement sur le Trésor a seulement pour effet de limiter le pouvoir de l’exécutif de dépenser sans l’autorisation du législateur.  En l’espèce, toutefois, le procureur général a le pouvoir de verser des fonds publics pour rémunérer l’</w:t>
      </w:r>
      <w:r w:rsidRPr="001542D3">
        <w:rPr>
          <w:rFonts w:eastAsia="Times New Roman" w:cs="Times New Roman"/>
          <w:i/>
          <w:sz w:val="20"/>
          <w:szCs w:val="20"/>
          <w:lang w:val="fr-CA" w:eastAsia="en-CA"/>
        </w:rPr>
        <w:t>amicus curiae</w:t>
      </w:r>
      <w:r w:rsidRPr="001542D3">
        <w:rPr>
          <w:rFonts w:eastAsia="Times New Roman" w:cs="Times New Roman"/>
          <w:sz w:val="20"/>
          <w:szCs w:val="20"/>
          <w:lang w:val="fr-CA" w:eastAsia="en-CA"/>
        </w:rPr>
        <w:t>,</w:t>
      </w:r>
      <w:r w:rsidRPr="001542D3">
        <w:rPr>
          <w:rFonts w:eastAsia="Times New Roman" w:cs="Times New Roman"/>
          <w:i/>
          <w:sz w:val="20"/>
          <w:szCs w:val="20"/>
          <w:lang w:val="fr-CA" w:eastAsia="en-CA"/>
        </w:rPr>
        <w:t xml:space="preserve"> </w:t>
      </w:r>
      <w:r w:rsidRPr="001542D3">
        <w:rPr>
          <w:rFonts w:eastAsia="Times New Roman" w:cs="Times New Roman"/>
          <w:sz w:val="20"/>
          <w:szCs w:val="20"/>
          <w:lang w:val="fr-CA" w:eastAsia="en-CA"/>
        </w:rPr>
        <w:t>que le taux de rémunération de ce dernier soit</w:t>
      </w:r>
      <w:r w:rsidRPr="001542D3">
        <w:rPr>
          <w:rFonts w:eastAsia="Times New Roman" w:cs="Times New Roman"/>
          <w:i/>
          <w:sz w:val="20"/>
          <w:szCs w:val="20"/>
          <w:lang w:val="fr-CA" w:eastAsia="en-CA"/>
        </w:rPr>
        <w:t xml:space="preserve"> </w:t>
      </w:r>
      <w:r w:rsidRPr="001542D3">
        <w:rPr>
          <w:rFonts w:eastAsia="Times New Roman" w:cs="Times New Roman"/>
          <w:sz w:val="20"/>
          <w:szCs w:val="20"/>
          <w:lang w:val="fr-CA" w:eastAsia="en-CA"/>
        </w:rPr>
        <w:t xml:space="preserve">fixé ou non par le tribunal, car suivant la </w:t>
      </w:r>
      <w:r w:rsidRPr="001542D3">
        <w:rPr>
          <w:rFonts w:eastAsia="Times New Roman" w:cs="Times New Roman"/>
          <w:i/>
          <w:sz w:val="20"/>
          <w:szCs w:val="20"/>
          <w:lang w:val="fr-CA" w:eastAsia="en-CA"/>
        </w:rPr>
        <w:t>Loi sur l’administration financière</w:t>
      </w:r>
      <w:r w:rsidRPr="001542D3">
        <w:rPr>
          <w:rFonts w:eastAsia="Times New Roman" w:cs="Times New Roman"/>
          <w:sz w:val="20"/>
          <w:szCs w:val="20"/>
          <w:lang w:val="fr-CA" w:eastAsia="en-CA"/>
        </w:rPr>
        <w:t>, L.R.O. 1990, ch. F.12, l’Assemblée législative autorise au préalable le versement de fonds aux fins d’exécuter les ordonnances judiciaires.</w:t>
      </w:r>
    </w:p>
    <w:p w:rsidR="001542D3" w:rsidRPr="001542D3" w:rsidRDefault="001542D3" w:rsidP="001542D3">
      <w:pPr>
        <w:jc w:val="both"/>
        <w:rPr>
          <w:rFonts w:eastAsia="Times New Roman" w:cs="Times New Roman"/>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sz w:val="20"/>
          <w:szCs w:val="20"/>
          <w:lang w:val="fr-CA" w:eastAsia="en-CA"/>
        </w:rPr>
        <w:tab/>
        <w:t xml:space="preserve">Dès que le juge du procès nomme un </w:t>
      </w:r>
      <w:r w:rsidRPr="001542D3">
        <w:rPr>
          <w:rFonts w:eastAsia="Times New Roman" w:cs="Times New Roman"/>
          <w:i/>
          <w:sz w:val="20"/>
          <w:szCs w:val="20"/>
          <w:lang w:val="fr-CA" w:eastAsia="en-CA"/>
        </w:rPr>
        <w:t>amicus curiae</w:t>
      </w:r>
      <w:r w:rsidRPr="001542D3">
        <w:rPr>
          <w:rFonts w:eastAsia="Times New Roman" w:cs="Times New Roman"/>
          <w:sz w:val="20"/>
          <w:szCs w:val="20"/>
          <w:lang w:val="fr-CA" w:eastAsia="en-CA"/>
        </w:rPr>
        <w:t xml:space="preserve"> et définit son mandat, il y a lieu de favoriser une démarche consensuelle.  Il faut inviter le procureur général et l’</w:t>
      </w:r>
      <w:r w:rsidRPr="001542D3">
        <w:rPr>
          <w:rFonts w:eastAsia="Times New Roman" w:cs="Times New Roman"/>
          <w:i/>
          <w:sz w:val="20"/>
          <w:szCs w:val="20"/>
          <w:lang w:val="fr-CA" w:eastAsia="en-CA"/>
        </w:rPr>
        <w:t xml:space="preserve">amicus </w:t>
      </w:r>
      <w:r w:rsidRPr="001542D3">
        <w:rPr>
          <w:rFonts w:eastAsia="Times New Roman" w:cs="Times New Roman"/>
          <w:sz w:val="20"/>
          <w:szCs w:val="20"/>
          <w:lang w:val="fr-CA" w:eastAsia="en-CA"/>
        </w:rPr>
        <w:t>à s’entendre sur la rémunération de ce dernier et sur les modalités d’administration de son budget.  À défaut d’accord, le juge fixe le taux de rémunération.  Il tient alors compte de l’importance du mandat, de la complexité juridique du travail requis, de la compétence et de l’expérience de l’avocat nommé et de son tarif habituel.  Il lui faut aussi se souvenir que l’</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xml:space="preserve"> exécute un mandat public et qu’il est rémunéré sur les deniers publics.  Le tarif de l’aide juridique doit être pris en compte à titre indicatif, mais il n’est pas décisif.  La décision finale d’aller ou non de l’avant avec la poursuite à la lumière des frais engagés demeure à bon droit celle du procureur général, ce qui est de nature à préserver le juste équilibre entre le pouvoir discrétionnaire du poursuivant et la compétence du tribunal.</w:t>
      </w:r>
    </w:p>
    <w:p w:rsidR="001542D3" w:rsidRPr="001542D3" w:rsidRDefault="001542D3" w:rsidP="001542D3">
      <w:pPr>
        <w:jc w:val="both"/>
        <w:rPr>
          <w:rFonts w:eastAsia="Times New Roman" w:cs="Times New Roman"/>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sz w:val="20"/>
          <w:szCs w:val="20"/>
          <w:lang w:val="fr-CA" w:eastAsia="en-CA"/>
        </w:rPr>
        <w:tab/>
        <w:t>POURVOI contre un arrêt de la Cour d’appel de l’Ontario (les juges Rosenberg, Goudge et Armstrong), 2011 ONCA 303, 104 O.R. (3d) 721, 277 O.A.C. 264, 270 C.C.C. (3d) 256, 86 C.R. (6th) 407, 234 C.R.R. (2d) 157, [2011] O.J. No. 1792 (QL), 2011 CarswellOnt 2608, qui a confirmé des ordonnances relatives à la fixation du taux de rémunération d’</w:t>
      </w:r>
      <w:r w:rsidRPr="001542D3">
        <w:rPr>
          <w:rFonts w:eastAsia="Times New Roman" w:cs="Times New Roman"/>
          <w:i/>
          <w:sz w:val="20"/>
          <w:szCs w:val="20"/>
          <w:lang w:val="fr-CA" w:eastAsia="en-CA"/>
        </w:rPr>
        <w:t>amici curiae</w:t>
      </w:r>
      <w:r w:rsidRPr="001542D3">
        <w:rPr>
          <w:rFonts w:eastAsia="Times New Roman" w:cs="Times New Roman"/>
          <w:sz w:val="20"/>
          <w:szCs w:val="20"/>
          <w:lang w:val="fr-CA" w:eastAsia="en-CA"/>
        </w:rPr>
        <w:t xml:space="preserve"> et au contrôle des réclamations d’un </w:t>
      </w:r>
      <w:r w:rsidRPr="001542D3">
        <w:rPr>
          <w:rFonts w:eastAsia="Times New Roman" w:cs="Times New Roman"/>
          <w:i/>
          <w:sz w:val="20"/>
          <w:szCs w:val="20"/>
          <w:lang w:val="fr-CA" w:eastAsia="en-CA"/>
        </w:rPr>
        <w:t>amicus</w:t>
      </w:r>
      <w:r w:rsidRPr="001542D3">
        <w:rPr>
          <w:rFonts w:eastAsia="Times New Roman" w:cs="Times New Roman"/>
          <w:sz w:val="20"/>
          <w:szCs w:val="20"/>
          <w:lang w:val="fr-CA" w:eastAsia="en-CA"/>
        </w:rPr>
        <w:t>.  Pourvoi accueilli, les juges LeBel, Fish, Abella et Cromwell sont dissidents.</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i/>
          <w:sz w:val="20"/>
          <w:szCs w:val="20"/>
          <w:lang w:val="fr-CA" w:eastAsia="en-CA"/>
        </w:rPr>
        <w:tab/>
        <w:t>Malliha Wilson</w:t>
      </w:r>
      <w:r w:rsidRPr="001542D3">
        <w:rPr>
          <w:rFonts w:eastAsia="Times New Roman" w:cs="Times New Roman"/>
          <w:sz w:val="20"/>
          <w:szCs w:val="20"/>
          <w:lang w:val="fr-CA" w:eastAsia="en-CA"/>
        </w:rPr>
        <w:t xml:space="preserve">, </w:t>
      </w:r>
      <w:r w:rsidRPr="001542D3">
        <w:rPr>
          <w:rFonts w:eastAsia="Times New Roman" w:cs="Times New Roman"/>
          <w:i/>
          <w:sz w:val="20"/>
          <w:szCs w:val="20"/>
          <w:lang w:val="fr-CA" w:eastAsia="en-CA"/>
        </w:rPr>
        <w:t>Troy Harrison</w:t>
      </w:r>
      <w:r w:rsidRPr="001542D3">
        <w:rPr>
          <w:rFonts w:eastAsia="Times New Roman" w:cs="Times New Roman"/>
          <w:sz w:val="20"/>
          <w:szCs w:val="20"/>
          <w:lang w:val="fr-CA" w:eastAsia="en-CA"/>
        </w:rPr>
        <w:t xml:space="preserve">, </w:t>
      </w:r>
      <w:r w:rsidRPr="001542D3">
        <w:rPr>
          <w:rFonts w:eastAsia="Times New Roman" w:cs="Times New Roman"/>
          <w:i/>
          <w:sz w:val="20"/>
          <w:szCs w:val="20"/>
          <w:lang w:val="fr-CA" w:eastAsia="en-CA"/>
        </w:rPr>
        <w:t>Kristin Smith</w:t>
      </w:r>
      <w:r w:rsidRPr="001542D3">
        <w:rPr>
          <w:rFonts w:eastAsia="Times New Roman" w:cs="Times New Roman"/>
          <w:sz w:val="20"/>
          <w:szCs w:val="20"/>
          <w:lang w:val="fr-CA" w:eastAsia="en-CA"/>
        </w:rPr>
        <w:t xml:space="preserve"> et </w:t>
      </w:r>
      <w:r w:rsidRPr="001542D3">
        <w:rPr>
          <w:rFonts w:eastAsia="Times New Roman" w:cs="Times New Roman"/>
          <w:i/>
          <w:sz w:val="20"/>
          <w:szCs w:val="20"/>
          <w:lang w:val="fr-CA" w:eastAsia="en-CA"/>
        </w:rPr>
        <w:t>Baaba Forson</w:t>
      </w:r>
      <w:r w:rsidRPr="001542D3">
        <w:rPr>
          <w:rFonts w:eastAsia="Times New Roman" w:cs="Times New Roman"/>
          <w:sz w:val="20"/>
          <w:szCs w:val="20"/>
          <w:lang w:val="fr-CA" w:eastAsia="en-CA"/>
        </w:rPr>
        <w:t>, pour l’appelante.</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i/>
          <w:sz w:val="20"/>
          <w:szCs w:val="20"/>
          <w:lang w:val="fr-CA" w:eastAsia="en-CA"/>
        </w:rPr>
        <w:tab/>
        <w:t>P. Andras Schreck</w:t>
      </w:r>
      <w:r w:rsidRPr="001542D3">
        <w:rPr>
          <w:rFonts w:eastAsia="Times New Roman" w:cs="Times New Roman"/>
          <w:sz w:val="20"/>
          <w:szCs w:val="20"/>
          <w:lang w:val="fr-CA" w:eastAsia="en-CA"/>
        </w:rPr>
        <w:t xml:space="preserve"> et </w:t>
      </w:r>
      <w:r w:rsidRPr="001542D3">
        <w:rPr>
          <w:rFonts w:eastAsia="Times New Roman" w:cs="Times New Roman"/>
          <w:i/>
          <w:sz w:val="20"/>
          <w:szCs w:val="20"/>
          <w:lang w:val="fr-CA" w:eastAsia="en-CA"/>
        </w:rPr>
        <w:t>Louis P. Strezos</w:t>
      </w:r>
      <w:r w:rsidRPr="001542D3">
        <w:rPr>
          <w:rFonts w:eastAsia="Times New Roman" w:cs="Times New Roman"/>
          <w:sz w:val="20"/>
          <w:szCs w:val="20"/>
          <w:lang w:val="fr-CA" w:eastAsia="en-CA"/>
        </w:rPr>
        <w:t>, pour l’intimée Criminal Lawyers’ Association of Ontario.</w:t>
      </w:r>
    </w:p>
    <w:p w:rsidR="001542D3" w:rsidRPr="001542D3" w:rsidRDefault="001542D3" w:rsidP="001542D3">
      <w:pPr>
        <w:jc w:val="both"/>
        <w:rPr>
          <w:rFonts w:eastAsia="Times New Roman" w:cs="Times New Roman"/>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sz w:val="20"/>
          <w:szCs w:val="20"/>
          <w:lang w:val="fr-CA" w:eastAsia="en-CA"/>
        </w:rPr>
        <w:tab/>
        <w:t xml:space="preserve">Personne n’a comparu pour l’intimé </w:t>
      </w:r>
      <w:r w:rsidRPr="001542D3">
        <w:rPr>
          <w:rFonts w:eastAsia="Times New Roman" w:cs="Times New Roman"/>
          <w:i/>
          <w:sz w:val="20"/>
          <w:szCs w:val="20"/>
          <w:lang w:val="fr-CA" w:eastAsia="en-CA"/>
        </w:rPr>
        <w:t>Lawrence Greenspon</w:t>
      </w:r>
      <w:r w:rsidRPr="001542D3">
        <w:rPr>
          <w:rFonts w:eastAsia="Times New Roman" w:cs="Times New Roman"/>
          <w:sz w:val="20"/>
          <w:szCs w:val="20"/>
          <w:lang w:val="fr-CA" w:eastAsia="en-CA"/>
        </w:rPr>
        <w:t>.</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i/>
          <w:sz w:val="20"/>
          <w:szCs w:val="20"/>
          <w:lang w:val="fr-CA" w:eastAsia="en-CA"/>
        </w:rPr>
        <w:tab/>
        <w:t>Alain Préfontaine</w:t>
      </w:r>
      <w:r w:rsidRPr="001542D3">
        <w:rPr>
          <w:rFonts w:eastAsia="Times New Roman" w:cs="Times New Roman"/>
          <w:sz w:val="20"/>
          <w:szCs w:val="20"/>
          <w:lang w:val="fr-CA" w:eastAsia="en-CA"/>
        </w:rPr>
        <w:t>, pour l’intervenant le procureur général du Canada.</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i/>
          <w:sz w:val="20"/>
          <w:szCs w:val="20"/>
          <w:lang w:val="fr-CA" w:eastAsia="en-CA"/>
        </w:rPr>
        <w:tab/>
        <w:t>Jean</w:t>
      </w:r>
      <w:r w:rsidRPr="001542D3">
        <w:rPr>
          <w:rFonts w:eastAsia="Times New Roman" w:cs="Times New Roman"/>
          <w:i/>
          <w:sz w:val="20"/>
          <w:szCs w:val="20"/>
          <w:lang w:val="fr-CA" w:eastAsia="en-CA"/>
        </w:rPr>
        <w:noBreakHyphen/>
        <w:t xml:space="preserve">Yves Bernard </w:t>
      </w:r>
      <w:r w:rsidRPr="001542D3">
        <w:rPr>
          <w:rFonts w:eastAsia="Times New Roman" w:cs="Times New Roman"/>
          <w:sz w:val="20"/>
          <w:szCs w:val="20"/>
          <w:lang w:val="fr-CA" w:eastAsia="en-CA"/>
        </w:rPr>
        <w:t>et</w:t>
      </w:r>
      <w:r w:rsidRPr="001542D3">
        <w:rPr>
          <w:rFonts w:eastAsia="Times New Roman" w:cs="Times New Roman"/>
          <w:i/>
          <w:sz w:val="20"/>
          <w:szCs w:val="20"/>
          <w:lang w:val="fr-CA" w:eastAsia="en-CA"/>
        </w:rPr>
        <w:t xml:space="preserve"> Brigitte Bussières</w:t>
      </w:r>
      <w:r w:rsidRPr="001542D3">
        <w:rPr>
          <w:rFonts w:eastAsia="Times New Roman" w:cs="Times New Roman"/>
          <w:sz w:val="20"/>
          <w:szCs w:val="20"/>
          <w:lang w:val="fr-CA" w:eastAsia="en-CA"/>
        </w:rPr>
        <w:t>, pour l’intervenant le procureur général du Québec.</w:t>
      </w:r>
    </w:p>
    <w:p w:rsidR="001542D3" w:rsidRPr="001542D3" w:rsidRDefault="001542D3" w:rsidP="001542D3">
      <w:pPr>
        <w:jc w:val="both"/>
        <w:rPr>
          <w:rFonts w:eastAsia="Times New Roman" w:cs="Times New Roman"/>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sz w:val="20"/>
          <w:szCs w:val="20"/>
          <w:lang w:val="fr-CA" w:eastAsia="en-CA"/>
        </w:rPr>
        <w:tab/>
        <w:t xml:space="preserve">Argumentation écrite seulement par </w:t>
      </w:r>
      <w:r w:rsidRPr="001542D3">
        <w:rPr>
          <w:rFonts w:eastAsia="Times New Roman" w:cs="Times New Roman"/>
          <w:i/>
          <w:sz w:val="20"/>
          <w:szCs w:val="20"/>
          <w:lang w:val="fr-CA" w:eastAsia="en-CA"/>
        </w:rPr>
        <w:t>Deborah Carlson</w:t>
      </w:r>
      <w:r w:rsidRPr="001542D3">
        <w:rPr>
          <w:rFonts w:eastAsia="Times New Roman" w:cs="Times New Roman"/>
          <w:sz w:val="20"/>
          <w:szCs w:val="20"/>
          <w:lang w:val="fr-CA" w:eastAsia="en-CA"/>
        </w:rPr>
        <w:t xml:space="preserve"> et </w:t>
      </w:r>
      <w:r w:rsidRPr="001542D3">
        <w:rPr>
          <w:rFonts w:eastAsia="Times New Roman" w:cs="Times New Roman"/>
          <w:i/>
          <w:sz w:val="20"/>
          <w:szCs w:val="20"/>
          <w:lang w:val="fr-CA" w:eastAsia="en-CA"/>
        </w:rPr>
        <w:t>Allison Kindle Pejovic</w:t>
      </w:r>
      <w:r w:rsidRPr="001542D3">
        <w:rPr>
          <w:rFonts w:eastAsia="Times New Roman" w:cs="Times New Roman"/>
          <w:sz w:val="20"/>
          <w:szCs w:val="20"/>
          <w:lang w:val="fr-CA" w:eastAsia="en-CA"/>
        </w:rPr>
        <w:t>, pour l’intervenant le procureur général du Manitoba.</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i/>
          <w:sz w:val="20"/>
          <w:szCs w:val="20"/>
          <w:lang w:val="fr-CA" w:eastAsia="en-CA"/>
        </w:rPr>
        <w:tab/>
        <w:t>Bryant Alexander Mackey</w:t>
      </w:r>
      <w:r w:rsidRPr="001542D3">
        <w:rPr>
          <w:rFonts w:eastAsia="Times New Roman" w:cs="Times New Roman"/>
          <w:sz w:val="20"/>
          <w:szCs w:val="20"/>
          <w:lang w:val="fr-CA" w:eastAsia="en-CA"/>
        </w:rPr>
        <w:t>, pour l’intervenant le procureur général de la Colombie</w:t>
      </w:r>
      <w:r w:rsidRPr="001542D3">
        <w:rPr>
          <w:rFonts w:eastAsia="Times New Roman" w:cs="Times New Roman"/>
          <w:sz w:val="20"/>
          <w:szCs w:val="20"/>
          <w:lang w:val="fr-CA" w:eastAsia="en-CA"/>
        </w:rPr>
        <w:noBreakHyphen/>
        <w:t>Britannique.</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i/>
          <w:sz w:val="20"/>
          <w:szCs w:val="20"/>
          <w:lang w:val="fr-CA" w:eastAsia="en-CA"/>
        </w:rPr>
        <w:tab/>
        <w:t>Micah B. Rankin</w:t>
      </w:r>
      <w:r w:rsidRPr="001542D3">
        <w:rPr>
          <w:rFonts w:eastAsia="Times New Roman" w:cs="Times New Roman"/>
          <w:sz w:val="20"/>
          <w:szCs w:val="20"/>
          <w:lang w:val="fr-CA" w:eastAsia="en-CA"/>
        </w:rPr>
        <w:t xml:space="preserve">, </w:t>
      </w:r>
      <w:r w:rsidRPr="001542D3">
        <w:rPr>
          <w:rFonts w:eastAsia="Times New Roman" w:cs="Times New Roman"/>
          <w:i/>
          <w:sz w:val="20"/>
          <w:szCs w:val="20"/>
          <w:lang w:val="fr-CA" w:eastAsia="en-CA"/>
        </w:rPr>
        <w:t>Michael Sobkin</w:t>
      </w:r>
      <w:r w:rsidRPr="001542D3">
        <w:rPr>
          <w:rFonts w:eastAsia="Times New Roman" w:cs="Times New Roman"/>
          <w:sz w:val="20"/>
          <w:szCs w:val="20"/>
          <w:lang w:val="fr-CA" w:eastAsia="en-CA"/>
        </w:rPr>
        <w:t xml:space="preserve"> et </w:t>
      </w:r>
      <w:r w:rsidRPr="001542D3">
        <w:rPr>
          <w:rFonts w:eastAsia="Times New Roman" w:cs="Times New Roman"/>
          <w:i/>
          <w:sz w:val="20"/>
          <w:szCs w:val="20"/>
          <w:lang w:val="fr-CA" w:eastAsia="en-CA"/>
        </w:rPr>
        <w:t>Elizabeth France</w:t>
      </w:r>
      <w:r w:rsidRPr="001542D3">
        <w:rPr>
          <w:rFonts w:eastAsia="Times New Roman" w:cs="Times New Roman"/>
          <w:sz w:val="20"/>
          <w:szCs w:val="20"/>
          <w:lang w:val="fr-CA" w:eastAsia="en-CA"/>
        </w:rPr>
        <w:t>, pour l’intervenante l’Association des libertés civiles de la Colombie</w:t>
      </w:r>
      <w:r w:rsidRPr="001542D3">
        <w:rPr>
          <w:rFonts w:eastAsia="Times New Roman" w:cs="Times New Roman"/>
          <w:sz w:val="20"/>
          <w:szCs w:val="20"/>
          <w:lang w:val="fr-CA" w:eastAsia="en-CA"/>
        </w:rPr>
        <w:noBreakHyphen/>
        <w:t>Britannique.</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i/>
          <w:sz w:val="20"/>
          <w:szCs w:val="20"/>
          <w:lang w:val="fr-CA" w:eastAsia="en-CA"/>
        </w:rPr>
        <w:tab/>
        <w:t>John Norris</w:t>
      </w:r>
      <w:r w:rsidRPr="001542D3">
        <w:rPr>
          <w:rFonts w:eastAsia="Times New Roman" w:cs="Times New Roman"/>
          <w:sz w:val="20"/>
          <w:szCs w:val="20"/>
          <w:lang w:val="fr-CA" w:eastAsia="en-CA"/>
        </w:rPr>
        <w:t>, pour l’intervenante Advocates’ Society.</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sz w:val="20"/>
          <w:szCs w:val="20"/>
          <w:lang w:val="fr-CA" w:eastAsia="en-CA"/>
        </w:rPr>
      </w:pPr>
      <w:r w:rsidRPr="001542D3">
        <w:rPr>
          <w:rFonts w:eastAsia="Times New Roman" w:cs="Times New Roman"/>
          <w:i/>
          <w:sz w:val="20"/>
          <w:szCs w:val="20"/>
          <w:lang w:val="fr-CA" w:eastAsia="en-CA"/>
        </w:rPr>
        <w:tab/>
        <w:t>Anita Szigeti</w:t>
      </w:r>
      <w:r w:rsidRPr="001542D3">
        <w:rPr>
          <w:rFonts w:eastAsia="Times New Roman" w:cs="Times New Roman"/>
          <w:sz w:val="20"/>
          <w:szCs w:val="20"/>
          <w:lang w:val="fr-CA" w:eastAsia="en-CA"/>
        </w:rPr>
        <w:t xml:space="preserve">, </w:t>
      </w:r>
      <w:r w:rsidRPr="001542D3">
        <w:rPr>
          <w:rFonts w:eastAsia="Times New Roman" w:cs="Times New Roman"/>
          <w:i/>
          <w:sz w:val="20"/>
          <w:szCs w:val="20"/>
          <w:lang w:val="fr-CA" w:eastAsia="en-CA"/>
        </w:rPr>
        <w:t>Mercedes Perez</w:t>
      </w:r>
      <w:r w:rsidRPr="001542D3">
        <w:rPr>
          <w:rFonts w:eastAsia="Times New Roman" w:cs="Times New Roman"/>
          <w:sz w:val="20"/>
          <w:szCs w:val="20"/>
          <w:lang w:val="fr-CA" w:eastAsia="en-CA"/>
        </w:rPr>
        <w:t xml:space="preserve"> et </w:t>
      </w:r>
      <w:r w:rsidRPr="001542D3">
        <w:rPr>
          <w:rFonts w:eastAsia="Times New Roman" w:cs="Times New Roman"/>
          <w:i/>
          <w:sz w:val="20"/>
          <w:szCs w:val="20"/>
          <w:lang w:val="fr-CA" w:eastAsia="en-CA"/>
        </w:rPr>
        <w:t>Marie</w:t>
      </w:r>
      <w:r w:rsidRPr="001542D3">
        <w:rPr>
          <w:rFonts w:eastAsia="Times New Roman" w:cs="Times New Roman"/>
          <w:i/>
          <w:sz w:val="20"/>
          <w:szCs w:val="20"/>
          <w:lang w:val="fr-CA" w:eastAsia="en-CA"/>
        </w:rPr>
        <w:noBreakHyphen/>
        <w:t>France Major</w:t>
      </w:r>
      <w:r w:rsidRPr="001542D3">
        <w:rPr>
          <w:rFonts w:eastAsia="Times New Roman" w:cs="Times New Roman"/>
          <w:sz w:val="20"/>
          <w:szCs w:val="20"/>
          <w:lang w:val="fr-CA" w:eastAsia="en-CA"/>
        </w:rPr>
        <w:t>, pour l’intervenant Mental Health Legal Committee.</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i/>
          <w:sz w:val="20"/>
          <w:szCs w:val="20"/>
          <w:lang w:val="fr-CA" w:eastAsia="en-CA"/>
        </w:rPr>
      </w:pPr>
      <w:r w:rsidRPr="001542D3">
        <w:rPr>
          <w:rFonts w:eastAsia="Times New Roman" w:cs="Times New Roman"/>
          <w:i/>
          <w:sz w:val="20"/>
          <w:szCs w:val="20"/>
          <w:lang w:val="fr-CA" w:eastAsia="en-CA"/>
        </w:rPr>
        <w:tab/>
        <w:t>Procureur de l’appelante : Procureur général de l’Ontario, Toronto.</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i/>
          <w:sz w:val="20"/>
          <w:szCs w:val="20"/>
          <w:lang w:val="fr-CA" w:eastAsia="en-CA"/>
        </w:rPr>
      </w:pPr>
      <w:r w:rsidRPr="001542D3">
        <w:rPr>
          <w:rFonts w:eastAsia="Times New Roman" w:cs="Times New Roman"/>
          <w:i/>
          <w:sz w:val="20"/>
          <w:szCs w:val="20"/>
          <w:lang w:val="fr-CA" w:eastAsia="en-CA"/>
        </w:rPr>
        <w:tab/>
        <w:t>Procureurs de l’intimée Criminal Lawyers’ Association of Ontario : Schreck Presser, Toronto; Louis P. Strezos &amp; Associate, Toronto.</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i/>
          <w:sz w:val="20"/>
          <w:szCs w:val="20"/>
          <w:lang w:val="fr-CA" w:eastAsia="en-CA"/>
        </w:rPr>
      </w:pPr>
      <w:r w:rsidRPr="001542D3">
        <w:rPr>
          <w:rFonts w:eastAsia="Times New Roman" w:cs="Times New Roman"/>
          <w:i/>
          <w:sz w:val="20"/>
          <w:szCs w:val="20"/>
          <w:lang w:val="fr-CA" w:eastAsia="en-CA"/>
        </w:rPr>
        <w:tab/>
        <w:t>Procureur de l’intervenant le procureur général du Canada : Procureur général du Canada, Ottawa.</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i/>
          <w:sz w:val="20"/>
          <w:szCs w:val="20"/>
          <w:lang w:val="fr-CA" w:eastAsia="en-CA"/>
        </w:rPr>
      </w:pPr>
      <w:r w:rsidRPr="001542D3">
        <w:rPr>
          <w:rFonts w:eastAsia="Times New Roman" w:cs="Times New Roman"/>
          <w:i/>
          <w:sz w:val="20"/>
          <w:szCs w:val="20"/>
          <w:lang w:val="fr-CA" w:eastAsia="en-CA"/>
        </w:rPr>
        <w:tab/>
        <w:t>Procureur de l’intervenant le procureur général du Québec : Procureur général du Québec, Québec.</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i/>
          <w:sz w:val="20"/>
          <w:szCs w:val="20"/>
          <w:lang w:val="fr-CA" w:eastAsia="en-CA"/>
        </w:rPr>
      </w:pPr>
      <w:r w:rsidRPr="001542D3">
        <w:rPr>
          <w:rFonts w:eastAsia="Times New Roman" w:cs="Times New Roman"/>
          <w:i/>
          <w:sz w:val="20"/>
          <w:szCs w:val="20"/>
          <w:lang w:val="fr-CA" w:eastAsia="en-CA"/>
        </w:rPr>
        <w:tab/>
        <w:t>Procureur de l’intervenant le procureur général du Manitoba : Procureur général du Manitoba, Winnipeg.</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i/>
          <w:sz w:val="20"/>
          <w:szCs w:val="20"/>
          <w:lang w:val="fr-CA" w:eastAsia="en-CA"/>
        </w:rPr>
      </w:pPr>
      <w:r w:rsidRPr="001542D3">
        <w:rPr>
          <w:rFonts w:eastAsia="Times New Roman" w:cs="Times New Roman"/>
          <w:i/>
          <w:sz w:val="20"/>
          <w:szCs w:val="20"/>
          <w:lang w:val="fr-CA" w:eastAsia="en-CA"/>
        </w:rPr>
        <w:tab/>
        <w:t>Procureur de l’intervenant le procureur général de la Colombie</w:t>
      </w:r>
      <w:r w:rsidRPr="001542D3">
        <w:rPr>
          <w:rFonts w:eastAsia="Times New Roman" w:cs="Times New Roman"/>
          <w:i/>
          <w:sz w:val="20"/>
          <w:szCs w:val="20"/>
          <w:lang w:val="fr-CA" w:eastAsia="en-CA"/>
        </w:rPr>
        <w:noBreakHyphen/>
        <w:t>Britannique : Procureur général de la Colombie</w:t>
      </w:r>
      <w:r w:rsidRPr="001542D3">
        <w:rPr>
          <w:rFonts w:eastAsia="Times New Roman" w:cs="Times New Roman"/>
          <w:i/>
          <w:sz w:val="20"/>
          <w:szCs w:val="20"/>
          <w:lang w:val="fr-CA" w:eastAsia="en-CA"/>
        </w:rPr>
        <w:noBreakHyphen/>
        <w:t>Britannique, Victoria.</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i/>
          <w:sz w:val="20"/>
          <w:szCs w:val="20"/>
          <w:lang w:val="fr-CA" w:eastAsia="en-CA"/>
        </w:rPr>
      </w:pPr>
      <w:r w:rsidRPr="001542D3">
        <w:rPr>
          <w:rFonts w:eastAsia="Times New Roman" w:cs="Times New Roman"/>
          <w:i/>
          <w:sz w:val="20"/>
          <w:szCs w:val="20"/>
          <w:lang w:val="fr-CA" w:eastAsia="en-CA"/>
        </w:rPr>
        <w:tab/>
        <w:t>Procureurs de l’intervenante l’Association des libertés civiles de la Colombie</w:t>
      </w:r>
      <w:r w:rsidRPr="001542D3">
        <w:rPr>
          <w:rFonts w:eastAsia="Times New Roman" w:cs="Times New Roman"/>
          <w:i/>
          <w:sz w:val="20"/>
          <w:szCs w:val="20"/>
          <w:lang w:val="fr-CA" w:eastAsia="en-CA"/>
        </w:rPr>
        <w:noBreakHyphen/>
        <w:t>Britannique : Sugden, McFee &amp; Roos, Vancouver.</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i/>
          <w:sz w:val="20"/>
          <w:szCs w:val="20"/>
          <w:lang w:val="fr-CA" w:eastAsia="en-CA"/>
        </w:rPr>
      </w:pPr>
      <w:r w:rsidRPr="001542D3">
        <w:rPr>
          <w:rFonts w:eastAsia="Times New Roman" w:cs="Times New Roman"/>
          <w:i/>
          <w:sz w:val="20"/>
          <w:szCs w:val="20"/>
          <w:lang w:val="fr-CA" w:eastAsia="en-CA"/>
        </w:rPr>
        <w:tab/>
        <w:t>Procureurs de l’intervenante Advocates’ Society : Simcoe Chambers, Toronto.</w:t>
      </w:r>
    </w:p>
    <w:p w:rsidR="001542D3" w:rsidRPr="001542D3" w:rsidRDefault="001542D3" w:rsidP="001542D3">
      <w:pPr>
        <w:jc w:val="both"/>
        <w:rPr>
          <w:rFonts w:eastAsia="Times New Roman" w:cs="Times New Roman"/>
          <w:i/>
          <w:sz w:val="20"/>
          <w:szCs w:val="20"/>
          <w:lang w:val="fr-CA" w:eastAsia="en-CA"/>
        </w:rPr>
      </w:pPr>
    </w:p>
    <w:p w:rsidR="001542D3" w:rsidRPr="001542D3" w:rsidRDefault="001542D3" w:rsidP="001542D3">
      <w:pPr>
        <w:jc w:val="both"/>
        <w:rPr>
          <w:rFonts w:eastAsia="Times New Roman" w:cs="Times New Roman"/>
          <w:i/>
          <w:sz w:val="20"/>
          <w:szCs w:val="20"/>
          <w:lang w:eastAsia="en-CA"/>
        </w:rPr>
      </w:pPr>
      <w:r w:rsidRPr="001542D3">
        <w:rPr>
          <w:rFonts w:eastAsia="Times New Roman" w:cs="Times New Roman"/>
          <w:i/>
          <w:sz w:val="20"/>
          <w:szCs w:val="20"/>
          <w:lang w:val="fr-CA" w:eastAsia="en-CA"/>
        </w:rPr>
        <w:tab/>
      </w:r>
      <w:r w:rsidRPr="001542D3">
        <w:rPr>
          <w:rFonts w:eastAsia="Times New Roman" w:cs="Times New Roman"/>
          <w:i/>
          <w:sz w:val="20"/>
          <w:szCs w:val="20"/>
          <w:lang w:eastAsia="en-CA"/>
        </w:rPr>
        <w:t xml:space="preserve">Procureurs de l’intervenant Mental Health Legal </w:t>
      </w:r>
      <w:proofErr w:type="gramStart"/>
      <w:r w:rsidRPr="001542D3">
        <w:rPr>
          <w:rFonts w:eastAsia="Times New Roman" w:cs="Times New Roman"/>
          <w:i/>
          <w:sz w:val="20"/>
          <w:szCs w:val="20"/>
          <w:lang w:eastAsia="en-CA"/>
        </w:rPr>
        <w:t>Committee :</w:t>
      </w:r>
      <w:proofErr w:type="gramEnd"/>
      <w:r w:rsidRPr="001542D3">
        <w:rPr>
          <w:rFonts w:eastAsia="Times New Roman" w:cs="Times New Roman"/>
          <w:i/>
          <w:sz w:val="20"/>
          <w:szCs w:val="20"/>
          <w:lang w:eastAsia="en-CA"/>
        </w:rPr>
        <w:t> Hiltz Szigeti, Toronto; Swandron Associates, Toronto; Supreme Advocacy, Ottawa.</w:t>
      </w:r>
    </w:p>
    <w:p w:rsidR="003B3977" w:rsidRPr="001542D3" w:rsidRDefault="003B3977" w:rsidP="001542D3">
      <w:pPr>
        <w:rPr>
          <w:rFonts w:cs="Times New Roman"/>
          <w:sz w:val="20"/>
          <w:szCs w:val="20"/>
        </w:rPr>
      </w:pPr>
    </w:p>
    <w:p w:rsidR="005C6840" w:rsidRDefault="005F2BA7" w:rsidP="005C6840">
      <w:pPr>
        <w:rPr>
          <w:lang w:val="fr-CA"/>
        </w:rPr>
      </w:pPr>
      <w:r w:rsidRPr="005F2BA7">
        <w:rPr>
          <w:rFonts w:cs="Times New Roman"/>
          <w:sz w:val="20"/>
          <w:szCs w:val="20"/>
          <w:lang w:val="fr-CA"/>
        </w:rPr>
        <w:pict>
          <v:rect id="_x0000_i1153" style="width:144.3pt;height:1pt" o:hrpct="300" o:hralign="center" o:hrstd="t" o:hrnoshade="t" o:hr="t" fillcolor="black [3213]" stroked="f"/>
        </w:pict>
      </w:r>
      <w:r w:rsidR="005C6840">
        <w:rPr>
          <w:lang w:val="fr-CA"/>
        </w:rPr>
        <w:br w:type="page"/>
      </w:r>
    </w:p>
    <w:p w:rsidR="001542D3" w:rsidRPr="00D944C0" w:rsidRDefault="001542D3" w:rsidP="001542D3">
      <w:pPr>
        <w:rPr>
          <w:rFonts w:eastAsia="Calibri" w:cs="Times New Roman"/>
          <w:sz w:val="20"/>
          <w:szCs w:val="20"/>
          <w:lang w:val="fr-CA"/>
        </w:rPr>
      </w:pPr>
      <w:r w:rsidRPr="000C4A58">
        <w:rPr>
          <w:rFonts w:eastAsia="Calibri" w:cs="Times New Roman"/>
          <w:i/>
          <w:sz w:val="20"/>
          <w:szCs w:val="20"/>
          <w:lang w:val="fr-CA"/>
        </w:rPr>
        <w:t>Marine Services International Limited et al v. Estate of Joseph Ryan, by its Administratrix, Yvonne Ryan et al</w:t>
      </w:r>
      <w:r w:rsidR="00D944C0">
        <w:rPr>
          <w:rFonts w:eastAsia="Calibri" w:cs="Times New Roman"/>
          <w:i/>
          <w:sz w:val="20"/>
          <w:szCs w:val="20"/>
          <w:lang w:val="fr-CA"/>
        </w:rPr>
        <w:t>.</w:t>
      </w:r>
      <w:r w:rsidRPr="000C4A58">
        <w:rPr>
          <w:rFonts w:eastAsia="Calibri" w:cs="Times New Roman"/>
          <w:i/>
          <w:sz w:val="20"/>
          <w:szCs w:val="20"/>
          <w:lang w:val="fr-CA"/>
        </w:rPr>
        <w:t xml:space="preserve"> </w:t>
      </w:r>
      <w:r w:rsidRPr="000C4A58">
        <w:rPr>
          <w:rFonts w:eastAsia="Calibri" w:cs="Times New Roman"/>
          <w:sz w:val="20"/>
          <w:szCs w:val="20"/>
          <w:lang w:val="fr-CA"/>
        </w:rPr>
        <w:t xml:space="preserve">(N.L.) </w:t>
      </w:r>
      <w:r w:rsidRPr="00D944C0">
        <w:rPr>
          <w:rFonts w:eastAsia="Calibri" w:cs="Times New Roman"/>
          <w:sz w:val="20"/>
          <w:szCs w:val="20"/>
          <w:lang w:val="fr-CA"/>
        </w:rPr>
        <w:t>(34429)</w:t>
      </w:r>
    </w:p>
    <w:p w:rsidR="00B52740" w:rsidRPr="00D944C0" w:rsidRDefault="00B52740" w:rsidP="00B52740">
      <w:pPr>
        <w:jc w:val="both"/>
        <w:rPr>
          <w:b/>
          <w:sz w:val="20"/>
          <w:szCs w:val="20"/>
          <w:lang w:val="fr-CA"/>
        </w:rPr>
      </w:pPr>
      <w:r w:rsidRPr="00D944C0">
        <w:rPr>
          <w:b/>
          <w:sz w:val="20"/>
          <w:szCs w:val="20"/>
          <w:lang w:val="fr-CA"/>
        </w:rPr>
        <w:t>Indexed as</w:t>
      </w:r>
      <w:proofErr w:type="gramStart"/>
      <w:r w:rsidRPr="00D944C0">
        <w:rPr>
          <w:b/>
          <w:sz w:val="20"/>
          <w:szCs w:val="20"/>
          <w:lang w:val="fr-CA"/>
        </w:rPr>
        <w:t>:  Marine</w:t>
      </w:r>
      <w:proofErr w:type="gramEnd"/>
      <w:r w:rsidRPr="00D944C0">
        <w:rPr>
          <w:b/>
          <w:sz w:val="20"/>
          <w:szCs w:val="20"/>
          <w:lang w:val="fr-CA"/>
        </w:rPr>
        <w:t xml:space="preserve"> Services International Ltd. </w:t>
      </w:r>
      <w:r w:rsidRPr="00D944C0">
        <w:rPr>
          <w:b/>
          <w:i/>
          <w:sz w:val="20"/>
          <w:szCs w:val="20"/>
          <w:lang w:val="fr-CA"/>
        </w:rPr>
        <w:t>v.</w:t>
      </w:r>
      <w:r w:rsidRPr="00D944C0">
        <w:rPr>
          <w:b/>
          <w:sz w:val="20"/>
          <w:szCs w:val="20"/>
          <w:lang w:val="fr-CA"/>
        </w:rPr>
        <w:t xml:space="preserve"> Ryan Estate /</w:t>
      </w:r>
    </w:p>
    <w:p w:rsidR="00A41EC1" w:rsidRPr="00B264A1" w:rsidRDefault="00A41EC1" w:rsidP="00A41EC1">
      <w:pPr>
        <w:jc w:val="both"/>
        <w:rPr>
          <w:b/>
          <w:sz w:val="20"/>
          <w:szCs w:val="20"/>
          <w:lang w:val="fr-CA"/>
        </w:rPr>
      </w:pPr>
      <w:r w:rsidRPr="00B264A1">
        <w:rPr>
          <w:b/>
          <w:sz w:val="20"/>
          <w:szCs w:val="20"/>
          <w:lang w:val="fr-CA"/>
        </w:rPr>
        <w:t xml:space="preserve">Répertorié : Marine Services International Ltd. </w:t>
      </w:r>
      <w:r w:rsidRPr="00B264A1">
        <w:rPr>
          <w:b/>
          <w:i/>
          <w:sz w:val="20"/>
          <w:szCs w:val="20"/>
          <w:lang w:val="fr-CA"/>
        </w:rPr>
        <w:t>c.</w:t>
      </w:r>
      <w:r w:rsidRPr="00B264A1">
        <w:rPr>
          <w:b/>
          <w:sz w:val="20"/>
          <w:szCs w:val="20"/>
          <w:lang w:val="fr-CA"/>
        </w:rPr>
        <w:t xml:space="preserve"> Ryan (Succession)</w:t>
      </w:r>
    </w:p>
    <w:p w:rsidR="00902E51" w:rsidRPr="00A41EC1" w:rsidRDefault="00902E51" w:rsidP="00902E51">
      <w:pPr>
        <w:pStyle w:val="SCCSystemYear"/>
        <w:jc w:val="both"/>
        <w:rPr>
          <w:sz w:val="20"/>
        </w:rPr>
      </w:pPr>
      <w:r w:rsidRPr="00A41EC1">
        <w:rPr>
          <w:sz w:val="20"/>
        </w:rPr>
        <w:t>Neutral citation</w:t>
      </w:r>
      <w:proofErr w:type="gramStart"/>
      <w:r w:rsidRPr="00A41EC1">
        <w:rPr>
          <w:sz w:val="20"/>
        </w:rPr>
        <w:t>:  2013</w:t>
      </w:r>
      <w:proofErr w:type="gramEnd"/>
      <w:r w:rsidRPr="00A41EC1">
        <w:rPr>
          <w:sz w:val="20"/>
        </w:rPr>
        <w:t xml:space="preserve"> SCC </w:t>
      </w:r>
      <w:r w:rsidR="00B52740" w:rsidRPr="00A41EC1">
        <w:rPr>
          <w:sz w:val="20"/>
        </w:rPr>
        <w:t>44</w:t>
      </w:r>
      <w:r w:rsidRPr="00A41EC1">
        <w:rPr>
          <w:sz w:val="20"/>
        </w:rPr>
        <w:t xml:space="preserve"> / Référence neutre : 2013 CSC </w:t>
      </w:r>
      <w:r w:rsidR="00B52740" w:rsidRPr="00A41EC1">
        <w:rPr>
          <w:sz w:val="20"/>
        </w:rPr>
        <w:t>44</w:t>
      </w:r>
    </w:p>
    <w:p w:rsidR="00902E51" w:rsidRPr="00D944C0" w:rsidRDefault="00902E51" w:rsidP="00902E51">
      <w:pPr>
        <w:rPr>
          <w:sz w:val="20"/>
          <w:szCs w:val="20"/>
          <w:lang w:val="fr-CA"/>
        </w:rPr>
      </w:pPr>
      <w:r w:rsidRPr="00D944C0">
        <w:rPr>
          <w:sz w:val="20"/>
          <w:szCs w:val="20"/>
          <w:lang w:val="fr-CA"/>
        </w:rPr>
        <w:t>Hearing</w:t>
      </w:r>
      <w:proofErr w:type="gramStart"/>
      <w:r w:rsidRPr="00D944C0">
        <w:rPr>
          <w:sz w:val="20"/>
          <w:szCs w:val="20"/>
          <w:lang w:val="fr-CA"/>
        </w:rPr>
        <w:t xml:space="preserve">:  </w:t>
      </w:r>
      <w:r w:rsidR="00B52740" w:rsidRPr="00D944C0">
        <w:rPr>
          <w:sz w:val="20"/>
          <w:szCs w:val="20"/>
          <w:lang w:val="fr-CA"/>
        </w:rPr>
        <w:t>J</w:t>
      </w:r>
      <w:r w:rsidRPr="00D944C0">
        <w:rPr>
          <w:sz w:val="20"/>
          <w:szCs w:val="20"/>
          <w:lang w:val="fr-CA"/>
        </w:rPr>
        <w:t>a</w:t>
      </w:r>
      <w:r w:rsidR="00B52740" w:rsidRPr="00D944C0">
        <w:rPr>
          <w:sz w:val="20"/>
          <w:szCs w:val="20"/>
          <w:lang w:val="fr-CA"/>
        </w:rPr>
        <w:t>nua</w:t>
      </w:r>
      <w:r w:rsidRPr="00D944C0">
        <w:rPr>
          <w:sz w:val="20"/>
          <w:szCs w:val="20"/>
          <w:lang w:val="fr-CA"/>
        </w:rPr>
        <w:t>r</w:t>
      </w:r>
      <w:r w:rsidR="00B52740" w:rsidRPr="00D944C0">
        <w:rPr>
          <w:sz w:val="20"/>
          <w:szCs w:val="20"/>
          <w:lang w:val="fr-CA"/>
        </w:rPr>
        <w:t>y</w:t>
      </w:r>
      <w:proofErr w:type="gramEnd"/>
      <w:r w:rsidRPr="00D944C0">
        <w:rPr>
          <w:sz w:val="20"/>
          <w:szCs w:val="20"/>
          <w:lang w:val="fr-CA"/>
        </w:rPr>
        <w:t xml:space="preserve"> </w:t>
      </w:r>
      <w:r w:rsidR="00B52740" w:rsidRPr="00D944C0">
        <w:rPr>
          <w:sz w:val="20"/>
          <w:szCs w:val="20"/>
          <w:lang w:val="fr-CA"/>
        </w:rPr>
        <w:t>15</w:t>
      </w:r>
      <w:r w:rsidRPr="00D944C0">
        <w:rPr>
          <w:sz w:val="20"/>
          <w:szCs w:val="20"/>
          <w:lang w:val="fr-CA"/>
        </w:rPr>
        <w:t xml:space="preserve">, 2013 / Judgment:  </w:t>
      </w:r>
      <w:r w:rsidR="00B52740" w:rsidRPr="00D944C0">
        <w:rPr>
          <w:sz w:val="20"/>
          <w:szCs w:val="20"/>
          <w:lang w:val="fr-CA"/>
        </w:rPr>
        <w:t>August 2</w:t>
      </w:r>
      <w:r w:rsidRPr="00D944C0">
        <w:rPr>
          <w:sz w:val="20"/>
          <w:szCs w:val="20"/>
          <w:lang w:val="fr-CA"/>
        </w:rPr>
        <w:t>, 2013</w:t>
      </w:r>
    </w:p>
    <w:p w:rsidR="00902E51" w:rsidRPr="003B3977" w:rsidRDefault="00902E51" w:rsidP="00902E51">
      <w:pPr>
        <w:rPr>
          <w:sz w:val="20"/>
          <w:szCs w:val="20"/>
          <w:lang w:val="fr-CA"/>
        </w:rPr>
      </w:pPr>
      <w:r w:rsidRPr="003B3977">
        <w:rPr>
          <w:sz w:val="20"/>
          <w:szCs w:val="20"/>
          <w:lang w:val="fr-CA"/>
        </w:rPr>
        <w:t xml:space="preserve">Audition : Le </w:t>
      </w:r>
      <w:r w:rsidR="00B52740">
        <w:rPr>
          <w:sz w:val="20"/>
          <w:szCs w:val="20"/>
          <w:lang w:val="fr-CA"/>
        </w:rPr>
        <w:t>15</w:t>
      </w:r>
      <w:r>
        <w:rPr>
          <w:sz w:val="20"/>
          <w:szCs w:val="20"/>
          <w:lang w:val="fr-CA"/>
        </w:rPr>
        <w:t xml:space="preserve"> </w:t>
      </w:r>
      <w:r w:rsidR="00B52740">
        <w:rPr>
          <w:sz w:val="20"/>
          <w:szCs w:val="20"/>
          <w:lang w:val="fr-CA"/>
        </w:rPr>
        <w:t>j</w:t>
      </w:r>
      <w:r w:rsidRPr="003B3977">
        <w:rPr>
          <w:sz w:val="20"/>
          <w:szCs w:val="20"/>
          <w:lang w:val="fr-CA"/>
        </w:rPr>
        <w:t>a</w:t>
      </w:r>
      <w:r w:rsidR="00B52740">
        <w:rPr>
          <w:sz w:val="20"/>
          <w:szCs w:val="20"/>
          <w:lang w:val="fr-CA"/>
        </w:rPr>
        <w:t>nvie</w:t>
      </w:r>
      <w:r>
        <w:rPr>
          <w:sz w:val="20"/>
          <w:szCs w:val="20"/>
          <w:lang w:val="fr-CA"/>
        </w:rPr>
        <w:t>r</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B52740">
        <w:rPr>
          <w:sz w:val="20"/>
          <w:szCs w:val="20"/>
          <w:lang w:val="fr-CA"/>
        </w:rPr>
        <w:t xml:space="preserve">2 </w:t>
      </w:r>
      <w:r>
        <w:rPr>
          <w:sz w:val="20"/>
          <w:szCs w:val="20"/>
          <w:lang w:val="fr-CA"/>
        </w:rPr>
        <w:t>a</w:t>
      </w:r>
      <w:r w:rsidR="00B52740">
        <w:rPr>
          <w:sz w:val="20"/>
          <w:szCs w:val="20"/>
          <w:lang w:val="fr-CA"/>
        </w:rPr>
        <w:t>oût</w:t>
      </w:r>
      <w:r w:rsidRPr="003B3977">
        <w:rPr>
          <w:sz w:val="20"/>
          <w:szCs w:val="20"/>
          <w:lang w:val="fr-CA"/>
        </w:rPr>
        <w:t xml:space="preserve"> 201</w:t>
      </w:r>
      <w:r>
        <w:rPr>
          <w:sz w:val="20"/>
          <w:szCs w:val="20"/>
          <w:lang w:val="fr-CA"/>
        </w:rPr>
        <w:t>3</w:t>
      </w:r>
    </w:p>
    <w:p w:rsidR="005C6840" w:rsidRPr="003B3977" w:rsidRDefault="005F2BA7" w:rsidP="005C6840">
      <w:pPr>
        <w:rPr>
          <w:sz w:val="20"/>
          <w:szCs w:val="20"/>
          <w:lang w:val="fr-CA"/>
        </w:rPr>
      </w:pPr>
      <w:r w:rsidRPr="005F2BA7">
        <w:rPr>
          <w:i/>
          <w:sz w:val="20"/>
          <w:szCs w:val="20"/>
        </w:rPr>
        <w:pict>
          <v:rect id="_x0000_i1154" style="width:480.95pt;height:1pt" o:hralign="center" o:hrstd="t" o:hrnoshade="t" o:hr="t" fillcolor="black [3213]" stroked="f"/>
        </w:pict>
      </w:r>
    </w:p>
    <w:p w:rsidR="005C6840" w:rsidRDefault="005C6840" w:rsidP="005C6840">
      <w:pPr>
        <w:spacing w:line="0" w:lineRule="atLeast"/>
        <w:rPr>
          <w:sz w:val="20"/>
          <w:szCs w:val="20"/>
          <w:lang w:val="fr-CA"/>
        </w:rPr>
      </w:pPr>
    </w:p>
    <w:p w:rsidR="00B52740" w:rsidRPr="00DA40E6" w:rsidRDefault="00B52740" w:rsidP="00B52740">
      <w:pPr>
        <w:jc w:val="both"/>
        <w:rPr>
          <w:sz w:val="20"/>
          <w:szCs w:val="20"/>
        </w:rPr>
      </w:pPr>
      <w:r w:rsidRPr="00DA40E6">
        <w:rPr>
          <w:sz w:val="20"/>
          <w:szCs w:val="20"/>
        </w:rPr>
        <w:t>Present:  McLachlin C.J. and LeBel, Fish, Abella, Rothstein, Cromwell, Moldaver, Karakatsanis and Wagner JJ.</w:t>
      </w:r>
    </w:p>
    <w:p w:rsidR="00B52740" w:rsidRDefault="00B52740" w:rsidP="00B52740">
      <w:pPr>
        <w:pStyle w:val="SCCLowerCourtNameLowercase"/>
        <w:spacing w:line="240" w:lineRule="auto"/>
        <w:rPr>
          <w:sz w:val="20"/>
        </w:rPr>
      </w:pPr>
    </w:p>
    <w:p w:rsidR="00B52740" w:rsidRPr="00DA40E6" w:rsidRDefault="00B52740" w:rsidP="00B52740">
      <w:pPr>
        <w:pStyle w:val="SCCNormalDoubleSpacing"/>
        <w:spacing w:line="240" w:lineRule="auto"/>
        <w:rPr>
          <w:i/>
          <w:sz w:val="20"/>
        </w:rPr>
      </w:pPr>
      <w:r w:rsidRPr="00DA40E6">
        <w:rPr>
          <w:sz w:val="20"/>
        </w:rPr>
        <w:tab/>
      </w:r>
      <w:r w:rsidRPr="00DA40E6">
        <w:rPr>
          <w:i/>
          <w:sz w:val="20"/>
        </w:rPr>
        <w:t>Constitutional law — Division of powers — Navigation and shipping —Interjurisdictional immunity — Federal paramountcy — Federal maritime legislation providing for action by dependants in case of death of person — Provincial workers’ compensation legislation prohibiting actions in respect of injury against employer or worker if compensation payable — Fishermen dying in maritime accident — Dependants obtaining compensation under provincial workers’ compensation scheme and bringing negligence action under federal maritime legislation — Whether provincial legislation constitutionally inapplicable to federal maritime negligence claims by reason of doctrine of interjurisdictional immunity — Whether provincial legislation constitutionally inoperative in respect of federal maritime negligence claims by reason of doctrine of federal paramountcy — Constitution Act, 1867, s. 91(10) — Workplace Health, Safety and Compensation Act, R.S.N.L. 1990, c. W</w:t>
      </w:r>
      <w:r w:rsidRPr="00DA40E6">
        <w:rPr>
          <w:i/>
          <w:sz w:val="20"/>
        </w:rPr>
        <w:noBreakHyphen/>
        <w:t>11, s. 44 — Marine Liability Act, S.C. 2001, c. 6, s. 6(2).</w:t>
      </w:r>
    </w:p>
    <w:p w:rsidR="00B52740" w:rsidRDefault="00B52740" w:rsidP="00B52740">
      <w:pPr>
        <w:pStyle w:val="SCCNormalDoubleSpacing"/>
        <w:spacing w:line="240" w:lineRule="auto"/>
        <w:rPr>
          <w:i/>
          <w:sz w:val="20"/>
        </w:rPr>
      </w:pPr>
    </w:p>
    <w:p w:rsidR="00B52740" w:rsidRPr="00DA40E6" w:rsidRDefault="00B52740" w:rsidP="00B52740">
      <w:pPr>
        <w:pStyle w:val="SCCNormalDoubleSpacing"/>
        <w:spacing w:line="240" w:lineRule="auto"/>
        <w:rPr>
          <w:i/>
          <w:sz w:val="20"/>
        </w:rPr>
      </w:pPr>
      <w:r w:rsidRPr="00DA40E6">
        <w:rPr>
          <w:i/>
          <w:sz w:val="20"/>
        </w:rPr>
        <w:tab/>
        <w:t>Maritime law — Liability in tort — Statutory bar of action — Fishermen dying in maritime accident in the course of employment — Whether negligence action brought by dependants under federal maritime legislation prohibited by provincial workers’ compensation legislation — Workplace Health, Safety and Compensation Act, R.S.N.L. 1990, c. W</w:t>
      </w:r>
      <w:r w:rsidRPr="00DA40E6">
        <w:rPr>
          <w:i/>
          <w:sz w:val="20"/>
        </w:rPr>
        <w:noBreakHyphen/>
        <w:t>11, s. 44 — Marine Liability Act, S.C. 2001, c. 6, s. 6(2).</w:t>
      </w:r>
    </w:p>
    <w:p w:rsidR="00B52740" w:rsidRDefault="00B52740" w:rsidP="00B52740">
      <w:pPr>
        <w:pStyle w:val="SCCNormalDoubleSpacing"/>
        <w:spacing w:line="240" w:lineRule="auto"/>
        <w:rPr>
          <w:i/>
          <w:sz w:val="20"/>
        </w:rPr>
      </w:pPr>
    </w:p>
    <w:p w:rsidR="00B52740" w:rsidRPr="00DA40E6" w:rsidRDefault="00B52740" w:rsidP="00B52740">
      <w:pPr>
        <w:pStyle w:val="SCCNormalDoubleSpacing"/>
        <w:spacing w:line="240" w:lineRule="auto"/>
        <w:rPr>
          <w:i/>
          <w:sz w:val="20"/>
        </w:rPr>
      </w:pPr>
      <w:r w:rsidRPr="00DA40E6">
        <w:rPr>
          <w:i/>
          <w:sz w:val="20"/>
        </w:rPr>
        <w:tab/>
        <w:t>Workers’ compensation — Statutory bar of action — Compensation legislation prohibiting actions against employer or worker in respect of injury if compensation payable — Fishermen dying in maritime accident in the course of employment — Dependants obtaining compensation and bringing negligence action — Whether death occurred otherwise than in the conduct of the operations usual in or incidental to the industry carried on by the employer — Whether statutory bar applies — Workplace Health, Safety and Compensation Act, R.S.N.L. 1990, c. W</w:t>
      </w:r>
      <w:r w:rsidRPr="00DA40E6">
        <w:rPr>
          <w:i/>
          <w:sz w:val="20"/>
        </w:rPr>
        <w:noBreakHyphen/>
        <w:t>11, s. 44.</w:t>
      </w:r>
    </w:p>
    <w:p w:rsidR="00B52740" w:rsidRDefault="00B52740" w:rsidP="00B52740">
      <w:pPr>
        <w:pStyle w:val="SCCNormalDoubleSpacing"/>
        <w:spacing w:line="240" w:lineRule="auto"/>
        <w:rPr>
          <w:i/>
          <w:sz w:val="20"/>
        </w:rPr>
      </w:pPr>
    </w:p>
    <w:p w:rsidR="00B52740" w:rsidRPr="00DA40E6" w:rsidRDefault="00B52740" w:rsidP="00B52740">
      <w:pPr>
        <w:pStyle w:val="SCCNormalDoubleSpacing"/>
        <w:spacing w:line="240" w:lineRule="auto"/>
        <w:rPr>
          <w:sz w:val="20"/>
          <w:lang w:val="en-US"/>
        </w:rPr>
      </w:pPr>
      <w:r w:rsidRPr="00DA40E6">
        <w:rPr>
          <w:i/>
          <w:sz w:val="20"/>
        </w:rPr>
        <w:tab/>
      </w:r>
      <w:r w:rsidRPr="00DA40E6">
        <w:rPr>
          <w:sz w:val="20"/>
          <w:lang w:val="en-US"/>
        </w:rPr>
        <w:t xml:space="preserve">The Ryan brothers died when their ship, the </w:t>
      </w:r>
      <w:r w:rsidRPr="00DA40E6">
        <w:rPr>
          <w:i/>
          <w:sz w:val="20"/>
          <w:lang w:val="en-US"/>
        </w:rPr>
        <w:t>Ryan’s Commander</w:t>
      </w:r>
      <w:r w:rsidRPr="00DA40E6">
        <w:rPr>
          <w:sz w:val="20"/>
          <w:lang w:val="en-US"/>
        </w:rPr>
        <w:t xml:space="preserve">, capsized while returning from a fishing expedition off the coast of Newfoundland and Labrador.  Their widows and dependants (the “Ryan Estates”) applied for and received compensation under Newfoundland and Labrador’s </w:t>
      </w:r>
      <w:r w:rsidRPr="00DA40E6">
        <w:rPr>
          <w:i/>
          <w:sz w:val="20"/>
          <w:lang w:val="en-US"/>
        </w:rPr>
        <w:t>Workplace Health, Safety and Compensation Act</w:t>
      </w:r>
      <w:r w:rsidRPr="00DA40E6">
        <w:rPr>
          <w:sz w:val="20"/>
          <w:lang w:val="en-US"/>
        </w:rPr>
        <w:t xml:space="preserve"> (“</w:t>
      </w:r>
      <w:r w:rsidRPr="00DA40E6">
        <w:rPr>
          <w:i/>
          <w:sz w:val="20"/>
          <w:lang w:val="en-US"/>
        </w:rPr>
        <w:t>WHSCA</w:t>
      </w:r>
      <w:r w:rsidRPr="00DA40E6">
        <w:rPr>
          <w:sz w:val="20"/>
          <w:lang w:val="en-US"/>
        </w:rPr>
        <w:t xml:space="preserve">”).  In addition, proceeding under the federal </w:t>
      </w:r>
      <w:r w:rsidRPr="00DA40E6">
        <w:rPr>
          <w:i/>
          <w:sz w:val="20"/>
          <w:lang w:val="en-US"/>
        </w:rPr>
        <w:t>Maritime Liability Act</w:t>
      </w:r>
      <w:r w:rsidRPr="00DA40E6">
        <w:rPr>
          <w:sz w:val="20"/>
          <w:lang w:val="en-US"/>
        </w:rPr>
        <w:t xml:space="preserve"> </w:t>
      </w:r>
      <w:r w:rsidRPr="00DA40E6">
        <w:rPr>
          <w:sz w:val="20"/>
        </w:rPr>
        <w:t>(“</w:t>
      </w:r>
      <w:r w:rsidRPr="00DA40E6">
        <w:rPr>
          <w:i/>
          <w:sz w:val="20"/>
        </w:rPr>
        <w:t>MLA</w:t>
      </w:r>
      <w:r w:rsidRPr="00DA40E6">
        <w:rPr>
          <w:sz w:val="20"/>
        </w:rPr>
        <w:t xml:space="preserve">”), the Ryan Estates commenced an action against Universal Marine Limited, Marine Services International Limited and its employee P, alleging negligence in the design and construction of the </w:t>
      </w:r>
      <w:r w:rsidRPr="00DA40E6">
        <w:rPr>
          <w:i/>
          <w:sz w:val="20"/>
        </w:rPr>
        <w:t>Ryan’s Commander</w:t>
      </w:r>
      <w:r w:rsidRPr="00DA40E6">
        <w:rPr>
          <w:sz w:val="20"/>
        </w:rPr>
        <w:t xml:space="preserve">, as well as against the Attorney General of Canada, alleging negligence in the inspection of the vessel by Transport Canada.  Marine Services and P applied to the Workplace Health, Safety and Compensation Commission for a determination of whether the action was prohibited by virtue of the statutory bar of action contained in s. 44 of the </w:t>
      </w:r>
      <w:r w:rsidRPr="00DA40E6">
        <w:rPr>
          <w:i/>
          <w:sz w:val="20"/>
        </w:rPr>
        <w:t>WHSCA</w:t>
      </w:r>
      <w:r w:rsidRPr="00DA40E6">
        <w:rPr>
          <w:sz w:val="20"/>
        </w:rPr>
        <w:t>.  The Commission held that the action was statute barred by s. 44.  On judicial review, the Supreme Court, Trial Division, overturned the decision of the Commission, holding that the doctrines of interjurisdictional immunity and federal paramountcy applied and therefore that s. 44 must be read down to allow the action to proceed.  The majority of the Court of Appeal upheld the trial judgment.</w:t>
      </w:r>
    </w:p>
    <w:p w:rsidR="00B52740" w:rsidRDefault="00B52740" w:rsidP="00B52740">
      <w:pPr>
        <w:pStyle w:val="SCCNormalDoubleSpacing"/>
        <w:spacing w:line="240" w:lineRule="auto"/>
        <w:rPr>
          <w:sz w:val="20"/>
        </w:rPr>
      </w:pPr>
    </w:p>
    <w:p w:rsidR="00B52740" w:rsidRPr="00DA40E6" w:rsidRDefault="00B52740" w:rsidP="00B52740">
      <w:pPr>
        <w:pStyle w:val="SCCNormalDoubleSpacing"/>
        <w:spacing w:line="240" w:lineRule="auto"/>
        <w:rPr>
          <w:sz w:val="20"/>
        </w:rPr>
      </w:pPr>
      <w:r w:rsidRPr="00DA40E6">
        <w:rPr>
          <w:sz w:val="20"/>
        </w:rPr>
        <w:tab/>
      </w:r>
      <w:r w:rsidRPr="00DA40E6">
        <w:rPr>
          <w:i/>
          <w:sz w:val="20"/>
        </w:rPr>
        <w:t>Held:</w:t>
      </w:r>
      <w:r w:rsidRPr="00DA40E6">
        <w:rPr>
          <w:sz w:val="20"/>
        </w:rPr>
        <w:t xml:space="preserve">  The appeal should be allowed.  Section 44 of the </w:t>
      </w:r>
      <w:r w:rsidRPr="00DA40E6">
        <w:rPr>
          <w:i/>
          <w:sz w:val="20"/>
          <w:lang w:val="en-US"/>
        </w:rPr>
        <w:t xml:space="preserve">WHSCA </w:t>
      </w:r>
      <w:r w:rsidRPr="00DA40E6">
        <w:rPr>
          <w:sz w:val="20"/>
        </w:rPr>
        <w:t>is constitutionally applicable and operative.</w:t>
      </w:r>
    </w:p>
    <w:p w:rsidR="00B52740" w:rsidRDefault="00B52740" w:rsidP="00B52740">
      <w:pPr>
        <w:pStyle w:val="SCCNormalDoubleSpacing"/>
        <w:spacing w:line="240" w:lineRule="auto"/>
        <w:rPr>
          <w:sz w:val="20"/>
        </w:rPr>
      </w:pPr>
    </w:p>
    <w:p w:rsidR="00B52740" w:rsidRPr="00DA40E6" w:rsidRDefault="00B52740" w:rsidP="00B52740">
      <w:pPr>
        <w:pStyle w:val="SCCNormalDoubleSpacing"/>
        <w:spacing w:line="240" w:lineRule="auto"/>
        <w:rPr>
          <w:sz w:val="20"/>
        </w:rPr>
      </w:pPr>
      <w:r w:rsidRPr="00DA40E6">
        <w:rPr>
          <w:sz w:val="20"/>
        </w:rPr>
        <w:tab/>
        <w:t xml:space="preserve">The statutory bar at s. 44 of the </w:t>
      </w:r>
      <w:r w:rsidRPr="00DA40E6">
        <w:rPr>
          <w:i/>
          <w:sz w:val="20"/>
        </w:rPr>
        <w:t>WHSCA</w:t>
      </w:r>
      <w:r w:rsidRPr="00DA40E6">
        <w:rPr>
          <w:sz w:val="20"/>
        </w:rPr>
        <w:t xml:space="preserve"> applies on the facts of this case.  It does not only benefit an “employer” in a direct employment relationship with the injured worker.  Any employer that contributes to the scheme and any worker of such an employer benefits from the statutory bar, as long as the worker was injured in the course of his or her employment and the injury occurred in the conduct of the operations usual in or incidental to the industry carried on by the employer.  In the case at bar, the Commission’s finding that the injury that led to the death of the Ryan brothers occurred in the conduct of the operations usual in or incidental to the industry carried on by Marine Services is entitled to deference.  It is a question of mixed fact and law that the Commission answered by assessing the evidence and interpreting its home statute; moreover, the </w:t>
      </w:r>
      <w:r w:rsidRPr="00DA40E6">
        <w:rPr>
          <w:i/>
          <w:sz w:val="20"/>
        </w:rPr>
        <w:t>WHSCA</w:t>
      </w:r>
      <w:r w:rsidRPr="00DA40E6">
        <w:rPr>
          <w:sz w:val="20"/>
        </w:rPr>
        <w:t xml:space="preserve"> contains a privative clause.  In light of these factors, the standard of reasonableness applies.</w:t>
      </w:r>
    </w:p>
    <w:p w:rsidR="00B52740" w:rsidRDefault="00B52740" w:rsidP="00B52740">
      <w:pPr>
        <w:pStyle w:val="SCCNormalDoubleSpacing"/>
        <w:spacing w:line="240" w:lineRule="auto"/>
        <w:rPr>
          <w:sz w:val="20"/>
        </w:rPr>
      </w:pPr>
    </w:p>
    <w:p w:rsidR="00B52740" w:rsidRPr="00DA40E6" w:rsidRDefault="00B52740" w:rsidP="00B52740">
      <w:pPr>
        <w:pStyle w:val="SCCNormalDoubleSpacing"/>
        <w:spacing w:line="240" w:lineRule="auto"/>
        <w:rPr>
          <w:sz w:val="20"/>
          <w:lang w:val="en-US"/>
        </w:rPr>
      </w:pPr>
      <w:r w:rsidRPr="00DA40E6">
        <w:rPr>
          <w:sz w:val="20"/>
        </w:rPr>
        <w:tab/>
        <w:t xml:space="preserve">Section 44 of the </w:t>
      </w:r>
      <w:r w:rsidRPr="00DA40E6">
        <w:rPr>
          <w:i/>
          <w:sz w:val="20"/>
        </w:rPr>
        <w:t>WHSCA</w:t>
      </w:r>
      <w:r w:rsidRPr="00DA40E6">
        <w:rPr>
          <w:sz w:val="20"/>
        </w:rPr>
        <w:t xml:space="preserve"> is constitutionally applicable and operative and, as such, bars the action initiated by the Ryan Estates against Marine Services and P. The first step in the resolution of a constitutional issue involving the division of powers is an analysis of the “pith and substance” of the impugned legislation, which consists of an inquiry into the true nature of the law in question for the purpose of identifying the matter to which it essentially relates.  Then, at the end of a pith and substance analysis, a court should consider interjurisdictional immunity only if there is prior case law favouring its application to the subject matter at hand,</w:t>
      </w:r>
      <w:r w:rsidRPr="00DA40E6">
        <w:rPr>
          <w:sz w:val="20"/>
          <w:lang w:val="en-US"/>
        </w:rPr>
        <w:t xml:space="preserve"> as is the case in this appeal.  A two</w:t>
      </w:r>
      <w:r w:rsidRPr="00DA40E6">
        <w:rPr>
          <w:sz w:val="20"/>
          <w:lang w:val="en-US"/>
        </w:rPr>
        <w:noBreakHyphen/>
        <w:t xml:space="preserve">pronged test must be met to trigger the application of this doctrine.  The first step is to determine whether the impugned legislation trenches on the core of a head of power listed in ss. 91 or 92 of the </w:t>
      </w:r>
      <w:r w:rsidRPr="00DA40E6">
        <w:rPr>
          <w:i/>
          <w:sz w:val="20"/>
          <w:lang w:val="en-US"/>
        </w:rPr>
        <w:t>Constitution Act, 1867</w:t>
      </w:r>
      <w:r w:rsidRPr="00DA40E6">
        <w:rPr>
          <w:sz w:val="20"/>
          <w:lang w:val="en-US"/>
        </w:rPr>
        <w:t>.  Then, if the impugned legislation trenches on the core of a head of power, the second step is to determine whether the encroachment is sufficiently serious.  The impugned legislation must impair rather than just affect the core.  When interjurisdictional immunity applies, the impugned law is simply inapplicable to the extra</w:t>
      </w:r>
      <w:r w:rsidRPr="00DA40E6">
        <w:rPr>
          <w:sz w:val="20"/>
          <w:lang w:val="en-US"/>
        </w:rPr>
        <w:noBreakHyphen/>
        <w:t>jurisdictional matter.</w:t>
      </w:r>
    </w:p>
    <w:p w:rsidR="00B52740" w:rsidRDefault="00B52740" w:rsidP="00B52740">
      <w:pPr>
        <w:pStyle w:val="SCCNormalDoubleSpacing"/>
        <w:spacing w:line="240" w:lineRule="auto"/>
        <w:rPr>
          <w:sz w:val="20"/>
          <w:lang w:val="en-US"/>
        </w:rPr>
      </w:pPr>
    </w:p>
    <w:p w:rsidR="00B52740" w:rsidRPr="00DA40E6" w:rsidRDefault="00B52740" w:rsidP="00B52740">
      <w:pPr>
        <w:pStyle w:val="SCCNormalDoubleSpacing"/>
        <w:spacing w:line="240" w:lineRule="auto"/>
        <w:rPr>
          <w:sz w:val="20"/>
          <w:lang w:val="en-US"/>
        </w:rPr>
      </w:pPr>
      <w:r w:rsidRPr="00DA40E6">
        <w:rPr>
          <w:sz w:val="20"/>
          <w:lang w:val="en-US"/>
        </w:rPr>
        <w:tab/>
        <w:t xml:space="preserve">Interjurisdictional immunity does not apply in the case at bar.  The first prong of the test is met, but not the second.  A provincial statute of general application, such as s. 44 of the </w:t>
      </w:r>
      <w:r w:rsidRPr="00DA40E6">
        <w:rPr>
          <w:i/>
          <w:sz w:val="20"/>
          <w:lang w:val="en-US"/>
        </w:rPr>
        <w:t>WHSCA</w:t>
      </w:r>
      <w:r w:rsidRPr="00DA40E6">
        <w:rPr>
          <w:sz w:val="20"/>
          <w:lang w:val="en-US"/>
        </w:rPr>
        <w:t xml:space="preserve">, cannot have the effect of indirectly regulating an issue of maritime negligence law, which is at the core of the federal power over navigation and shipping.  By altering the range of claimants who may make use of the statutory maritime negligence action provided by s. 6(2) of the </w:t>
      </w:r>
      <w:r w:rsidRPr="00DA40E6">
        <w:rPr>
          <w:i/>
          <w:sz w:val="20"/>
          <w:lang w:val="en-US"/>
        </w:rPr>
        <w:t>MLA</w:t>
      </w:r>
      <w:r w:rsidRPr="00DA40E6">
        <w:rPr>
          <w:sz w:val="20"/>
          <w:lang w:val="en-US"/>
        </w:rPr>
        <w:t xml:space="preserve">, s. 44 of the </w:t>
      </w:r>
      <w:r w:rsidRPr="00DA40E6">
        <w:rPr>
          <w:i/>
          <w:sz w:val="20"/>
          <w:lang w:val="en-US"/>
        </w:rPr>
        <w:t>WHSCA</w:t>
      </w:r>
      <w:r w:rsidRPr="00DA40E6">
        <w:rPr>
          <w:sz w:val="20"/>
          <w:lang w:val="en-US"/>
        </w:rPr>
        <w:t xml:space="preserve"> trenches on the core of the federal power over navigation and shipping. However, s. 44 of the </w:t>
      </w:r>
      <w:r w:rsidRPr="00DA40E6">
        <w:rPr>
          <w:i/>
          <w:sz w:val="20"/>
          <w:lang w:val="en-US"/>
        </w:rPr>
        <w:t>WHSCA</w:t>
      </w:r>
      <w:r w:rsidRPr="00DA40E6">
        <w:rPr>
          <w:sz w:val="20"/>
          <w:lang w:val="en-US"/>
        </w:rPr>
        <w:t xml:space="preserve"> does not impair the exercise of the federal power over navigation and shipping.  It may affect the exercise of that federal </w:t>
      </w:r>
      <w:proofErr w:type="gramStart"/>
      <w:r w:rsidRPr="00DA40E6">
        <w:rPr>
          <w:sz w:val="20"/>
          <w:lang w:val="en-US"/>
        </w:rPr>
        <w:t>power,</w:t>
      </w:r>
      <w:proofErr w:type="gramEnd"/>
      <w:r w:rsidRPr="00DA40E6">
        <w:rPr>
          <w:sz w:val="20"/>
          <w:lang w:val="en-US"/>
        </w:rPr>
        <w:t xml:space="preserve"> however, this level of intrusion is insufficient to trigger interjurisdictional immunity.  The intrusion of s. 44 is not significant or serious when one considers the breadth of the federal power over navigation and shipping, the absence of impact on the uniformity of Canadian maritime law, and the historical application of workers’ compensation schemes in the maritime context. </w:t>
      </w:r>
    </w:p>
    <w:p w:rsidR="00B52740" w:rsidRDefault="00B52740" w:rsidP="00B52740">
      <w:pPr>
        <w:pStyle w:val="SCCNormalDoubleSpacing"/>
        <w:spacing w:line="240" w:lineRule="auto"/>
        <w:rPr>
          <w:sz w:val="20"/>
          <w:lang w:val="en-US"/>
        </w:rPr>
      </w:pPr>
    </w:p>
    <w:p w:rsidR="00B52740" w:rsidRPr="00DA40E6" w:rsidRDefault="00B52740" w:rsidP="00B52740">
      <w:pPr>
        <w:pStyle w:val="SCCNormalDoubleSpacing"/>
        <w:spacing w:line="240" w:lineRule="auto"/>
        <w:rPr>
          <w:sz w:val="20"/>
          <w:lang w:val="en-US"/>
        </w:rPr>
      </w:pPr>
      <w:r w:rsidRPr="00DA40E6">
        <w:rPr>
          <w:sz w:val="20"/>
          <w:lang w:val="en-US"/>
        </w:rPr>
        <w:tab/>
        <w:t xml:space="preserve">The doctrine of federal paramountcy does not apply in this case either, under a proper interpretation of the </w:t>
      </w:r>
      <w:r w:rsidRPr="00DA40E6">
        <w:rPr>
          <w:i/>
          <w:sz w:val="20"/>
          <w:lang w:val="en-US"/>
        </w:rPr>
        <w:t>MLA</w:t>
      </w:r>
      <w:r w:rsidRPr="00DA40E6">
        <w:rPr>
          <w:sz w:val="20"/>
          <w:lang w:val="en-US"/>
        </w:rPr>
        <w:t>.  According to this doctrine, when the operational effects of provincial legislation are incompatible with federal legislation, the federal legislation must prevail and the provincial legislation is rendered inoperative to the extent of the incompatibility.  Federal paramountcy applies where there is an inconsistency between a valid federal legislative enactment and a valid provincial legislative enactment, but not between a common law rule and a valid provincial law.  Inconsistency can arise from two different forms of conflict: the operational conflict, when compliance with one statute means a violation of the other statute, and the frustration of federal purpose.  The standard for invalidating provincial legislation on the basis of frustration of federal purpose is high.</w:t>
      </w:r>
    </w:p>
    <w:p w:rsidR="00B52740" w:rsidRDefault="00B52740" w:rsidP="00B52740">
      <w:pPr>
        <w:pStyle w:val="SCCNormalDoubleSpacing"/>
        <w:spacing w:line="240" w:lineRule="auto"/>
        <w:rPr>
          <w:sz w:val="20"/>
          <w:lang w:val="en-US"/>
        </w:rPr>
      </w:pPr>
    </w:p>
    <w:p w:rsidR="00B52740" w:rsidRDefault="00B52740" w:rsidP="00B52740">
      <w:pPr>
        <w:pStyle w:val="SCCNormalDoubleSpacing"/>
        <w:spacing w:line="240" w:lineRule="auto"/>
        <w:rPr>
          <w:sz w:val="20"/>
          <w:lang w:val="en-US"/>
        </w:rPr>
      </w:pPr>
      <w:r w:rsidRPr="00DA40E6">
        <w:rPr>
          <w:sz w:val="20"/>
          <w:lang w:val="en-US"/>
        </w:rPr>
        <w:tab/>
        <w:t xml:space="preserve">Section 6(2) of the </w:t>
      </w:r>
      <w:r w:rsidRPr="00DA40E6">
        <w:rPr>
          <w:i/>
          <w:sz w:val="20"/>
          <w:lang w:val="en-US"/>
        </w:rPr>
        <w:t>MLA</w:t>
      </w:r>
      <w:r w:rsidRPr="00DA40E6">
        <w:rPr>
          <w:sz w:val="20"/>
          <w:lang w:val="en-US"/>
        </w:rPr>
        <w:t xml:space="preserve"> provides a cause of action to the dependants of a person who dies by the fault or negligence of others in a maritime law context that is to be adjudicated under Canadian maritime law.  However, it makes room for the operation of provincial workers’ compensation schemes.  The </w:t>
      </w:r>
      <w:r w:rsidRPr="00DA40E6">
        <w:rPr>
          <w:i/>
          <w:sz w:val="20"/>
          <w:lang w:val="en-US"/>
        </w:rPr>
        <w:t>WHSCA</w:t>
      </w:r>
      <w:r w:rsidRPr="00DA40E6">
        <w:rPr>
          <w:sz w:val="20"/>
          <w:lang w:val="en-US"/>
        </w:rPr>
        <w:t xml:space="preserve"> and the </w:t>
      </w:r>
      <w:r w:rsidRPr="00DA40E6">
        <w:rPr>
          <w:i/>
          <w:sz w:val="20"/>
          <w:lang w:val="en-US"/>
        </w:rPr>
        <w:t>MLA</w:t>
      </w:r>
      <w:r w:rsidRPr="00DA40E6">
        <w:rPr>
          <w:sz w:val="20"/>
          <w:lang w:val="en-US"/>
        </w:rPr>
        <w:t xml:space="preserve"> can operate side by side without conflict.  Section 6(2) of the </w:t>
      </w:r>
      <w:r w:rsidRPr="00DA40E6">
        <w:rPr>
          <w:i/>
          <w:sz w:val="20"/>
          <w:lang w:val="en-US"/>
        </w:rPr>
        <w:t xml:space="preserve">MLA </w:t>
      </w:r>
      <w:r w:rsidRPr="00DA40E6">
        <w:rPr>
          <w:sz w:val="20"/>
          <w:lang w:val="en-US"/>
        </w:rPr>
        <w:t xml:space="preserve">provides that a dependant may bring a claim “under circumstances that would have entitled the person, if not deceased, to recover damages”.  This language suggests that there are situations where a dependant is not allowed to bring an action pursuant to s. 6(2) of the </w:t>
      </w:r>
      <w:r w:rsidRPr="00DA40E6">
        <w:rPr>
          <w:i/>
          <w:sz w:val="20"/>
          <w:lang w:val="en-US"/>
        </w:rPr>
        <w:t>MLA</w:t>
      </w:r>
      <w:r w:rsidRPr="00DA40E6">
        <w:rPr>
          <w:sz w:val="20"/>
          <w:lang w:val="en-US"/>
        </w:rPr>
        <w:t xml:space="preserve">.  Such a situation occurs where a statutory provision, such as s. 44 of the </w:t>
      </w:r>
      <w:r w:rsidRPr="00DA40E6">
        <w:rPr>
          <w:i/>
          <w:sz w:val="20"/>
          <w:lang w:val="en-US"/>
        </w:rPr>
        <w:t>WHSCA</w:t>
      </w:r>
      <w:r w:rsidRPr="00DA40E6">
        <w:rPr>
          <w:sz w:val="20"/>
          <w:lang w:val="en-US"/>
        </w:rPr>
        <w:t xml:space="preserve">, prohibits litigation because compensation has already been awarded under a workers’ compensation scheme.  The statutory bar in s. 44 of the </w:t>
      </w:r>
      <w:r w:rsidRPr="00DA40E6">
        <w:rPr>
          <w:i/>
          <w:sz w:val="20"/>
          <w:lang w:val="en-US"/>
        </w:rPr>
        <w:t>WHSCA</w:t>
      </w:r>
      <w:r w:rsidRPr="00DA40E6">
        <w:rPr>
          <w:sz w:val="20"/>
          <w:lang w:val="en-US"/>
        </w:rPr>
        <w:t xml:space="preserve"> removes compensation for workplace injury from the tort system, of which the </w:t>
      </w:r>
      <w:r w:rsidRPr="00DA40E6">
        <w:rPr>
          <w:i/>
          <w:sz w:val="20"/>
          <w:lang w:val="en-US"/>
        </w:rPr>
        <w:t>MLA</w:t>
      </w:r>
      <w:r w:rsidRPr="00DA40E6">
        <w:rPr>
          <w:sz w:val="20"/>
          <w:lang w:val="en-US"/>
        </w:rPr>
        <w:t xml:space="preserve"> is a part.  As such, for the purposes of s. 6(2) of the </w:t>
      </w:r>
      <w:r w:rsidRPr="00DA40E6">
        <w:rPr>
          <w:i/>
          <w:sz w:val="20"/>
          <w:lang w:val="en-US"/>
        </w:rPr>
        <w:t>MLA</w:t>
      </w:r>
      <w:r w:rsidRPr="00DA40E6">
        <w:rPr>
          <w:sz w:val="20"/>
          <w:lang w:val="en-US"/>
        </w:rPr>
        <w:t xml:space="preserve">, a deceased worker whose dependants are entitled to compensation under the </w:t>
      </w:r>
      <w:r w:rsidRPr="00DA40E6">
        <w:rPr>
          <w:i/>
          <w:sz w:val="20"/>
          <w:lang w:val="en-US"/>
        </w:rPr>
        <w:t>WHSCA</w:t>
      </w:r>
      <w:r w:rsidRPr="00DA40E6">
        <w:rPr>
          <w:sz w:val="20"/>
          <w:lang w:val="en-US"/>
        </w:rPr>
        <w:t xml:space="preserve"> is a person who died under circumstances that would not have entitled the worker to recover damages if he or she had lived.  The </w:t>
      </w:r>
      <w:r w:rsidRPr="00DA40E6">
        <w:rPr>
          <w:i/>
          <w:sz w:val="20"/>
          <w:lang w:val="en-US"/>
        </w:rPr>
        <w:t>WHSCA</w:t>
      </w:r>
      <w:r w:rsidRPr="00DA40E6">
        <w:rPr>
          <w:sz w:val="20"/>
          <w:lang w:val="en-US"/>
        </w:rPr>
        <w:t>, which establishes a no</w:t>
      </w:r>
      <w:r w:rsidRPr="00DA40E6">
        <w:rPr>
          <w:sz w:val="20"/>
          <w:lang w:val="en-US"/>
        </w:rPr>
        <w:noBreakHyphen/>
        <w:t>fault regime to compensate for workplace</w:t>
      </w:r>
      <w:r w:rsidRPr="00DA40E6">
        <w:rPr>
          <w:sz w:val="20"/>
          <w:lang w:val="en-US"/>
        </w:rPr>
        <w:noBreakHyphen/>
        <w:t xml:space="preserve">related injury, does not frustrate the purpose of s. 6(2) of the </w:t>
      </w:r>
      <w:r w:rsidRPr="00DA40E6">
        <w:rPr>
          <w:i/>
          <w:sz w:val="20"/>
          <w:lang w:val="en-US"/>
        </w:rPr>
        <w:t>MLA</w:t>
      </w:r>
      <w:r w:rsidRPr="00DA40E6">
        <w:rPr>
          <w:sz w:val="20"/>
          <w:lang w:val="en-US"/>
        </w:rPr>
        <w:t xml:space="preserve">, which was enacted to expand the range of claimants who could start an action in maritime negligence law.  The </w:t>
      </w:r>
      <w:r w:rsidRPr="00DA40E6">
        <w:rPr>
          <w:i/>
          <w:sz w:val="20"/>
          <w:lang w:val="en-US"/>
        </w:rPr>
        <w:t>WHSCA</w:t>
      </w:r>
      <w:r w:rsidRPr="00DA40E6">
        <w:rPr>
          <w:sz w:val="20"/>
          <w:lang w:val="en-US"/>
        </w:rPr>
        <w:t xml:space="preserve"> simply provides for a different regime for compensation that is distinct and separate from tort.</w:t>
      </w:r>
    </w:p>
    <w:p w:rsidR="00B52740" w:rsidRDefault="00B52740" w:rsidP="00B52740">
      <w:pPr>
        <w:pStyle w:val="SCCNormalDoubleSpacing"/>
        <w:spacing w:line="240" w:lineRule="auto"/>
        <w:rPr>
          <w:sz w:val="20"/>
          <w:lang w:val="en-US"/>
        </w:rPr>
      </w:pPr>
    </w:p>
    <w:p w:rsidR="00B52740" w:rsidRPr="00DA40E6" w:rsidRDefault="00B52740" w:rsidP="00B52740">
      <w:pPr>
        <w:pStyle w:val="SCCNormalDoubleSpacing"/>
        <w:spacing w:line="240" w:lineRule="auto"/>
        <w:rPr>
          <w:sz w:val="20"/>
        </w:rPr>
      </w:pPr>
      <w:r w:rsidRPr="00DA40E6">
        <w:rPr>
          <w:sz w:val="20"/>
        </w:rPr>
        <w:tab/>
        <w:t xml:space="preserve">APPEAL from a judgment of the Newfoundland and Labrador Court of Appeal (Green C.J.N.L. and Welsh and Rowe JJ.A.), 2011 NLCA 42, 308 Nfld. &amp; P.E.I.R. 1, 958 A.P.R. 1, 238 C.R.R. (2d) 160, 351 D.L.R. (4th) 666, [2011] N.J. No. 207 (QL), 2011 CarswellNfld 200, affirming a decision of Hall J., 2009 NLTD 120, 289 Nfld. &amp; P.E.I.R. 198, 890 A.P.R. 198, 99 Admin. </w:t>
      </w:r>
      <w:proofErr w:type="gramStart"/>
      <w:r w:rsidRPr="00DA40E6">
        <w:rPr>
          <w:sz w:val="20"/>
        </w:rPr>
        <w:t>L.R. (4th) 308, [2009] N.J. No. 204 (QL), 2009 CarswellNfld 197.</w:t>
      </w:r>
      <w:proofErr w:type="gramEnd"/>
      <w:r w:rsidRPr="00DA40E6">
        <w:rPr>
          <w:sz w:val="20"/>
        </w:rPr>
        <w:t xml:space="preserve">  Appeal allowed.</w:t>
      </w:r>
    </w:p>
    <w:p w:rsidR="00B52740" w:rsidRDefault="00B52740" w:rsidP="00B52740">
      <w:pPr>
        <w:pStyle w:val="SCCNormalDoubleSpacing"/>
        <w:spacing w:line="240" w:lineRule="auto"/>
        <w:rPr>
          <w:i/>
          <w:sz w:val="20"/>
        </w:rPr>
      </w:pPr>
    </w:p>
    <w:p w:rsidR="00B52740" w:rsidRPr="00DA40E6" w:rsidRDefault="00B52740" w:rsidP="00B52740">
      <w:pPr>
        <w:pStyle w:val="SCCNormalDoubleSpacing"/>
        <w:spacing w:line="240" w:lineRule="auto"/>
        <w:rPr>
          <w:sz w:val="20"/>
        </w:rPr>
      </w:pPr>
      <w:r w:rsidRPr="00DA40E6">
        <w:rPr>
          <w:i/>
          <w:sz w:val="20"/>
        </w:rPr>
        <w:tab/>
      </w:r>
      <w:proofErr w:type="gramStart"/>
      <w:r w:rsidRPr="00DA40E6">
        <w:rPr>
          <w:i/>
          <w:sz w:val="20"/>
        </w:rPr>
        <w:t>Peter O’Flaherty</w:t>
      </w:r>
      <w:r w:rsidRPr="00DA40E6">
        <w:rPr>
          <w:sz w:val="20"/>
        </w:rPr>
        <w:t xml:space="preserve"> and </w:t>
      </w:r>
      <w:r w:rsidRPr="00DA40E6">
        <w:rPr>
          <w:i/>
          <w:sz w:val="20"/>
        </w:rPr>
        <w:t>Brodie Gallant</w:t>
      </w:r>
      <w:r w:rsidRPr="00DA40E6">
        <w:rPr>
          <w:sz w:val="20"/>
        </w:rPr>
        <w:t>, for the appellants.</w:t>
      </w:r>
      <w:proofErr w:type="gramEnd"/>
    </w:p>
    <w:p w:rsidR="00B52740" w:rsidRDefault="00B52740" w:rsidP="00B52740">
      <w:pPr>
        <w:pStyle w:val="SCCNormalDoubleSpacing"/>
        <w:spacing w:line="240" w:lineRule="auto"/>
        <w:rPr>
          <w:i/>
          <w:sz w:val="20"/>
        </w:rPr>
      </w:pPr>
    </w:p>
    <w:p w:rsidR="00B52740" w:rsidRPr="00DA40E6" w:rsidRDefault="00B52740" w:rsidP="00B52740">
      <w:pPr>
        <w:pStyle w:val="SCCNormalDoubleSpacing"/>
        <w:spacing w:line="240" w:lineRule="auto"/>
        <w:rPr>
          <w:sz w:val="20"/>
        </w:rPr>
      </w:pPr>
      <w:r w:rsidRPr="00DA40E6">
        <w:rPr>
          <w:i/>
          <w:sz w:val="20"/>
        </w:rPr>
        <w:tab/>
      </w:r>
      <w:proofErr w:type="gramStart"/>
      <w:r w:rsidRPr="00DA40E6">
        <w:rPr>
          <w:i/>
          <w:sz w:val="20"/>
        </w:rPr>
        <w:t>Corwin Mills, Q.C.</w:t>
      </w:r>
      <w:r w:rsidRPr="00DA40E6">
        <w:rPr>
          <w:sz w:val="20"/>
        </w:rPr>
        <w:t xml:space="preserve">, </w:t>
      </w:r>
      <w:r w:rsidRPr="00DA40E6">
        <w:rPr>
          <w:i/>
          <w:sz w:val="20"/>
        </w:rPr>
        <w:t xml:space="preserve">Joseph Twyne </w:t>
      </w:r>
      <w:r w:rsidRPr="00DA40E6">
        <w:rPr>
          <w:sz w:val="20"/>
        </w:rPr>
        <w:t xml:space="preserve">and </w:t>
      </w:r>
      <w:r w:rsidRPr="00DA40E6">
        <w:rPr>
          <w:i/>
          <w:sz w:val="20"/>
        </w:rPr>
        <w:t>Benjamin Piper</w:t>
      </w:r>
      <w:r w:rsidRPr="00DA40E6">
        <w:rPr>
          <w:sz w:val="20"/>
        </w:rPr>
        <w:t>, for the respondents the Estate of Joseph Ryan et al.</w:t>
      </w:r>
      <w:proofErr w:type="gramEnd"/>
    </w:p>
    <w:p w:rsidR="00B52740" w:rsidRDefault="00B52740" w:rsidP="00B52740">
      <w:pPr>
        <w:pStyle w:val="SCCNormalDoubleSpacing"/>
        <w:spacing w:line="240" w:lineRule="auto"/>
        <w:rPr>
          <w:i/>
          <w:sz w:val="20"/>
        </w:rPr>
      </w:pPr>
    </w:p>
    <w:p w:rsidR="00B52740" w:rsidRPr="00DA40E6" w:rsidRDefault="00B52740" w:rsidP="00B52740">
      <w:pPr>
        <w:pStyle w:val="SCCNormalDoubleSpacing"/>
        <w:spacing w:line="240" w:lineRule="auto"/>
        <w:rPr>
          <w:sz w:val="20"/>
        </w:rPr>
      </w:pPr>
      <w:r w:rsidRPr="00DA40E6">
        <w:rPr>
          <w:i/>
          <w:sz w:val="20"/>
        </w:rPr>
        <w:tab/>
      </w:r>
      <w:proofErr w:type="gramStart"/>
      <w:r w:rsidRPr="00DA40E6">
        <w:rPr>
          <w:i/>
          <w:sz w:val="20"/>
        </w:rPr>
        <w:t xml:space="preserve">Peter Southey </w:t>
      </w:r>
      <w:r w:rsidRPr="00DA40E6">
        <w:rPr>
          <w:sz w:val="20"/>
        </w:rPr>
        <w:t>and</w:t>
      </w:r>
      <w:r w:rsidRPr="00DA40E6">
        <w:rPr>
          <w:i/>
          <w:sz w:val="20"/>
        </w:rPr>
        <w:t xml:space="preserve"> Christine Mohr</w:t>
      </w:r>
      <w:r w:rsidRPr="00DA40E6">
        <w:rPr>
          <w:sz w:val="20"/>
        </w:rPr>
        <w:t>, for the respondent the Attorney General of Canada.</w:t>
      </w:r>
      <w:proofErr w:type="gramEnd"/>
    </w:p>
    <w:p w:rsidR="00B52740" w:rsidRDefault="00B52740" w:rsidP="00B52740">
      <w:pPr>
        <w:pStyle w:val="SCCNormalDoubleSpacing"/>
        <w:spacing w:line="240" w:lineRule="auto"/>
        <w:rPr>
          <w:i/>
          <w:sz w:val="20"/>
        </w:rPr>
      </w:pPr>
    </w:p>
    <w:p w:rsidR="00B52740" w:rsidRPr="00DA40E6" w:rsidRDefault="00B52740" w:rsidP="00B52740">
      <w:pPr>
        <w:pStyle w:val="SCCNormalDoubleSpacing"/>
        <w:spacing w:line="240" w:lineRule="auto"/>
        <w:rPr>
          <w:sz w:val="20"/>
        </w:rPr>
      </w:pPr>
      <w:r w:rsidRPr="00DA40E6">
        <w:rPr>
          <w:i/>
          <w:sz w:val="20"/>
        </w:rPr>
        <w:tab/>
      </w:r>
      <w:proofErr w:type="gramStart"/>
      <w:r w:rsidRPr="00DA40E6">
        <w:rPr>
          <w:i/>
          <w:sz w:val="20"/>
        </w:rPr>
        <w:t>Hart Schwartz</w:t>
      </w:r>
      <w:r w:rsidRPr="00DA40E6">
        <w:rPr>
          <w:sz w:val="20"/>
        </w:rPr>
        <w:t xml:space="preserve"> and </w:t>
      </w:r>
      <w:r w:rsidRPr="00DA40E6">
        <w:rPr>
          <w:i/>
          <w:sz w:val="20"/>
        </w:rPr>
        <w:t>Michael S. Dunn</w:t>
      </w:r>
      <w:r w:rsidRPr="00DA40E6">
        <w:rPr>
          <w:sz w:val="20"/>
        </w:rPr>
        <w:t>, for the intervener the Attorney General of Ontario.</w:t>
      </w:r>
      <w:proofErr w:type="gramEnd"/>
    </w:p>
    <w:p w:rsidR="00B52740" w:rsidRDefault="00B52740" w:rsidP="00B52740">
      <w:pPr>
        <w:pStyle w:val="SCCNormalDoubleSpacing"/>
        <w:spacing w:line="240" w:lineRule="auto"/>
        <w:rPr>
          <w:i/>
          <w:sz w:val="20"/>
        </w:rPr>
      </w:pPr>
    </w:p>
    <w:p w:rsidR="00B52740" w:rsidRPr="00DA40E6" w:rsidRDefault="00B52740" w:rsidP="00B52740">
      <w:pPr>
        <w:pStyle w:val="SCCNormalDoubleSpacing"/>
        <w:spacing w:line="240" w:lineRule="auto"/>
        <w:rPr>
          <w:sz w:val="20"/>
        </w:rPr>
      </w:pPr>
      <w:r w:rsidRPr="00DA40E6">
        <w:rPr>
          <w:i/>
          <w:sz w:val="20"/>
        </w:rPr>
        <w:tab/>
      </w:r>
      <w:proofErr w:type="gramStart"/>
      <w:r w:rsidRPr="00DA40E6">
        <w:rPr>
          <w:i/>
          <w:sz w:val="20"/>
        </w:rPr>
        <w:t>Nancy E. Brown</w:t>
      </w:r>
      <w:r w:rsidRPr="00DA40E6">
        <w:rPr>
          <w:sz w:val="20"/>
        </w:rPr>
        <w:t>, for the intervener the Attorney General of British Columbia.</w:t>
      </w:r>
      <w:proofErr w:type="gramEnd"/>
    </w:p>
    <w:p w:rsidR="00B52740" w:rsidRDefault="00B52740" w:rsidP="00B52740">
      <w:pPr>
        <w:pStyle w:val="SCCNormalDoubleSpacing"/>
        <w:spacing w:line="240" w:lineRule="auto"/>
        <w:rPr>
          <w:i/>
          <w:sz w:val="20"/>
        </w:rPr>
      </w:pPr>
    </w:p>
    <w:p w:rsidR="00B52740" w:rsidRPr="00DA40E6" w:rsidRDefault="00B52740" w:rsidP="00B52740">
      <w:pPr>
        <w:pStyle w:val="SCCNormalDoubleSpacing"/>
        <w:spacing w:line="240" w:lineRule="auto"/>
        <w:rPr>
          <w:sz w:val="20"/>
        </w:rPr>
      </w:pPr>
      <w:r w:rsidRPr="00DA40E6">
        <w:rPr>
          <w:i/>
          <w:sz w:val="20"/>
        </w:rPr>
        <w:tab/>
      </w:r>
      <w:proofErr w:type="gramStart"/>
      <w:r w:rsidRPr="00DA40E6">
        <w:rPr>
          <w:i/>
          <w:sz w:val="20"/>
        </w:rPr>
        <w:t>Rolf Pritchard, Q.C.</w:t>
      </w:r>
      <w:r w:rsidRPr="00DA40E6">
        <w:rPr>
          <w:sz w:val="20"/>
        </w:rPr>
        <w:t>, for the intervener the Attorney General of Newfoundland and Labrador.</w:t>
      </w:r>
      <w:proofErr w:type="gramEnd"/>
    </w:p>
    <w:p w:rsidR="00B52740" w:rsidRDefault="00B52740" w:rsidP="00B52740">
      <w:pPr>
        <w:pStyle w:val="SCCNormalDoubleSpacing"/>
        <w:spacing w:line="240" w:lineRule="auto"/>
        <w:rPr>
          <w:i/>
          <w:sz w:val="20"/>
        </w:rPr>
      </w:pPr>
    </w:p>
    <w:p w:rsidR="00B52740" w:rsidRPr="00DA40E6" w:rsidRDefault="00B52740" w:rsidP="00B52740">
      <w:pPr>
        <w:pStyle w:val="SCCNormalDoubleSpacing"/>
        <w:spacing w:line="240" w:lineRule="auto"/>
        <w:rPr>
          <w:sz w:val="20"/>
        </w:rPr>
      </w:pPr>
      <w:r w:rsidRPr="00DA40E6">
        <w:rPr>
          <w:i/>
          <w:sz w:val="20"/>
        </w:rPr>
        <w:tab/>
      </w:r>
      <w:proofErr w:type="gramStart"/>
      <w:r w:rsidRPr="00DA40E6">
        <w:rPr>
          <w:i/>
          <w:sz w:val="20"/>
        </w:rPr>
        <w:t>Jamie Martin</w:t>
      </w:r>
      <w:r w:rsidRPr="00DA40E6">
        <w:rPr>
          <w:sz w:val="20"/>
        </w:rPr>
        <w:t>, for the intervener the Workplace Health, Safety and Compensation Commission.</w:t>
      </w:r>
      <w:proofErr w:type="gramEnd"/>
    </w:p>
    <w:p w:rsidR="00B52740" w:rsidRDefault="00B52740" w:rsidP="00B52740">
      <w:pPr>
        <w:pStyle w:val="SCCNormalDoubleSpacing"/>
        <w:spacing w:line="240" w:lineRule="auto"/>
        <w:rPr>
          <w:i/>
          <w:sz w:val="20"/>
        </w:rPr>
      </w:pPr>
    </w:p>
    <w:p w:rsidR="00B52740" w:rsidRPr="00DA40E6" w:rsidRDefault="00B52740" w:rsidP="00B52740">
      <w:pPr>
        <w:pStyle w:val="SCCNormalDoubleSpacing"/>
        <w:spacing w:line="240" w:lineRule="auto"/>
        <w:rPr>
          <w:sz w:val="20"/>
        </w:rPr>
      </w:pPr>
      <w:r w:rsidRPr="00DA40E6">
        <w:rPr>
          <w:i/>
          <w:sz w:val="20"/>
        </w:rPr>
        <w:tab/>
      </w:r>
      <w:proofErr w:type="gramStart"/>
      <w:r w:rsidRPr="00DA40E6">
        <w:rPr>
          <w:i/>
          <w:sz w:val="20"/>
        </w:rPr>
        <w:t>Scott A. Nielsen</w:t>
      </w:r>
      <w:r w:rsidRPr="00DA40E6">
        <w:rPr>
          <w:sz w:val="20"/>
        </w:rPr>
        <w:t xml:space="preserve"> and </w:t>
      </w:r>
      <w:r w:rsidRPr="00DA40E6">
        <w:rPr>
          <w:i/>
          <w:sz w:val="20"/>
        </w:rPr>
        <w:t>Laurel Courtenay</w:t>
      </w:r>
      <w:r w:rsidRPr="00DA40E6">
        <w:rPr>
          <w:sz w:val="20"/>
        </w:rPr>
        <w:t>, for the intervener the Workers’ Compensation Board of British Columbia.</w:t>
      </w:r>
      <w:proofErr w:type="gramEnd"/>
    </w:p>
    <w:p w:rsidR="00B52740" w:rsidRDefault="00B52740" w:rsidP="00B52740">
      <w:pPr>
        <w:pStyle w:val="SCCNormalDoubleSpacing"/>
        <w:spacing w:line="240" w:lineRule="auto"/>
        <w:rPr>
          <w:sz w:val="20"/>
        </w:rPr>
      </w:pPr>
    </w:p>
    <w:p w:rsidR="00B52740" w:rsidRPr="00DA40E6" w:rsidRDefault="00B52740" w:rsidP="00B52740">
      <w:pPr>
        <w:pStyle w:val="SCCNormalDoubleSpacing"/>
        <w:spacing w:line="240" w:lineRule="auto"/>
        <w:rPr>
          <w:sz w:val="20"/>
        </w:rPr>
      </w:pPr>
      <w:r w:rsidRPr="00DA40E6">
        <w:rPr>
          <w:sz w:val="20"/>
        </w:rPr>
        <w:tab/>
        <w:t>No one appeared for the respondent Universal Marine Limited.</w:t>
      </w:r>
    </w:p>
    <w:p w:rsidR="00B52740" w:rsidRDefault="00B52740" w:rsidP="00B52740">
      <w:pPr>
        <w:pStyle w:val="SCCNormalDoubleSpacing"/>
        <w:spacing w:line="240" w:lineRule="auto"/>
        <w:rPr>
          <w:sz w:val="20"/>
        </w:rPr>
      </w:pPr>
    </w:p>
    <w:p w:rsidR="00B52740" w:rsidRPr="00DA40E6" w:rsidRDefault="00B52740" w:rsidP="00B52740">
      <w:pPr>
        <w:pStyle w:val="SCCNormalDoubleSpacing"/>
        <w:spacing w:line="240" w:lineRule="auto"/>
        <w:rPr>
          <w:sz w:val="20"/>
        </w:rPr>
      </w:pPr>
      <w:r w:rsidRPr="00DA40E6">
        <w:rPr>
          <w:sz w:val="20"/>
        </w:rPr>
        <w:tab/>
        <w:t>No one appeared for the intervener the Attorney General of Nova Scotia.</w:t>
      </w:r>
    </w:p>
    <w:p w:rsidR="00B52740" w:rsidRDefault="00B52740" w:rsidP="00B52740">
      <w:pPr>
        <w:pStyle w:val="SCCLawFirm"/>
        <w:spacing w:line="240" w:lineRule="auto"/>
        <w:rPr>
          <w:sz w:val="20"/>
        </w:rPr>
      </w:pPr>
    </w:p>
    <w:p w:rsidR="00B52740" w:rsidRPr="00DA40E6" w:rsidRDefault="00B52740" w:rsidP="00B52740">
      <w:pPr>
        <w:pStyle w:val="SCCLawFirm"/>
        <w:spacing w:line="240" w:lineRule="auto"/>
        <w:rPr>
          <w:sz w:val="20"/>
        </w:rPr>
      </w:pPr>
      <w:r w:rsidRPr="00DA40E6">
        <w:rPr>
          <w:sz w:val="20"/>
        </w:rPr>
        <w:tab/>
        <w:t>Solicitors for the appellants:  Goodland O’Flaherty, St. John’s.</w:t>
      </w:r>
    </w:p>
    <w:p w:rsidR="00B52740" w:rsidRDefault="00B52740" w:rsidP="00B52740">
      <w:pPr>
        <w:pStyle w:val="SCCNormalDoubleSpacing"/>
        <w:spacing w:line="240" w:lineRule="auto"/>
        <w:rPr>
          <w:sz w:val="20"/>
        </w:rPr>
      </w:pPr>
    </w:p>
    <w:p w:rsidR="00B52740" w:rsidRPr="00DA40E6" w:rsidRDefault="00B52740" w:rsidP="00B52740">
      <w:pPr>
        <w:pStyle w:val="SCCNormalDoubleSpacing"/>
        <w:spacing w:line="240" w:lineRule="auto"/>
        <w:rPr>
          <w:i/>
          <w:sz w:val="20"/>
        </w:rPr>
      </w:pPr>
      <w:r w:rsidRPr="00DA40E6">
        <w:rPr>
          <w:sz w:val="20"/>
        </w:rPr>
        <w:tab/>
      </w:r>
      <w:r w:rsidRPr="00DA40E6">
        <w:rPr>
          <w:i/>
          <w:sz w:val="20"/>
        </w:rPr>
        <w:t>Solicitors for the respondents the Estate of Joseph Ryan et al.:  Mills Pittman, Clarenville; Sack Goldblatt Mitchell, Ottawa.</w:t>
      </w:r>
    </w:p>
    <w:p w:rsidR="00B52740" w:rsidRDefault="00B52740" w:rsidP="00B52740">
      <w:pPr>
        <w:pStyle w:val="SCCLawFirm"/>
        <w:spacing w:line="240" w:lineRule="auto"/>
        <w:rPr>
          <w:sz w:val="20"/>
        </w:rPr>
      </w:pPr>
    </w:p>
    <w:p w:rsidR="00B52740" w:rsidRPr="00DA40E6" w:rsidRDefault="00B52740" w:rsidP="00B52740">
      <w:pPr>
        <w:pStyle w:val="SCCLawFirm"/>
        <w:spacing w:line="240" w:lineRule="auto"/>
        <w:rPr>
          <w:sz w:val="20"/>
        </w:rPr>
      </w:pPr>
      <w:r w:rsidRPr="00DA40E6">
        <w:rPr>
          <w:sz w:val="20"/>
        </w:rPr>
        <w:tab/>
        <w:t>Solicitor for the respondent the Attorney General of Canada:  Attorney General of Canada, Toronto.</w:t>
      </w:r>
    </w:p>
    <w:p w:rsidR="00B52740" w:rsidRDefault="00B52740" w:rsidP="00B52740">
      <w:pPr>
        <w:pStyle w:val="SCCLawFirm"/>
        <w:spacing w:line="240" w:lineRule="auto"/>
        <w:rPr>
          <w:sz w:val="20"/>
        </w:rPr>
      </w:pPr>
    </w:p>
    <w:p w:rsidR="00B52740" w:rsidRPr="00DA40E6" w:rsidRDefault="00B52740" w:rsidP="00B52740">
      <w:pPr>
        <w:pStyle w:val="SCCLawFirm"/>
        <w:spacing w:line="240" w:lineRule="auto"/>
        <w:rPr>
          <w:sz w:val="20"/>
        </w:rPr>
      </w:pPr>
      <w:r w:rsidRPr="00DA40E6">
        <w:rPr>
          <w:sz w:val="20"/>
        </w:rPr>
        <w:tab/>
        <w:t>Solicitor for the intervener the Attorney General of Ontario:  Attorney General of Ontario, Toronto.</w:t>
      </w:r>
    </w:p>
    <w:p w:rsidR="00B52740" w:rsidRDefault="00B52740" w:rsidP="00B52740">
      <w:pPr>
        <w:pStyle w:val="SCCLawFirm"/>
        <w:spacing w:line="240" w:lineRule="auto"/>
        <w:rPr>
          <w:sz w:val="20"/>
        </w:rPr>
      </w:pPr>
    </w:p>
    <w:p w:rsidR="00B52740" w:rsidRPr="00DA40E6" w:rsidRDefault="00B52740" w:rsidP="00B52740">
      <w:pPr>
        <w:pStyle w:val="SCCLawFirm"/>
        <w:spacing w:line="240" w:lineRule="auto"/>
        <w:rPr>
          <w:sz w:val="20"/>
        </w:rPr>
      </w:pPr>
      <w:r w:rsidRPr="00DA40E6">
        <w:rPr>
          <w:sz w:val="20"/>
        </w:rPr>
        <w:tab/>
        <w:t>Solicitor for the intervener the Attorney General of British Columbia:  Attorney General of British Columbia, Victoria.</w:t>
      </w:r>
    </w:p>
    <w:p w:rsidR="00B52740" w:rsidRDefault="00B52740" w:rsidP="00B52740">
      <w:pPr>
        <w:pStyle w:val="SCCLawFirm"/>
        <w:spacing w:line="240" w:lineRule="auto"/>
        <w:rPr>
          <w:sz w:val="20"/>
        </w:rPr>
      </w:pPr>
    </w:p>
    <w:p w:rsidR="00B52740" w:rsidRPr="00DA40E6" w:rsidRDefault="00B52740" w:rsidP="00B52740">
      <w:pPr>
        <w:pStyle w:val="SCCLawFirm"/>
        <w:spacing w:line="240" w:lineRule="auto"/>
        <w:rPr>
          <w:sz w:val="20"/>
        </w:rPr>
      </w:pPr>
      <w:r w:rsidRPr="00DA40E6">
        <w:rPr>
          <w:sz w:val="20"/>
        </w:rPr>
        <w:tab/>
        <w:t>Solicitor for the intervener the Attorney General of Newfoundland and Labrador:  Attorney General of Newfoundland and Labrador, St. John’s.</w:t>
      </w:r>
    </w:p>
    <w:p w:rsidR="00B52740" w:rsidRDefault="00B52740" w:rsidP="00B52740">
      <w:pPr>
        <w:pStyle w:val="SCCLawFirm"/>
        <w:spacing w:line="240" w:lineRule="auto"/>
        <w:rPr>
          <w:sz w:val="20"/>
        </w:rPr>
      </w:pPr>
    </w:p>
    <w:p w:rsidR="00B52740" w:rsidRPr="00DA40E6" w:rsidRDefault="00B52740" w:rsidP="00B52740">
      <w:pPr>
        <w:pStyle w:val="SCCLawFirm"/>
        <w:spacing w:line="240" w:lineRule="auto"/>
        <w:rPr>
          <w:sz w:val="20"/>
        </w:rPr>
      </w:pPr>
      <w:r w:rsidRPr="00DA40E6">
        <w:rPr>
          <w:sz w:val="20"/>
        </w:rPr>
        <w:tab/>
        <w:t>Solicitors for the intervener the Workplace Health, Safety and Compensation Commission:  Roebothan, McKay &amp; Marshall, St. John’s.</w:t>
      </w:r>
    </w:p>
    <w:p w:rsidR="00B52740" w:rsidRDefault="00B52740" w:rsidP="00B52740">
      <w:pPr>
        <w:pStyle w:val="SCCLawFirm"/>
        <w:spacing w:line="240" w:lineRule="auto"/>
        <w:rPr>
          <w:sz w:val="20"/>
        </w:rPr>
      </w:pPr>
    </w:p>
    <w:p w:rsidR="00B52740" w:rsidRPr="00DA40E6" w:rsidRDefault="00B52740" w:rsidP="00B52740">
      <w:pPr>
        <w:pStyle w:val="SCCLawFirm"/>
        <w:spacing w:line="240" w:lineRule="auto"/>
        <w:rPr>
          <w:sz w:val="20"/>
        </w:rPr>
      </w:pPr>
      <w:r w:rsidRPr="00DA40E6">
        <w:rPr>
          <w:sz w:val="20"/>
        </w:rPr>
        <w:tab/>
        <w:t>Solicitor for the intervener the Workers’ Compensation Board of British Columbia:  Workers’ Compensation Board, Vancouver.</w:t>
      </w:r>
    </w:p>
    <w:p w:rsidR="00B52740" w:rsidRPr="00DA40E6" w:rsidRDefault="00B52740" w:rsidP="00B52740">
      <w:pPr>
        <w:pStyle w:val="SCCNormalDoubleSpacing"/>
        <w:spacing w:line="240" w:lineRule="auto"/>
        <w:rPr>
          <w:sz w:val="20"/>
        </w:rPr>
      </w:pPr>
    </w:p>
    <w:p w:rsidR="00B52740" w:rsidRDefault="00B52740" w:rsidP="00B52740">
      <w:pPr>
        <w:pStyle w:val="SCCLawFirm"/>
        <w:spacing w:line="240" w:lineRule="auto"/>
        <w:rPr>
          <w:sz w:val="20"/>
        </w:rPr>
      </w:pPr>
      <w:r w:rsidRPr="00DA40E6">
        <w:rPr>
          <w:sz w:val="20"/>
        </w:rPr>
        <w:tab/>
        <w:t>Solicitor for the intervener the Attorney General of Nova Scotia:  Attorney General of Nova Scotia, Halifax.</w:t>
      </w:r>
    </w:p>
    <w:p w:rsidR="00902E51" w:rsidRPr="00A41EC1" w:rsidRDefault="00902E51" w:rsidP="00902E51">
      <w:pPr>
        <w:rPr>
          <w:sz w:val="20"/>
          <w:szCs w:val="20"/>
          <w:lang w:val="fr-CA"/>
        </w:rPr>
      </w:pPr>
      <w:r w:rsidRPr="00A41EC1">
        <w:rPr>
          <w:sz w:val="20"/>
          <w:szCs w:val="20"/>
          <w:lang w:val="fr-CA"/>
        </w:rPr>
        <w:t>________________________</w:t>
      </w:r>
    </w:p>
    <w:p w:rsidR="00902E51" w:rsidRPr="00A41EC1" w:rsidRDefault="00902E51" w:rsidP="00902E51">
      <w:pPr>
        <w:rPr>
          <w:sz w:val="20"/>
          <w:szCs w:val="20"/>
          <w:lang w:val="fr-CA"/>
        </w:rPr>
      </w:pPr>
    </w:p>
    <w:p w:rsidR="00A41EC1" w:rsidRPr="00565C7A" w:rsidRDefault="00A41EC1" w:rsidP="00A41EC1">
      <w:pPr>
        <w:jc w:val="both"/>
        <w:rPr>
          <w:sz w:val="20"/>
          <w:szCs w:val="20"/>
          <w:lang w:val="fr-CA"/>
        </w:rPr>
      </w:pPr>
      <w:r w:rsidRPr="00565C7A">
        <w:rPr>
          <w:sz w:val="20"/>
          <w:szCs w:val="20"/>
          <w:lang w:val="fr-CA"/>
        </w:rPr>
        <w:t>Présents : La juge en chef McLachlin et les juges LeBel, Fish, Abella, Rothstein, Cromwell, Moldaver, Karakatsanis et Wagner.</w:t>
      </w:r>
    </w:p>
    <w:p w:rsidR="00A41EC1" w:rsidRDefault="00A41EC1" w:rsidP="00A41EC1">
      <w:pPr>
        <w:jc w:val="both"/>
        <w:rPr>
          <w:smallCaps/>
          <w:sz w:val="20"/>
          <w:lang w:val="fr-CA"/>
        </w:rPr>
      </w:pPr>
    </w:p>
    <w:p w:rsidR="00A41EC1" w:rsidRPr="00565C7A" w:rsidRDefault="00A41EC1" w:rsidP="00A41EC1">
      <w:pPr>
        <w:pStyle w:val="SCCNormalDoubleSpacing"/>
        <w:spacing w:line="240" w:lineRule="auto"/>
        <w:rPr>
          <w:sz w:val="20"/>
          <w:lang w:val="fr-CA"/>
        </w:rPr>
      </w:pPr>
      <w:r w:rsidRPr="00565C7A">
        <w:rPr>
          <w:sz w:val="20"/>
          <w:lang w:val="fr-CA"/>
        </w:rPr>
        <w:tab/>
      </w:r>
      <w:r w:rsidRPr="00565C7A">
        <w:rPr>
          <w:i/>
          <w:sz w:val="20"/>
          <w:lang w:val="fr-CA"/>
        </w:rPr>
        <w:t>Droit constitutionnel — Partage des compétences — Navigation et bâtiments ou navires — Exclusivité des compétences — Prépondérance fédérale — Droit d’action conféré aux personnes à charge d’un défunt par une loi maritime fédérale — Action en dommage prohibée contre l’employeur ou un travailleur par une loi provinciale sur les accidents du travail si une indemnité est payable au titre de cette loi — Décès de pêcheurs lors d’un accident en mer — Action en négligence intentée en vertu de la loi maritime fédérale par des personnes à charge subséquemment au versement à ces dernières d’une indemnité en vertu du régime provincial d’indemnisation des accidents du</w:t>
      </w:r>
      <w:r w:rsidRPr="00565C7A">
        <w:rPr>
          <w:sz w:val="20"/>
          <w:lang w:val="fr-CA"/>
        </w:rPr>
        <w:t xml:space="preserve"> </w:t>
      </w:r>
      <w:r w:rsidRPr="00565C7A">
        <w:rPr>
          <w:i/>
          <w:sz w:val="20"/>
          <w:lang w:val="fr-CA"/>
        </w:rPr>
        <w:t>travail</w:t>
      </w:r>
      <w:r w:rsidRPr="00565C7A">
        <w:rPr>
          <w:sz w:val="20"/>
          <w:lang w:val="fr-CA"/>
        </w:rPr>
        <w:t xml:space="preserve"> </w:t>
      </w:r>
      <w:r w:rsidRPr="00565C7A">
        <w:rPr>
          <w:i/>
          <w:sz w:val="20"/>
          <w:lang w:val="fr-CA"/>
        </w:rPr>
        <w:t>— La loi provinciale est</w:t>
      </w:r>
      <w:r w:rsidRPr="00565C7A">
        <w:rPr>
          <w:i/>
          <w:sz w:val="20"/>
          <w:lang w:val="fr-CA"/>
        </w:rPr>
        <w:noBreakHyphen/>
        <w:t>elle constitutionnellement inapplicable aux actions en négligence fondées sur le droit maritime fédéral en raison de la doctrine de l’exclusivité des compétences? — La loi provinciale est</w:t>
      </w:r>
      <w:r w:rsidRPr="00565C7A">
        <w:rPr>
          <w:i/>
          <w:sz w:val="20"/>
          <w:lang w:val="fr-CA"/>
        </w:rPr>
        <w:noBreakHyphen/>
        <w:t>elle constitutionnellement inopérante à l’égard des actions en négligence fondées sur le droit maritime fédéral en raison de la doctrine de la prépondérance des lois fédérales? — Loi constitutionnelle de 1867, art. 91(10) — Workplace Health, Safety and Compensation Act, R.S.N.L. 1990, ch. W</w:t>
      </w:r>
      <w:r w:rsidRPr="00565C7A">
        <w:rPr>
          <w:i/>
          <w:sz w:val="20"/>
          <w:lang w:val="fr-CA"/>
        </w:rPr>
        <w:noBreakHyphen/>
        <w:t>11, art. 44 — Loi sur la responsabilité en matière maritime, L.C. 2001, ch. 6, art. 6(2).</w:t>
      </w:r>
    </w:p>
    <w:p w:rsidR="00A41EC1" w:rsidRDefault="00A41EC1" w:rsidP="00A41EC1">
      <w:pPr>
        <w:pStyle w:val="SCCNormalDoubleSpacing"/>
        <w:spacing w:line="240" w:lineRule="auto"/>
        <w:rPr>
          <w:sz w:val="20"/>
          <w:lang w:val="fr-CA"/>
        </w:rPr>
      </w:pPr>
    </w:p>
    <w:p w:rsidR="00A41EC1" w:rsidRPr="00565C7A" w:rsidRDefault="00A41EC1" w:rsidP="00A41EC1">
      <w:pPr>
        <w:pStyle w:val="SCCNormalDoubleSpacing"/>
        <w:spacing w:line="240" w:lineRule="auto"/>
        <w:rPr>
          <w:i/>
          <w:sz w:val="20"/>
          <w:lang w:val="fr-CA"/>
        </w:rPr>
      </w:pPr>
      <w:r w:rsidRPr="00565C7A">
        <w:rPr>
          <w:sz w:val="20"/>
          <w:lang w:val="fr-CA"/>
        </w:rPr>
        <w:tab/>
      </w:r>
      <w:r w:rsidRPr="00565C7A">
        <w:rPr>
          <w:i/>
          <w:sz w:val="20"/>
          <w:lang w:val="fr-CA"/>
        </w:rPr>
        <w:t>Droit maritime — Responsabilité délictuelle — Interdiction de poursuites prévue par la loi —Décès de pêcheurs lors d’un accident en mer dans l’exercice de leurs fonctions — La loi provinciale sur les accidents du travail interdit</w:t>
      </w:r>
      <w:r w:rsidRPr="00565C7A">
        <w:rPr>
          <w:i/>
          <w:sz w:val="20"/>
          <w:lang w:val="fr-CA"/>
        </w:rPr>
        <w:noBreakHyphen/>
        <w:t>elle aux personnes à charge d’intenter une action en négligence en vertu d’une loi maritime fédérale? — Workplace Health, Safety and Compensation Act, R.S.N.L. 1990, ch. W</w:t>
      </w:r>
      <w:r w:rsidRPr="00565C7A">
        <w:rPr>
          <w:i/>
          <w:sz w:val="20"/>
          <w:lang w:val="fr-CA"/>
        </w:rPr>
        <w:noBreakHyphen/>
        <w:t>11, art. 44 — Loi sur la responsabilité en matière maritime, L.C. 2001, ch. 6, art. 6(2).</w:t>
      </w:r>
    </w:p>
    <w:p w:rsidR="00A41EC1" w:rsidRDefault="00A41EC1" w:rsidP="00A41EC1">
      <w:pPr>
        <w:pStyle w:val="SCCNormalDoubleSpacing"/>
        <w:spacing w:line="240" w:lineRule="auto"/>
        <w:rPr>
          <w:i/>
          <w:sz w:val="20"/>
          <w:lang w:val="fr-CA"/>
        </w:rPr>
      </w:pPr>
    </w:p>
    <w:p w:rsidR="00A41EC1" w:rsidRPr="00565C7A" w:rsidRDefault="00A41EC1" w:rsidP="00A41EC1">
      <w:pPr>
        <w:pStyle w:val="SCCNormalDoubleSpacing"/>
        <w:spacing w:line="240" w:lineRule="auto"/>
        <w:rPr>
          <w:sz w:val="20"/>
          <w:lang w:val="fr-CA"/>
        </w:rPr>
      </w:pPr>
      <w:r w:rsidRPr="00565C7A">
        <w:rPr>
          <w:i/>
          <w:sz w:val="20"/>
          <w:lang w:val="fr-CA"/>
        </w:rPr>
        <w:tab/>
        <w:t>Accidents du travail — Interdiction de poursuites prévue par la loi — Action en dommage prohibée contre l’employeur ou un travailleur par une loi provinciale sur les accidents du travail si une indemnité est payable au titre de cette loi — Décès de pêcheurs lors d’un accident en mer dans l’exercice de leurs fonctions — Action en négligence intentée par des personnes à charge subséquemment à l’obtention d’une indemnité</w:t>
      </w:r>
      <w:r w:rsidRPr="00565C7A">
        <w:rPr>
          <w:sz w:val="20"/>
          <w:lang w:val="fr-CA"/>
        </w:rPr>
        <w:t xml:space="preserve"> </w:t>
      </w:r>
      <w:r w:rsidRPr="00565C7A">
        <w:rPr>
          <w:i/>
          <w:sz w:val="20"/>
          <w:lang w:val="fr-CA"/>
        </w:rPr>
        <w:t>— La mort est</w:t>
      </w:r>
      <w:r w:rsidRPr="00565C7A">
        <w:rPr>
          <w:i/>
          <w:sz w:val="20"/>
          <w:lang w:val="fr-CA"/>
        </w:rPr>
        <w:noBreakHyphen/>
        <w:t>elle survenue autrement que dans le cours des activités habituelles ou accessoires menées dans l’industrie à laquelle participe l’employeur?— L’interdiction légale de poursuites s’applique</w:t>
      </w:r>
      <w:r w:rsidRPr="00565C7A">
        <w:rPr>
          <w:i/>
          <w:sz w:val="20"/>
          <w:lang w:val="fr-CA"/>
        </w:rPr>
        <w:noBreakHyphen/>
        <w:t>t</w:t>
      </w:r>
      <w:r w:rsidRPr="00565C7A">
        <w:rPr>
          <w:i/>
          <w:sz w:val="20"/>
          <w:lang w:val="fr-CA"/>
        </w:rPr>
        <w:noBreakHyphen/>
        <w:t>elle? — Workplace Health, Safety and Compensation Act, R.S.N.L. 1990, ch. W</w:t>
      </w:r>
      <w:r w:rsidRPr="00565C7A">
        <w:rPr>
          <w:i/>
          <w:sz w:val="20"/>
          <w:lang w:val="fr-CA"/>
        </w:rPr>
        <w:noBreakHyphen/>
        <w:t>11, art. 44.</w:t>
      </w:r>
    </w:p>
    <w:p w:rsidR="00A41EC1" w:rsidRDefault="00A41EC1" w:rsidP="00A41EC1">
      <w:pPr>
        <w:pStyle w:val="SCCNormalDoubleSpacing"/>
        <w:spacing w:line="240" w:lineRule="auto"/>
        <w:rPr>
          <w:sz w:val="20"/>
          <w:lang w:val="fr-CA"/>
        </w:rPr>
      </w:pPr>
    </w:p>
    <w:p w:rsidR="00A41EC1" w:rsidRPr="00565C7A" w:rsidRDefault="00A41EC1" w:rsidP="00A41EC1">
      <w:pPr>
        <w:pStyle w:val="SCCNormalDoubleSpacing"/>
        <w:spacing w:line="240" w:lineRule="auto"/>
        <w:rPr>
          <w:sz w:val="20"/>
          <w:lang w:val="fr-CA"/>
        </w:rPr>
      </w:pPr>
      <w:r w:rsidRPr="00565C7A">
        <w:rPr>
          <w:sz w:val="20"/>
          <w:lang w:val="fr-CA"/>
        </w:rPr>
        <w:tab/>
        <w:t xml:space="preserve">Les frères Ryan ont perdu la vie lorsque leur bateau, le </w:t>
      </w:r>
      <w:r w:rsidRPr="00565C7A">
        <w:rPr>
          <w:i/>
          <w:sz w:val="20"/>
          <w:lang w:val="fr-CA"/>
        </w:rPr>
        <w:t>Ryan’s Commander</w:t>
      </w:r>
      <w:r w:rsidRPr="00565C7A">
        <w:rPr>
          <w:sz w:val="20"/>
          <w:lang w:val="fr-CA"/>
        </w:rPr>
        <w:t>, a chaviré au retour d’une expédition de pêche au large des côtes de Terre</w:t>
      </w:r>
      <w:r w:rsidRPr="00565C7A">
        <w:rPr>
          <w:sz w:val="20"/>
          <w:lang w:val="fr-CA"/>
        </w:rPr>
        <w:noBreakHyphen/>
        <w:t>Neuve</w:t>
      </w:r>
      <w:r w:rsidRPr="00565C7A">
        <w:rPr>
          <w:sz w:val="20"/>
          <w:lang w:val="fr-CA"/>
        </w:rPr>
        <w:noBreakHyphen/>
        <w:t>et</w:t>
      </w:r>
      <w:r w:rsidRPr="00565C7A">
        <w:rPr>
          <w:sz w:val="20"/>
          <w:lang w:val="fr-CA"/>
        </w:rPr>
        <w:noBreakHyphen/>
        <w:t xml:space="preserve">Labrador.  Leurs veuves et enfants à charge (les « successions Ryan ») ont demandé et reçu des indemnités au titre de la </w:t>
      </w:r>
      <w:r w:rsidRPr="00565C7A">
        <w:rPr>
          <w:i/>
          <w:sz w:val="20"/>
          <w:lang w:val="fr-CA"/>
        </w:rPr>
        <w:t xml:space="preserve">Workplace Health, Safety and Compensation Act </w:t>
      </w:r>
      <w:r w:rsidRPr="00565C7A">
        <w:rPr>
          <w:sz w:val="20"/>
          <w:lang w:val="fr-CA"/>
        </w:rPr>
        <w:t>(« </w:t>
      </w:r>
      <w:r w:rsidRPr="00565C7A">
        <w:rPr>
          <w:i/>
          <w:sz w:val="20"/>
          <w:lang w:val="fr-CA"/>
        </w:rPr>
        <w:t xml:space="preserve">WHSCA </w:t>
      </w:r>
      <w:r w:rsidRPr="00565C7A">
        <w:rPr>
          <w:sz w:val="20"/>
          <w:lang w:val="fr-CA"/>
        </w:rPr>
        <w:t>») de Terre</w:t>
      </w:r>
      <w:r w:rsidRPr="00565C7A">
        <w:rPr>
          <w:sz w:val="20"/>
          <w:lang w:val="fr-CA"/>
        </w:rPr>
        <w:noBreakHyphen/>
        <w:t>Neuve</w:t>
      </w:r>
      <w:r w:rsidRPr="00565C7A">
        <w:rPr>
          <w:sz w:val="20"/>
          <w:lang w:val="fr-CA"/>
        </w:rPr>
        <w:noBreakHyphen/>
        <w:t>et</w:t>
      </w:r>
      <w:r w:rsidRPr="00565C7A">
        <w:rPr>
          <w:sz w:val="20"/>
          <w:lang w:val="fr-CA"/>
        </w:rPr>
        <w:noBreakHyphen/>
        <w:t xml:space="preserve">Labrador.  En outre, s’appuyant sur la </w:t>
      </w:r>
      <w:r w:rsidRPr="00565C7A">
        <w:rPr>
          <w:i/>
          <w:sz w:val="20"/>
          <w:lang w:val="fr-CA"/>
        </w:rPr>
        <w:t>Loi sur la responsabilité en matière maritime</w:t>
      </w:r>
      <w:r w:rsidRPr="00565C7A">
        <w:rPr>
          <w:sz w:val="20"/>
          <w:lang w:val="fr-CA"/>
        </w:rPr>
        <w:t xml:space="preserve"> (« </w:t>
      </w:r>
      <w:r w:rsidRPr="00565C7A">
        <w:rPr>
          <w:i/>
          <w:sz w:val="20"/>
          <w:lang w:val="fr-CA"/>
        </w:rPr>
        <w:t>LRMM</w:t>
      </w:r>
      <w:r w:rsidRPr="00565C7A">
        <w:rPr>
          <w:sz w:val="20"/>
          <w:lang w:val="fr-CA"/>
        </w:rPr>
        <w:t xml:space="preserve"> ») du gouvernement fédéral, les successions Ryan ont intenté une action contre Universal Marine Limited, Marine Services International Limited et P, un employé de cette dernière, leur reprochant d’avoir fait montre de négligence dans la conception et la construction du </w:t>
      </w:r>
      <w:r w:rsidRPr="00565C7A">
        <w:rPr>
          <w:i/>
          <w:sz w:val="20"/>
          <w:lang w:val="fr-CA"/>
        </w:rPr>
        <w:t>Ryan’s Commander</w:t>
      </w:r>
      <w:r w:rsidRPr="00565C7A">
        <w:rPr>
          <w:sz w:val="20"/>
          <w:lang w:val="fr-CA"/>
        </w:rPr>
        <w:t xml:space="preserve">, de même que contre le procureur général du Canada, pour le motif qu’il y aurait eu négligence de la part de Transports Canada dans l’inspection du bateau.  Marine Services et P ont demandé à la Workplace Health, Safety and Compensation Commission de décider si l’action tombait sous le coup de l’interdiction légale de poursuites prévue à l’art. 44 de la </w:t>
      </w:r>
      <w:r w:rsidRPr="00565C7A">
        <w:rPr>
          <w:i/>
          <w:sz w:val="20"/>
          <w:lang w:val="fr-CA"/>
        </w:rPr>
        <w:t>WHSCA</w:t>
      </w:r>
      <w:r w:rsidRPr="00565C7A">
        <w:rPr>
          <w:sz w:val="20"/>
          <w:lang w:val="fr-CA"/>
        </w:rPr>
        <w:t>.  La Commission a statué que cette disposition avait pour effet de prohiber l’action.  À l’issue d’un contrôle judiciaire, la Section de première instance de la Cour suprême a infirmé la décision de la Commission, concluant que les doctrines de l’exclusivité des compétences et de la prépondérance fédérale s’appliquent et qu’il faut donc donner une interprétation atténuée à l’art. 44, de façon que l’action puisse suivre son cours.  La Cour d’appel, à la majorité, a confirmé le jugement de première instance.</w:t>
      </w:r>
    </w:p>
    <w:p w:rsidR="00A41EC1" w:rsidRDefault="00A41EC1" w:rsidP="00A41EC1">
      <w:pPr>
        <w:pStyle w:val="SCCNormalDoubleSpacing"/>
        <w:spacing w:line="240" w:lineRule="auto"/>
        <w:rPr>
          <w:sz w:val="20"/>
          <w:lang w:val="fr-CA"/>
        </w:rPr>
      </w:pPr>
    </w:p>
    <w:p w:rsidR="00A41EC1" w:rsidRPr="00565C7A" w:rsidRDefault="00A41EC1" w:rsidP="00A41EC1">
      <w:pPr>
        <w:pStyle w:val="SCCNormalDoubleSpacing"/>
        <w:spacing w:line="240" w:lineRule="auto"/>
        <w:rPr>
          <w:sz w:val="20"/>
          <w:lang w:val="fr-CA"/>
        </w:rPr>
      </w:pPr>
      <w:r w:rsidRPr="00565C7A">
        <w:rPr>
          <w:sz w:val="20"/>
          <w:lang w:val="fr-CA"/>
        </w:rPr>
        <w:tab/>
      </w:r>
      <w:r w:rsidRPr="00565C7A">
        <w:rPr>
          <w:i/>
          <w:sz w:val="20"/>
          <w:lang w:val="fr-CA"/>
        </w:rPr>
        <w:t>Arrêt</w:t>
      </w:r>
      <w:r w:rsidRPr="00565C7A">
        <w:rPr>
          <w:sz w:val="20"/>
          <w:lang w:val="fr-CA"/>
        </w:rPr>
        <w:t xml:space="preserve"> : Le pourvoi est accueilli.  L’article 44 de la </w:t>
      </w:r>
      <w:r w:rsidRPr="00565C7A">
        <w:rPr>
          <w:i/>
          <w:sz w:val="20"/>
          <w:lang w:val="fr-CA"/>
        </w:rPr>
        <w:t>WHSCA</w:t>
      </w:r>
      <w:r w:rsidRPr="00565C7A">
        <w:rPr>
          <w:sz w:val="20"/>
          <w:lang w:val="fr-CA"/>
        </w:rPr>
        <w:t xml:space="preserve"> est applicable et opérant du point de vue constitutionnel.</w:t>
      </w:r>
    </w:p>
    <w:p w:rsidR="00A41EC1" w:rsidRDefault="00A41EC1" w:rsidP="00A41EC1">
      <w:pPr>
        <w:pStyle w:val="SCCNormalDoubleSpacing"/>
        <w:spacing w:line="240" w:lineRule="auto"/>
        <w:rPr>
          <w:sz w:val="20"/>
          <w:lang w:val="fr-CA"/>
        </w:rPr>
      </w:pPr>
    </w:p>
    <w:p w:rsidR="00A41EC1" w:rsidRPr="00565C7A" w:rsidRDefault="00A41EC1" w:rsidP="00A41EC1">
      <w:pPr>
        <w:pStyle w:val="SCCNormalDoubleSpacing"/>
        <w:spacing w:line="240" w:lineRule="auto"/>
        <w:rPr>
          <w:sz w:val="20"/>
          <w:lang w:val="fr-CA"/>
        </w:rPr>
      </w:pPr>
      <w:r w:rsidRPr="00565C7A">
        <w:rPr>
          <w:sz w:val="20"/>
          <w:lang w:val="fr-CA"/>
        </w:rPr>
        <w:tab/>
        <w:t xml:space="preserve">L’interdiction légale de poursuites prévue à l’art. 44 de la </w:t>
      </w:r>
      <w:r w:rsidRPr="00565C7A">
        <w:rPr>
          <w:i/>
          <w:sz w:val="20"/>
          <w:lang w:val="fr-CA"/>
        </w:rPr>
        <w:t>WHSCA</w:t>
      </w:r>
      <w:r w:rsidRPr="00565C7A">
        <w:rPr>
          <w:sz w:val="20"/>
          <w:lang w:val="fr-CA"/>
        </w:rPr>
        <w:t xml:space="preserve"> est applicable au vu des faits de l’espèce.  Elle ne bénéficie pas seulement à un « employeur » qui se trouve dans une relation d’emploi directe avec le travailleur blessé.  Tout employeur contribuant au régime, ainsi que tout travailleur d’un tel employeur, bénéficie de l’interdiction légale de poursuites, pourvu que le travailleur ait été blessé dans le cours de ses fonctions et que les blessures soient survenues dans le cours des activités habituelles ou accessoires menées dans l’industrie à laquelle participe l’employeur.  En l’espèce, il convient de faire montre de déférence envers la conclusion de la Commission suivant laquelle les blessures ayant entraîné la mort des frères Ryan sont survenues dans le cours des activités habituelles ou accessoires menées dans l’industrie à laquelle participe Marine Services.  Il s’agit d’une question mixte de fait et de droit à laquelle la Commission a répondu en appréciant la preuve et en interprétant sa loi constitutive.  De plus, la </w:t>
      </w:r>
      <w:r w:rsidRPr="00565C7A">
        <w:rPr>
          <w:i/>
          <w:sz w:val="20"/>
          <w:lang w:val="fr-CA"/>
        </w:rPr>
        <w:t>WHSCA</w:t>
      </w:r>
      <w:r w:rsidRPr="00565C7A">
        <w:rPr>
          <w:sz w:val="20"/>
          <w:lang w:val="fr-CA"/>
        </w:rPr>
        <w:t xml:space="preserve"> renferme une clause privative.  À la lumière de ces facteurs, la norme de la décision raisonnable s’applique. </w:t>
      </w:r>
    </w:p>
    <w:p w:rsidR="00A41EC1" w:rsidRDefault="00A41EC1" w:rsidP="00A41EC1">
      <w:pPr>
        <w:pStyle w:val="SCCNormalDoubleSpacing"/>
        <w:spacing w:line="240" w:lineRule="auto"/>
        <w:rPr>
          <w:sz w:val="20"/>
          <w:lang w:val="fr-CA"/>
        </w:rPr>
      </w:pPr>
    </w:p>
    <w:p w:rsidR="00A41EC1" w:rsidRPr="00565C7A" w:rsidRDefault="00A41EC1" w:rsidP="00A41EC1">
      <w:pPr>
        <w:pStyle w:val="SCCNormalDoubleSpacing"/>
        <w:spacing w:line="240" w:lineRule="auto"/>
        <w:rPr>
          <w:sz w:val="20"/>
          <w:lang w:val="fr-CA"/>
        </w:rPr>
      </w:pPr>
      <w:r w:rsidRPr="00565C7A">
        <w:rPr>
          <w:sz w:val="20"/>
          <w:lang w:val="fr-CA"/>
        </w:rPr>
        <w:tab/>
        <w:t xml:space="preserve">L’article 44 de la </w:t>
      </w:r>
      <w:r w:rsidRPr="00565C7A">
        <w:rPr>
          <w:i/>
          <w:sz w:val="20"/>
          <w:lang w:val="fr-CA"/>
        </w:rPr>
        <w:t>WHSCA</w:t>
      </w:r>
      <w:r w:rsidRPr="00565C7A">
        <w:rPr>
          <w:sz w:val="20"/>
          <w:lang w:val="fr-CA"/>
        </w:rPr>
        <w:t xml:space="preserve"> est applicable et opérant du point de vue constitutionnel et il fait donc obstacle à l’action introduite par les successions Ryan contre Marine Services et P. La résolution d’un différend constitutionnel concernant le partage des compétences requiert d’abord et avant tout l’analyse du « caractère véritable » du texte de loi contesté, laquelle consiste dans une recherche sur la nature véritable de la loi en question afin d’identifier la matière sur laquelle elle porte essentiellement.  Puis, au terme de l’analyse du caractère véritable, le tribunal ne doit généralement considérer la doctrine de l’exclusivité des compétences que s’il existe de la jurisprudence préconisant son application à l’objet du litige, comme c’est le cas dans le présent pourvoi.  Il doit être satisfait à une analyse à deux volets pour que cette doctrine s’applique.  La première étape consiste à se demander si la loi contestée empiète sur le cœur d’un chef de compétence énuméré à l’art. 91 ou 92 de la </w:t>
      </w:r>
      <w:r w:rsidRPr="00565C7A">
        <w:rPr>
          <w:i/>
          <w:sz w:val="20"/>
          <w:lang w:val="fr-CA"/>
        </w:rPr>
        <w:t>Loi constitutionnelle de 1867</w:t>
      </w:r>
      <w:r w:rsidRPr="00565C7A">
        <w:rPr>
          <w:sz w:val="20"/>
          <w:lang w:val="fr-CA"/>
        </w:rPr>
        <w:t>.  Deuxièmement, si la loi contestée empiète sur le cœur d’un chef de compétence, il faut déterminer si cet empiétement est suffisamment grave.  La loi contestée ne doit pas simplement toucher le cœur d’une compétence, elle doit l’entraver.  Lorsque la doctrine de l’exclusivité des compétences s’applique, la loi contestée est tout simplement inapplicable à la question excédant la compétence législative conférée.</w:t>
      </w:r>
    </w:p>
    <w:p w:rsidR="00A41EC1" w:rsidRDefault="00A41EC1" w:rsidP="00A41EC1">
      <w:pPr>
        <w:pStyle w:val="SCCNormalDoubleSpacing"/>
        <w:spacing w:line="240" w:lineRule="auto"/>
        <w:rPr>
          <w:sz w:val="20"/>
          <w:lang w:val="fr-CA"/>
        </w:rPr>
      </w:pPr>
    </w:p>
    <w:p w:rsidR="00A41EC1" w:rsidRPr="00565C7A" w:rsidRDefault="00A41EC1" w:rsidP="00A41EC1">
      <w:pPr>
        <w:pStyle w:val="SCCNormalDoubleSpacing"/>
        <w:spacing w:line="240" w:lineRule="auto"/>
        <w:rPr>
          <w:sz w:val="20"/>
          <w:lang w:val="fr-CA"/>
        </w:rPr>
      </w:pPr>
      <w:r w:rsidRPr="00565C7A">
        <w:rPr>
          <w:sz w:val="20"/>
          <w:lang w:val="fr-CA"/>
        </w:rPr>
        <w:tab/>
        <w:t xml:space="preserve">La doctrine de l’exclusivité des compétences ne s’applique pas en l’espèce.  Il est satisfait au premier volet de l’analyse, mais non au second.  Une disposition législative provinciale d’application générale comme l’art. 44 de la </w:t>
      </w:r>
      <w:r w:rsidRPr="00565C7A">
        <w:rPr>
          <w:i/>
          <w:sz w:val="20"/>
          <w:lang w:val="fr-CA"/>
        </w:rPr>
        <w:t>WHSCA</w:t>
      </w:r>
      <w:r w:rsidRPr="00565C7A">
        <w:rPr>
          <w:sz w:val="20"/>
          <w:lang w:val="fr-CA"/>
        </w:rPr>
        <w:t xml:space="preserve"> ne doit pas avoir pour effet de réglementer indirectement un aspect des règles de droit relatives à la négligence en matière maritime qui font partie du cœur de la compétence fédérale sur la navigation et les bâtiments ou navires.  En modifiant l’éventail des demandeurs susceptibles d’exercer le droit d’action pour négligence en matière maritime conféré par le par. 6(2) de la </w:t>
      </w:r>
      <w:r w:rsidRPr="00565C7A">
        <w:rPr>
          <w:i/>
          <w:sz w:val="20"/>
          <w:lang w:val="fr-CA"/>
        </w:rPr>
        <w:t>LRMM</w:t>
      </w:r>
      <w:r w:rsidRPr="00565C7A">
        <w:rPr>
          <w:sz w:val="20"/>
          <w:lang w:val="fr-CA"/>
        </w:rPr>
        <w:t xml:space="preserve">, l’art. 44 de la </w:t>
      </w:r>
      <w:r w:rsidRPr="00565C7A">
        <w:rPr>
          <w:i/>
          <w:sz w:val="20"/>
          <w:lang w:val="fr-CA"/>
        </w:rPr>
        <w:t>WHSCA</w:t>
      </w:r>
      <w:r w:rsidRPr="00565C7A">
        <w:rPr>
          <w:sz w:val="20"/>
          <w:lang w:val="fr-CA"/>
        </w:rPr>
        <w:t xml:space="preserve"> empiète sur le cœur de la compétence fédérale en matière de navigation et de bâtiments ou navires.  Cependant, l’art. 44 de la </w:t>
      </w:r>
      <w:r w:rsidRPr="00565C7A">
        <w:rPr>
          <w:i/>
          <w:sz w:val="20"/>
          <w:lang w:val="fr-CA"/>
        </w:rPr>
        <w:t>WHSCA</w:t>
      </w:r>
      <w:r w:rsidRPr="00565C7A">
        <w:rPr>
          <w:sz w:val="20"/>
          <w:lang w:val="fr-CA"/>
        </w:rPr>
        <w:t xml:space="preserve"> n’entrave pas l’exercice de cette compétence fédérale.  Il peut toucher l’exercice de cette compétence fédérale, mais ce degré d’empiétement ne suffit pas pour que s’applique la doctrine de l’exclusivité des compétences.  L’empiétement causé par l’art. 44 ne saurait être considéré important ou grave si l’on tient compte de l’étendue de la compétence fédérale sur la navigation et les bâtiments ou navires, de l’absence de répercussions sur l’uniformité du droit maritime canadien et de l’application de longue date des régimes d’indemnisation des accidents du travail dans le secteur maritime. </w:t>
      </w:r>
    </w:p>
    <w:p w:rsidR="00A41EC1" w:rsidRDefault="00A41EC1" w:rsidP="00A41EC1">
      <w:pPr>
        <w:pStyle w:val="SCCNormalDoubleSpacing"/>
        <w:spacing w:line="240" w:lineRule="auto"/>
        <w:rPr>
          <w:sz w:val="20"/>
          <w:lang w:val="fr-CA"/>
        </w:rPr>
      </w:pPr>
    </w:p>
    <w:p w:rsidR="00A41EC1" w:rsidRPr="00565C7A" w:rsidRDefault="00A41EC1" w:rsidP="00A41EC1">
      <w:pPr>
        <w:pStyle w:val="SCCNormalDoubleSpacing"/>
        <w:spacing w:line="240" w:lineRule="auto"/>
        <w:rPr>
          <w:sz w:val="20"/>
          <w:lang w:val="fr-CA"/>
        </w:rPr>
      </w:pPr>
      <w:r w:rsidRPr="00565C7A">
        <w:rPr>
          <w:sz w:val="20"/>
          <w:lang w:val="fr-CA"/>
        </w:rPr>
        <w:tab/>
        <w:t xml:space="preserve">Suivant l’interprétation qu’il convient de donner à la </w:t>
      </w:r>
      <w:r w:rsidRPr="00565C7A">
        <w:rPr>
          <w:i/>
          <w:sz w:val="20"/>
          <w:lang w:val="fr-CA"/>
        </w:rPr>
        <w:t>LRMM</w:t>
      </w:r>
      <w:r w:rsidRPr="00565C7A">
        <w:rPr>
          <w:sz w:val="20"/>
          <w:lang w:val="fr-CA"/>
        </w:rPr>
        <w:t xml:space="preserve">, la doctrine de la prépondérance fédérale ne s’applique pas non plus à la présente affaire.  Selon cette doctrine, lorsque les effets d’une loi provinciale sont incompatibles avec une loi fédérale, la seconde doit prévaloir et la loi provinciale être déclarée inopérante dans la mesure de l’incompatibilité.  La doctrine de la prépondérance fédérale s’applique lorsqu’il existe une incompatibilité entre un texte de </w:t>
      </w:r>
      <w:proofErr w:type="gramStart"/>
      <w:r w:rsidRPr="00565C7A">
        <w:rPr>
          <w:sz w:val="20"/>
          <w:lang w:val="fr-CA"/>
        </w:rPr>
        <w:t>loi fédéral valide</w:t>
      </w:r>
      <w:proofErr w:type="gramEnd"/>
      <w:r w:rsidRPr="00565C7A">
        <w:rPr>
          <w:sz w:val="20"/>
          <w:lang w:val="fr-CA"/>
        </w:rPr>
        <w:t xml:space="preserve"> et un texte de loi provincial lui aussi valide, mais non en cas d’incompatibilité entre une règle de common law et une loi provinciale valide.  L’incompatibilité peut résulter de deux formes différentes de conflit : le conflit d’application, à savoir lorsque l’observation d’une loi entraîne la violation de l’autre; et l’entrave à la réalisation d’un objectif fédéral.  La norme d’invalidation d’une loi provinciale au motif qu’elle entrave la réalisation d’un objectif fédéral est élevée.</w:t>
      </w:r>
    </w:p>
    <w:p w:rsidR="00A41EC1" w:rsidRDefault="00A41EC1" w:rsidP="00A41EC1">
      <w:pPr>
        <w:pStyle w:val="SCCNormalDoubleSpacing"/>
        <w:spacing w:line="240" w:lineRule="auto"/>
        <w:rPr>
          <w:sz w:val="20"/>
          <w:lang w:val="fr-CA"/>
        </w:rPr>
      </w:pPr>
    </w:p>
    <w:p w:rsidR="00A41EC1" w:rsidRDefault="00A41EC1" w:rsidP="00A41EC1">
      <w:pPr>
        <w:pStyle w:val="SCCNormalDoubleSpacing"/>
        <w:spacing w:line="240" w:lineRule="auto"/>
        <w:rPr>
          <w:sz w:val="20"/>
          <w:lang w:val="fr-CA"/>
        </w:rPr>
      </w:pPr>
      <w:r w:rsidRPr="00565C7A">
        <w:rPr>
          <w:sz w:val="20"/>
          <w:lang w:val="fr-CA"/>
        </w:rPr>
        <w:tab/>
        <w:t xml:space="preserve">Le paragraphe 6(2) de la </w:t>
      </w:r>
      <w:r w:rsidRPr="00565C7A">
        <w:rPr>
          <w:i/>
          <w:sz w:val="20"/>
          <w:lang w:val="fr-CA"/>
        </w:rPr>
        <w:t>LRMM</w:t>
      </w:r>
      <w:r w:rsidRPr="00565C7A">
        <w:rPr>
          <w:sz w:val="20"/>
          <w:lang w:val="fr-CA"/>
        </w:rPr>
        <w:t xml:space="preserve"> confère une cause d’action aux personnes à la charge d’une personne qui, en raison de la faute ou de la négligence d’autrui, a perdu la vie dans un accident de navigation assujetti au droit maritime canadien.  Cependant, le par. 6(2) ne fait pas obstacle à</w:t>
      </w:r>
      <w:r w:rsidRPr="00565C7A">
        <w:rPr>
          <w:i/>
          <w:sz w:val="20"/>
          <w:lang w:val="fr-CA"/>
        </w:rPr>
        <w:t xml:space="preserve"> </w:t>
      </w:r>
      <w:r w:rsidRPr="00565C7A">
        <w:rPr>
          <w:sz w:val="20"/>
          <w:lang w:val="fr-CA"/>
        </w:rPr>
        <w:t xml:space="preserve">l’application de régimes provinciaux d’indemnisation des accidents du travail.  La </w:t>
      </w:r>
      <w:r w:rsidRPr="00565C7A">
        <w:rPr>
          <w:i/>
          <w:sz w:val="20"/>
          <w:lang w:val="fr-CA"/>
        </w:rPr>
        <w:t>WHSCA</w:t>
      </w:r>
      <w:r w:rsidRPr="00565C7A">
        <w:rPr>
          <w:sz w:val="20"/>
          <w:lang w:val="fr-CA"/>
        </w:rPr>
        <w:t xml:space="preserve"> et la </w:t>
      </w:r>
      <w:r w:rsidRPr="00565C7A">
        <w:rPr>
          <w:i/>
          <w:sz w:val="20"/>
          <w:lang w:val="fr-CA"/>
        </w:rPr>
        <w:t>LRMM</w:t>
      </w:r>
      <w:r w:rsidRPr="00565C7A">
        <w:rPr>
          <w:sz w:val="20"/>
          <w:lang w:val="fr-CA"/>
        </w:rPr>
        <w:t xml:space="preserve"> peuvent coexister sans conflit.  Le par. 6(2) de la </w:t>
      </w:r>
      <w:r w:rsidRPr="00565C7A">
        <w:rPr>
          <w:i/>
          <w:sz w:val="20"/>
          <w:lang w:val="fr-CA"/>
        </w:rPr>
        <w:t>LRMM</w:t>
      </w:r>
      <w:r w:rsidRPr="00565C7A">
        <w:rPr>
          <w:sz w:val="20"/>
          <w:lang w:val="fr-CA"/>
        </w:rPr>
        <w:t xml:space="preserve"> précise que les personnes à charge peuvent intenter une action « dans des circonstances qui, si le décès n’en était pas résulté, [. . .] auraient donné [à la victime] le droit de réclamer des dommages</w:t>
      </w:r>
      <w:r w:rsidRPr="00565C7A">
        <w:rPr>
          <w:sz w:val="20"/>
          <w:lang w:val="fr-CA"/>
        </w:rPr>
        <w:noBreakHyphen/>
        <w:t xml:space="preserve">intérêts ».  Ce texte tend à indiquer qu’il existe des situations où une personne à charge n’est pas autorisée à intenter une action en vertu du par. 6(2) de la </w:t>
      </w:r>
      <w:r w:rsidRPr="00565C7A">
        <w:rPr>
          <w:i/>
          <w:sz w:val="20"/>
          <w:lang w:val="fr-CA"/>
        </w:rPr>
        <w:t>LRMM</w:t>
      </w:r>
      <w:r w:rsidRPr="00565C7A">
        <w:rPr>
          <w:sz w:val="20"/>
          <w:lang w:val="fr-CA"/>
        </w:rPr>
        <w:t xml:space="preserve">.  C’est le cas lorsqu’une disposition législative </w:t>
      </w:r>
      <w:r w:rsidRPr="00565C7A">
        <w:rPr>
          <w:i/>
          <w:sz w:val="20"/>
          <w:lang w:val="fr-CA"/>
        </w:rPr>
        <w:t xml:space="preserve">— </w:t>
      </w:r>
      <w:r w:rsidRPr="00565C7A">
        <w:rPr>
          <w:sz w:val="20"/>
          <w:lang w:val="fr-CA"/>
        </w:rPr>
        <w:t xml:space="preserve">tel l’art. 44 de la </w:t>
      </w:r>
      <w:r w:rsidRPr="00565C7A">
        <w:rPr>
          <w:i/>
          <w:sz w:val="20"/>
          <w:lang w:val="fr-CA"/>
        </w:rPr>
        <w:t>WHSCA —</w:t>
      </w:r>
      <w:r w:rsidRPr="00565C7A">
        <w:rPr>
          <w:sz w:val="20"/>
          <w:lang w:val="fr-CA"/>
        </w:rPr>
        <w:t xml:space="preserve">interdit les poursuites au motif qu’une indemnité a déjà été versée au titre d’un régime d’indemnisation des accidents du travail.  L’interdiction légale de poursuites prévue à l’art. 44 de la </w:t>
      </w:r>
      <w:r w:rsidRPr="00565C7A">
        <w:rPr>
          <w:i/>
          <w:sz w:val="20"/>
          <w:lang w:val="fr-CA"/>
        </w:rPr>
        <w:t>WHSCA</w:t>
      </w:r>
      <w:r w:rsidRPr="00565C7A">
        <w:rPr>
          <w:sz w:val="20"/>
          <w:lang w:val="fr-CA"/>
        </w:rPr>
        <w:t xml:space="preserve"> exclut l’indemnisation des accidents du travail du champ d’application du régime de la responsabilité délictuelle, régime dont fait partie la </w:t>
      </w:r>
      <w:r w:rsidRPr="00565C7A">
        <w:rPr>
          <w:i/>
          <w:sz w:val="20"/>
          <w:lang w:val="fr-CA"/>
        </w:rPr>
        <w:t>LRMM</w:t>
      </w:r>
      <w:r w:rsidRPr="00565C7A">
        <w:rPr>
          <w:sz w:val="20"/>
          <w:lang w:val="fr-CA"/>
        </w:rPr>
        <w:t xml:space="preserve">.  Dans ces circonstances, un travailleur décédé dont les personnes à charge ont droit à une indemnité sous le régime de la </w:t>
      </w:r>
      <w:r w:rsidRPr="00565C7A">
        <w:rPr>
          <w:i/>
          <w:sz w:val="20"/>
          <w:lang w:val="fr-CA"/>
        </w:rPr>
        <w:t>WHSCA</w:t>
      </w:r>
      <w:r w:rsidRPr="00565C7A">
        <w:rPr>
          <w:sz w:val="20"/>
          <w:lang w:val="fr-CA"/>
        </w:rPr>
        <w:t xml:space="preserve"> constitue, pour l’application du par. 6(2) de la </w:t>
      </w:r>
      <w:r w:rsidRPr="00565C7A">
        <w:rPr>
          <w:i/>
          <w:sz w:val="20"/>
          <w:lang w:val="fr-CA"/>
        </w:rPr>
        <w:t>LRMM</w:t>
      </w:r>
      <w:r w:rsidRPr="00565C7A">
        <w:rPr>
          <w:sz w:val="20"/>
          <w:lang w:val="fr-CA"/>
        </w:rPr>
        <w:t>, une personne ayant perdu la vie dans des circonstances qui ne lui auraient pas</w:t>
      </w:r>
      <w:r w:rsidRPr="00565C7A">
        <w:rPr>
          <w:i/>
          <w:sz w:val="20"/>
          <w:lang w:val="fr-CA"/>
        </w:rPr>
        <w:t xml:space="preserve"> </w:t>
      </w:r>
      <w:r w:rsidRPr="00565C7A">
        <w:rPr>
          <w:sz w:val="20"/>
          <w:lang w:val="fr-CA"/>
        </w:rPr>
        <w:t>donné le droit de réclamer des dommages</w:t>
      </w:r>
      <w:r w:rsidRPr="00565C7A">
        <w:rPr>
          <w:sz w:val="20"/>
          <w:lang w:val="fr-CA"/>
        </w:rPr>
        <w:noBreakHyphen/>
        <w:t xml:space="preserve">intérêts si elle avait survécu.  La </w:t>
      </w:r>
      <w:r w:rsidRPr="00565C7A">
        <w:rPr>
          <w:i/>
          <w:sz w:val="20"/>
          <w:lang w:val="fr-CA"/>
        </w:rPr>
        <w:t>WHSCA</w:t>
      </w:r>
      <w:r w:rsidRPr="00565C7A">
        <w:rPr>
          <w:sz w:val="20"/>
          <w:lang w:val="fr-CA"/>
        </w:rPr>
        <w:t xml:space="preserve">, qui établit un régime d’indemnisation sans égard à la responsabilité pour les accidents du travail, n’entrave pas la réalisation de l’objectif du par. 6(2) de la </w:t>
      </w:r>
      <w:r w:rsidRPr="00565C7A">
        <w:rPr>
          <w:i/>
          <w:sz w:val="20"/>
          <w:lang w:val="fr-CA"/>
        </w:rPr>
        <w:t xml:space="preserve">LRMM </w:t>
      </w:r>
      <w:r w:rsidRPr="00565C7A">
        <w:rPr>
          <w:sz w:val="20"/>
          <w:lang w:val="fr-CA"/>
        </w:rPr>
        <w:t xml:space="preserve">qui a été édicté en vue d’élargir la catégorie des personnes admises à intenter une action en négligence fondée sur le droit maritime.  La </w:t>
      </w:r>
      <w:r w:rsidRPr="00565C7A">
        <w:rPr>
          <w:i/>
          <w:sz w:val="20"/>
          <w:lang w:val="fr-CA"/>
        </w:rPr>
        <w:t>WHSCA</w:t>
      </w:r>
      <w:r w:rsidRPr="00565C7A">
        <w:rPr>
          <w:sz w:val="20"/>
          <w:lang w:val="fr-CA"/>
        </w:rPr>
        <w:t xml:space="preserve"> instaure tout simplement un régime d’indemnisation distinct du droit de la responsabilité délictuelle.</w:t>
      </w:r>
    </w:p>
    <w:p w:rsidR="00A41EC1" w:rsidRPr="00565C7A" w:rsidRDefault="00A41EC1" w:rsidP="00A41EC1">
      <w:pPr>
        <w:pStyle w:val="SCCNormalDoubleSpacing"/>
        <w:spacing w:line="240" w:lineRule="auto"/>
        <w:rPr>
          <w:sz w:val="20"/>
          <w:lang w:val="fr-CA"/>
        </w:rPr>
      </w:pPr>
    </w:p>
    <w:p w:rsidR="00A41EC1" w:rsidRPr="00565C7A" w:rsidRDefault="00A41EC1" w:rsidP="00A41EC1">
      <w:pPr>
        <w:pStyle w:val="SCCNormalDoubleSpacing"/>
        <w:spacing w:line="240" w:lineRule="auto"/>
        <w:rPr>
          <w:sz w:val="20"/>
          <w:lang w:val="fr-CA"/>
        </w:rPr>
      </w:pPr>
      <w:r w:rsidRPr="00565C7A">
        <w:rPr>
          <w:sz w:val="20"/>
          <w:lang w:val="fr-CA"/>
        </w:rPr>
        <w:tab/>
        <w:t>POURVOI contre un arrêt de la Cour d’appel de Terre</w:t>
      </w:r>
      <w:r w:rsidRPr="00565C7A">
        <w:rPr>
          <w:sz w:val="20"/>
          <w:lang w:val="fr-CA"/>
        </w:rPr>
        <w:noBreakHyphen/>
        <w:t>Neuve</w:t>
      </w:r>
      <w:r w:rsidRPr="00565C7A">
        <w:rPr>
          <w:sz w:val="20"/>
          <w:lang w:val="fr-CA"/>
        </w:rPr>
        <w:noBreakHyphen/>
        <w:t>et</w:t>
      </w:r>
      <w:r w:rsidRPr="00565C7A">
        <w:rPr>
          <w:sz w:val="20"/>
          <w:lang w:val="fr-CA"/>
        </w:rPr>
        <w:noBreakHyphen/>
        <w:t xml:space="preserve">Labrador (le juge en chef Green et les juges Welsh et Rowe), 2011 NLCA 42, 308 Nfld. &amp; P.E.I.R. 1, 958 A.P.R. 1, 238 C.R.R. (2d) 160, 351 D.L.R. (4th) 666, [2011] N.J. No. 207 (QL), 2011 CarswellNfld 200, qui a confirmé une décision du juge Hall, 2009 NLTD 120, 289 Nfld. </w:t>
      </w:r>
      <w:r w:rsidRPr="00565C7A">
        <w:rPr>
          <w:sz w:val="20"/>
        </w:rPr>
        <w:t>&amp; P.E.I.R. 198, 890 A.P.R. 198, 99 Admin. L.R. (4th) 308, [2009] N.J. No. </w:t>
      </w:r>
      <w:proofErr w:type="gramStart"/>
      <w:r w:rsidRPr="00565C7A">
        <w:rPr>
          <w:sz w:val="20"/>
        </w:rPr>
        <w:t>204 (QL), 2009 CarswellNfld 197.</w:t>
      </w:r>
      <w:proofErr w:type="gramEnd"/>
      <w:r w:rsidRPr="00565C7A">
        <w:rPr>
          <w:sz w:val="20"/>
        </w:rPr>
        <w:t xml:space="preserve">  </w:t>
      </w:r>
      <w:r w:rsidRPr="00565C7A">
        <w:rPr>
          <w:sz w:val="20"/>
          <w:lang w:val="fr-CA"/>
        </w:rPr>
        <w:t>Pourvoi accueilli.</w:t>
      </w:r>
    </w:p>
    <w:p w:rsidR="00A41EC1" w:rsidRDefault="00A41EC1" w:rsidP="00A41EC1">
      <w:pPr>
        <w:pStyle w:val="SCCNormalDoubleSpacing"/>
        <w:spacing w:line="240" w:lineRule="auto"/>
        <w:rPr>
          <w:i/>
          <w:sz w:val="20"/>
          <w:lang w:val="fr-CA"/>
        </w:rPr>
      </w:pPr>
    </w:p>
    <w:p w:rsidR="00A41EC1" w:rsidRPr="00565C7A" w:rsidRDefault="00A41EC1" w:rsidP="00A41EC1">
      <w:pPr>
        <w:pStyle w:val="SCCNormalDoubleSpacing"/>
        <w:spacing w:line="240" w:lineRule="auto"/>
        <w:rPr>
          <w:sz w:val="20"/>
          <w:lang w:val="fr-CA"/>
        </w:rPr>
      </w:pPr>
      <w:r w:rsidRPr="00565C7A">
        <w:rPr>
          <w:i/>
          <w:sz w:val="20"/>
          <w:lang w:val="fr-CA"/>
        </w:rPr>
        <w:tab/>
        <w:t>Peter O’Flaherty</w:t>
      </w:r>
      <w:r w:rsidRPr="00565C7A">
        <w:rPr>
          <w:sz w:val="20"/>
          <w:lang w:val="fr-CA"/>
        </w:rPr>
        <w:t xml:space="preserve"> et </w:t>
      </w:r>
      <w:r w:rsidRPr="00565C7A">
        <w:rPr>
          <w:i/>
          <w:sz w:val="20"/>
          <w:lang w:val="fr-CA"/>
        </w:rPr>
        <w:t>Brodie Gallant</w:t>
      </w:r>
      <w:r w:rsidRPr="00565C7A">
        <w:rPr>
          <w:sz w:val="20"/>
          <w:lang w:val="fr-CA"/>
        </w:rPr>
        <w:t>, pour les appelants.</w:t>
      </w:r>
    </w:p>
    <w:p w:rsidR="00A41EC1" w:rsidRDefault="00A41EC1" w:rsidP="00A41EC1">
      <w:pPr>
        <w:pStyle w:val="SCCNormalDoubleSpacing"/>
        <w:spacing w:line="240" w:lineRule="auto"/>
        <w:rPr>
          <w:i/>
          <w:sz w:val="20"/>
          <w:lang w:val="fr-CA"/>
        </w:rPr>
      </w:pPr>
    </w:p>
    <w:p w:rsidR="00A41EC1" w:rsidRDefault="00A41EC1" w:rsidP="00A41EC1">
      <w:pPr>
        <w:pStyle w:val="SCCNormalDoubleSpacing"/>
        <w:spacing w:line="240" w:lineRule="auto"/>
        <w:rPr>
          <w:i/>
          <w:sz w:val="20"/>
          <w:lang w:val="fr-CA"/>
        </w:rPr>
      </w:pPr>
    </w:p>
    <w:p w:rsidR="00A41EC1" w:rsidRPr="00565C7A" w:rsidRDefault="00A41EC1" w:rsidP="00A41EC1">
      <w:pPr>
        <w:pStyle w:val="SCCNormalDoubleSpacing"/>
        <w:spacing w:line="240" w:lineRule="auto"/>
        <w:rPr>
          <w:sz w:val="20"/>
          <w:lang w:val="fr-CA"/>
        </w:rPr>
      </w:pPr>
      <w:r w:rsidRPr="00565C7A">
        <w:rPr>
          <w:i/>
          <w:sz w:val="20"/>
          <w:lang w:val="fr-CA"/>
        </w:rPr>
        <w:tab/>
        <w:t>Corwin Mills, c.r.</w:t>
      </w:r>
      <w:r w:rsidRPr="00565C7A">
        <w:rPr>
          <w:sz w:val="20"/>
          <w:lang w:val="fr-CA"/>
        </w:rPr>
        <w:t xml:space="preserve">, </w:t>
      </w:r>
      <w:r w:rsidRPr="00565C7A">
        <w:rPr>
          <w:i/>
          <w:sz w:val="20"/>
          <w:lang w:val="fr-CA"/>
        </w:rPr>
        <w:t>Joseph Twyne</w:t>
      </w:r>
      <w:r w:rsidRPr="00565C7A">
        <w:rPr>
          <w:sz w:val="20"/>
          <w:lang w:val="fr-CA"/>
        </w:rPr>
        <w:t xml:space="preserve"> et </w:t>
      </w:r>
      <w:r w:rsidRPr="00565C7A">
        <w:rPr>
          <w:i/>
          <w:sz w:val="20"/>
          <w:lang w:val="fr-CA"/>
        </w:rPr>
        <w:t>Benjamin Piper</w:t>
      </w:r>
      <w:r w:rsidRPr="00565C7A">
        <w:rPr>
          <w:sz w:val="20"/>
          <w:lang w:val="fr-CA"/>
        </w:rPr>
        <w:t>, pour les intimés la Succession de Joseph Ryan et autres.</w:t>
      </w:r>
    </w:p>
    <w:p w:rsidR="00A41EC1" w:rsidRDefault="00A41EC1" w:rsidP="00A41EC1">
      <w:pPr>
        <w:pStyle w:val="SCCNormalDoubleSpacing"/>
        <w:spacing w:line="240" w:lineRule="auto"/>
        <w:rPr>
          <w:i/>
          <w:sz w:val="20"/>
          <w:lang w:val="fr-CA"/>
        </w:rPr>
      </w:pPr>
    </w:p>
    <w:p w:rsidR="00A41EC1" w:rsidRPr="00565C7A" w:rsidRDefault="00A41EC1" w:rsidP="00A41EC1">
      <w:pPr>
        <w:pStyle w:val="SCCNormalDoubleSpacing"/>
        <w:spacing w:line="240" w:lineRule="auto"/>
        <w:rPr>
          <w:sz w:val="20"/>
          <w:lang w:val="fr-CA"/>
        </w:rPr>
      </w:pPr>
      <w:r w:rsidRPr="00565C7A">
        <w:rPr>
          <w:i/>
          <w:sz w:val="20"/>
          <w:lang w:val="fr-CA"/>
        </w:rPr>
        <w:tab/>
        <w:t xml:space="preserve">Peter Southey </w:t>
      </w:r>
      <w:r w:rsidRPr="00565C7A">
        <w:rPr>
          <w:sz w:val="20"/>
          <w:lang w:val="fr-CA"/>
        </w:rPr>
        <w:t>et</w:t>
      </w:r>
      <w:r w:rsidRPr="00565C7A">
        <w:rPr>
          <w:i/>
          <w:sz w:val="20"/>
          <w:lang w:val="fr-CA"/>
        </w:rPr>
        <w:t xml:space="preserve"> Christine Mohr</w:t>
      </w:r>
      <w:r w:rsidRPr="00565C7A">
        <w:rPr>
          <w:sz w:val="20"/>
          <w:lang w:val="fr-CA"/>
        </w:rPr>
        <w:t>, pour l’intimé le procureur général du Canada.</w:t>
      </w:r>
    </w:p>
    <w:p w:rsidR="00A41EC1" w:rsidRDefault="00A41EC1" w:rsidP="00A41EC1">
      <w:pPr>
        <w:pStyle w:val="SCCNormalDoubleSpacing"/>
        <w:spacing w:line="240" w:lineRule="auto"/>
        <w:rPr>
          <w:i/>
          <w:sz w:val="20"/>
          <w:lang w:val="fr-CA"/>
        </w:rPr>
      </w:pPr>
    </w:p>
    <w:p w:rsidR="00A41EC1" w:rsidRPr="00565C7A" w:rsidRDefault="00A41EC1" w:rsidP="00A41EC1">
      <w:pPr>
        <w:pStyle w:val="SCCNormalDoubleSpacing"/>
        <w:spacing w:line="240" w:lineRule="auto"/>
        <w:rPr>
          <w:sz w:val="20"/>
          <w:lang w:val="fr-CA"/>
        </w:rPr>
      </w:pPr>
      <w:r w:rsidRPr="00565C7A">
        <w:rPr>
          <w:i/>
          <w:sz w:val="20"/>
          <w:lang w:val="fr-CA"/>
        </w:rPr>
        <w:tab/>
        <w:t>Hart Schwartz</w:t>
      </w:r>
      <w:r w:rsidRPr="00565C7A">
        <w:rPr>
          <w:sz w:val="20"/>
          <w:lang w:val="fr-CA"/>
        </w:rPr>
        <w:t xml:space="preserve"> et </w:t>
      </w:r>
      <w:r w:rsidRPr="00565C7A">
        <w:rPr>
          <w:i/>
          <w:sz w:val="20"/>
          <w:lang w:val="fr-CA"/>
        </w:rPr>
        <w:t>Michael S. Dunn</w:t>
      </w:r>
      <w:r w:rsidRPr="00565C7A">
        <w:rPr>
          <w:sz w:val="20"/>
          <w:lang w:val="fr-CA"/>
        </w:rPr>
        <w:t>, pour l’intervenant le procureur général de l’Ontario.</w:t>
      </w:r>
    </w:p>
    <w:p w:rsidR="00A41EC1" w:rsidRDefault="00A41EC1" w:rsidP="00A41EC1">
      <w:pPr>
        <w:pStyle w:val="SCCNormalDoubleSpacing"/>
        <w:spacing w:line="240" w:lineRule="auto"/>
        <w:rPr>
          <w:i/>
          <w:sz w:val="20"/>
          <w:lang w:val="fr-CA"/>
        </w:rPr>
      </w:pPr>
    </w:p>
    <w:p w:rsidR="00A41EC1" w:rsidRPr="00565C7A" w:rsidRDefault="00A41EC1" w:rsidP="00A41EC1">
      <w:pPr>
        <w:pStyle w:val="SCCNormalDoubleSpacing"/>
        <w:spacing w:line="240" w:lineRule="auto"/>
        <w:rPr>
          <w:sz w:val="20"/>
          <w:lang w:val="fr-CA"/>
        </w:rPr>
      </w:pPr>
      <w:r w:rsidRPr="00565C7A">
        <w:rPr>
          <w:i/>
          <w:sz w:val="20"/>
          <w:lang w:val="fr-CA"/>
        </w:rPr>
        <w:tab/>
        <w:t>Nancy E. Brown</w:t>
      </w:r>
      <w:r w:rsidRPr="00565C7A">
        <w:rPr>
          <w:sz w:val="20"/>
          <w:lang w:val="fr-CA"/>
        </w:rPr>
        <w:t>, pour l’intervenant le procureur général de la Colombie</w:t>
      </w:r>
      <w:r w:rsidRPr="00565C7A">
        <w:rPr>
          <w:sz w:val="20"/>
          <w:lang w:val="fr-CA"/>
        </w:rPr>
        <w:noBreakHyphen/>
        <w:t>Britannique.</w:t>
      </w:r>
    </w:p>
    <w:p w:rsidR="00A41EC1" w:rsidRDefault="00A41EC1" w:rsidP="00A41EC1">
      <w:pPr>
        <w:pStyle w:val="SCCNormalDoubleSpacing"/>
        <w:spacing w:line="240" w:lineRule="auto"/>
        <w:rPr>
          <w:i/>
          <w:sz w:val="20"/>
          <w:lang w:val="fr-CA"/>
        </w:rPr>
      </w:pPr>
    </w:p>
    <w:p w:rsidR="00A41EC1" w:rsidRPr="00565C7A" w:rsidRDefault="00A41EC1" w:rsidP="00A41EC1">
      <w:pPr>
        <w:pStyle w:val="SCCNormalDoubleSpacing"/>
        <w:spacing w:line="240" w:lineRule="auto"/>
        <w:rPr>
          <w:sz w:val="20"/>
          <w:lang w:val="fr-CA"/>
        </w:rPr>
      </w:pPr>
      <w:r w:rsidRPr="00565C7A">
        <w:rPr>
          <w:i/>
          <w:sz w:val="20"/>
          <w:lang w:val="fr-CA"/>
        </w:rPr>
        <w:tab/>
        <w:t>Rolf Pritchard, c.r.</w:t>
      </w:r>
      <w:r w:rsidRPr="00565C7A">
        <w:rPr>
          <w:sz w:val="20"/>
          <w:lang w:val="fr-CA"/>
        </w:rPr>
        <w:t>, pour l’intervenant le procureur général de Terre</w:t>
      </w:r>
      <w:r w:rsidRPr="00565C7A">
        <w:rPr>
          <w:sz w:val="20"/>
          <w:lang w:val="fr-CA"/>
        </w:rPr>
        <w:noBreakHyphen/>
        <w:t>Neuve</w:t>
      </w:r>
      <w:r w:rsidRPr="00565C7A">
        <w:rPr>
          <w:sz w:val="20"/>
          <w:lang w:val="fr-CA"/>
        </w:rPr>
        <w:noBreakHyphen/>
        <w:t>et</w:t>
      </w:r>
      <w:r w:rsidRPr="00565C7A">
        <w:rPr>
          <w:sz w:val="20"/>
          <w:lang w:val="fr-CA"/>
        </w:rPr>
        <w:noBreakHyphen/>
        <w:t>Labrador.</w:t>
      </w:r>
    </w:p>
    <w:p w:rsidR="00A41EC1" w:rsidRDefault="00A41EC1" w:rsidP="00A41EC1">
      <w:pPr>
        <w:pStyle w:val="SCCNormalDoubleSpacing"/>
        <w:spacing w:line="240" w:lineRule="auto"/>
        <w:rPr>
          <w:i/>
          <w:sz w:val="20"/>
          <w:lang w:val="fr-CA"/>
        </w:rPr>
      </w:pPr>
    </w:p>
    <w:p w:rsidR="00A41EC1" w:rsidRPr="00565C7A" w:rsidRDefault="00A41EC1" w:rsidP="00A41EC1">
      <w:pPr>
        <w:pStyle w:val="SCCNormalDoubleSpacing"/>
        <w:spacing w:line="240" w:lineRule="auto"/>
        <w:rPr>
          <w:sz w:val="20"/>
          <w:lang w:val="en-US"/>
        </w:rPr>
      </w:pPr>
      <w:r w:rsidRPr="00565C7A">
        <w:rPr>
          <w:i/>
          <w:sz w:val="20"/>
          <w:lang w:val="fr-CA"/>
        </w:rPr>
        <w:tab/>
      </w:r>
      <w:r w:rsidRPr="00565C7A">
        <w:rPr>
          <w:i/>
          <w:sz w:val="20"/>
          <w:lang w:val="en-US"/>
        </w:rPr>
        <w:t>Jamie Martin</w:t>
      </w:r>
      <w:r w:rsidRPr="00565C7A">
        <w:rPr>
          <w:sz w:val="20"/>
          <w:lang w:val="en-US"/>
        </w:rPr>
        <w:t>, pour l’intervenante Workplace Health, Safety and Compensation Commission.</w:t>
      </w:r>
    </w:p>
    <w:p w:rsidR="00A41EC1" w:rsidRDefault="00A41EC1" w:rsidP="00A41EC1">
      <w:pPr>
        <w:pStyle w:val="SCCNormalDoubleSpacing"/>
        <w:spacing w:line="240" w:lineRule="auto"/>
        <w:rPr>
          <w:i/>
          <w:sz w:val="20"/>
          <w:lang w:val="en-US"/>
        </w:rPr>
      </w:pPr>
    </w:p>
    <w:p w:rsidR="00A41EC1" w:rsidRPr="00565C7A" w:rsidRDefault="00A41EC1" w:rsidP="00A41EC1">
      <w:pPr>
        <w:pStyle w:val="SCCNormalDoubleSpacing"/>
        <w:spacing w:line="240" w:lineRule="auto"/>
        <w:rPr>
          <w:sz w:val="20"/>
          <w:lang w:val="fr-CA"/>
        </w:rPr>
      </w:pPr>
      <w:r w:rsidRPr="00565C7A">
        <w:rPr>
          <w:i/>
          <w:sz w:val="20"/>
          <w:lang w:val="en-US"/>
        </w:rPr>
        <w:tab/>
      </w:r>
      <w:r w:rsidRPr="00565C7A">
        <w:rPr>
          <w:i/>
          <w:sz w:val="20"/>
          <w:lang w:val="fr-CA"/>
        </w:rPr>
        <w:t>Scott A. Nielsen</w:t>
      </w:r>
      <w:r w:rsidRPr="00565C7A">
        <w:rPr>
          <w:sz w:val="20"/>
          <w:lang w:val="fr-CA"/>
        </w:rPr>
        <w:t xml:space="preserve"> et </w:t>
      </w:r>
      <w:r w:rsidRPr="00565C7A">
        <w:rPr>
          <w:i/>
          <w:sz w:val="20"/>
          <w:lang w:val="fr-CA"/>
        </w:rPr>
        <w:t>Laurel Courtenay</w:t>
      </w:r>
      <w:r w:rsidRPr="00565C7A">
        <w:rPr>
          <w:sz w:val="20"/>
          <w:lang w:val="fr-CA"/>
        </w:rPr>
        <w:t>, pour l’intervenante Workers’ Compensation Board de la Colombie</w:t>
      </w:r>
      <w:r w:rsidRPr="00565C7A">
        <w:rPr>
          <w:sz w:val="20"/>
          <w:lang w:val="fr-CA"/>
        </w:rPr>
        <w:noBreakHyphen/>
        <w:t>Britannique.</w:t>
      </w:r>
    </w:p>
    <w:p w:rsidR="00A41EC1" w:rsidRDefault="00A41EC1" w:rsidP="00A41EC1">
      <w:pPr>
        <w:pStyle w:val="SCCNormalDoubleSpacing"/>
        <w:spacing w:line="240" w:lineRule="auto"/>
        <w:rPr>
          <w:sz w:val="20"/>
          <w:lang w:val="fr-CA"/>
        </w:rPr>
      </w:pPr>
    </w:p>
    <w:p w:rsidR="00A41EC1" w:rsidRPr="00565C7A" w:rsidRDefault="00A41EC1" w:rsidP="00A41EC1">
      <w:pPr>
        <w:pStyle w:val="SCCNormalDoubleSpacing"/>
        <w:spacing w:line="240" w:lineRule="auto"/>
        <w:rPr>
          <w:sz w:val="20"/>
          <w:lang w:val="fr-CA"/>
        </w:rPr>
      </w:pPr>
      <w:r w:rsidRPr="00565C7A">
        <w:rPr>
          <w:sz w:val="20"/>
          <w:lang w:val="fr-CA"/>
        </w:rPr>
        <w:tab/>
        <w:t>Personne n’a comparu pour l’intimée Universal Marine Limited.</w:t>
      </w:r>
    </w:p>
    <w:p w:rsidR="00A41EC1" w:rsidRDefault="00A41EC1" w:rsidP="00A41EC1">
      <w:pPr>
        <w:pStyle w:val="SCCNormalDoubleSpacing"/>
        <w:spacing w:line="240" w:lineRule="auto"/>
        <w:rPr>
          <w:sz w:val="20"/>
          <w:lang w:val="fr-CA"/>
        </w:rPr>
      </w:pPr>
    </w:p>
    <w:p w:rsidR="00A41EC1" w:rsidRPr="00565C7A" w:rsidRDefault="00A41EC1" w:rsidP="00A41EC1">
      <w:pPr>
        <w:pStyle w:val="SCCNormalDoubleSpacing"/>
        <w:spacing w:line="240" w:lineRule="auto"/>
        <w:rPr>
          <w:sz w:val="20"/>
          <w:lang w:val="fr-CA"/>
        </w:rPr>
      </w:pPr>
      <w:r w:rsidRPr="00565C7A">
        <w:rPr>
          <w:sz w:val="20"/>
          <w:lang w:val="fr-CA"/>
        </w:rPr>
        <w:tab/>
        <w:t>Personne n’a comparu pour l’intervenant le procureur général de la Nouvelle</w:t>
      </w:r>
      <w:r w:rsidRPr="00565C7A">
        <w:rPr>
          <w:sz w:val="20"/>
          <w:lang w:val="fr-CA"/>
        </w:rPr>
        <w:noBreakHyphen/>
        <w:t>Écosse.</w:t>
      </w:r>
    </w:p>
    <w:p w:rsidR="00A41EC1" w:rsidRDefault="00A41EC1" w:rsidP="00A41EC1">
      <w:pPr>
        <w:pStyle w:val="SCCLawFirm"/>
        <w:spacing w:line="240" w:lineRule="auto"/>
        <w:rPr>
          <w:sz w:val="20"/>
          <w:lang w:val="fr-CA"/>
        </w:rPr>
      </w:pPr>
    </w:p>
    <w:p w:rsidR="00A41EC1" w:rsidRPr="00565C7A" w:rsidRDefault="00A41EC1" w:rsidP="00A41EC1">
      <w:pPr>
        <w:pStyle w:val="SCCLawFirm"/>
        <w:spacing w:line="240" w:lineRule="auto"/>
        <w:rPr>
          <w:sz w:val="20"/>
          <w:lang w:val="fr-CA"/>
        </w:rPr>
      </w:pPr>
      <w:r w:rsidRPr="00565C7A">
        <w:rPr>
          <w:sz w:val="20"/>
          <w:lang w:val="fr-CA"/>
        </w:rPr>
        <w:tab/>
        <w:t>Procureurs des appelants : Goodland O’Flaherty, St. John’s.</w:t>
      </w:r>
    </w:p>
    <w:p w:rsidR="00A41EC1" w:rsidRDefault="00A41EC1" w:rsidP="00A41EC1">
      <w:pPr>
        <w:pStyle w:val="SCCNormalDoubleSpacing"/>
        <w:spacing w:line="240" w:lineRule="auto"/>
        <w:rPr>
          <w:sz w:val="20"/>
          <w:lang w:val="fr-CA"/>
        </w:rPr>
      </w:pPr>
    </w:p>
    <w:p w:rsidR="00A41EC1" w:rsidRPr="00565C7A" w:rsidRDefault="00A41EC1" w:rsidP="00A41EC1">
      <w:pPr>
        <w:pStyle w:val="SCCNormalDoubleSpacing"/>
        <w:spacing w:line="240" w:lineRule="auto"/>
        <w:rPr>
          <w:i/>
          <w:sz w:val="20"/>
          <w:lang w:val="fr-CA"/>
        </w:rPr>
      </w:pPr>
      <w:r w:rsidRPr="00565C7A">
        <w:rPr>
          <w:sz w:val="20"/>
          <w:lang w:val="fr-CA"/>
        </w:rPr>
        <w:tab/>
      </w:r>
      <w:r w:rsidRPr="00565C7A">
        <w:rPr>
          <w:i/>
          <w:sz w:val="20"/>
          <w:lang w:val="fr-CA"/>
        </w:rPr>
        <w:t>Procureurs des intimés la Succession de Joseph Ryan et autres : Mills Pittman, Clarenville; Sack Goldblatt Mitchell, Ottawa.</w:t>
      </w:r>
    </w:p>
    <w:p w:rsidR="00A41EC1" w:rsidRDefault="00A41EC1" w:rsidP="00A41EC1">
      <w:pPr>
        <w:pStyle w:val="SCCLawFirm"/>
        <w:spacing w:line="240" w:lineRule="auto"/>
        <w:rPr>
          <w:sz w:val="20"/>
          <w:lang w:val="fr-CA"/>
        </w:rPr>
      </w:pPr>
    </w:p>
    <w:p w:rsidR="00A41EC1" w:rsidRPr="00565C7A" w:rsidRDefault="00A41EC1" w:rsidP="00A41EC1">
      <w:pPr>
        <w:pStyle w:val="SCCLawFirm"/>
        <w:spacing w:line="240" w:lineRule="auto"/>
        <w:rPr>
          <w:sz w:val="20"/>
          <w:lang w:val="fr-CA"/>
        </w:rPr>
      </w:pPr>
      <w:r w:rsidRPr="00565C7A">
        <w:rPr>
          <w:sz w:val="20"/>
          <w:lang w:val="fr-CA"/>
        </w:rPr>
        <w:tab/>
        <w:t>Procureur de l’intimé le procureur général du Canada : Procureur général du Canada, Toronto.</w:t>
      </w:r>
    </w:p>
    <w:p w:rsidR="00A41EC1" w:rsidRDefault="00A41EC1" w:rsidP="00A41EC1">
      <w:pPr>
        <w:pStyle w:val="SCCLawFirm"/>
        <w:spacing w:line="240" w:lineRule="auto"/>
        <w:rPr>
          <w:sz w:val="20"/>
          <w:lang w:val="fr-CA"/>
        </w:rPr>
      </w:pPr>
    </w:p>
    <w:p w:rsidR="00A41EC1" w:rsidRPr="00565C7A" w:rsidRDefault="00A41EC1" w:rsidP="00A41EC1">
      <w:pPr>
        <w:pStyle w:val="SCCLawFirm"/>
        <w:spacing w:line="240" w:lineRule="auto"/>
        <w:rPr>
          <w:sz w:val="20"/>
          <w:lang w:val="fr-CA"/>
        </w:rPr>
      </w:pPr>
      <w:r w:rsidRPr="00565C7A">
        <w:rPr>
          <w:sz w:val="20"/>
          <w:lang w:val="fr-CA"/>
        </w:rPr>
        <w:tab/>
        <w:t>Procureur de l’intervenant le procureur général de l’Ontario : Procureur général de l’Ontario, Toronto.</w:t>
      </w:r>
    </w:p>
    <w:p w:rsidR="00A41EC1" w:rsidRDefault="00A41EC1" w:rsidP="00A41EC1">
      <w:pPr>
        <w:pStyle w:val="SCCLawFirm"/>
        <w:spacing w:line="240" w:lineRule="auto"/>
        <w:rPr>
          <w:sz w:val="20"/>
          <w:lang w:val="fr-CA"/>
        </w:rPr>
      </w:pPr>
    </w:p>
    <w:p w:rsidR="00A41EC1" w:rsidRPr="00565C7A" w:rsidRDefault="00A41EC1" w:rsidP="00A41EC1">
      <w:pPr>
        <w:pStyle w:val="SCCLawFirm"/>
        <w:spacing w:line="240" w:lineRule="auto"/>
        <w:rPr>
          <w:sz w:val="20"/>
          <w:lang w:val="fr-CA"/>
        </w:rPr>
      </w:pPr>
      <w:r w:rsidRPr="00565C7A">
        <w:rPr>
          <w:sz w:val="20"/>
          <w:lang w:val="fr-CA"/>
        </w:rPr>
        <w:tab/>
        <w:t>Procureur de l’intervenant le procureur général de la Colombie</w:t>
      </w:r>
      <w:r w:rsidRPr="00565C7A">
        <w:rPr>
          <w:sz w:val="20"/>
          <w:lang w:val="fr-CA"/>
        </w:rPr>
        <w:noBreakHyphen/>
        <w:t>Britannique : Procureur général de la Colombie</w:t>
      </w:r>
      <w:r w:rsidRPr="00565C7A">
        <w:rPr>
          <w:sz w:val="20"/>
          <w:lang w:val="fr-CA"/>
        </w:rPr>
        <w:noBreakHyphen/>
        <w:t>Britannique, Victoria.</w:t>
      </w:r>
    </w:p>
    <w:p w:rsidR="00A41EC1" w:rsidRDefault="00A41EC1" w:rsidP="00A41EC1">
      <w:pPr>
        <w:pStyle w:val="SCCLawFirm"/>
        <w:spacing w:line="240" w:lineRule="auto"/>
        <w:rPr>
          <w:sz w:val="20"/>
          <w:lang w:val="fr-CA"/>
        </w:rPr>
      </w:pPr>
    </w:p>
    <w:p w:rsidR="00A41EC1" w:rsidRPr="00565C7A" w:rsidRDefault="00A41EC1" w:rsidP="00A41EC1">
      <w:pPr>
        <w:pStyle w:val="SCCLawFirm"/>
        <w:spacing w:line="240" w:lineRule="auto"/>
        <w:rPr>
          <w:sz w:val="20"/>
          <w:lang w:val="fr-CA"/>
        </w:rPr>
      </w:pPr>
      <w:r w:rsidRPr="00565C7A">
        <w:rPr>
          <w:sz w:val="20"/>
          <w:lang w:val="fr-CA"/>
        </w:rPr>
        <w:tab/>
        <w:t>Procureur de l’intervenant le procureur général de Terre</w:t>
      </w:r>
      <w:r w:rsidRPr="00565C7A">
        <w:rPr>
          <w:sz w:val="20"/>
          <w:lang w:val="fr-CA"/>
        </w:rPr>
        <w:noBreakHyphen/>
        <w:t>Neuve</w:t>
      </w:r>
      <w:r w:rsidRPr="00565C7A">
        <w:rPr>
          <w:sz w:val="20"/>
          <w:lang w:val="fr-CA"/>
        </w:rPr>
        <w:noBreakHyphen/>
        <w:t>et</w:t>
      </w:r>
      <w:r w:rsidRPr="00565C7A">
        <w:rPr>
          <w:sz w:val="20"/>
          <w:lang w:val="fr-CA"/>
        </w:rPr>
        <w:noBreakHyphen/>
        <w:t>Labrador : Procureur général de Terre</w:t>
      </w:r>
      <w:r w:rsidRPr="00565C7A">
        <w:rPr>
          <w:sz w:val="20"/>
          <w:lang w:val="fr-CA"/>
        </w:rPr>
        <w:noBreakHyphen/>
        <w:t>Neuve</w:t>
      </w:r>
      <w:r w:rsidRPr="00565C7A">
        <w:rPr>
          <w:sz w:val="20"/>
          <w:lang w:val="fr-CA"/>
        </w:rPr>
        <w:noBreakHyphen/>
        <w:t>et</w:t>
      </w:r>
      <w:r w:rsidRPr="00565C7A">
        <w:rPr>
          <w:sz w:val="20"/>
          <w:lang w:val="fr-CA"/>
        </w:rPr>
        <w:noBreakHyphen/>
        <w:t>Labrador, St. John’s.</w:t>
      </w:r>
    </w:p>
    <w:p w:rsidR="00A41EC1" w:rsidRDefault="00A41EC1" w:rsidP="00A41EC1">
      <w:pPr>
        <w:pStyle w:val="SCCLawFirm"/>
        <w:spacing w:line="240" w:lineRule="auto"/>
        <w:rPr>
          <w:sz w:val="20"/>
          <w:lang w:val="fr-CA"/>
        </w:rPr>
      </w:pPr>
    </w:p>
    <w:p w:rsidR="00A41EC1" w:rsidRPr="00565C7A" w:rsidRDefault="00A41EC1" w:rsidP="00A41EC1">
      <w:pPr>
        <w:pStyle w:val="SCCLawFirm"/>
        <w:spacing w:line="240" w:lineRule="auto"/>
        <w:rPr>
          <w:sz w:val="20"/>
          <w:lang w:val="en-US"/>
        </w:rPr>
      </w:pPr>
      <w:r w:rsidRPr="00565C7A">
        <w:rPr>
          <w:sz w:val="20"/>
          <w:lang w:val="fr-CA"/>
        </w:rPr>
        <w:tab/>
      </w:r>
      <w:r w:rsidRPr="00565C7A">
        <w:rPr>
          <w:sz w:val="20"/>
          <w:lang w:val="en-US"/>
        </w:rPr>
        <w:t xml:space="preserve">Procureurs de l’intervenante Workplace Health, Safety and Compensation </w:t>
      </w:r>
      <w:proofErr w:type="gramStart"/>
      <w:r w:rsidRPr="00565C7A">
        <w:rPr>
          <w:sz w:val="20"/>
          <w:lang w:val="en-US"/>
        </w:rPr>
        <w:t>Commission :</w:t>
      </w:r>
      <w:proofErr w:type="gramEnd"/>
      <w:r w:rsidRPr="00565C7A">
        <w:rPr>
          <w:sz w:val="20"/>
          <w:lang w:val="en-US"/>
        </w:rPr>
        <w:t> Roebothan, McKay &amp; Marshall, St. John’s.</w:t>
      </w:r>
    </w:p>
    <w:p w:rsidR="00A41EC1" w:rsidRDefault="00A41EC1" w:rsidP="00A41EC1">
      <w:pPr>
        <w:pStyle w:val="SCCLawFirm"/>
        <w:spacing w:line="240" w:lineRule="auto"/>
        <w:rPr>
          <w:sz w:val="20"/>
          <w:lang w:val="en-US"/>
        </w:rPr>
      </w:pPr>
    </w:p>
    <w:p w:rsidR="00A41EC1" w:rsidRPr="00565C7A" w:rsidRDefault="00A41EC1" w:rsidP="00A41EC1">
      <w:pPr>
        <w:pStyle w:val="SCCLawFirm"/>
        <w:spacing w:line="240" w:lineRule="auto"/>
        <w:rPr>
          <w:sz w:val="20"/>
          <w:lang w:val="fr-CA"/>
        </w:rPr>
      </w:pPr>
      <w:r w:rsidRPr="00565C7A">
        <w:rPr>
          <w:sz w:val="20"/>
          <w:lang w:val="en-US"/>
        </w:rPr>
        <w:tab/>
      </w:r>
      <w:r w:rsidRPr="00565C7A">
        <w:rPr>
          <w:sz w:val="20"/>
          <w:lang w:val="fr-CA"/>
        </w:rPr>
        <w:t>Procureurs de l’intervenante Workers’ Compensation Board de la Colombie</w:t>
      </w:r>
      <w:r w:rsidRPr="00565C7A">
        <w:rPr>
          <w:sz w:val="20"/>
          <w:lang w:val="fr-CA"/>
        </w:rPr>
        <w:noBreakHyphen/>
        <w:t>Britannique : Workers’ Compensation Board, Vancouver.</w:t>
      </w:r>
    </w:p>
    <w:p w:rsidR="00A41EC1" w:rsidRDefault="00A41EC1" w:rsidP="00A41EC1">
      <w:pPr>
        <w:pStyle w:val="SCCLawFirm"/>
        <w:spacing w:line="240" w:lineRule="auto"/>
        <w:rPr>
          <w:sz w:val="20"/>
          <w:lang w:val="fr-CA"/>
        </w:rPr>
      </w:pPr>
    </w:p>
    <w:p w:rsidR="00A41EC1" w:rsidRDefault="00A41EC1" w:rsidP="00A41EC1">
      <w:pPr>
        <w:pStyle w:val="SCCLawFirm"/>
        <w:spacing w:line="240" w:lineRule="auto"/>
        <w:rPr>
          <w:sz w:val="20"/>
          <w:lang w:val="fr-CA"/>
        </w:rPr>
      </w:pPr>
      <w:r w:rsidRPr="00565C7A">
        <w:rPr>
          <w:sz w:val="20"/>
          <w:lang w:val="fr-CA"/>
        </w:rPr>
        <w:tab/>
        <w:t>Procureur de l’intervenant le procureur général de la Nouvelle</w:t>
      </w:r>
      <w:r w:rsidRPr="00565C7A">
        <w:rPr>
          <w:sz w:val="20"/>
          <w:lang w:val="fr-CA"/>
        </w:rPr>
        <w:noBreakHyphen/>
        <w:t>Écosse : Procureur général de la Nouvelle</w:t>
      </w:r>
      <w:r w:rsidRPr="00565C7A">
        <w:rPr>
          <w:sz w:val="20"/>
          <w:lang w:val="fr-CA"/>
        </w:rPr>
        <w:noBreakHyphen/>
        <w:t>Écosse, Halifax.</w:t>
      </w:r>
    </w:p>
    <w:p w:rsidR="00902E51" w:rsidRPr="00352A49" w:rsidRDefault="00902E51" w:rsidP="00902E51">
      <w:pPr>
        <w:rPr>
          <w:sz w:val="20"/>
          <w:szCs w:val="20"/>
          <w:lang w:val="fr-CA"/>
        </w:rPr>
      </w:pPr>
    </w:p>
    <w:p w:rsidR="00902E51" w:rsidRDefault="005F2BA7" w:rsidP="00902E51">
      <w:pPr>
        <w:rPr>
          <w:rFonts w:cs="Times New Roman"/>
          <w:sz w:val="20"/>
          <w:szCs w:val="20"/>
          <w:lang w:val="fr-CA"/>
        </w:rPr>
      </w:pPr>
      <w:r w:rsidRPr="005F2BA7">
        <w:rPr>
          <w:rFonts w:cs="Times New Roman"/>
          <w:sz w:val="20"/>
          <w:szCs w:val="20"/>
          <w:lang w:val="fr-CA"/>
        </w:rPr>
        <w:pict>
          <v:rect id="_x0000_i1155"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576" w:footer="960" w:gutter="0"/>
          <w:cols w:space="720"/>
          <w:titlePg/>
          <w:docGrid w:linePitch="272"/>
        </w:sectPr>
      </w:pPr>
    </w:p>
    <w:p w:rsidR="0081610A" w:rsidRPr="002E0C7E" w:rsidRDefault="005F2BA7"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5A3B96">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A3B96">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A3B96">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A3B96">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A3B96">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A3B96">
            <w:pPr>
              <w:widowControl w:val="0"/>
              <w:jc w:val="center"/>
              <w:rPr>
                <w:rFonts w:ascii="Arial" w:hAnsi="Arial"/>
                <w:sz w:val="14"/>
              </w:rPr>
            </w:pPr>
            <w:r w:rsidRPr="002E0C7E">
              <w:rPr>
                <w:rFonts w:ascii="Arial" w:hAnsi="Arial"/>
                <w:b/>
                <w:sz w:val="14"/>
              </w:rPr>
              <w:t>DECEMBER - DÉCEMBRE</w:t>
            </w:r>
          </w:p>
        </w:tc>
      </w:tr>
      <w:tr w:rsidR="0081610A" w:rsidRPr="002E0C7E" w:rsidTr="005A3B9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M</w:t>
            </w:r>
          </w:p>
          <w:p w:rsidR="0081610A" w:rsidRPr="002E0C7E" w:rsidRDefault="0081610A" w:rsidP="005A3B96">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W</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F</w:t>
            </w:r>
          </w:p>
          <w:p w:rsidR="0081610A" w:rsidRPr="002E0C7E" w:rsidRDefault="0081610A" w:rsidP="005A3B96">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M</w:t>
            </w:r>
          </w:p>
          <w:p w:rsidR="0081610A" w:rsidRPr="002E0C7E" w:rsidRDefault="0081610A" w:rsidP="005A3B96">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W</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F</w:t>
            </w:r>
          </w:p>
          <w:p w:rsidR="0081610A" w:rsidRPr="002E0C7E" w:rsidRDefault="0081610A" w:rsidP="005A3B96">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M</w:t>
            </w:r>
          </w:p>
          <w:p w:rsidR="0081610A" w:rsidRPr="002E0C7E" w:rsidRDefault="0081610A" w:rsidP="005A3B96">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W</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F</w:t>
            </w:r>
          </w:p>
          <w:p w:rsidR="0081610A" w:rsidRPr="002E0C7E" w:rsidRDefault="0081610A" w:rsidP="005A3B9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S</w:t>
            </w:r>
          </w:p>
        </w:tc>
      </w:tr>
      <w:tr w:rsidR="0081610A" w:rsidRPr="002E0C7E" w:rsidTr="005A3B9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5A3B96">
            <w:pPr>
              <w:widowControl w:val="0"/>
              <w:jc w:val="center"/>
              <w:rPr>
                <w:rFonts w:ascii="Arial" w:hAnsi="Arial"/>
                <w:b/>
                <w:sz w:val="14"/>
              </w:rPr>
            </w:pPr>
            <w:r>
              <w:rPr>
                <w:rFonts w:ascii="Arial" w:hAnsi="Arial"/>
                <w:b/>
                <w:sz w:val="14"/>
              </w:rPr>
              <w:t>M</w:t>
            </w:r>
          </w:p>
          <w:p w:rsidR="0081610A" w:rsidRPr="002E0C7E" w:rsidRDefault="0081610A" w:rsidP="005A3B96">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7</w:t>
            </w:r>
          </w:p>
        </w:tc>
      </w:tr>
      <w:tr w:rsidR="0081610A" w:rsidRPr="002E0C7E" w:rsidTr="005A3B9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5A3B96">
            <w:pPr>
              <w:widowControl w:val="0"/>
              <w:jc w:val="center"/>
              <w:rPr>
                <w:rFonts w:ascii="Arial" w:hAnsi="Arial"/>
                <w:b/>
                <w:sz w:val="14"/>
              </w:rPr>
            </w:pPr>
            <w:r>
              <w:rPr>
                <w:rFonts w:ascii="Arial" w:hAnsi="Arial"/>
                <w:b/>
                <w:sz w:val="14"/>
              </w:rPr>
              <w:t>M</w:t>
            </w:r>
          </w:p>
          <w:p w:rsidR="0081610A" w:rsidRPr="002E0C7E" w:rsidRDefault="0081610A" w:rsidP="005A3B96">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5A3B96">
            <w:pPr>
              <w:widowControl w:val="0"/>
              <w:jc w:val="center"/>
              <w:rPr>
                <w:rFonts w:ascii="Arial" w:hAnsi="Arial"/>
                <w:b/>
                <w:sz w:val="14"/>
              </w:rPr>
            </w:pPr>
          </w:p>
          <w:p w:rsidR="0081610A" w:rsidRPr="002E0C7E" w:rsidRDefault="0081610A" w:rsidP="005A3B9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b/>
                <w:sz w:val="14"/>
              </w:rPr>
              <w:t>M</w:t>
            </w:r>
          </w:p>
          <w:p w:rsidR="0081610A" w:rsidRPr="002E0C7E" w:rsidRDefault="0081610A" w:rsidP="005A3B96">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14</w:t>
            </w:r>
          </w:p>
        </w:tc>
      </w:tr>
      <w:tr w:rsidR="0081610A" w:rsidRPr="002E0C7E" w:rsidTr="005A3B9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5A3B96">
            <w:pPr>
              <w:widowControl w:val="0"/>
              <w:jc w:val="center"/>
              <w:rPr>
                <w:rFonts w:ascii="Arial" w:hAnsi="Arial"/>
                <w:b/>
                <w:sz w:val="14"/>
              </w:rPr>
            </w:pPr>
            <w:r>
              <w:rPr>
                <w:rFonts w:ascii="Arial" w:hAnsi="Arial"/>
                <w:b/>
                <w:sz w:val="14"/>
              </w:rPr>
              <w:t>H</w:t>
            </w: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5A3B96">
            <w:pPr>
              <w:widowControl w:val="0"/>
              <w:jc w:val="center"/>
              <w:rPr>
                <w:rFonts w:ascii="Arial" w:hAnsi="Arial"/>
                <w:sz w:val="14"/>
              </w:rPr>
            </w:pPr>
            <w:r>
              <w:rPr>
                <w:rFonts w:ascii="Arial" w:hAnsi="Arial"/>
                <w:b/>
                <w:sz w:val="14"/>
              </w:rPr>
              <w:t>H</w:t>
            </w: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5A3B9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5A3B96">
            <w:pPr>
              <w:widowControl w:val="0"/>
              <w:jc w:val="center"/>
              <w:rPr>
                <w:rFonts w:ascii="Arial" w:hAnsi="Arial"/>
                <w:b/>
                <w:sz w:val="14"/>
              </w:rPr>
            </w:pPr>
            <w:r>
              <w:rPr>
                <w:rFonts w:ascii="Arial" w:hAnsi="Arial"/>
                <w:b/>
                <w:sz w:val="14"/>
              </w:rPr>
              <w:t>H</w:t>
            </w:r>
          </w:p>
          <w:p w:rsidR="0081610A" w:rsidRPr="002E0C7E" w:rsidRDefault="0081610A" w:rsidP="005A3B96">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5A3B96">
            <w:pPr>
              <w:widowControl w:val="0"/>
              <w:jc w:val="center"/>
              <w:rPr>
                <w:rFonts w:ascii="Arial" w:hAnsi="Arial"/>
                <w:b/>
                <w:sz w:val="14"/>
              </w:rPr>
            </w:pPr>
            <w:r>
              <w:rPr>
                <w:rFonts w:ascii="Arial" w:hAnsi="Arial"/>
                <w:b/>
                <w:sz w:val="14"/>
              </w:rPr>
              <w:t>H</w:t>
            </w:r>
          </w:p>
          <w:p w:rsidR="0081610A" w:rsidRPr="002E0C7E" w:rsidRDefault="0081610A" w:rsidP="005A3B96">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5A3B96">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5A3B96">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A3B96">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A3B9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A3B96">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A3B9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A3B96">
            <w:pPr>
              <w:widowControl w:val="0"/>
              <w:jc w:val="center"/>
              <w:rPr>
                <w:rFonts w:ascii="Arial" w:hAnsi="Arial"/>
                <w:sz w:val="14"/>
              </w:rPr>
            </w:pPr>
            <w:r w:rsidRPr="002E0C7E">
              <w:rPr>
                <w:rFonts w:ascii="Arial" w:hAnsi="Arial"/>
                <w:b/>
                <w:sz w:val="14"/>
              </w:rPr>
              <w:t>MARCH - MARS</w:t>
            </w:r>
          </w:p>
        </w:tc>
      </w:tr>
      <w:tr w:rsidR="0081610A" w:rsidRPr="002E0C7E" w:rsidTr="005A3B9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M</w:t>
            </w:r>
          </w:p>
          <w:p w:rsidR="0081610A" w:rsidRPr="002E0C7E" w:rsidRDefault="0081610A" w:rsidP="005A3B9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W</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F</w:t>
            </w:r>
          </w:p>
          <w:p w:rsidR="0081610A" w:rsidRPr="002E0C7E" w:rsidRDefault="0081610A" w:rsidP="005A3B9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M</w:t>
            </w:r>
          </w:p>
          <w:p w:rsidR="0081610A" w:rsidRPr="002E0C7E" w:rsidRDefault="0081610A" w:rsidP="005A3B9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W</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F</w:t>
            </w:r>
          </w:p>
          <w:p w:rsidR="0081610A" w:rsidRPr="002E0C7E" w:rsidRDefault="0081610A" w:rsidP="005A3B9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M</w:t>
            </w:r>
          </w:p>
          <w:p w:rsidR="0081610A" w:rsidRPr="002E0C7E" w:rsidRDefault="0081610A" w:rsidP="005A3B9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W</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F</w:t>
            </w:r>
          </w:p>
          <w:p w:rsidR="0081610A" w:rsidRPr="002E0C7E" w:rsidRDefault="0081610A" w:rsidP="005A3B96">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S</w:t>
            </w:r>
          </w:p>
        </w:tc>
      </w:tr>
      <w:tr w:rsidR="0081610A" w:rsidRPr="002E0C7E" w:rsidTr="005A3B9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5A3B96">
            <w:pPr>
              <w:widowControl w:val="0"/>
              <w:jc w:val="center"/>
              <w:rPr>
                <w:rFonts w:ascii="Arial" w:hAnsi="Arial"/>
                <w:b/>
                <w:sz w:val="14"/>
              </w:rPr>
            </w:pPr>
          </w:p>
          <w:p w:rsidR="0081610A" w:rsidRPr="002E0C7E" w:rsidRDefault="0081610A" w:rsidP="005A3B9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5A3B96">
            <w:pPr>
              <w:widowControl w:val="0"/>
              <w:jc w:val="center"/>
              <w:rPr>
                <w:rFonts w:ascii="Arial" w:hAnsi="Arial"/>
                <w:b/>
                <w:sz w:val="14"/>
              </w:rPr>
            </w:pPr>
            <w:r>
              <w:rPr>
                <w:rFonts w:ascii="Arial" w:hAnsi="Arial"/>
                <w:b/>
                <w:sz w:val="14"/>
              </w:rPr>
              <w:t>H</w:t>
            </w:r>
          </w:p>
          <w:p w:rsidR="0081610A" w:rsidRPr="002E0C7E" w:rsidRDefault="0081610A" w:rsidP="005A3B96">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w:t>
            </w:r>
          </w:p>
        </w:tc>
      </w:tr>
      <w:tr w:rsidR="0081610A" w:rsidRPr="002E0C7E" w:rsidTr="005A3B9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8</w:t>
            </w:r>
          </w:p>
        </w:tc>
      </w:tr>
      <w:tr w:rsidR="0081610A" w:rsidRPr="002E0C7E" w:rsidTr="005A3B9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5A3B96">
            <w:pPr>
              <w:widowControl w:val="0"/>
              <w:jc w:val="center"/>
              <w:rPr>
                <w:rFonts w:ascii="Arial" w:hAnsi="Arial"/>
                <w:b/>
                <w:sz w:val="14"/>
              </w:rPr>
            </w:pPr>
            <w:r>
              <w:rPr>
                <w:rFonts w:ascii="Arial" w:hAnsi="Arial"/>
                <w:b/>
                <w:sz w:val="14"/>
              </w:rPr>
              <w:t>M</w:t>
            </w: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5A3B96">
            <w:pPr>
              <w:widowControl w:val="0"/>
              <w:jc w:val="center"/>
              <w:rPr>
                <w:rFonts w:ascii="Arial" w:hAnsi="Arial"/>
                <w:b/>
                <w:sz w:val="14"/>
              </w:rPr>
            </w:pPr>
            <w:r>
              <w:rPr>
                <w:rFonts w:ascii="Arial" w:hAnsi="Arial"/>
                <w:b/>
                <w:sz w:val="14"/>
              </w:rPr>
              <w:t>M</w:t>
            </w: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5A3B9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5A3B96">
            <w:pPr>
              <w:widowControl w:val="0"/>
              <w:jc w:val="center"/>
              <w:rPr>
                <w:rFonts w:ascii="Arial" w:hAnsi="Arial"/>
                <w:b/>
                <w:sz w:val="14"/>
              </w:rPr>
            </w:pPr>
            <w:r>
              <w:rPr>
                <w:rFonts w:ascii="Arial" w:hAnsi="Arial"/>
                <w:b/>
                <w:sz w:val="14"/>
              </w:rPr>
              <w:t>M</w:t>
            </w: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5A3B9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Pr>
                <w:rFonts w:ascii="Arial" w:hAnsi="Arial"/>
                <w:sz w:val="14"/>
              </w:rPr>
              <w:t>23</w:t>
            </w:r>
          </w:p>
          <w:p w:rsidR="0081610A" w:rsidRPr="002E0C7E" w:rsidRDefault="0081610A" w:rsidP="005A3B96">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r>
              <w:rPr>
                <w:rFonts w:ascii="Arial" w:hAnsi="Arial"/>
                <w:sz w:val="14"/>
              </w:rPr>
              <w:t>24</w:t>
            </w:r>
          </w:p>
          <w:p w:rsidR="0081610A" w:rsidRPr="002E0C7E" w:rsidRDefault="0081610A" w:rsidP="005A3B96">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5A3B96">
            <w:pPr>
              <w:widowControl w:val="0"/>
              <w:jc w:val="center"/>
              <w:rPr>
                <w:rFonts w:ascii="Arial" w:hAnsi="Arial"/>
                <w:b/>
                <w:sz w:val="14"/>
              </w:rPr>
            </w:pPr>
          </w:p>
          <w:p w:rsidR="0081610A" w:rsidRPr="002E0C7E" w:rsidRDefault="0081610A" w:rsidP="005A3B9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5A3B96">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A3B96">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A3B96">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A3B96">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A3B96">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A3B96">
            <w:pPr>
              <w:widowControl w:val="0"/>
              <w:jc w:val="center"/>
              <w:rPr>
                <w:rFonts w:ascii="Arial" w:hAnsi="Arial"/>
                <w:sz w:val="14"/>
              </w:rPr>
            </w:pPr>
            <w:r w:rsidRPr="002E0C7E">
              <w:rPr>
                <w:rFonts w:ascii="Arial" w:hAnsi="Arial"/>
                <w:b/>
                <w:sz w:val="14"/>
              </w:rPr>
              <w:t>JUNE - JUIN</w:t>
            </w:r>
          </w:p>
        </w:tc>
      </w:tr>
      <w:tr w:rsidR="0081610A" w:rsidRPr="002E0C7E" w:rsidTr="005A3B9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M</w:t>
            </w:r>
          </w:p>
          <w:p w:rsidR="0081610A" w:rsidRPr="002E0C7E" w:rsidRDefault="0081610A" w:rsidP="005A3B9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W</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F</w:t>
            </w:r>
          </w:p>
          <w:p w:rsidR="0081610A" w:rsidRPr="002E0C7E" w:rsidRDefault="0081610A" w:rsidP="005A3B9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M</w:t>
            </w:r>
          </w:p>
          <w:p w:rsidR="0081610A" w:rsidRPr="002E0C7E" w:rsidRDefault="0081610A" w:rsidP="005A3B9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W</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F</w:t>
            </w:r>
          </w:p>
          <w:p w:rsidR="0081610A" w:rsidRPr="002E0C7E" w:rsidRDefault="0081610A" w:rsidP="005A3B9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S</w:t>
            </w:r>
          </w:p>
          <w:p w:rsidR="0081610A" w:rsidRPr="002E0C7E" w:rsidRDefault="0081610A" w:rsidP="005A3B9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M</w:t>
            </w:r>
          </w:p>
          <w:p w:rsidR="0081610A" w:rsidRPr="002E0C7E" w:rsidRDefault="0081610A" w:rsidP="005A3B9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W</w:t>
            </w:r>
          </w:p>
          <w:p w:rsidR="0081610A" w:rsidRPr="002E0C7E" w:rsidRDefault="0081610A" w:rsidP="005A3B9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T</w:t>
            </w:r>
          </w:p>
          <w:p w:rsidR="0081610A" w:rsidRPr="002E0C7E" w:rsidRDefault="0081610A" w:rsidP="005A3B9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sidRPr="002E0C7E">
              <w:rPr>
                <w:rFonts w:ascii="Arial" w:hAnsi="Arial"/>
                <w:sz w:val="14"/>
              </w:rPr>
              <w:t>F</w:t>
            </w:r>
          </w:p>
          <w:p w:rsidR="0081610A" w:rsidRPr="002E0C7E" w:rsidRDefault="0081610A" w:rsidP="005A3B96">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r>
              <w:rPr>
                <w:rFonts w:ascii="Arial" w:hAnsi="Arial"/>
                <w:sz w:val="14"/>
              </w:rPr>
              <w:t>S</w:t>
            </w:r>
          </w:p>
          <w:p w:rsidR="0081610A" w:rsidRPr="002E0C7E" w:rsidRDefault="0081610A" w:rsidP="005A3B96">
            <w:pPr>
              <w:widowControl w:val="0"/>
              <w:jc w:val="center"/>
              <w:rPr>
                <w:rFonts w:ascii="Arial" w:hAnsi="Arial"/>
                <w:sz w:val="14"/>
              </w:rPr>
            </w:pPr>
            <w:r>
              <w:rPr>
                <w:rFonts w:ascii="Arial" w:hAnsi="Arial"/>
                <w:sz w:val="14"/>
              </w:rPr>
              <w:t>S</w:t>
            </w:r>
          </w:p>
        </w:tc>
      </w:tr>
      <w:tr w:rsidR="0081610A" w:rsidRPr="002E0C7E" w:rsidTr="005A3B96">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b/>
                <w:sz w:val="14"/>
              </w:rPr>
            </w:pPr>
          </w:p>
          <w:p w:rsidR="0081610A" w:rsidRPr="002E0C7E" w:rsidRDefault="0081610A" w:rsidP="005A3B9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7</w:t>
            </w:r>
          </w:p>
        </w:tc>
      </w:tr>
      <w:tr w:rsidR="0081610A" w:rsidRPr="002E0C7E" w:rsidTr="005A3B9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5A3B96">
            <w:pPr>
              <w:widowControl w:val="0"/>
              <w:jc w:val="center"/>
              <w:rPr>
                <w:rFonts w:ascii="Arial" w:hAnsi="Arial"/>
                <w:b/>
                <w:sz w:val="14"/>
              </w:rPr>
            </w:pPr>
          </w:p>
          <w:p w:rsidR="0081610A" w:rsidRPr="002E0C7E" w:rsidRDefault="0081610A" w:rsidP="005A3B9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14</w:t>
            </w:r>
          </w:p>
        </w:tc>
      </w:tr>
      <w:tr w:rsidR="0081610A" w:rsidRPr="002E0C7E" w:rsidTr="005A3B9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5A3B96">
            <w:pPr>
              <w:widowControl w:val="0"/>
              <w:jc w:val="center"/>
              <w:rPr>
                <w:rFonts w:ascii="Arial" w:hAnsi="Arial"/>
                <w:b/>
                <w:sz w:val="14"/>
              </w:rPr>
            </w:pPr>
            <w:r w:rsidRPr="00DB5777">
              <w:rPr>
                <w:rFonts w:ascii="Arial" w:hAnsi="Arial"/>
                <w:b/>
                <w:sz w:val="14"/>
              </w:rPr>
              <w:t>M</w:t>
            </w: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5A3B96">
            <w:pPr>
              <w:widowControl w:val="0"/>
              <w:jc w:val="center"/>
              <w:rPr>
                <w:rFonts w:ascii="Arial" w:hAnsi="Arial"/>
                <w:b/>
                <w:sz w:val="14"/>
              </w:rPr>
            </w:pPr>
            <w:r>
              <w:rPr>
                <w:rFonts w:ascii="Arial" w:hAnsi="Arial"/>
                <w:b/>
                <w:sz w:val="14"/>
              </w:rPr>
              <w:t>H</w:t>
            </w:r>
          </w:p>
          <w:p w:rsidR="0081610A" w:rsidRPr="002E0C7E" w:rsidRDefault="0081610A" w:rsidP="005A3B96">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5A3B96">
            <w:pPr>
              <w:widowControl w:val="0"/>
              <w:jc w:val="center"/>
              <w:rPr>
                <w:rFonts w:ascii="Arial" w:hAnsi="Arial"/>
                <w:b/>
                <w:sz w:val="14"/>
              </w:rPr>
            </w:pPr>
            <w:r w:rsidRPr="002453E3">
              <w:rPr>
                <w:rFonts w:ascii="Arial" w:hAnsi="Arial"/>
                <w:b/>
                <w:sz w:val="14"/>
              </w:rPr>
              <w:t>M</w:t>
            </w: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5A3B96">
            <w:pPr>
              <w:widowControl w:val="0"/>
              <w:jc w:val="center"/>
              <w:rPr>
                <w:rFonts w:ascii="Arial" w:hAnsi="Arial"/>
                <w:b/>
                <w:sz w:val="14"/>
              </w:rPr>
            </w:pPr>
            <w:r w:rsidRPr="006A1E8D">
              <w:rPr>
                <w:rFonts w:ascii="Arial" w:hAnsi="Arial"/>
                <w:b/>
                <w:sz w:val="14"/>
              </w:rPr>
              <w:t>M</w:t>
            </w: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5A3B9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5A3B96">
            <w:pPr>
              <w:widowControl w:val="0"/>
              <w:jc w:val="center"/>
              <w:rPr>
                <w:rFonts w:ascii="Arial" w:hAnsi="Arial"/>
                <w:b/>
                <w:sz w:val="14"/>
              </w:rPr>
            </w:pPr>
            <w:r w:rsidRPr="00CD57C3">
              <w:rPr>
                <w:rFonts w:ascii="Arial" w:hAnsi="Arial"/>
                <w:b/>
                <w:sz w:val="14"/>
              </w:rPr>
              <w:t>H</w:t>
            </w: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5A3B96">
            <w:pPr>
              <w:widowControl w:val="0"/>
              <w:jc w:val="center"/>
              <w:rPr>
                <w:rFonts w:ascii="Arial" w:hAnsi="Arial"/>
                <w:b/>
                <w:sz w:val="14"/>
              </w:rPr>
            </w:pPr>
            <w:r>
              <w:rPr>
                <w:rFonts w:ascii="Arial" w:hAnsi="Arial"/>
                <w:b/>
                <w:sz w:val="14"/>
              </w:rPr>
              <w:t>H</w:t>
            </w:r>
          </w:p>
          <w:p w:rsidR="0081610A" w:rsidRPr="002E0C7E" w:rsidRDefault="0081610A" w:rsidP="005A3B96">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5A3B9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A3B96">
            <w:pPr>
              <w:widowControl w:val="0"/>
              <w:jc w:val="center"/>
              <w:rPr>
                <w:rFonts w:ascii="Arial" w:hAnsi="Arial"/>
                <w:sz w:val="14"/>
              </w:rPr>
            </w:pPr>
          </w:p>
          <w:p w:rsidR="0081610A" w:rsidRPr="002E0C7E" w:rsidRDefault="0081610A" w:rsidP="005A3B96">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81610A" w:rsidRPr="002E0C7E" w:rsidTr="005A3B96">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5A3B96">
            <w:pPr>
              <w:widowControl w:val="0"/>
              <w:rPr>
                <w:rFonts w:ascii="Arial" w:hAnsi="Arial"/>
                <w:sz w:val="16"/>
              </w:rPr>
            </w:pPr>
            <w:r w:rsidRPr="002E0C7E">
              <w:rPr>
                <w:rFonts w:ascii="Arial" w:hAnsi="Arial"/>
                <w:sz w:val="16"/>
              </w:rPr>
              <w:t>Sittings of the court:</w:t>
            </w:r>
          </w:p>
          <w:p w:rsidR="0081610A" w:rsidRPr="002E0C7E" w:rsidRDefault="0081610A" w:rsidP="005A3B96">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5A3B96">
            <w:pPr>
              <w:widowControl w:val="0"/>
              <w:rPr>
                <w:rFonts w:ascii="Arial" w:hAnsi="Arial"/>
                <w:sz w:val="16"/>
              </w:rPr>
            </w:pPr>
          </w:p>
          <w:p w:rsidR="0081610A" w:rsidRPr="002E0C7E" w:rsidRDefault="0081610A" w:rsidP="005A3B9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5A3B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5A3B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5A3B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5A3B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5A3B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5A3B9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5A3B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5A3B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5A3B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5A3B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5A3B9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5A3B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5A3B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5A3B96">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5A3B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1"/>
      <w:footerReference w:type="default" r:id="rId62"/>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5EA" w:rsidRDefault="001555EA" w:rsidP="00A87207">
      <w:r>
        <w:separator/>
      </w:r>
    </w:p>
  </w:endnote>
  <w:endnote w:type="continuationSeparator" w:id="0">
    <w:p w:rsidR="001555EA" w:rsidRDefault="001555EA"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pPr>
      <w:pStyle w:val="Footer"/>
      <w:rPr>
        <w:lang w:val="fr-CA"/>
      </w:rPr>
    </w:pPr>
    <w:r w:rsidRPr="005F2BA7">
      <w:rPr>
        <w:lang w:val="fr-CA"/>
      </w:rPr>
      <w:pict>
        <v:rect id="_x0000_i1117" style="width:480.95pt;height:1pt" o:hralign="center" o:hrstd="t" o:hrnoshade="t" o:hr="t" fillcolor="black [3213]" stroked="f"/>
      </w:pict>
    </w:r>
  </w:p>
  <w:p w:rsidR="001555EA" w:rsidRDefault="001555EA" w:rsidP="00245129">
    <w:pPr>
      <w:tabs>
        <w:tab w:val="center" w:pos="4680"/>
      </w:tabs>
    </w:pPr>
    <w:r>
      <w:tab/>
    </w:r>
    <w:r w:rsidRPr="0009648D">
      <w:t xml:space="preserve">- </w:t>
    </w:r>
    <w:fldSimple w:instr=" PAGE   \* MERGEFORMAT ">
      <w:r w:rsidR="00B86261">
        <w:rPr>
          <w:noProof/>
        </w:rPr>
        <w:t>1321</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555EA" w:rsidRDefault="001555EA">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rsidP="00755F22">
    <w:pPr>
      <w:tabs>
        <w:tab w:val="left" w:pos="-1440"/>
        <w:tab w:val="left" w:pos="-720"/>
      </w:tabs>
    </w:pPr>
    <w:r>
      <w:pict>
        <v:rect id="_x0000_i1138" style="width:480.95pt;height:1pt" o:hralign="center" o:hrstd="t" o:hrnoshade="t" o:hr="t" fillcolor="black [3213]" stroked="f"/>
      </w:pict>
    </w:r>
  </w:p>
  <w:p w:rsidR="001555EA" w:rsidRDefault="001555EA" w:rsidP="00EB2B90">
    <w:pPr>
      <w:tabs>
        <w:tab w:val="center" w:pos="4680"/>
      </w:tabs>
    </w:pPr>
    <w:r>
      <w:tab/>
      <w:t xml:space="preserve">- </w:t>
    </w:r>
    <w:fldSimple w:instr=" PAGE   \* MERGEFORMAT ">
      <w:r w:rsidR="00B86261">
        <w:rPr>
          <w:noProof/>
        </w:rPr>
        <w:t>1372</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rsidP="00EB2B90">
    <w:pPr>
      <w:tabs>
        <w:tab w:val="center" w:pos="4680"/>
      </w:tabs>
    </w:pPr>
    <w:r>
      <w:pict>
        <v:rect id="_x0000_i1139" style="width:480.95pt;height:1pt" o:hralign="center" o:hrstd="t" o:hrnoshade="t" o:hr="t" fillcolor="black [3213]" stroked="f"/>
      </w:pict>
    </w:r>
  </w:p>
  <w:p w:rsidR="001555EA" w:rsidRPr="0031432F" w:rsidRDefault="001555EA" w:rsidP="00EB2B90">
    <w:pPr>
      <w:tabs>
        <w:tab w:val="center" w:pos="4680"/>
      </w:tabs>
    </w:pPr>
    <w:r>
      <w:tab/>
      <w:t xml:space="preserve">- </w:t>
    </w:r>
    <w:fldSimple w:instr=" PAGE   \* MERGEFORMAT ">
      <w:r w:rsidR="00B86261">
        <w:rPr>
          <w:noProof/>
        </w:rPr>
        <w:t>1369</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555EA" w:rsidRDefault="001555EA">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41" style="width:480.95pt;height:1pt" o:hralign="center" o:hrstd="t" o:hrnoshade="t" o:hr="t" fillcolor="black [3213]" stroked="f"/>
      </w:pict>
    </w:r>
  </w:p>
  <w:p w:rsidR="001555EA" w:rsidRDefault="001555EA" w:rsidP="00EB2B90">
    <w:pPr>
      <w:tabs>
        <w:tab w:val="center" w:pos="4770"/>
      </w:tabs>
    </w:pPr>
    <w:r>
      <w:tab/>
      <w:t xml:space="preserve">- </w:t>
    </w:r>
    <w:fldSimple w:instr=" PAGE   \* MERGEFORMAT ">
      <w:r w:rsidR="003916B3">
        <w:rPr>
          <w:noProof/>
        </w:rPr>
        <w:t>1392</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rsidP="00EB2B90">
    <w:pPr>
      <w:tabs>
        <w:tab w:val="center" w:pos="4770"/>
      </w:tabs>
    </w:pPr>
    <w:r>
      <w:pict>
        <v:rect id="_x0000_i1142" style="width:480.95pt;height:1pt" o:hralign="center" o:hrstd="t" o:hrnoshade="t" o:hr="t" fillcolor="black [3213]" stroked="f"/>
      </w:pict>
    </w:r>
  </w:p>
  <w:p w:rsidR="001555EA" w:rsidRPr="00041AAB" w:rsidRDefault="001555EA" w:rsidP="00EB2B90">
    <w:pPr>
      <w:tabs>
        <w:tab w:val="center" w:pos="4770"/>
      </w:tabs>
    </w:pPr>
    <w:r>
      <w:tab/>
      <w:t xml:space="preserve">- </w:t>
    </w:r>
    <w:fldSimple w:instr=" PAGE   \* MERGEFORMAT ">
      <w:r w:rsidR="003916B3">
        <w:rPr>
          <w:noProof/>
        </w:rPr>
        <w:t>1390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555EA" w:rsidRDefault="001555EA">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F2BA7">
      <w:rPr>
        <w:lang w:val="fr-CA"/>
      </w:rPr>
      <w:pict>
        <v:rect id="_x0000_i1146" style="width:480.95pt;height:1pt" o:hralign="center" o:hrstd="t" o:hrnoshade="t" o:hr="t" fillcolor="black [3213]" stroked="f"/>
      </w:pict>
    </w:r>
  </w:p>
  <w:p w:rsidR="001555EA" w:rsidRDefault="001555EA" w:rsidP="00EB2B90">
    <w:pPr>
      <w:tabs>
        <w:tab w:val="center" w:pos="4680"/>
      </w:tabs>
    </w:pPr>
    <w:r>
      <w:tab/>
      <w:t xml:space="preserve">- </w:t>
    </w:r>
    <w:fldSimple w:instr=" PAGE   \* MERGEFORMAT ">
      <w:r>
        <w:rPr>
          <w:noProof/>
        </w:rPr>
        <w:t>519</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pPr>
      <w:pStyle w:val="Footer"/>
      <w:rPr>
        <w:lang w:val="fr-CA"/>
      </w:rPr>
    </w:pPr>
    <w:r w:rsidRPr="005F2BA7">
      <w:rPr>
        <w:lang w:val="fr-CA"/>
      </w:rPr>
      <w:pict>
        <v:rect id="_x0000_i1147" style="width:480.95pt;height:1pt" o:hralign="center" o:hrstd="t" o:hrnoshade="t" o:hr="t" fillcolor="black [3213]" stroked="f"/>
      </w:pict>
    </w:r>
  </w:p>
  <w:p w:rsidR="001555EA" w:rsidRDefault="001555EA" w:rsidP="00EB2B90">
    <w:pPr>
      <w:tabs>
        <w:tab w:val="center" w:pos="4680"/>
      </w:tabs>
    </w:pPr>
    <w:r>
      <w:tab/>
      <w:t xml:space="preserve">- </w:t>
    </w:r>
    <w:fldSimple w:instr=" PAGE   \* MERGEFORMAT ">
      <w:r w:rsidR="003916B3">
        <w:rPr>
          <w:noProof/>
        </w:rPr>
        <w:t>1393</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555EA" w:rsidRDefault="001555E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rsidP="00732DB7">
    <w:r>
      <w:pict>
        <v:rect id="_x0000_i1150" style="width:480.95pt;height:1pt" o:hralign="center" o:hrstd="t" o:hrnoshade="t" o:hr="t" fillcolor="black" stroked="f"/>
      </w:pict>
    </w:r>
  </w:p>
  <w:p w:rsidR="001555EA" w:rsidRDefault="001555EA">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pPr>
      <w:pStyle w:val="Footer"/>
    </w:pPr>
    <w:r>
      <w:pict>
        <v:rect id="_x0000_i1151" style="width:480.95pt;height:1pt" o:hralign="center" o:hrstd="t" o:hrnoshade="t" o:hr="t" fillcolor="black [3213]" stroked="f"/>
      </w:pict>
    </w:r>
  </w:p>
  <w:p w:rsidR="001555EA" w:rsidRPr="003C2C0F" w:rsidRDefault="001555EA" w:rsidP="00697C62">
    <w:pPr>
      <w:tabs>
        <w:tab w:val="center" w:pos="4680"/>
      </w:tabs>
    </w:pPr>
    <w:r>
      <w:tab/>
      <w:t xml:space="preserve">- </w:t>
    </w:r>
    <w:fldSimple w:instr=" PAGE   \* MERGEFORMAT ">
      <w:r w:rsidR="003916B3">
        <w:rPr>
          <w:noProof/>
        </w:rPr>
        <w:t>1394</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555EA" w:rsidRDefault="001555EA">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555EA" w:rsidRDefault="005F2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56" style="width:480.95pt;height:1pt" o:hralign="center" o:hrstd="t" o:hrnoshade="t" o:hr="t" fillcolor="black [3213]" stroked="f"/>
      </w:pict>
    </w:r>
  </w:p>
  <w:p w:rsidR="001555EA" w:rsidRDefault="001555EA" w:rsidP="00782AE4">
    <w:pPr>
      <w:tabs>
        <w:tab w:val="center" w:pos="4680"/>
      </w:tabs>
    </w:pPr>
    <w:r>
      <w:tab/>
      <w:t xml:space="preserve">- </w:t>
    </w:r>
    <w:r w:rsidR="005F2BA7" w:rsidRPr="001775C1">
      <w:rPr>
        <w:szCs w:val="24"/>
      </w:rPr>
      <w:fldChar w:fldCharType="begin"/>
    </w:r>
    <w:r w:rsidRPr="001775C1">
      <w:rPr>
        <w:szCs w:val="24"/>
      </w:rPr>
      <w:instrText xml:space="preserve"> PAGE   \* MERGEFORMAT </w:instrText>
    </w:r>
    <w:r w:rsidR="005F2BA7" w:rsidRPr="001775C1">
      <w:rPr>
        <w:szCs w:val="24"/>
      </w:rPr>
      <w:fldChar w:fldCharType="separate"/>
    </w:r>
    <w:r w:rsidR="003916B3">
      <w:rPr>
        <w:noProof/>
        <w:szCs w:val="24"/>
      </w:rPr>
      <w:t>1408</w:t>
    </w:r>
    <w:r w:rsidR="005F2BA7"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rsidP="00782AE4">
    <w:pPr>
      <w:tabs>
        <w:tab w:val="center" w:pos="4680"/>
      </w:tabs>
    </w:pPr>
    <w:r>
      <w:pict>
        <v:rect id="_x0000_i1157" style="width:480.95pt;height:1pt" o:hralign="center" o:hrstd="t" o:hrnoshade="t" o:hr="t" fillcolor="black [3213]" stroked="f"/>
      </w:pict>
    </w:r>
  </w:p>
  <w:p w:rsidR="001555EA" w:rsidRDefault="001555EA" w:rsidP="00782AE4">
    <w:pPr>
      <w:tabs>
        <w:tab w:val="center" w:pos="4680"/>
      </w:tabs>
    </w:pPr>
    <w:r>
      <w:tab/>
      <w:t xml:space="preserve">- </w:t>
    </w:r>
    <w:r w:rsidR="005F2BA7" w:rsidRPr="001775C1">
      <w:rPr>
        <w:szCs w:val="24"/>
      </w:rPr>
      <w:fldChar w:fldCharType="begin"/>
    </w:r>
    <w:r w:rsidRPr="001775C1">
      <w:rPr>
        <w:szCs w:val="24"/>
      </w:rPr>
      <w:instrText xml:space="preserve"> PAGE   \* MERGEFORMAT </w:instrText>
    </w:r>
    <w:r w:rsidR="005F2BA7" w:rsidRPr="001775C1">
      <w:rPr>
        <w:szCs w:val="24"/>
      </w:rPr>
      <w:fldChar w:fldCharType="separate"/>
    </w:r>
    <w:r w:rsidR="003916B3">
      <w:rPr>
        <w:noProof/>
        <w:szCs w:val="24"/>
      </w:rPr>
      <w:t>1396</w:t>
    </w:r>
    <w:r w:rsidR="005F2BA7"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Pr="00924065" w:rsidRDefault="001555EA"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rsidP="00A87207">
    <w:pPr>
      <w:pStyle w:val="Footer"/>
    </w:pPr>
    <w:r>
      <w:pict>
        <v:rect id="_x0000_i1053" style="width:480.95pt;height:1pt" o:hralign="center" o:hrstd="t" o:hrnoshade="t" o:hr="t" fillcolor="black [3213]" stroked="f"/>
      </w:pict>
    </w:r>
  </w:p>
  <w:p w:rsidR="001555EA" w:rsidRPr="00B7374B" w:rsidRDefault="001555EA" w:rsidP="00B7374B">
    <w:pPr>
      <w:tabs>
        <w:tab w:val="center" w:pos="4680"/>
      </w:tabs>
      <w:rPr>
        <w:szCs w:val="24"/>
      </w:rPr>
    </w:pPr>
    <w:r w:rsidRPr="00954D22">
      <w:rPr>
        <w:szCs w:val="24"/>
      </w:rPr>
      <w:tab/>
      <w:t xml:space="preserve">- </w:t>
    </w:r>
    <w:r w:rsidR="005F2BA7" w:rsidRPr="00954D22">
      <w:rPr>
        <w:szCs w:val="24"/>
      </w:rPr>
      <w:fldChar w:fldCharType="begin"/>
    </w:r>
    <w:r w:rsidRPr="00954D22">
      <w:rPr>
        <w:szCs w:val="24"/>
      </w:rPr>
      <w:instrText xml:space="preserve"> PAGE   \* MERGEFORMAT </w:instrText>
    </w:r>
    <w:r w:rsidR="005F2BA7" w:rsidRPr="00954D22">
      <w:rPr>
        <w:szCs w:val="24"/>
      </w:rPr>
      <w:fldChar w:fldCharType="separate"/>
    </w:r>
    <w:r w:rsidR="00B86261">
      <w:rPr>
        <w:noProof/>
        <w:szCs w:val="24"/>
      </w:rPr>
      <w:t>1317</w:t>
    </w:r>
    <w:r w:rsidR="005F2BA7"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rsidP="00755F22">
    <w:pPr>
      <w:tabs>
        <w:tab w:val="left" w:pos="-1440"/>
        <w:tab w:val="left" w:pos="-720"/>
      </w:tabs>
    </w:pPr>
    <w:r>
      <w:pict>
        <v:rect id="_x0000_i1054" style="width:480.95pt;height:1pt" o:hralign="center" o:hrstd="t" o:hrnoshade="t" o:hr="t" fillcolor="black [3213]" stroked="f"/>
      </w:pict>
    </w:r>
  </w:p>
  <w:p w:rsidR="001555EA" w:rsidRPr="00954D22" w:rsidRDefault="001555EA" w:rsidP="00B7374B">
    <w:pPr>
      <w:tabs>
        <w:tab w:val="center" w:pos="4680"/>
      </w:tabs>
      <w:rPr>
        <w:szCs w:val="24"/>
      </w:rPr>
    </w:pPr>
    <w:r w:rsidRPr="00954D22">
      <w:rPr>
        <w:szCs w:val="24"/>
      </w:rPr>
      <w:tab/>
      <w:t xml:space="preserve">- </w:t>
    </w:r>
    <w:r w:rsidR="005F2BA7">
      <w:rPr>
        <w:szCs w:val="24"/>
      </w:rPr>
      <w:fldChar w:fldCharType="begin"/>
    </w:r>
    <w:r>
      <w:rPr>
        <w:szCs w:val="24"/>
      </w:rPr>
      <w:instrText xml:space="preserve"> PAGE   \* MERGEFORMAT </w:instrText>
    </w:r>
    <w:r w:rsidR="005F2BA7">
      <w:rPr>
        <w:szCs w:val="24"/>
      </w:rPr>
      <w:fldChar w:fldCharType="separate"/>
    </w:r>
    <w:r w:rsidR="00B86261">
      <w:rPr>
        <w:noProof/>
        <w:szCs w:val="24"/>
      </w:rPr>
      <w:t>1314</w:t>
    </w:r>
    <w:r w:rsidR="005F2BA7">
      <w:rPr>
        <w:szCs w:val="24"/>
      </w:rPr>
      <w:fldChar w:fldCharType="end"/>
    </w:r>
    <w:r w:rsidRPr="00954D22">
      <w:rPr>
        <w:szCs w:val="24"/>
      </w:rPr>
      <w:t xml:space="preserve"> -</w:t>
    </w:r>
  </w:p>
  <w:p w:rsidR="001555EA" w:rsidRDefault="001555E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rsidP="00A87207">
    <w:pPr>
      <w:pStyle w:val="Footer"/>
    </w:pPr>
    <w:r>
      <w:pict>
        <v:rect id="_x0000_i1061" style="width:480.95pt;height:1pt" o:hralign="center" o:hrstd="t" o:hrnoshade="t" o:hr="t" fillcolor="black [3213]" stroked="f"/>
      </w:pict>
    </w:r>
  </w:p>
  <w:p w:rsidR="001555EA" w:rsidRPr="00B7374B" w:rsidRDefault="001555EA" w:rsidP="00B7374B">
    <w:pPr>
      <w:tabs>
        <w:tab w:val="center" w:pos="4680"/>
      </w:tabs>
      <w:rPr>
        <w:szCs w:val="24"/>
      </w:rPr>
    </w:pPr>
    <w:r w:rsidRPr="00954D22">
      <w:rPr>
        <w:szCs w:val="24"/>
      </w:rPr>
      <w:tab/>
      <w:t xml:space="preserve">- </w:t>
    </w:r>
    <w:r w:rsidR="005F2BA7" w:rsidRPr="00954D22">
      <w:rPr>
        <w:szCs w:val="24"/>
      </w:rPr>
      <w:fldChar w:fldCharType="begin"/>
    </w:r>
    <w:r w:rsidRPr="00954D22">
      <w:rPr>
        <w:szCs w:val="24"/>
      </w:rPr>
      <w:instrText xml:space="preserve"> PAGE   \* MERGEFORMAT </w:instrText>
    </w:r>
    <w:r w:rsidR="005F2BA7" w:rsidRPr="00954D22">
      <w:rPr>
        <w:szCs w:val="24"/>
      </w:rPr>
      <w:fldChar w:fldCharType="separate"/>
    </w:r>
    <w:r w:rsidR="00B86261">
      <w:rPr>
        <w:noProof/>
        <w:szCs w:val="24"/>
      </w:rPr>
      <w:t>1320</w:t>
    </w:r>
    <w:r w:rsidR="005F2BA7"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2" style="width:480.95pt;height:1pt" o:hralign="center" o:hrstd="t" o:hrnoshade="t" o:hr="t" fillcolor="black [3213]" stroked="f"/>
      </w:pict>
    </w:r>
  </w:p>
  <w:p w:rsidR="001555EA" w:rsidRPr="00954D22" w:rsidRDefault="001555EA" w:rsidP="00B7374B">
    <w:pPr>
      <w:tabs>
        <w:tab w:val="center" w:pos="4680"/>
      </w:tabs>
      <w:rPr>
        <w:szCs w:val="24"/>
      </w:rPr>
    </w:pPr>
    <w:r w:rsidRPr="00954D22">
      <w:rPr>
        <w:szCs w:val="24"/>
      </w:rPr>
      <w:tab/>
      <w:t xml:space="preserve">- </w:t>
    </w:r>
    <w:r w:rsidR="005F2BA7" w:rsidRPr="00954D22">
      <w:rPr>
        <w:szCs w:val="24"/>
      </w:rPr>
      <w:fldChar w:fldCharType="begin"/>
    </w:r>
    <w:r w:rsidRPr="00954D22">
      <w:rPr>
        <w:szCs w:val="24"/>
      </w:rPr>
      <w:instrText xml:space="preserve"> PAGE   \* MERGEFORMAT </w:instrText>
    </w:r>
    <w:r w:rsidR="005F2BA7" w:rsidRPr="00954D22">
      <w:rPr>
        <w:szCs w:val="24"/>
      </w:rPr>
      <w:fldChar w:fldCharType="separate"/>
    </w:r>
    <w:r w:rsidR="00B86261">
      <w:rPr>
        <w:noProof/>
        <w:szCs w:val="24"/>
      </w:rPr>
      <w:t>1318</w:t>
    </w:r>
    <w:r w:rsidR="005F2BA7"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555EA" w:rsidRDefault="001555EA">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5F2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F2BA7">
      <w:rPr>
        <w:lang w:val="fr-CA"/>
      </w:rPr>
      <w:pict>
        <v:rect id="_x0000_i1116" style="width:480.95pt;height:1pt" o:hralign="center" o:hrstd="t" o:hrnoshade="t" o:hr="t" fillcolor="black [3213]" stroked="f"/>
      </w:pict>
    </w:r>
  </w:p>
  <w:p w:rsidR="001555EA" w:rsidRPr="0009648D" w:rsidRDefault="001555EA" w:rsidP="00ED7E83">
    <w:pPr>
      <w:tabs>
        <w:tab w:val="center" w:pos="4680"/>
      </w:tabs>
    </w:pPr>
    <w:r>
      <w:tab/>
    </w:r>
    <w:r w:rsidRPr="0009648D">
      <w:t xml:space="preserve">- </w:t>
    </w:r>
    <w:fldSimple w:instr=" PAGE   \* MERGEFORMAT ">
      <w:r w:rsidR="00B86261">
        <w:rPr>
          <w:noProof/>
        </w:rPr>
        <w:t>1368</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5EA" w:rsidRDefault="001555EA" w:rsidP="00A87207">
      <w:r>
        <w:separator/>
      </w:r>
    </w:p>
  </w:footnote>
  <w:footnote w:type="continuationSeparator" w:id="0">
    <w:p w:rsidR="001555EA" w:rsidRDefault="001555EA"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555EA">
      <w:tc>
        <w:tcPr>
          <w:tcW w:w="4230" w:type="dxa"/>
          <w:tcMar>
            <w:left w:w="0" w:type="dxa"/>
            <w:right w:w="0" w:type="dxa"/>
          </w:tcMar>
        </w:tcPr>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555EA" w:rsidRDefault="00155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555EA" w:rsidRDefault="00155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555EA">
      <w:trPr>
        <w:gridAfter w:val="2"/>
        <w:wAfter w:w="5250" w:type="dxa"/>
      </w:trPr>
      <w:tc>
        <w:tcPr>
          <w:tcW w:w="4230" w:type="dxa"/>
          <w:tcMar>
            <w:left w:w="0" w:type="dxa"/>
            <w:right w:w="0" w:type="dxa"/>
          </w:tcMar>
        </w:tcPr>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555EA" w:rsidRPr="00755F22" w:rsidTr="00245129">
      <w:tc>
        <w:tcPr>
          <w:tcW w:w="4230" w:type="dxa"/>
          <w:tcMar>
            <w:left w:w="0" w:type="dxa"/>
            <w:right w:w="0" w:type="dxa"/>
          </w:tcMar>
        </w:tcPr>
        <w:p w:rsidR="001555EA" w:rsidRPr="00755F22" w:rsidRDefault="001555EA" w:rsidP="00831CA9">
          <w:pPr>
            <w:keepNext/>
            <w:keepLines/>
            <w:rPr>
              <w:sz w:val="20"/>
              <w:szCs w:val="20"/>
            </w:rPr>
          </w:pPr>
          <w:r w:rsidRPr="00755F22">
            <w:rPr>
              <w:sz w:val="20"/>
              <w:szCs w:val="20"/>
            </w:rPr>
            <w:t>MOTIONS</w:t>
          </w:r>
        </w:p>
      </w:tc>
      <w:tc>
        <w:tcPr>
          <w:tcW w:w="1170" w:type="dxa"/>
          <w:tcMar>
            <w:left w:w="0" w:type="dxa"/>
            <w:right w:w="0" w:type="dxa"/>
          </w:tcMar>
        </w:tcPr>
        <w:p w:rsidR="001555EA" w:rsidRPr="00755F22" w:rsidRDefault="001555EA" w:rsidP="00831CA9">
          <w:pPr>
            <w:keepLines/>
            <w:jc w:val="center"/>
            <w:rPr>
              <w:sz w:val="20"/>
              <w:szCs w:val="20"/>
            </w:rPr>
          </w:pPr>
        </w:p>
        <w:p w:rsidR="001555EA" w:rsidRPr="00755F22" w:rsidRDefault="001555EA" w:rsidP="00831CA9">
          <w:pPr>
            <w:keepLines/>
            <w:tabs>
              <w:tab w:val="left" w:pos="-1440"/>
              <w:tab w:val="left" w:pos="-720"/>
            </w:tabs>
            <w:jc w:val="center"/>
            <w:rPr>
              <w:sz w:val="20"/>
              <w:szCs w:val="20"/>
            </w:rPr>
          </w:pPr>
        </w:p>
      </w:tc>
      <w:tc>
        <w:tcPr>
          <w:tcW w:w="4080" w:type="dxa"/>
          <w:tcMar>
            <w:left w:w="0" w:type="dxa"/>
            <w:right w:w="0" w:type="dxa"/>
          </w:tcMar>
        </w:tcPr>
        <w:p w:rsidR="001555EA" w:rsidRPr="00BA6468" w:rsidRDefault="001555EA" w:rsidP="00BA6468">
          <w:pPr>
            <w:keepLines/>
            <w:rPr>
              <w:sz w:val="20"/>
              <w:szCs w:val="20"/>
              <w:lang w:val="fr-CA"/>
            </w:rPr>
          </w:pPr>
          <w:r w:rsidRPr="00BA6468">
            <w:rPr>
              <w:sz w:val="20"/>
              <w:szCs w:val="20"/>
              <w:lang w:val="fr-CA"/>
            </w:rPr>
            <w:t>REQUÊTES</w:t>
          </w:r>
        </w:p>
      </w:tc>
    </w:tr>
  </w:tbl>
  <w:p w:rsidR="001555EA" w:rsidRDefault="001555EA"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555EA">
      <w:tc>
        <w:tcPr>
          <w:tcW w:w="4230" w:type="dxa"/>
          <w:tcMar>
            <w:left w:w="0" w:type="dxa"/>
            <w:right w:w="0" w:type="dxa"/>
          </w:tcMar>
        </w:tcPr>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TAXATION OF COSTS</w:t>
          </w:r>
        </w:p>
      </w:tc>
      <w:tc>
        <w:tcPr>
          <w:tcW w:w="1170" w:type="dxa"/>
          <w:tcMar>
            <w:left w:w="0" w:type="dxa"/>
            <w:right w:w="0" w:type="dxa"/>
          </w:tcMar>
        </w:tcPr>
        <w:p w:rsidR="001555EA" w:rsidRDefault="00155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555EA" w:rsidRDefault="00155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TAXATION DES DÉPENS</w:t>
          </w:r>
        </w:p>
      </w:tc>
    </w:tr>
    <w:tr w:rsidR="001555EA">
      <w:trPr>
        <w:gridAfter w:val="2"/>
        <w:wAfter w:w="5250" w:type="dxa"/>
      </w:trPr>
      <w:tc>
        <w:tcPr>
          <w:tcW w:w="4230" w:type="dxa"/>
          <w:tcMar>
            <w:left w:w="0" w:type="dxa"/>
            <w:right w:w="0" w:type="dxa"/>
          </w:tcMar>
        </w:tcPr>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30"/>
      <w:gridCol w:w="1170"/>
      <w:gridCol w:w="4230"/>
    </w:tblGrid>
    <w:tr w:rsidR="001555EA" w:rsidRPr="00755F22" w:rsidTr="00245129">
      <w:tc>
        <w:tcPr>
          <w:tcW w:w="4230" w:type="dxa"/>
          <w:tcMar>
            <w:left w:w="0" w:type="dxa"/>
            <w:right w:w="0" w:type="dxa"/>
          </w:tcMar>
        </w:tcPr>
        <w:p w:rsidR="001555EA" w:rsidRPr="00755F22" w:rsidRDefault="001555EA" w:rsidP="00EB2B90">
          <w:pPr>
            <w:keepNext/>
            <w:keepLines/>
            <w:rPr>
              <w:sz w:val="22"/>
            </w:rPr>
          </w:pPr>
          <w:r w:rsidRPr="00755F22">
            <w:rPr>
              <w:sz w:val="22"/>
            </w:rPr>
            <w:t>TAXATION OF COSTS</w:t>
          </w:r>
        </w:p>
      </w:tc>
      <w:tc>
        <w:tcPr>
          <w:tcW w:w="1170" w:type="dxa"/>
          <w:tcMar>
            <w:left w:w="0" w:type="dxa"/>
            <w:right w:w="0" w:type="dxa"/>
          </w:tcMar>
        </w:tcPr>
        <w:p w:rsidR="001555EA" w:rsidRPr="00755F22" w:rsidRDefault="001555EA" w:rsidP="00831CA9">
          <w:pPr>
            <w:keepLines/>
            <w:jc w:val="center"/>
            <w:rPr>
              <w:sz w:val="22"/>
            </w:rPr>
          </w:pPr>
        </w:p>
        <w:p w:rsidR="001555EA" w:rsidRPr="00755F22" w:rsidRDefault="001555EA" w:rsidP="00831CA9">
          <w:pPr>
            <w:keepLines/>
            <w:jc w:val="center"/>
            <w:rPr>
              <w:sz w:val="22"/>
            </w:rPr>
          </w:pPr>
        </w:p>
      </w:tc>
      <w:tc>
        <w:tcPr>
          <w:tcW w:w="4230" w:type="dxa"/>
          <w:tcMar>
            <w:left w:w="0" w:type="dxa"/>
            <w:right w:w="0" w:type="dxa"/>
          </w:tcMar>
        </w:tcPr>
        <w:p w:rsidR="001555EA" w:rsidRPr="00755F22" w:rsidRDefault="001555EA" w:rsidP="00831CA9">
          <w:pPr>
            <w:keepLines/>
            <w:rPr>
              <w:sz w:val="22"/>
              <w:lang w:val="fr-CA"/>
            </w:rPr>
          </w:pPr>
          <w:r w:rsidRPr="00755F22">
            <w:rPr>
              <w:sz w:val="22"/>
              <w:lang w:val="fr-CA"/>
            </w:rPr>
            <w:t>TAXATION DES DÉPENS</w:t>
          </w:r>
        </w:p>
      </w:tc>
    </w:tr>
  </w:tbl>
  <w:p w:rsidR="001555EA" w:rsidRDefault="001555EA" w:rsidP="00EB2B90">
    <w:pPr>
      <w:jc w:val="both"/>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555EA" w:rsidRPr="007C5A5B">
      <w:tc>
        <w:tcPr>
          <w:tcW w:w="4200" w:type="dxa"/>
          <w:tcMar>
            <w:left w:w="0" w:type="dxa"/>
            <w:right w:w="0" w:type="dxa"/>
          </w:tcMar>
        </w:tcPr>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555EA" w:rsidRPr="00B01A03" w:rsidRDefault="00155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555EA" w:rsidRPr="00B01A03"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555EA" w:rsidRPr="00B01A03"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1555EA" w:rsidRPr="007C5A5B" w:rsidTr="00245129">
      <w:tc>
        <w:tcPr>
          <w:tcW w:w="4200" w:type="dxa"/>
          <w:tcMar>
            <w:left w:w="0" w:type="dxa"/>
            <w:right w:w="0" w:type="dxa"/>
          </w:tcMar>
        </w:tcPr>
        <w:p w:rsidR="001555EA" w:rsidRPr="00F40249" w:rsidRDefault="001555E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555EA" w:rsidRDefault="001555EA" w:rsidP="00102926">
          <w:pPr>
            <w:keepNext/>
            <w:keepLines/>
            <w:tabs>
              <w:tab w:val="left" w:pos="-1440"/>
              <w:tab w:val="left" w:pos="-720"/>
            </w:tabs>
            <w:jc w:val="center"/>
            <w:rPr>
              <w:sz w:val="20"/>
              <w:szCs w:val="20"/>
            </w:rPr>
          </w:pPr>
        </w:p>
        <w:p w:rsidR="001555EA" w:rsidRDefault="001555EA" w:rsidP="00102926">
          <w:pPr>
            <w:keepNext/>
            <w:keepLines/>
            <w:tabs>
              <w:tab w:val="left" w:pos="-1440"/>
              <w:tab w:val="left" w:pos="-720"/>
            </w:tabs>
            <w:jc w:val="center"/>
            <w:rPr>
              <w:sz w:val="20"/>
              <w:szCs w:val="20"/>
            </w:rPr>
          </w:pPr>
        </w:p>
        <w:p w:rsidR="001555EA" w:rsidRPr="00F40249" w:rsidRDefault="001555EA" w:rsidP="00102926">
          <w:pPr>
            <w:keepNext/>
            <w:keepLines/>
            <w:tabs>
              <w:tab w:val="left" w:pos="-1440"/>
              <w:tab w:val="left" w:pos="-720"/>
            </w:tabs>
            <w:jc w:val="center"/>
            <w:rPr>
              <w:sz w:val="20"/>
              <w:szCs w:val="20"/>
            </w:rPr>
          </w:pPr>
        </w:p>
      </w:tc>
      <w:tc>
        <w:tcPr>
          <w:tcW w:w="4230" w:type="dxa"/>
          <w:tcMar>
            <w:left w:w="0" w:type="dxa"/>
            <w:right w:w="0" w:type="dxa"/>
          </w:tcMar>
        </w:tcPr>
        <w:p w:rsidR="001555EA" w:rsidRPr="00F40249" w:rsidRDefault="001555E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555EA" w:rsidRPr="00B01A03" w:rsidRDefault="001555E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555EA" w:rsidRPr="007C5A5B">
      <w:tc>
        <w:tcPr>
          <w:tcW w:w="4200" w:type="dxa"/>
          <w:tcMar>
            <w:left w:w="0" w:type="dxa"/>
            <w:right w:w="0" w:type="dxa"/>
          </w:tcMar>
        </w:tcPr>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555EA" w:rsidRPr="003C2C0F" w:rsidRDefault="00155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555EA" w:rsidRPr="003C2C0F"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555EA" w:rsidRPr="003C2C0F"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555EA" w:rsidRPr="007C5A5B" w:rsidTr="00245129">
      <w:tc>
        <w:tcPr>
          <w:tcW w:w="4200" w:type="dxa"/>
          <w:tcMar>
            <w:left w:w="0" w:type="dxa"/>
            <w:right w:w="0" w:type="dxa"/>
          </w:tcMar>
        </w:tcPr>
        <w:p w:rsidR="001555EA" w:rsidRPr="00FF6EEC" w:rsidRDefault="001555EA" w:rsidP="00FF6EEC">
          <w:pPr>
            <w:rPr>
              <w:sz w:val="20"/>
              <w:szCs w:val="20"/>
            </w:rPr>
          </w:pPr>
          <w:r w:rsidRPr="00FF6EEC">
            <w:rPr>
              <w:sz w:val="20"/>
              <w:szCs w:val="20"/>
            </w:rPr>
            <w:t>PRONOUNCEMENTS OF APPEALS RESERVED</w:t>
          </w:r>
        </w:p>
      </w:tc>
      <w:tc>
        <w:tcPr>
          <w:tcW w:w="1200" w:type="dxa"/>
          <w:tcMar>
            <w:left w:w="0" w:type="dxa"/>
            <w:right w:w="0" w:type="dxa"/>
          </w:tcMar>
        </w:tcPr>
        <w:p w:rsidR="001555EA" w:rsidRPr="00FF6EEC" w:rsidRDefault="001555EA" w:rsidP="00FF6EEC">
          <w:pPr>
            <w:jc w:val="center"/>
            <w:rPr>
              <w:sz w:val="20"/>
              <w:szCs w:val="20"/>
            </w:rPr>
          </w:pPr>
        </w:p>
        <w:p w:rsidR="001555EA" w:rsidRPr="00FF6EEC" w:rsidRDefault="001555EA" w:rsidP="00FF6EEC">
          <w:pPr>
            <w:jc w:val="center"/>
            <w:rPr>
              <w:sz w:val="20"/>
              <w:szCs w:val="20"/>
            </w:rPr>
          </w:pPr>
        </w:p>
        <w:p w:rsidR="001555EA" w:rsidRPr="00FF6EEC" w:rsidRDefault="001555EA" w:rsidP="00FF6EEC">
          <w:pPr>
            <w:jc w:val="center"/>
            <w:rPr>
              <w:sz w:val="20"/>
              <w:szCs w:val="20"/>
            </w:rPr>
          </w:pPr>
        </w:p>
      </w:tc>
      <w:tc>
        <w:tcPr>
          <w:tcW w:w="4080" w:type="dxa"/>
          <w:tcMar>
            <w:left w:w="0" w:type="dxa"/>
            <w:right w:w="0" w:type="dxa"/>
          </w:tcMar>
        </w:tcPr>
        <w:p w:rsidR="001555EA" w:rsidRPr="00FF6EEC" w:rsidRDefault="001555EA" w:rsidP="00FF6EEC">
          <w:pPr>
            <w:rPr>
              <w:sz w:val="20"/>
              <w:szCs w:val="20"/>
              <w:lang w:val="fr-CA"/>
            </w:rPr>
          </w:pPr>
          <w:r w:rsidRPr="00FF6EEC">
            <w:rPr>
              <w:sz w:val="20"/>
              <w:szCs w:val="20"/>
              <w:lang w:val="fr-CA"/>
            </w:rPr>
            <w:t>JUGEMENTS RENDUS SUR LES APPELS EN DÉLIBÉRÉ</w:t>
          </w:r>
        </w:p>
      </w:tc>
    </w:tr>
  </w:tbl>
  <w:p w:rsidR="001555EA" w:rsidRPr="003C2C0F" w:rsidRDefault="001555E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555EA">
      <w:tc>
        <w:tcPr>
          <w:tcW w:w="4230" w:type="dxa"/>
          <w:tcMar>
            <w:left w:w="0" w:type="dxa"/>
            <w:right w:w="0" w:type="dxa"/>
          </w:tcMar>
        </w:tcPr>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555EA" w:rsidRDefault="00155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555EA"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555EA" w:rsidRPr="00782AE4" w:rsidTr="00245129">
      <w:tc>
        <w:tcPr>
          <w:tcW w:w="4230" w:type="dxa"/>
          <w:tcMar>
            <w:left w:w="0" w:type="dxa"/>
            <w:right w:w="0" w:type="dxa"/>
          </w:tcMar>
        </w:tcPr>
        <w:p w:rsidR="001555EA" w:rsidRPr="00782AE4" w:rsidRDefault="001555EA" w:rsidP="00102926">
          <w:pPr>
            <w:keepNext/>
            <w:keepLines/>
            <w:tabs>
              <w:tab w:val="left" w:pos="-1440"/>
              <w:tab w:val="left" w:pos="-720"/>
            </w:tabs>
            <w:rPr>
              <w:sz w:val="20"/>
              <w:szCs w:val="20"/>
            </w:rPr>
          </w:pPr>
          <w:r w:rsidRPr="00782AE4">
            <w:rPr>
              <w:sz w:val="20"/>
              <w:szCs w:val="20"/>
            </w:rPr>
            <w:t xml:space="preserve">HEADNOTES OF RECENT </w:t>
          </w:r>
        </w:p>
        <w:p w:rsidR="001555EA" w:rsidRPr="00782AE4"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555EA" w:rsidRDefault="001555EA" w:rsidP="00102926">
          <w:pPr>
            <w:keepNext/>
            <w:keepLines/>
            <w:tabs>
              <w:tab w:val="left" w:pos="-1440"/>
              <w:tab w:val="left" w:pos="-720"/>
            </w:tabs>
            <w:jc w:val="center"/>
            <w:rPr>
              <w:sz w:val="20"/>
              <w:szCs w:val="20"/>
            </w:rPr>
          </w:pPr>
        </w:p>
        <w:p w:rsidR="001555EA" w:rsidRDefault="001555EA" w:rsidP="00102926">
          <w:pPr>
            <w:keepNext/>
            <w:keepLines/>
            <w:tabs>
              <w:tab w:val="left" w:pos="-1440"/>
              <w:tab w:val="left" w:pos="-720"/>
            </w:tabs>
            <w:jc w:val="center"/>
            <w:rPr>
              <w:sz w:val="20"/>
              <w:szCs w:val="20"/>
            </w:rPr>
          </w:pPr>
        </w:p>
        <w:p w:rsidR="001555EA" w:rsidRPr="00782AE4" w:rsidRDefault="001555EA" w:rsidP="00102926">
          <w:pPr>
            <w:keepNext/>
            <w:keepLines/>
            <w:tabs>
              <w:tab w:val="left" w:pos="-1440"/>
              <w:tab w:val="left" w:pos="-720"/>
            </w:tabs>
            <w:jc w:val="center"/>
            <w:rPr>
              <w:sz w:val="20"/>
              <w:szCs w:val="20"/>
            </w:rPr>
          </w:pPr>
        </w:p>
      </w:tc>
      <w:tc>
        <w:tcPr>
          <w:tcW w:w="4080" w:type="dxa"/>
          <w:tcMar>
            <w:left w:w="0" w:type="dxa"/>
            <w:right w:w="0" w:type="dxa"/>
          </w:tcMar>
        </w:tcPr>
        <w:p w:rsidR="001555EA" w:rsidRPr="00102926"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555EA" w:rsidRPr="00782AE4" w:rsidRDefault="001555EA" w:rsidP="00102926">
          <w:pPr>
            <w:keepLines/>
            <w:tabs>
              <w:tab w:val="left" w:pos="-1440"/>
              <w:tab w:val="left" w:pos="-720"/>
            </w:tabs>
            <w:rPr>
              <w:sz w:val="20"/>
              <w:szCs w:val="20"/>
            </w:rPr>
          </w:pPr>
          <w:r w:rsidRPr="00102926">
            <w:rPr>
              <w:sz w:val="20"/>
              <w:szCs w:val="20"/>
              <w:lang w:val="fr-CA"/>
            </w:rPr>
            <w:t>RÉCENTS</w:t>
          </w:r>
        </w:p>
      </w:tc>
    </w:tr>
  </w:tbl>
  <w:p w:rsidR="001555EA" w:rsidRDefault="001555E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1555EA" w:rsidRPr="0044776A" w:rsidTr="00245129">
      <w:tc>
        <w:tcPr>
          <w:tcW w:w="4290" w:type="dxa"/>
          <w:tcMar>
            <w:left w:w="0" w:type="dxa"/>
            <w:right w:w="0" w:type="dxa"/>
          </w:tcMar>
        </w:tcPr>
        <w:p w:rsidR="001555EA" w:rsidRPr="0044776A" w:rsidRDefault="001555E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555EA" w:rsidRPr="0044776A" w:rsidRDefault="001555EA" w:rsidP="002E2327">
          <w:pPr>
            <w:keepNext/>
            <w:keepLines/>
            <w:tabs>
              <w:tab w:val="left" w:pos="-1440"/>
              <w:tab w:val="left" w:pos="-720"/>
            </w:tabs>
            <w:jc w:val="center"/>
            <w:rPr>
              <w:sz w:val="20"/>
              <w:szCs w:val="20"/>
            </w:rPr>
          </w:pPr>
        </w:p>
        <w:p w:rsidR="001555EA" w:rsidRPr="0044776A" w:rsidRDefault="001555EA" w:rsidP="002E2327">
          <w:pPr>
            <w:keepNext/>
            <w:keepLines/>
            <w:tabs>
              <w:tab w:val="left" w:pos="-1440"/>
              <w:tab w:val="left" w:pos="-720"/>
            </w:tabs>
            <w:jc w:val="center"/>
            <w:rPr>
              <w:sz w:val="20"/>
              <w:szCs w:val="20"/>
            </w:rPr>
          </w:pPr>
        </w:p>
        <w:p w:rsidR="001555EA" w:rsidRPr="0044776A" w:rsidRDefault="001555EA" w:rsidP="002E2327">
          <w:pPr>
            <w:keepNext/>
            <w:keepLines/>
            <w:tabs>
              <w:tab w:val="left" w:pos="-1440"/>
              <w:tab w:val="left" w:pos="-720"/>
            </w:tabs>
            <w:jc w:val="center"/>
            <w:rPr>
              <w:sz w:val="20"/>
              <w:szCs w:val="20"/>
            </w:rPr>
          </w:pPr>
        </w:p>
      </w:tc>
      <w:tc>
        <w:tcPr>
          <w:tcW w:w="4320" w:type="dxa"/>
          <w:tcMar>
            <w:left w:w="0" w:type="dxa"/>
            <w:right w:w="0" w:type="dxa"/>
          </w:tcMar>
        </w:tcPr>
        <w:p w:rsidR="001555EA" w:rsidRPr="0044776A" w:rsidRDefault="001555EA" w:rsidP="002E2327">
          <w:pPr>
            <w:keepLines/>
            <w:rPr>
              <w:sz w:val="20"/>
              <w:szCs w:val="20"/>
              <w:lang w:val="fr-CA"/>
            </w:rPr>
          </w:pPr>
          <w:r w:rsidRPr="0044776A">
            <w:rPr>
              <w:sz w:val="20"/>
              <w:szCs w:val="20"/>
              <w:lang w:val="fr-CA"/>
            </w:rPr>
            <w:t>DEMANDES D'AUTORISATION D'APPEL DÉPOSÉES</w:t>
          </w:r>
        </w:p>
      </w:tc>
    </w:tr>
  </w:tbl>
  <w:p w:rsidR="001555EA" w:rsidRDefault="001555E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555EA" w:rsidRPr="007C5A5B" w:rsidTr="00245129">
      <w:tc>
        <w:tcPr>
          <w:tcW w:w="4200" w:type="dxa"/>
          <w:tcMar>
            <w:left w:w="0" w:type="dxa"/>
            <w:right w:w="0" w:type="dxa"/>
          </w:tcMar>
        </w:tcPr>
        <w:p w:rsidR="001555EA" w:rsidRPr="0044776A" w:rsidRDefault="001555EA" w:rsidP="0044776A">
          <w:pPr>
            <w:keepNext/>
            <w:keepLines/>
            <w:widowControl w:val="0"/>
            <w:rPr>
              <w:sz w:val="20"/>
              <w:szCs w:val="20"/>
            </w:rPr>
          </w:pPr>
          <w:r>
            <w:rPr>
              <w:sz w:val="20"/>
              <w:szCs w:val="20"/>
            </w:rPr>
            <w:t>APPLICATIONS FOR LEAVE</w:t>
          </w:r>
        </w:p>
        <w:p w:rsidR="001555EA" w:rsidRPr="0044776A" w:rsidRDefault="001555E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555EA" w:rsidRPr="0044776A" w:rsidRDefault="001555EA" w:rsidP="0044776A">
          <w:pPr>
            <w:keepNext/>
            <w:keepLines/>
            <w:widowControl w:val="0"/>
            <w:jc w:val="center"/>
            <w:rPr>
              <w:sz w:val="20"/>
              <w:szCs w:val="20"/>
            </w:rPr>
          </w:pPr>
        </w:p>
        <w:p w:rsidR="001555EA" w:rsidRPr="0044776A" w:rsidRDefault="001555EA" w:rsidP="0044776A">
          <w:pPr>
            <w:keepNext/>
            <w:keepLines/>
            <w:widowControl w:val="0"/>
            <w:jc w:val="center"/>
            <w:rPr>
              <w:sz w:val="20"/>
              <w:szCs w:val="20"/>
            </w:rPr>
          </w:pPr>
        </w:p>
        <w:p w:rsidR="001555EA" w:rsidRPr="0044776A" w:rsidRDefault="001555EA" w:rsidP="0044776A">
          <w:pPr>
            <w:keepNext/>
            <w:keepLines/>
            <w:widowControl w:val="0"/>
            <w:jc w:val="center"/>
            <w:rPr>
              <w:sz w:val="20"/>
              <w:szCs w:val="20"/>
            </w:rPr>
          </w:pPr>
        </w:p>
      </w:tc>
      <w:tc>
        <w:tcPr>
          <w:tcW w:w="4080" w:type="dxa"/>
          <w:tcMar>
            <w:left w:w="0" w:type="dxa"/>
            <w:right w:w="0" w:type="dxa"/>
          </w:tcMar>
        </w:tcPr>
        <w:p w:rsidR="001555EA" w:rsidRPr="0044776A" w:rsidRDefault="001555EA" w:rsidP="0044776A">
          <w:pPr>
            <w:keepLines/>
            <w:widowControl w:val="0"/>
            <w:rPr>
              <w:sz w:val="20"/>
              <w:szCs w:val="20"/>
              <w:lang w:val="fr-CA"/>
            </w:rPr>
          </w:pPr>
          <w:r w:rsidRPr="0044776A">
            <w:rPr>
              <w:sz w:val="20"/>
              <w:szCs w:val="20"/>
              <w:lang w:val="fr-CA"/>
            </w:rPr>
            <w:t>DEMANDES SOUMISES À LA COUR DEPUIS LA DERNIÈRE PARUTION</w:t>
          </w:r>
        </w:p>
        <w:p w:rsidR="001555EA" w:rsidRPr="0044776A" w:rsidRDefault="001555EA" w:rsidP="0044776A">
          <w:pPr>
            <w:widowControl w:val="0"/>
            <w:rPr>
              <w:sz w:val="20"/>
              <w:szCs w:val="20"/>
              <w:lang w:val="fr-CA"/>
            </w:rPr>
          </w:pPr>
        </w:p>
      </w:tc>
    </w:tr>
  </w:tbl>
  <w:p w:rsidR="001555EA" w:rsidRPr="002E2327" w:rsidRDefault="001555EA">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EA" w:rsidRDefault="001555E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555EA" w:rsidRPr="007C5A5B">
      <w:tc>
        <w:tcPr>
          <w:tcW w:w="4200" w:type="dxa"/>
          <w:tcMar>
            <w:left w:w="0" w:type="dxa"/>
            <w:right w:w="0" w:type="dxa"/>
          </w:tcMar>
        </w:tcPr>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555EA"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555EA" w:rsidRDefault="00155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555EA" w:rsidRPr="00FF6BA5" w:rsidRDefault="00155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555EA" w:rsidRPr="00FF6BA5"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555EA" w:rsidRPr="00FF6BA5"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555EA" w:rsidRPr="00FF6BA5" w:rsidRDefault="0015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555EA" w:rsidRPr="007C5A5B" w:rsidTr="00245129">
      <w:tc>
        <w:tcPr>
          <w:tcW w:w="4200" w:type="dxa"/>
          <w:tcMar>
            <w:left w:w="0" w:type="dxa"/>
            <w:right w:w="0" w:type="dxa"/>
          </w:tcMar>
        </w:tcPr>
        <w:p w:rsidR="001555EA" w:rsidRPr="00755F22"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555EA" w:rsidRPr="00755F22" w:rsidRDefault="00155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555EA" w:rsidRPr="00755F22" w:rsidRDefault="001555E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555EA" w:rsidRPr="00755F22" w:rsidRDefault="001555E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555EA" w:rsidRPr="00755F22" w:rsidRDefault="001555E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555EA" w:rsidRPr="00755F22" w:rsidRDefault="00155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555EA" w:rsidRPr="00FF6BA5" w:rsidRDefault="001555EA"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D80B2A"/>
    <w:multiLevelType w:val="hybridMultilevel"/>
    <w:tmpl w:val="D8C0EE84"/>
    <w:lvl w:ilvl="0" w:tplc="1CC40C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0F1DA2"/>
    <w:multiLevelType w:val="hybridMultilevel"/>
    <w:tmpl w:val="E60C11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9025AA"/>
    <w:multiLevelType w:val="hybridMultilevel"/>
    <w:tmpl w:val="25545F8A"/>
    <w:lvl w:ilvl="0" w:tplc="1009000F">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3C3778"/>
    <w:multiLevelType w:val="hybridMultilevel"/>
    <w:tmpl w:val="5890E98C"/>
    <w:lvl w:ilvl="0" w:tplc="454AAC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9461B2"/>
    <w:multiLevelType w:val="hybridMultilevel"/>
    <w:tmpl w:val="5C1C08F6"/>
    <w:lvl w:ilvl="0" w:tplc="4E7071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182F66"/>
    <w:multiLevelType w:val="hybridMultilevel"/>
    <w:tmpl w:val="8A9E4F70"/>
    <w:lvl w:ilvl="0" w:tplc="EC7E5A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2B70D6"/>
    <w:multiLevelType w:val="hybridMultilevel"/>
    <w:tmpl w:val="2E04DFC4"/>
    <w:lvl w:ilvl="0" w:tplc="3C226F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FB32CC"/>
    <w:multiLevelType w:val="hybridMultilevel"/>
    <w:tmpl w:val="0CB4D5B8"/>
    <w:lvl w:ilvl="0" w:tplc="501CBE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4AA4A86"/>
    <w:multiLevelType w:val="hybridMultilevel"/>
    <w:tmpl w:val="993E5A7E"/>
    <w:lvl w:ilvl="0" w:tplc="B1AEFB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8F525E"/>
    <w:multiLevelType w:val="hybridMultilevel"/>
    <w:tmpl w:val="BAD4F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5F746E"/>
    <w:multiLevelType w:val="hybridMultilevel"/>
    <w:tmpl w:val="849A9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264596A"/>
    <w:multiLevelType w:val="hybridMultilevel"/>
    <w:tmpl w:val="22AA598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nsid w:val="39EA1357"/>
    <w:multiLevelType w:val="hybridMultilevel"/>
    <w:tmpl w:val="55BC95A0"/>
    <w:lvl w:ilvl="0" w:tplc="A97098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A4D528E"/>
    <w:multiLevelType w:val="hybridMultilevel"/>
    <w:tmpl w:val="E0723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2D5E2B"/>
    <w:multiLevelType w:val="hybridMultilevel"/>
    <w:tmpl w:val="B6B82EB4"/>
    <w:lvl w:ilvl="0" w:tplc="007284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FE45B69"/>
    <w:multiLevelType w:val="hybridMultilevel"/>
    <w:tmpl w:val="1EC6DDD4"/>
    <w:lvl w:ilvl="0" w:tplc="EBE8E3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1437680"/>
    <w:multiLevelType w:val="hybridMultilevel"/>
    <w:tmpl w:val="B5B8FF12"/>
    <w:lvl w:ilvl="0" w:tplc="5156BD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44C69CD"/>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56F6FB0"/>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AAB3819"/>
    <w:multiLevelType w:val="hybridMultilevel"/>
    <w:tmpl w:val="54D261EC"/>
    <w:lvl w:ilvl="0" w:tplc="2C52D038">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AB535DD"/>
    <w:multiLevelType w:val="hybridMultilevel"/>
    <w:tmpl w:val="5F1AC1BA"/>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5A589A"/>
    <w:multiLevelType w:val="hybridMultilevel"/>
    <w:tmpl w:val="AAF06C6C"/>
    <w:lvl w:ilvl="0" w:tplc="3D3C83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FF953B2"/>
    <w:multiLevelType w:val="hybridMultilevel"/>
    <w:tmpl w:val="1AA6C856"/>
    <w:lvl w:ilvl="0" w:tplc="6FC428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2141AE0"/>
    <w:multiLevelType w:val="hybridMultilevel"/>
    <w:tmpl w:val="6304EF08"/>
    <w:lvl w:ilvl="0" w:tplc="C60AF8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2DA3051"/>
    <w:multiLevelType w:val="hybridMultilevel"/>
    <w:tmpl w:val="8D9AF3F4"/>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57D726F"/>
    <w:multiLevelType w:val="hybridMultilevel"/>
    <w:tmpl w:val="B4A81B10"/>
    <w:lvl w:ilvl="0" w:tplc="F3FC8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7E0DCA"/>
    <w:multiLevelType w:val="hybridMultilevel"/>
    <w:tmpl w:val="65C47D0E"/>
    <w:lvl w:ilvl="0" w:tplc="28D83EA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C156D05"/>
    <w:multiLevelType w:val="hybridMultilevel"/>
    <w:tmpl w:val="54D261EC"/>
    <w:lvl w:ilvl="0" w:tplc="2C52D038">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E580FBD"/>
    <w:multiLevelType w:val="hybridMultilevel"/>
    <w:tmpl w:val="00F6367A"/>
    <w:lvl w:ilvl="0" w:tplc="4D96F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412624B"/>
    <w:multiLevelType w:val="hybridMultilevel"/>
    <w:tmpl w:val="3BA486CA"/>
    <w:lvl w:ilvl="0" w:tplc="B934B4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A4822D8"/>
    <w:multiLevelType w:val="hybridMultilevel"/>
    <w:tmpl w:val="F432B6C0"/>
    <w:lvl w:ilvl="0" w:tplc="938008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8C44BE"/>
    <w:multiLevelType w:val="hybridMultilevel"/>
    <w:tmpl w:val="F7AC067C"/>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FBD78E4"/>
    <w:multiLevelType w:val="hybridMultilevel"/>
    <w:tmpl w:val="31FAB23E"/>
    <w:lvl w:ilvl="0" w:tplc="BEEC02F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43F709A"/>
    <w:multiLevelType w:val="hybridMultilevel"/>
    <w:tmpl w:val="48F0A0F2"/>
    <w:lvl w:ilvl="0" w:tplc="64603C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510292C"/>
    <w:multiLevelType w:val="hybridMultilevel"/>
    <w:tmpl w:val="8C701B92"/>
    <w:lvl w:ilvl="0" w:tplc="75F0DD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A9F0333"/>
    <w:multiLevelType w:val="multilevel"/>
    <w:tmpl w:val="670244D6"/>
    <w:name w:val="zzmpSCCdocumen||SCC documents|3|4|1|1|2|0||1|2|0||1|2|0||1|2|0||1|2|0||mpNA||mpNA||mpNA||mpNA||"/>
    <w:lvl w:ilvl="0">
      <w:start w:val="1"/>
      <w:numFmt w:val="none"/>
      <w:pStyle w:val="SCCdocumenL1"/>
      <w:lvlText w:val=""/>
      <w:lvlJc w:val="left"/>
      <w:pPr>
        <w:tabs>
          <w:tab w:val="num" w:pos="1440"/>
        </w:tabs>
        <w:ind w:left="720" w:firstLine="0"/>
      </w:pPr>
      <w:rPr>
        <w:rFonts w:ascii="Arial" w:hAnsi="Arial" w:cs="Arial"/>
        <w:b w:val="0"/>
        <w:i w:val="0"/>
        <w:caps w:val="0"/>
        <w:color w:val="auto"/>
        <w:sz w:val="24"/>
        <w:u w:val="none"/>
      </w:rPr>
    </w:lvl>
    <w:lvl w:ilvl="1">
      <w:start w:val="1"/>
      <w:numFmt w:val="decimal"/>
      <w:pStyle w:val="SCCdocumenL2"/>
      <w:lvlText w:val="%2."/>
      <w:lvlJc w:val="left"/>
      <w:pPr>
        <w:tabs>
          <w:tab w:val="num" w:pos="1440"/>
        </w:tabs>
        <w:ind w:left="720" w:firstLine="0"/>
      </w:pPr>
      <w:rPr>
        <w:rFonts w:ascii="Arial" w:hAnsi="Arial" w:cs="Arial"/>
        <w:b w:val="0"/>
        <w:i w:val="0"/>
        <w:caps w:val="0"/>
        <w:color w:val="auto"/>
        <w:sz w:val="24"/>
        <w:u w:val="none"/>
      </w:rPr>
    </w:lvl>
    <w:lvl w:ilvl="2">
      <w:start w:val="1"/>
      <w:numFmt w:val="lowerLetter"/>
      <w:pStyle w:val="SCCdocumenL3"/>
      <w:lvlText w:val="(%3)"/>
      <w:lvlJc w:val="left"/>
      <w:pPr>
        <w:tabs>
          <w:tab w:val="num" w:pos="2160"/>
        </w:tabs>
        <w:ind w:left="2160" w:hanging="720"/>
      </w:pPr>
      <w:rPr>
        <w:rFonts w:ascii="Arial" w:hAnsi="Arial" w:cs="Arial"/>
        <w:b w:val="0"/>
        <w:i w:val="0"/>
        <w:caps w:val="0"/>
        <w:color w:val="auto"/>
        <w:sz w:val="24"/>
        <w:u w:val="none"/>
      </w:rPr>
    </w:lvl>
    <w:lvl w:ilvl="3">
      <w:start w:val="1"/>
      <w:numFmt w:val="lowerRoman"/>
      <w:pStyle w:val="SCCdocumenL4"/>
      <w:lvlText w:val="(%4)"/>
      <w:lvlJc w:val="left"/>
      <w:pPr>
        <w:tabs>
          <w:tab w:val="num" w:pos="2880"/>
        </w:tabs>
        <w:ind w:left="2880" w:hanging="720"/>
      </w:pPr>
      <w:rPr>
        <w:rFonts w:ascii="Arial" w:hAnsi="Arial" w:cs="Arial"/>
        <w:b w:val="0"/>
        <w:i w:val="0"/>
        <w:caps w:val="0"/>
        <w:color w:val="auto"/>
        <w:sz w:val="24"/>
        <w:u w:val="none"/>
      </w:rPr>
    </w:lvl>
    <w:lvl w:ilvl="4">
      <w:start w:val="1"/>
      <w:numFmt w:val="none"/>
      <w:lvlRestart w:val="0"/>
      <w:pStyle w:val="SCCdocumenL5"/>
      <w:lvlText w:val=""/>
      <w:lvlJc w:val="left"/>
      <w:pPr>
        <w:tabs>
          <w:tab w:val="num" w:pos="1440"/>
        </w:tabs>
        <w:ind w:left="1440" w:hanging="720"/>
      </w:pPr>
      <w:rPr>
        <w:rFonts w:ascii="Arial" w:hAnsi="Arial" w:cs="Arial"/>
        <w:b w:val="0"/>
        <w:i w:val="0"/>
        <w:caps w:val="0"/>
        <w:color w:val="auto"/>
        <w:sz w:val="24"/>
        <w:u w:val="none"/>
      </w:rPr>
    </w:lvl>
    <w:lvl w:ilvl="5">
      <w:start w:val="1"/>
      <w:numFmt w:val="decimal"/>
      <w:lvlText w:val="%6)"/>
      <w:lvlJc w:val="left"/>
      <w:pPr>
        <w:tabs>
          <w:tab w:val="num" w:pos="6480"/>
        </w:tabs>
        <w:ind w:left="6480" w:hanging="720"/>
      </w:pPr>
      <w:rPr>
        <w:rFonts w:ascii="Arial" w:hAnsi="Arial" w:cs="Arial"/>
        <w:b w:val="0"/>
        <w:i w:val="0"/>
        <w:caps w:val="0"/>
        <w:color w:val="auto"/>
        <w:sz w:val="24"/>
        <w:u w:val="none"/>
      </w:rPr>
    </w:lvl>
    <w:lvl w:ilvl="6">
      <w:start w:val="1"/>
      <w:numFmt w:val="decimal"/>
      <w:lvlText w:val="%7)"/>
      <w:lvlJc w:val="left"/>
      <w:pPr>
        <w:tabs>
          <w:tab w:val="num" w:pos="6480"/>
        </w:tabs>
        <w:ind w:left="6480" w:hanging="720"/>
      </w:pPr>
      <w:rPr>
        <w:rFonts w:ascii="Arial" w:hAnsi="Arial" w:cs="Arial"/>
        <w:b w:val="0"/>
        <w:i w:val="0"/>
        <w:caps w:val="0"/>
        <w:color w:val="auto"/>
        <w:sz w:val="24"/>
        <w:u w:val="none"/>
      </w:rPr>
    </w:lvl>
    <w:lvl w:ilvl="7">
      <w:start w:val="1"/>
      <w:numFmt w:val="decimal"/>
      <w:lvlText w:val="%8)"/>
      <w:lvlJc w:val="left"/>
      <w:pPr>
        <w:tabs>
          <w:tab w:val="num" w:pos="6480"/>
        </w:tabs>
        <w:ind w:left="6480" w:hanging="720"/>
      </w:pPr>
      <w:rPr>
        <w:rFonts w:ascii="Arial" w:hAnsi="Arial" w:cs="Arial"/>
        <w:b w:val="0"/>
        <w:i w:val="0"/>
        <w:caps w:val="0"/>
        <w:color w:val="auto"/>
        <w:sz w:val="24"/>
        <w:u w:val="none"/>
      </w:rPr>
    </w:lvl>
    <w:lvl w:ilvl="8">
      <w:start w:val="1"/>
      <w:numFmt w:val="lowerRoman"/>
      <w:lvlText w:val="(%9)"/>
      <w:lvlJc w:val="left"/>
      <w:pPr>
        <w:tabs>
          <w:tab w:val="num" w:pos="7200"/>
        </w:tabs>
        <w:ind w:left="7200" w:hanging="720"/>
      </w:pPr>
      <w:rPr>
        <w:rFonts w:ascii="Arial" w:hAnsi="Arial" w:cs="Arial"/>
        <w:b w:val="0"/>
        <w:i w:val="0"/>
        <w:caps w:val="0"/>
        <w:color w:val="auto"/>
        <w:u w:val="none"/>
      </w:rPr>
    </w:lvl>
  </w:abstractNum>
  <w:num w:numId="1">
    <w:abstractNumId w:val="12"/>
  </w:num>
  <w:num w:numId="2">
    <w:abstractNumId w:val="27"/>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18"/>
  </w:num>
  <w:num w:numId="10">
    <w:abstractNumId w:val="23"/>
  </w:num>
  <w:num w:numId="11">
    <w:abstractNumId w:val="21"/>
  </w:num>
  <w:num w:numId="12">
    <w:abstractNumId w:val="30"/>
  </w:num>
  <w:num w:numId="13">
    <w:abstractNumId w:val="37"/>
  </w:num>
  <w:num w:numId="14">
    <w:abstractNumId w:val="0"/>
  </w:num>
  <w:num w:numId="15">
    <w:abstractNumId w:val="38"/>
  </w:num>
  <w:num w:numId="16">
    <w:abstractNumId w:val="34"/>
  </w:num>
  <w:num w:numId="17">
    <w:abstractNumId w:val="22"/>
  </w:num>
  <w:num w:numId="18">
    <w:abstractNumId w:val="26"/>
  </w:num>
  <w:num w:numId="19">
    <w:abstractNumId w:val="3"/>
  </w:num>
  <w:num w:numId="20">
    <w:abstractNumId w:val="19"/>
  </w:num>
  <w:num w:numId="21">
    <w:abstractNumId w:val="20"/>
  </w:num>
  <w:num w:numId="22">
    <w:abstractNumId w:val="11"/>
  </w:num>
  <w:num w:numId="23">
    <w:abstractNumId w:val="2"/>
  </w:num>
  <w:num w:numId="24">
    <w:abstractNumId w:val="15"/>
  </w:num>
  <w:num w:numId="25">
    <w:abstractNumId w:val="10"/>
  </w:num>
  <w:num w:numId="26">
    <w:abstractNumId w:val="9"/>
  </w:num>
  <w:num w:numId="27">
    <w:abstractNumId w:val="24"/>
  </w:num>
  <w:num w:numId="28">
    <w:abstractNumId w:val="8"/>
  </w:num>
  <w:num w:numId="29">
    <w:abstractNumId w:val="35"/>
  </w:num>
  <w:num w:numId="30">
    <w:abstractNumId w:val="28"/>
  </w:num>
  <w:num w:numId="31">
    <w:abstractNumId w:val="31"/>
  </w:num>
  <w:num w:numId="32">
    <w:abstractNumId w:val="7"/>
  </w:num>
  <w:num w:numId="33">
    <w:abstractNumId w:val="32"/>
  </w:num>
  <w:num w:numId="34">
    <w:abstractNumId w:val="36"/>
  </w:num>
  <w:num w:numId="35">
    <w:abstractNumId w:val="17"/>
  </w:num>
  <w:num w:numId="36">
    <w:abstractNumId w:val="14"/>
  </w:num>
  <w:num w:numId="37">
    <w:abstractNumId w:val="29"/>
  </w:num>
  <w:num w:numId="38">
    <w:abstractNumId w:val="4"/>
  </w:num>
  <w:num w:numId="39">
    <w:abstractNumId w:val="25"/>
  </w:num>
  <w:num w:numId="40">
    <w:abstractNumId w:val="33"/>
  </w:num>
  <w:num w:numId="41">
    <w:abstractNumId w:val="1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82961"/>
  </w:hdrShapeDefaults>
  <w:footnotePr>
    <w:footnote w:id="-1"/>
    <w:footnote w:id="0"/>
  </w:footnotePr>
  <w:endnotePr>
    <w:endnote w:id="-1"/>
    <w:endnote w:id="0"/>
  </w:endnotePr>
  <w:compat/>
  <w:rsids>
    <w:rsidRoot w:val="00456EDC"/>
    <w:rsid w:val="0000227C"/>
    <w:rsid w:val="00010E77"/>
    <w:rsid w:val="000279F2"/>
    <w:rsid w:val="0003223B"/>
    <w:rsid w:val="000327B2"/>
    <w:rsid w:val="00050E29"/>
    <w:rsid w:val="00064713"/>
    <w:rsid w:val="00070750"/>
    <w:rsid w:val="0007151E"/>
    <w:rsid w:val="00091FA6"/>
    <w:rsid w:val="0009365C"/>
    <w:rsid w:val="00096BD9"/>
    <w:rsid w:val="000B3C9A"/>
    <w:rsid w:val="000B40A2"/>
    <w:rsid w:val="000B4624"/>
    <w:rsid w:val="000B60B2"/>
    <w:rsid w:val="000B7F35"/>
    <w:rsid w:val="000C0ACD"/>
    <w:rsid w:val="000C5CE8"/>
    <w:rsid w:val="000C7F74"/>
    <w:rsid w:val="000E2959"/>
    <w:rsid w:val="000E4492"/>
    <w:rsid w:val="000F0B60"/>
    <w:rsid w:val="00102926"/>
    <w:rsid w:val="00103D6B"/>
    <w:rsid w:val="00103FB1"/>
    <w:rsid w:val="0010587F"/>
    <w:rsid w:val="00111C6B"/>
    <w:rsid w:val="0012102B"/>
    <w:rsid w:val="0013369E"/>
    <w:rsid w:val="00143DCE"/>
    <w:rsid w:val="00147B6F"/>
    <w:rsid w:val="001542D3"/>
    <w:rsid w:val="001555EA"/>
    <w:rsid w:val="00156AAF"/>
    <w:rsid w:val="001619B1"/>
    <w:rsid w:val="00164E6D"/>
    <w:rsid w:val="00173C30"/>
    <w:rsid w:val="0018509F"/>
    <w:rsid w:val="00196D53"/>
    <w:rsid w:val="001B1162"/>
    <w:rsid w:val="001B157C"/>
    <w:rsid w:val="001B5C23"/>
    <w:rsid w:val="001D0D5F"/>
    <w:rsid w:val="001D6B8C"/>
    <w:rsid w:val="001D7E7E"/>
    <w:rsid w:val="001F1F83"/>
    <w:rsid w:val="001F40DF"/>
    <w:rsid w:val="002021A9"/>
    <w:rsid w:val="00203481"/>
    <w:rsid w:val="002139A7"/>
    <w:rsid w:val="00215F7C"/>
    <w:rsid w:val="0022323B"/>
    <w:rsid w:val="00224EBD"/>
    <w:rsid w:val="00233EED"/>
    <w:rsid w:val="002410B8"/>
    <w:rsid w:val="00242AEE"/>
    <w:rsid w:val="00244C4F"/>
    <w:rsid w:val="00245129"/>
    <w:rsid w:val="00245879"/>
    <w:rsid w:val="002468F2"/>
    <w:rsid w:val="0025352C"/>
    <w:rsid w:val="00267FD5"/>
    <w:rsid w:val="0027123C"/>
    <w:rsid w:val="00273D95"/>
    <w:rsid w:val="00274D34"/>
    <w:rsid w:val="00276610"/>
    <w:rsid w:val="00283ED8"/>
    <w:rsid w:val="002868D0"/>
    <w:rsid w:val="0028779B"/>
    <w:rsid w:val="002A008C"/>
    <w:rsid w:val="002A27D1"/>
    <w:rsid w:val="002A4AFA"/>
    <w:rsid w:val="002B1AA0"/>
    <w:rsid w:val="002B516C"/>
    <w:rsid w:val="002D72EB"/>
    <w:rsid w:val="002D7B0D"/>
    <w:rsid w:val="002E00D4"/>
    <w:rsid w:val="002E2327"/>
    <w:rsid w:val="002E3583"/>
    <w:rsid w:val="002E5576"/>
    <w:rsid w:val="002F4AA9"/>
    <w:rsid w:val="002F6768"/>
    <w:rsid w:val="00331B52"/>
    <w:rsid w:val="00332827"/>
    <w:rsid w:val="003359D3"/>
    <w:rsid w:val="00344637"/>
    <w:rsid w:val="00355967"/>
    <w:rsid w:val="00370D3B"/>
    <w:rsid w:val="00382C47"/>
    <w:rsid w:val="00384384"/>
    <w:rsid w:val="003866AE"/>
    <w:rsid w:val="00387EB5"/>
    <w:rsid w:val="003916B3"/>
    <w:rsid w:val="003B3977"/>
    <w:rsid w:val="003B5EFB"/>
    <w:rsid w:val="003C6B3A"/>
    <w:rsid w:val="003C6CD8"/>
    <w:rsid w:val="003E315A"/>
    <w:rsid w:val="003E3842"/>
    <w:rsid w:val="00405C03"/>
    <w:rsid w:val="004145A7"/>
    <w:rsid w:val="00432989"/>
    <w:rsid w:val="00440E24"/>
    <w:rsid w:val="0044776A"/>
    <w:rsid w:val="00450C1E"/>
    <w:rsid w:val="00456EDC"/>
    <w:rsid w:val="00460AFC"/>
    <w:rsid w:val="0047471F"/>
    <w:rsid w:val="004B195E"/>
    <w:rsid w:val="004B66B4"/>
    <w:rsid w:val="004B7F60"/>
    <w:rsid w:val="004C0B58"/>
    <w:rsid w:val="004C1AAC"/>
    <w:rsid w:val="004C36F4"/>
    <w:rsid w:val="004C70A1"/>
    <w:rsid w:val="004E1E0A"/>
    <w:rsid w:val="004F090E"/>
    <w:rsid w:val="004F3160"/>
    <w:rsid w:val="004F6A83"/>
    <w:rsid w:val="00503E17"/>
    <w:rsid w:val="005275D6"/>
    <w:rsid w:val="00527CC7"/>
    <w:rsid w:val="00533655"/>
    <w:rsid w:val="005356CB"/>
    <w:rsid w:val="00560066"/>
    <w:rsid w:val="00571CA4"/>
    <w:rsid w:val="00575457"/>
    <w:rsid w:val="00582136"/>
    <w:rsid w:val="005A3B96"/>
    <w:rsid w:val="005C6840"/>
    <w:rsid w:val="005D6428"/>
    <w:rsid w:val="005E3D99"/>
    <w:rsid w:val="005F263E"/>
    <w:rsid w:val="005F2BA7"/>
    <w:rsid w:val="00600252"/>
    <w:rsid w:val="00612A40"/>
    <w:rsid w:val="0062714A"/>
    <w:rsid w:val="00631AD7"/>
    <w:rsid w:val="006558BF"/>
    <w:rsid w:val="00670CA8"/>
    <w:rsid w:val="00675479"/>
    <w:rsid w:val="00680709"/>
    <w:rsid w:val="00696BF9"/>
    <w:rsid w:val="00697C62"/>
    <w:rsid w:val="006A329B"/>
    <w:rsid w:val="006A7EB8"/>
    <w:rsid w:val="006B6926"/>
    <w:rsid w:val="006C3F47"/>
    <w:rsid w:val="006C5F7A"/>
    <w:rsid w:val="006C72D1"/>
    <w:rsid w:val="006D6A2C"/>
    <w:rsid w:val="006E06AF"/>
    <w:rsid w:val="006F350F"/>
    <w:rsid w:val="006F7920"/>
    <w:rsid w:val="00717F1F"/>
    <w:rsid w:val="00732DB7"/>
    <w:rsid w:val="007353D2"/>
    <w:rsid w:val="0074238B"/>
    <w:rsid w:val="0074412E"/>
    <w:rsid w:val="00745EF7"/>
    <w:rsid w:val="00755F22"/>
    <w:rsid w:val="00766E4A"/>
    <w:rsid w:val="007820CE"/>
    <w:rsid w:val="00782AE4"/>
    <w:rsid w:val="0078346C"/>
    <w:rsid w:val="0079724F"/>
    <w:rsid w:val="007A3EAE"/>
    <w:rsid w:val="007A77F9"/>
    <w:rsid w:val="007C04FC"/>
    <w:rsid w:val="007C5A5B"/>
    <w:rsid w:val="007D3E0F"/>
    <w:rsid w:val="007D55A1"/>
    <w:rsid w:val="007E0C1B"/>
    <w:rsid w:val="007E4282"/>
    <w:rsid w:val="007F387B"/>
    <w:rsid w:val="00802863"/>
    <w:rsid w:val="00815B3C"/>
    <w:rsid w:val="0081610A"/>
    <w:rsid w:val="0082783A"/>
    <w:rsid w:val="00831CA9"/>
    <w:rsid w:val="0084013A"/>
    <w:rsid w:val="0084463A"/>
    <w:rsid w:val="00850E1F"/>
    <w:rsid w:val="0085476B"/>
    <w:rsid w:val="008636BE"/>
    <w:rsid w:val="008843DC"/>
    <w:rsid w:val="00890FEB"/>
    <w:rsid w:val="008A5C1A"/>
    <w:rsid w:val="008C3FB9"/>
    <w:rsid w:val="008D292F"/>
    <w:rsid w:val="008D3207"/>
    <w:rsid w:val="008D4AAB"/>
    <w:rsid w:val="008E03DC"/>
    <w:rsid w:val="008F10DB"/>
    <w:rsid w:val="00902E51"/>
    <w:rsid w:val="009064BE"/>
    <w:rsid w:val="009100FD"/>
    <w:rsid w:val="00911900"/>
    <w:rsid w:val="00912980"/>
    <w:rsid w:val="00924065"/>
    <w:rsid w:val="00927A68"/>
    <w:rsid w:val="00930D68"/>
    <w:rsid w:val="00932DB4"/>
    <w:rsid w:val="00941A4B"/>
    <w:rsid w:val="00946242"/>
    <w:rsid w:val="0095096B"/>
    <w:rsid w:val="0096326A"/>
    <w:rsid w:val="00970CD3"/>
    <w:rsid w:val="009723FA"/>
    <w:rsid w:val="00972B91"/>
    <w:rsid w:val="00984546"/>
    <w:rsid w:val="0098614E"/>
    <w:rsid w:val="00996510"/>
    <w:rsid w:val="009A7078"/>
    <w:rsid w:val="009D08C5"/>
    <w:rsid w:val="009D1F15"/>
    <w:rsid w:val="009D555E"/>
    <w:rsid w:val="009E6191"/>
    <w:rsid w:val="009F3024"/>
    <w:rsid w:val="00A0355E"/>
    <w:rsid w:val="00A1063B"/>
    <w:rsid w:val="00A375D1"/>
    <w:rsid w:val="00A41EC1"/>
    <w:rsid w:val="00A51D10"/>
    <w:rsid w:val="00A52A83"/>
    <w:rsid w:val="00A55743"/>
    <w:rsid w:val="00A577B7"/>
    <w:rsid w:val="00A632AD"/>
    <w:rsid w:val="00A6552C"/>
    <w:rsid w:val="00A66B65"/>
    <w:rsid w:val="00A8654B"/>
    <w:rsid w:val="00A87207"/>
    <w:rsid w:val="00A87F19"/>
    <w:rsid w:val="00A935AA"/>
    <w:rsid w:val="00AB2201"/>
    <w:rsid w:val="00AB3BDC"/>
    <w:rsid w:val="00AB68AE"/>
    <w:rsid w:val="00AD3259"/>
    <w:rsid w:val="00AF1715"/>
    <w:rsid w:val="00AF3904"/>
    <w:rsid w:val="00B010C0"/>
    <w:rsid w:val="00B2361B"/>
    <w:rsid w:val="00B264A1"/>
    <w:rsid w:val="00B36A75"/>
    <w:rsid w:val="00B4740D"/>
    <w:rsid w:val="00B52740"/>
    <w:rsid w:val="00B61629"/>
    <w:rsid w:val="00B7374B"/>
    <w:rsid w:val="00B86261"/>
    <w:rsid w:val="00B90DC0"/>
    <w:rsid w:val="00BA116A"/>
    <w:rsid w:val="00BA1C8A"/>
    <w:rsid w:val="00BA5582"/>
    <w:rsid w:val="00BA6468"/>
    <w:rsid w:val="00BB1D44"/>
    <w:rsid w:val="00BC01A8"/>
    <w:rsid w:val="00BD06DA"/>
    <w:rsid w:val="00BD4217"/>
    <w:rsid w:val="00BE1947"/>
    <w:rsid w:val="00BF25F3"/>
    <w:rsid w:val="00C1697B"/>
    <w:rsid w:val="00C173EE"/>
    <w:rsid w:val="00C21CB5"/>
    <w:rsid w:val="00C34267"/>
    <w:rsid w:val="00C3673D"/>
    <w:rsid w:val="00C50A5C"/>
    <w:rsid w:val="00C50FDF"/>
    <w:rsid w:val="00C524AA"/>
    <w:rsid w:val="00C63381"/>
    <w:rsid w:val="00C63A0F"/>
    <w:rsid w:val="00C73D06"/>
    <w:rsid w:val="00C73E1B"/>
    <w:rsid w:val="00C759B4"/>
    <w:rsid w:val="00C77713"/>
    <w:rsid w:val="00C85BB7"/>
    <w:rsid w:val="00C95B0C"/>
    <w:rsid w:val="00CA2DEA"/>
    <w:rsid w:val="00CB43D5"/>
    <w:rsid w:val="00CC2796"/>
    <w:rsid w:val="00CC4D84"/>
    <w:rsid w:val="00CE198A"/>
    <w:rsid w:val="00CF08C8"/>
    <w:rsid w:val="00D00292"/>
    <w:rsid w:val="00D004FC"/>
    <w:rsid w:val="00D44DE6"/>
    <w:rsid w:val="00D572FF"/>
    <w:rsid w:val="00D64901"/>
    <w:rsid w:val="00D76BDF"/>
    <w:rsid w:val="00D8080D"/>
    <w:rsid w:val="00D81563"/>
    <w:rsid w:val="00D862C1"/>
    <w:rsid w:val="00D93B50"/>
    <w:rsid w:val="00D94028"/>
    <w:rsid w:val="00D944C0"/>
    <w:rsid w:val="00D94670"/>
    <w:rsid w:val="00DA46F6"/>
    <w:rsid w:val="00DB0895"/>
    <w:rsid w:val="00DB4CCA"/>
    <w:rsid w:val="00DD0B49"/>
    <w:rsid w:val="00DE0502"/>
    <w:rsid w:val="00E05302"/>
    <w:rsid w:val="00E06DFA"/>
    <w:rsid w:val="00E15AE0"/>
    <w:rsid w:val="00E20A0A"/>
    <w:rsid w:val="00E356C7"/>
    <w:rsid w:val="00E365B8"/>
    <w:rsid w:val="00E45FE4"/>
    <w:rsid w:val="00E64FA7"/>
    <w:rsid w:val="00E770CB"/>
    <w:rsid w:val="00E903A1"/>
    <w:rsid w:val="00E940EB"/>
    <w:rsid w:val="00E9703F"/>
    <w:rsid w:val="00EA00D5"/>
    <w:rsid w:val="00EB2B90"/>
    <w:rsid w:val="00ED7E83"/>
    <w:rsid w:val="00EE091F"/>
    <w:rsid w:val="00EF4B63"/>
    <w:rsid w:val="00F0068D"/>
    <w:rsid w:val="00F0576D"/>
    <w:rsid w:val="00F05DB8"/>
    <w:rsid w:val="00F14E6D"/>
    <w:rsid w:val="00F15EA8"/>
    <w:rsid w:val="00F16C8D"/>
    <w:rsid w:val="00F26C61"/>
    <w:rsid w:val="00F27D4E"/>
    <w:rsid w:val="00F300E2"/>
    <w:rsid w:val="00F33CCE"/>
    <w:rsid w:val="00F40249"/>
    <w:rsid w:val="00F47A67"/>
    <w:rsid w:val="00F526C8"/>
    <w:rsid w:val="00F761A3"/>
    <w:rsid w:val="00F9272D"/>
    <w:rsid w:val="00F9518C"/>
    <w:rsid w:val="00FA316E"/>
    <w:rsid w:val="00FA59EF"/>
    <w:rsid w:val="00FB19A2"/>
    <w:rsid w:val="00FB7665"/>
    <w:rsid w:val="00FC776F"/>
    <w:rsid w:val="00FD0B23"/>
    <w:rsid w:val="00FF3DAC"/>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A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LsocParty">
    <w:name w:val="SCC.Lsoc.Party"/>
    <w:basedOn w:val="Normal"/>
    <w:next w:val="Normal"/>
    <w:link w:val="SCCLsocPartyChar"/>
    <w:rsid w:val="008D3207"/>
    <w:pPr>
      <w:jc w:val="center"/>
    </w:pPr>
    <w:rPr>
      <w:rFonts w:eastAsia="Calibri" w:cs="Times New Roman"/>
      <w:lang w:val="fr-CA"/>
    </w:rPr>
  </w:style>
  <w:style w:type="character" w:customStyle="1" w:styleId="SCCLsocPartyChar">
    <w:name w:val="SCC.Lsoc.Party Char"/>
    <w:basedOn w:val="DefaultParagraphFont"/>
    <w:link w:val="SCCLsocParty"/>
    <w:rsid w:val="008D3207"/>
    <w:rPr>
      <w:rFonts w:eastAsia="Calibri" w:cs="Times New Roman"/>
      <w:lang w:val="fr-CA"/>
    </w:rPr>
  </w:style>
  <w:style w:type="paragraph" w:customStyle="1" w:styleId="Citation-AltC">
    <w:name w:val="Citation - Alt C"/>
    <w:uiPriority w:val="2"/>
    <w:qFormat/>
    <w:rsid w:val="008D3207"/>
    <w:pPr>
      <w:spacing w:after="720"/>
      <w:ind w:left="1166"/>
      <w:contextualSpacing/>
      <w:jc w:val="both"/>
    </w:pPr>
    <w:rPr>
      <w:rFonts w:eastAsia="Times New Roman" w:cs="Times New Roman"/>
      <w:szCs w:val="20"/>
      <w:lang w:val="fr-CA" w:eastAsia="en-CA"/>
    </w:rPr>
  </w:style>
  <w:style w:type="table" w:customStyle="1" w:styleId="TableGrid1">
    <w:name w:val="Table Grid1"/>
    <w:basedOn w:val="TableNormal"/>
    <w:next w:val="TableGrid"/>
    <w:uiPriority w:val="59"/>
    <w:rsid w:val="00156AAF"/>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43DCE"/>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4DE6"/>
    <w:rPr>
      <w:rFonts w:ascii="Tahoma" w:hAnsi="Tahoma" w:cs="Tahoma"/>
      <w:sz w:val="16"/>
      <w:szCs w:val="16"/>
    </w:rPr>
  </w:style>
  <w:style w:type="character" w:customStyle="1" w:styleId="BalloonTextChar">
    <w:name w:val="Balloon Text Char"/>
    <w:basedOn w:val="DefaultParagraphFont"/>
    <w:link w:val="BalloonText"/>
    <w:uiPriority w:val="99"/>
    <w:semiHidden/>
    <w:rsid w:val="00D44DE6"/>
    <w:rPr>
      <w:rFonts w:ascii="Tahoma" w:hAnsi="Tahoma" w:cs="Tahoma"/>
      <w:sz w:val="16"/>
      <w:szCs w:val="16"/>
      <w:lang w:val="en-CA"/>
    </w:rPr>
  </w:style>
  <w:style w:type="numbering" w:customStyle="1" w:styleId="NoList1">
    <w:name w:val="No List1"/>
    <w:next w:val="NoList"/>
    <w:uiPriority w:val="99"/>
    <w:semiHidden/>
    <w:unhideWhenUsed/>
    <w:rsid w:val="00BC01A8"/>
  </w:style>
  <w:style w:type="table" w:customStyle="1" w:styleId="TableGrid3">
    <w:name w:val="Table Grid3"/>
    <w:basedOn w:val="TableNormal"/>
    <w:next w:val="TableGrid"/>
    <w:uiPriority w:val="59"/>
    <w:rsid w:val="00BC01A8"/>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evel1">
    <w:name w:val="Level 1"/>
    <w:basedOn w:val="Normal"/>
    <w:rsid w:val="00BC01A8"/>
    <w:pPr>
      <w:widowControl w:val="0"/>
    </w:pPr>
    <w:rPr>
      <w:rFonts w:eastAsia="Times New Roman" w:cs="Times New Roman"/>
      <w:sz w:val="20"/>
      <w:szCs w:val="20"/>
      <w:lang w:val="en-US" w:eastAsia="en-CA"/>
    </w:rPr>
  </w:style>
  <w:style w:type="paragraph" w:customStyle="1" w:styleId="Level2">
    <w:name w:val="Level 2"/>
    <w:basedOn w:val="Normal"/>
    <w:rsid w:val="00BC01A8"/>
    <w:pPr>
      <w:widowControl w:val="0"/>
    </w:pPr>
    <w:rPr>
      <w:rFonts w:eastAsia="Times New Roman" w:cs="Times New Roman"/>
      <w:sz w:val="20"/>
      <w:szCs w:val="20"/>
      <w:lang w:val="en-US" w:eastAsia="en-CA"/>
    </w:rPr>
  </w:style>
  <w:style w:type="paragraph" w:customStyle="1" w:styleId="Level3">
    <w:name w:val="Level 3"/>
    <w:basedOn w:val="Normal"/>
    <w:rsid w:val="00BC01A8"/>
    <w:pPr>
      <w:widowControl w:val="0"/>
    </w:pPr>
    <w:rPr>
      <w:rFonts w:eastAsia="Times New Roman" w:cs="Times New Roman"/>
      <w:sz w:val="20"/>
      <w:szCs w:val="20"/>
      <w:lang w:val="en-US" w:eastAsia="en-CA"/>
    </w:rPr>
  </w:style>
  <w:style w:type="paragraph" w:customStyle="1" w:styleId="Level4">
    <w:name w:val="Level 4"/>
    <w:basedOn w:val="Normal"/>
    <w:rsid w:val="00BC01A8"/>
    <w:pPr>
      <w:widowControl w:val="0"/>
    </w:pPr>
    <w:rPr>
      <w:rFonts w:eastAsia="Times New Roman" w:cs="Times New Roman"/>
      <w:sz w:val="20"/>
      <w:szCs w:val="20"/>
      <w:lang w:val="en-US" w:eastAsia="en-CA"/>
    </w:rPr>
  </w:style>
  <w:style w:type="paragraph" w:customStyle="1" w:styleId="Level5">
    <w:name w:val="Level 5"/>
    <w:basedOn w:val="Normal"/>
    <w:rsid w:val="00BC01A8"/>
    <w:pPr>
      <w:widowControl w:val="0"/>
    </w:pPr>
    <w:rPr>
      <w:rFonts w:eastAsia="Times New Roman" w:cs="Times New Roman"/>
      <w:sz w:val="20"/>
      <w:szCs w:val="20"/>
      <w:lang w:val="en-US" w:eastAsia="en-CA"/>
    </w:rPr>
  </w:style>
  <w:style w:type="paragraph" w:customStyle="1" w:styleId="Level6">
    <w:name w:val="Level 6"/>
    <w:basedOn w:val="Normal"/>
    <w:rsid w:val="00BC01A8"/>
    <w:pPr>
      <w:widowControl w:val="0"/>
    </w:pPr>
    <w:rPr>
      <w:rFonts w:eastAsia="Times New Roman" w:cs="Times New Roman"/>
      <w:sz w:val="20"/>
      <w:szCs w:val="20"/>
      <w:lang w:val="en-US" w:eastAsia="en-CA"/>
    </w:rPr>
  </w:style>
  <w:style w:type="paragraph" w:customStyle="1" w:styleId="Level7">
    <w:name w:val="Level 7"/>
    <w:basedOn w:val="Normal"/>
    <w:rsid w:val="00BC01A8"/>
    <w:pPr>
      <w:widowControl w:val="0"/>
    </w:pPr>
    <w:rPr>
      <w:rFonts w:eastAsia="Times New Roman" w:cs="Times New Roman"/>
      <w:sz w:val="20"/>
      <w:szCs w:val="20"/>
      <w:lang w:val="en-US" w:eastAsia="en-CA"/>
    </w:rPr>
  </w:style>
  <w:style w:type="paragraph" w:customStyle="1" w:styleId="Level8">
    <w:name w:val="Level 8"/>
    <w:basedOn w:val="Normal"/>
    <w:rsid w:val="00BC01A8"/>
    <w:pPr>
      <w:widowControl w:val="0"/>
    </w:pPr>
    <w:rPr>
      <w:rFonts w:eastAsia="Times New Roman" w:cs="Times New Roman"/>
      <w:sz w:val="20"/>
      <w:szCs w:val="20"/>
      <w:lang w:val="en-US" w:eastAsia="en-CA"/>
    </w:rPr>
  </w:style>
  <w:style w:type="paragraph" w:customStyle="1" w:styleId="Level9">
    <w:name w:val="Level 9"/>
    <w:basedOn w:val="Normal"/>
    <w:rsid w:val="00BC01A8"/>
    <w:pPr>
      <w:widowControl w:val="0"/>
    </w:pPr>
    <w:rPr>
      <w:rFonts w:eastAsia="Times New Roman" w:cs="Times New Roman"/>
      <w:b/>
      <w:sz w:val="20"/>
      <w:szCs w:val="20"/>
      <w:lang w:val="en-US" w:eastAsia="en-CA"/>
    </w:rPr>
  </w:style>
  <w:style w:type="paragraph" w:customStyle="1" w:styleId="level10">
    <w:name w:val="_level1"/>
    <w:basedOn w:val="Normal"/>
    <w:rsid w:val="00BC01A8"/>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eastAsia="Times New Roman" w:cs="Times New Roman"/>
      <w:sz w:val="20"/>
      <w:szCs w:val="20"/>
      <w:lang w:val="en-US" w:eastAsia="en-CA"/>
    </w:rPr>
  </w:style>
  <w:style w:type="paragraph" w:customStyle="1" w:styleId="level20">
    <w:name w:val="_level2"/>
    <w:basedOn w:val="Normal"/>
    <w:rsid w:val="00BC01A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eastAsia="Times New Roman" w:cs="Times New Roman"/>
      <w:sz w:val="20"/>
      <w:szCs w:val="20"/>
      <w:lang w:val="en-US" w:eastAsia="en-CA"/>
    </w:rPr>
  </w:style>
  <w:style w:type="paragraph" w:customStyle="1" w:styleId="level30">
    <w:name w:val="_level3"/>
    <w:basedOn w:val="Normal"/>
    <w:rsid w:val="00BC01A8"/>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eastAsia="Times New Roman" w:cs="Times New Roman"/>
      <w:sz w:val="20"/>
      <w:szCs w:val="20"/>
      <w:lang w:val="en-US" w:eastAsia="en-CA"/>
    </w:rPr>
  </w:style>
  <w:style w:type="paragraph" w:customStyle="1" w:styleId="level40">
    <w:name w:val="_level4"/>
    <w:basedOn w:val="Normal"/>
    <w:rsid w:val="00BC01A8"/>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rPr>
      <w:rFonts w:eastAsia="Times New Roman" w:cs="Times New Roman"/>
      <w:sz w:val="20"/>
      <w:szCs w:val="20"/>
      <w:lang w:val="en-US" w:eastAsia="en-CA"/>
    </w:rPr>
  </w:style>
  <w:style w:type="paragraph" w:customStyle="1" w:styleId="level50">
    <w:name w:val="_level5"/>
    <w:basedOn w:val="Normal"/>
    <w:rsid w:val="00BC01A8"/>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rPr>
      <w:rFonts w:eastAsia="Times New Roman" w:cs="Times New Roman"/>
      <w:sz w:val="20"/>
      <w:szCs w:val="20"/>
      <w:lang w:val="en-US" w:eastAsia="en-CA"/>
    </w:rPr>
  </w:style>
  <w:style w:type="paragraph" w:customStyle="1" w:styleId="level60">
    <w:name w:val="_level6"/>
    <w:basedOn w:val="Normal"/>
    <w:rsid w:val="00BC01A8"/>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rPr>
      <w:rFonts w:eastAsia="Times New Roman" w:cs="Times New Roman"/>
      <w:sz w:val="20"/>
      <w:szCs w:val="20"/>
      <w:lang w:val="en-US" w:eastAsia="en-CA"/>
    </w:rPr>
  </w:style>
  <w:style w:type="paragraph" w:customStyle="1" w:styleId="level70">
    <w:name w:val="_level7"/>
    <w:basedOn w:val="Normal"/>
    <w:rsid w:val="00BC01A8"/>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rPr>
      <w:rFonts w:eastAsia="Times New Roman" w:cs="Times New Roman"/>
      <w:sz w:val="20"/>
      <w:szCs w:val="20"/>
      <w:lang w:val="en-US" w:eastAsia="en-CA"/>
    </w:rPr>
  </w:style>
  <w:style w:type="paragraph" w:customStyle="1" w:styleId="level80">
    <w:name w:val="_level8"/>
    <w:basedOn w:val="Normal"/>
    <w:rsid w:val="00BC01A8"/>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rPr>
      <w:rFonts w:eastAsia="Times New Roman" w:cs="Times New Roman"/>
      <w:sz w:val="20"/>
      <w:szCs w:val="20"/>
      <w:lang w:val="en-US" w:eastAsia="en-CA"/>
    </w:rPr>
  </w:style>
  <w:style w:type="paragraph" w:customStyle="1" w:styleId="Outline0019">
    <w:name w:val="Outline001_9"/>
    <w:basedOn w:val="Normal"/>
    <w:rsid w:val="00BC01A8"/>
    <w:pPr>
      <w:widowControl w:val="0"/>
      <w:tabs>
        <w:tab w:val="left" w:pos="7196"/>
        <w:tab w:val="left" w:pos="7200"/>
        <w:tab w:val="left" w:pos="7920"/>
      </w:tabs>
      <w:ind w:left="7196" w:hanging="180"/>
    </w:pPr>
    <w:rPr>
      <w:rFonts w:eastAsia="Times New Roman" w:cs="Times New Roman"/>
      <w:sz w:val="20"/>
      <w:szCs w:val="20"/>
      <w:lang w:eastAsia="en-CA"/>
    </w:rPr>
  </w:style>
  <w:style w:type="paragraph" w:customStyle="1" w:styleId="44">
    <w:name w:val="_44"/>
    <w:basedOn w:val="Normal"/>
    <w:rsid w:val="00BC01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43">
    <w:name w:val="_43"/>
    <w:basedOn w:val="Normal"/>
    <w:rsid w:val="00BC0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42">
    <w:name w:val="_42"/>
    <w:basedOn w:val="Normal"/>
    <w:rsid w:val="00BC01A8"/>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41">
    <w:name w:val="_41"/>
    <w:basedOn w:val="Normal"/>
    <w:rsid w:val="00BC01A8"/>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40">
    <w:name w:val="_40"/>
    <w:basedOn w:val="Normal"/>
    <w:rsid w:val="00BC01A8"/>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39">
    <w:name w:val="_39"/>
    <w:basedOn w:val="Normal"/>
    <w:rsid w:val="00BC01A8"/>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38">
    <w:name w:val="_38"/>
    <w:basedOn w:val="Normal"/>
    <w:rsid w:val="00BC01A8"/>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37">
    <w:name w:val="_37"/>
    <w:basedOn w:val="Normal"/>
    <w:rsid w:val="00BC01A8"/>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Outline0039">
    <w:name w:val="Outline003_9"/>
    <w:basedOn w:val="Normal"/>
    <w:rsid w:val="00BC01A8"/>
    <w:pPr>
      <w:widowControl w:val="0"/>
      <w:tabs>
        <w:tab w:val="left" w:pos="6480"/>
        <w:tab w:val="left" w:pos="7200"/>
        <w:tab w:val="left" w:pos="7920"/>
      </w:tabs>
      <w:ind w:left="6480" w:hanging="180"/>
    </w:pPr>
    <w:rPr>
      <w:rFonts w:eastAsia="Times New Roman" w:cs="Times New Roman"/>
      <w:sz w:val="20"/>
      <w:szCs w:val="20"/>
      <w:lang w:eastAsia="en-CA"/>
    </w:rPr>
  </w:style>
  <w:style w:type="paragraph" w:customStyle="1" w:styleId="En-tte">
    <w:name w:val="En-tīte"/>
    <w:basedOn w:val="Normal"/>
    <w:rsid w:val="00BC01A8"/>
    <w:pPr>
      <w:widowControl w:val="0"/>
      <w:tabs>
        <w:tab w:val="left" w:pos="0"/>
        <w:tab w:val="center" w:pos="4680"/>
        <w:tab w:val="right" w:pos="9360"/>
      </w:tabs>
    </w:pPr>
    <w:rPr>
      <w:rFonts w:eastAsia="Times New Roman" w:cs="Times New Roman"/>
      <w:sz w:val="20"/>
      <w:szCs w:val="20"/>
      <w:lang w:val="en-US" w:eastAsia="en-CA"/>
    </w:rPr>
  </w:style>
  <w:style w:type="paragraph" w:customStyle="1" w:styleId="Pieddepage1">
    <w:name w:val="Pied de page1"/>
    <w:basedOn w:val="Normal"/>
    <w:rsid w:val="00BC01A8"/>
    <w:pPr>
      <w:widowControl w:val="0"/>
      <w:tabs>
        <w:tab w:val="left" w:pos="0"/>
        <w:tab w:val="center" w:pos="4680"/>
        <w:tab w:val="right" w:pos="9360"/>
      </w:tabs>
    </w:pPr>
    <w:rPr>
      <w:rFonts w:eastAsia="Times New Roman" w:cs="Times New Roman"/>
      <w:sz w:val="20"/>
      <w:szCs w:val="20"/>
      <w:lang w:val="en-US" w:eastAsia="en-CA"/>
    </w:rPr>
  </w:style>
  <w:style w:type="paragraph" w:customStyle="1" w:styleId="level90">
    <w:name w:val="_level9"/>
    <w:basedOn w:val="Normal"/>
    <w:rsid w:val="00BC01A8"/>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rPr>
      <w:rFonts w:eastAsia="Times New Roman" w:cs="Times New Roman"/>
      <w:sz w:val="20"/>
      <w:szCs w:val="20"/>
      <w:lang w:val="en-US" w:eastAsia="en-CA"/>
    </w:rPr>
  </w:style>
  <w:style w:type="paragraph" w:customStyle="1" w:styleId="a">
    <w:name w:val="آ"/>
    <w:basedOn w:val="Normal"/>
    <w:rsid w:val="00BC01A8"/>
    <w:pPr>
      <w:widowControl w:val="0"/>
    </w:pPr>
    <w:rPr>
      <w:rFonts w:eastAsia="Times New Roman" w:cs="Times New Roman"/>
      <w:sz w:val="20"/>
      <w:szCs w:val="20"/>
      <w:lang w:val="en-US" w:eastAsia="en-CA"/>
    </w:rPr>
  </w:style>
  <w:style w:type="paragraph" w:customStyle="1" w:styleId="17">
    <w:name w:val="_17"/>
    <w:basedOn w:val="Normal"/>
    <w:rsid w:val="00BC01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16">
    <w:name w:val="_16"/>
    <w:basedOn w:val="Normal"/>
    <w:rsid w:val="00BC0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15">
    <w:name w:val="_15"/>
    <w:basedOn w:val="Normal"/>
    <w:rsid w:val="00BC01A8"/>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14">
    <w:name w:val="_14"/>
    <w:basedOn w:val="Normal"/>
    <w:rsid w:val="00BC01A8"/>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13">
    <w:name w:val="_13"/>
    <w:basedOn w:val="Normal"/>
    <w:rsid w:val="00BC01A8"/>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12">
    <w:name w:val="_12"/>
    <w:basedOn w:val="Normal"/>
    <w:rsid w:val="00BC01A8"/>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11">
    <w:name w:val="_11"/>
    <w:basedOn w:val="Normal"/>
    <w:rsid w:val="00BC01A8"/>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10">
    <w:name w:val="_10"/>
    <w:basedOn w:val="Normal"/>
    <w:rsid w:val="00BC01A8"/>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36">
    <w:name w:val="_36"/>
    <w:basedOn w:val="Normal"/>
    <w:rsid w:val="00BC01A8"/>
    <w:pPr>
      <w:widowControl w:val="0"/>
      <w:tabs>
        <w:tab w:val="left" w:pos="6480"/>
        <w:tab w:val="left" w:pos="7200"/>
        <w:tab w:val="left" w:pos="7920"/>
        <w:tab w:val="left" w:pos="8640"/>
      </w:tabs>
      <w:ind w:left="6480"/>
    </w:pPr>
    <w:rPr>
      <w:rFonts w:eastAsia="Times New Roman" w:cs="Times New Roman"/>
      <w:sz w:val="20"/>
      <w:szCs w:val="20"/>
      <w:lang w:val="en-US" w:eastAsia="en-CA"/>
    </w:rPr>
  </w:style>
  <w:style w:type="paragraph" w:customStyle="1" w:styleId="26">
    <w:name w:val="_26"/>
    <w:basedOn w:val="Normal"/>
    <w:rsid w:val="00BC01A8"/>
    <w:pPr>
      <w:widowControl w:val="0"/>
    </w:pPr>
    <w:rPr>
      <w:rFonts w:eastAsia="Times New Roman" w:cs="Times New Roman"/>
      <w:sz w:val="20"/>
      <w:szCs w:val="20"/>
      <w:lang w:val="en-US" w:eastAsia="en-CA"/>
    </w:rPr>
  </w:style>
  <w:style w:type="paragraph" w:customStyle="1" w:styleId="25">
    <w:name w:val="_25"/>
    <w:basedOn w:val="Normal"/>
    <w:rsid w:val="00BC0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24">
    <w:name w:val="_24"/>
    <w:basedOn w:val="Normal"/>
    <w:rsid w:val="00BC01A8"/>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23">
    <w:name w:val="_23"/>
    <w:basedOn w:val="Normal"/>
    <w:rsid w:val="00BC01A8"/>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22">
    <w:name w:val="_22"/>
    <w:basedOn w:val="Normal"/>
    <w:rsid w:val="00BC01A8"/>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21">
    <w:name w:val="_21"/>
    <w:basedOn w:val="Normal"/>
    <w:rsid w:val="00BC01A8"/>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0">
    <w:name w:val="_20"/>
    <w:basedOn w:val="Normal"/>
    <w:rsid w:val="00BC01A8"/>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9">
    <w:name w:val="_19"/>
    <w:basedOn w:val="Normal"/>
    <w:rsid w:val="00BC01A8"/>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18">
    <w:name w:val="_18"/>
    <w:basedOn w:val="Normal"/>
    <w:rsid w:val="00BC01A8"/>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9">
    <w:name w:val="_9"/>
    <w:basedOn w:val="Normal"/>
    <w:rsid w:val="00BC01A8"/>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8">
    <w:name w:val="_8"/>
    <w:basedOn w:val="Normal"/>
    <w:rsid w:val="00BC01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val="en-US" w:eastAsia="en-CA"/>
    </w:rPr>
  </w:style>
  <w:style w:type="paragraph" w:customStyle="1" w:styleId="7">
    <w:name w:val="_7"/>
    <w:basedOn w:val="Normal"/>
    <w:rsid w:val="00BC0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6">
    <w:name w:val="_6"/>
    <w:basedOn w:val="Normal"/>
    <w:rsid w:val="00BC01A8"/>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5">
    <w:name w:val="_5"/>
    <w:basedOn w:val="Normal"/>
    <w:rsid w:val="00BC01A8"/>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4">
    <w:name w:val="_4"/>
    <w:basedOn w:val="Normal"/>
    <w:rsid w:val="00BC01A8"/>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3">
    <w:name w:val="_3"/>
    <w:basedOn w:val="Normal"/>
    <w:rsid w:val="00BC01A8"/>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
    <w:name w:val="_2"/>
    <w:basedOn w:val="Normal"/>
    <w:rsid w:val="00BC01A8"/>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
    <w:name w:val="_1"/>
    <w:basedOn w:val="Normal"/>
    <w:rsid w:val="00BC01A8"/>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a0">
    <w:name w:val="_"/>
    <w:basedOn w:val="Normal"/>
    <w:rsid w:val="00BC01A8"/>
    <w:pPr>
      <w:widowControl w:val="0"/>
      <w:tabs>
        <w:tab w:val="left" w:pos="6480"/>
        <w:tab w:val="left" w:pos="7200"/>
        <w:tab w:val="left" w:pos="7920"/>
      </w:tabs>
      <w:ind w:left="6480"/>
    </w:pPr>
    <w:rPr>
      <w:rFonts w:eastAsia="Times New Roman" w:cs="Times New Roman"/>
      <w:sz w:val="20"/>
      <w:szCs w:val="20"/>
      <w:lang w:val="en-US" w:eastAsia="en-CA"/>
    </w:rPr>
  </w:style>
  <w:style w:type="character" w:customStyle="1" w:styleId="DefaultPara">
    <w:name w:val="Default Para"/>
    <w:basedOn w:val="DefaultParagraphFont"/>
    <w:rsid w:val="00BC01A8"/>
  </w:style>
  <w:style w:type="paragraph" w:customStyle="1" w:styleId="MT1">
    <w:name w:val="MT1"/>
    <w:basedOn w:val="Normal"/>
    <w:rsid w:val="00BC01A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lang w:eastAsia="en-CA"/>
    </w:rPr>
  </w:style>
  <w:style w:type="paragraph" w:customStyle="1" w:styleId="MT2">
    <w:name w:val="MT2"/>
    <w:basedOn w:val="Normal"/>
    <w:rsid w:val="00BC01A8"/>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Cs w:val="20"/>
      <w:lang w:eastAsia="en-CA"/>
    </w:rPr>
  </w:style>
  <w:style w:type="paragraph" w:customStyle="1" w:styleId="MT3">
    <w:name w:val="MT3"/>
    <w:basedOn w:val="Normal"/>
    <w:rsid w:val="00BC01A8"/>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Cs w:val="20"/>
      <w:lang w:eastAsia="en-CA"/>
    </w:rPr>
  </w:style>
  <w:style w:type="paragraph" w:customStyle="1" w:styleId="MT4">
    <w:name w:val="MT4"/>
    <w:basedOn w:val="Normal"/>
    <w:rsid w:val="00BC01A8"/>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Cs w:val="20"/>
      <w:lang w:eastAsia="en-CA"/>
    </w:rPr>
  </w:style>
  <w:style w:type="paragraph" w:customStyle="1" w:styleId="MT5">
    <w:name w:val="MT5"/>
    <w:basedOn w:val="Normal"/>
    <w:rsid w:val="00BC01A8"/>
    <w:pPr>
      <w:tabs>
        <w:tab w:val="left" w:pos="3600"/>
        <w:tab w:val="left" w:pos="4320"/>
        <w:tab w:val="left" w:pos="5040"/>
        <w:tab w:val="left" w:pos="5760"/>
        <w:tab w:val="left" w:pos="6480"/>
        <w:tab w:val="left" w:pos="7200"/>
        <w:tab w:val="left" w:pos="7920"/>
      </w:tabs>
      <w:ind w:left="3600" w:hanging="720"/>
    </w:pPr>
    <w:rPr>
      <w:rFonts w:eastAsia="Times New Roman" w:cs="Times New Roman"/>
      <w:szCs w:val="20"/>
      <w:lang w:eastAsia="en-CA"/>
    </w:rPr>
  </w:style>
  <w:style w:type="paragraph" w:customStyle="1" w:styleId="MT6">
    <w:name w:val="MT6"/>
    <w:basedOn w:val="Normal"/>
    <w:rsid w:val="00BC01A8"/>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7">
    <w:name w:val="MT7"/>
    <w:basedOn w:val="Normal"/>
    <w:rsid w:val="00BC01A8"/>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8">
    <w:name w:val="MT8"/>
    <w:basedOn w:val="Normal"/>
    <w:rsid w:val="00BC01A8"/>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9">
    <w:name w:val="MT9"/>
    <w:basedOn w:val="Normal"/>
    <w:rsid w:val="00BC01A8"/>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Outline0011">
    <w:name w:val="Outline001_1"/>
    <w:basedOn w:val="Normal"/>
    <w:rsid w:val="00BC01A8"/>
    <w:pPr>
      <w:tabs>
        <w:tab w:val="left" w:pos="1436"/>
        <w:tab w:val="left" w:pos="1440"/>
        <w:tab w:val="left" w:pos="2160"/>
        <w:tab w:val="left" w:pos="2880"/>
        <w:tab w:val="left" w:pos="3600"/>
        <w:tab w:val="left" w:pos="4320"/>
        <w:tab w:val="left" w:pos="5040"/>
        <w:tab w:val="left" w:pos="5760"/>
        <w:tab w:val="left" w:pos="6480"/>
        <w:tab w:val="left" w:pos="7200"/>
        <w:tab w:val="left" w:pos="7920"/>
      </w:tabs>
      <w:ind w:left="1436" w:hanging="360"/>
    </w:pPr>
    <w:rPr>
      <w:rFonts w:eastAsia="Times New Roman" w:cs="Times New Roman"/>
      <w:sz w:val="20"/>
      <w:szCs w:val="20"/>
      <w:lang w:eastAsia="en-CA"/>
    </w:rPr>
  </w:style>
  <w:style w:type="paragraph" w:customStyle="1" w:styleId="Outline0012">
    <w:name w:val="Outline001_2"/>
    <w:basedOn w:val="Normal"/>
    <w:rsid w:val="00BC01A8"/>
    <w:pPr>
      <w:tabs>
        <w:tab w:val="left" w:pos="2156"/>
        <w:tab w:val="left" w:pos="2160"/>
        <w:tab w:val="left" w:pos="2880"/>
        <w:tab w:val="left" w:pos="3600"/>
        <w:tab w:val="left" w:pos="4320"/>
        <w:tab w:val="left" w:pos="5040"/>
        <w:tab w:val="left" w:pos="5760"/>
        <w:tab w:val="left" w:pos="6480"/>
        <w:tab w:val="left" w:pos="7200"/>
        <w:tab w:val="left" w:pos="7920"/>
      </w:tabs>
      <w:ind w:left="2156" w:hanging="360"/>
    </w:pPr>
    <w:rPr>
      <w:rFonts w:eastAsia="Times New Roman" w:cs="Times New Roman"/>
      <w:sz w:val="20"/>
      <w:szCs w:val="20"/>
      <w:lang w:eastAsia="en-CA"/>
    </w:rPr>
  </w:style>
  <w:style w:type="paragraph" w:customStyle="1" w:styleId="Outline0013">
    <w:name w:val="Outline001_3"/>
    <w:basedOn w:val="Normal"/>
    <w:rsid w:val="00BC01A8"/>
    <w:pPr>
      <w:tabs>
        <w:tab w:val="left" w:pos="2876"/>
        <w:tab w:val="left" w:pos="2880"/>
        <w:tab w:val="left" w:pos="3600"/>
        <w:tab w:val="left" w:pos="4320"/>
        <w:tab w:val="left" w:pos="5040"/>
        <w:tab w:val="left" w:pos="5760"/>
        <w:tab w:val="left" w:pos="6480"/>
        <w:tab w:val="left" w:pos="7200"/>
        <w:tab w:val="left" w:pos="7920"/>
      </w:tabs>
      <w:ind w:left="2876" w:hanging="180"/>
    </w:pPr>
    <w:rPr>
      <w:rFonts w:eastAsia="Times New Roman" w:cs="Times New Roman"/>
      <w:sz w:val="20"/>
      <w:szCs w:val="20"/>
      <w:lang w:eastAsia="en-CA"/>
    </w:rPr>
  </w:style>
  <w:style w:type="paragraph" w:customStyle="1" w:styleId="Outline0014">
    <w:name w:val="Outline001_4"/>
    <w:basedOn w:val="Normal"/>
    <w:rsid w:val="00BC01A8"/>
    <w:pPr>
      <w:tabs>
        <w:tab w:val="left" w:pos="3596"/>
        <w:tab w:val="left" w:pos="3600"/>
        <w:tab w:val="left" w:pos="4320"/>
        <w:tab w:val="left" w:pos="5040"/>
        <w:tab w:val="left" w:pos="5760"/>
        <w:tab w:val="left" w:pos="6480"/>
        <w:tab w:val="left" w:pos="7200"/>
        <w:tab w:val="left" w:pos="7920"/>
      </w:tabs>
      <w:ind w:left="3596" w:hanging="360"/>
    </w:pPr>
    <w:rPr>
      <w:rFonts w:eastAsia="Times New Roman" w:cs="Times New Roman"/>
      <w:sz w:val="20"/>
      <w:szCs w:val="20"/>
      <w:lang w:eastAsia="en-CA"/>
    </w:rPr>
  </w:style>
  <w:style w:type="paragraph" w:customStyle="1" w:styleId="Outline0015">
    <w:name w:val="Outline001_5"/>
    <w:basedOn w:val="Normal"/>
    <w:rsid w:val="00BC01A8"/>
    <w:pPr>
      <w:tabs>
        <w:tab w:val="left" w:pos="4316"/>
        <w:tab w:val="left" w:pos="4320"/>
        <w:tab w:val="left" w:pos="5040"/>
        <w:tab w:val="left" w:pos="5760"/>
        <w:tab w:val="left" w:pos="6480"/>
        <w:tab w:val="left" w:pos="7200"/>
        <w:tab w:val="left" w:pos="7920"/>
      </w:tabs>
      <w:ind w:left="4316" w:hanging="360"/>
    </w:pPr>
    <w:rPr>
      <w:rFonts w:eastAsia="Times New Roman" w:cs="Times New Roman"/>
      <w:sz w:val="20"/>
      <w:szCs w:val="20"/>
      <w:lang w:eastAsia="en-CA"/>
    </w:rPr>
  </w:style>
  <w:style w:type="paragraph" w:customStyle="1" w:styleId="Outline0016">
    <w:name w:val="Outline001_6"/>
    <w:basedOn w:val="Normal"/>
    <w:rsid w:val="00BC01A8"/>
    <w:pPr>
      <w:tabs>
        <w:tab w:val="left" w:pos="5036"/>
        <w:tab w:val="left" w:pos="5040"/>
        <w:tab w:val="left" w:pos="5760"/>
        <w:tab w:val="left" w:pos="6480"/>
        <w:tab w:val="left" w:pos="7200"/>
        <w:tab w:val="left" w:pos="7920"/>
      </w:tabs>
      <w:ind w:left="5036" w:hanging="180"/>
    </w:pPr>
    <w:rPr>
      <w:rFonts w:eastAsia="Times New Roman" w:cs="Times New Roman"/>
      <w:sz w:val="20"/>
      <w:szCs w:val="20"/>
      <w:lang w:eastAsia="en-CA"/>
    </w:rPr>
  </w:style>
  <w:style w:type="paragraph" w:customStyle="1" w:styleId="Outline0017">
    <w:name w:val="Outline001_7"/>
    <w:basedOn w:val="Normal"/>
    <w:rsid w:val="00BC01A8"/>
    <w:pPr>
      <w:tabs>
        <w:tab w:val="left" w:pos="5756"/>
        <w:tab w:val="left" w:pos="5760"/>
        <w:tab w:val="left" w:pos="6480"/>
        <w:tab w:val="left" w:pos="7200"/>
        <w:tab w:val="left" w:pos="7920"/>
      </w:tabs>
      <w:ind w:left="5756" w:hanging="360"/>
    </w:pPr>
    <w:rPr>
      <w:rFonts w:eastAsia="Times New Roman" w:cs="Times New Roman"/>
      <w:sz w:val="20"/>
      <w:szCs w:val="20"/>
      <w:lang w:eastAsia="en-CA"/>
    </w:rPr>
  </w:style>
  <w:style w:type="paragraph" w:customStyle="1" w:styleId="Outline0018">
    <w:name w:val="Outline001_8"/>
    <w:basedOn w:val="Normal"/>
    <w:rsid w:val="00BC01A8"/>
    <w:pPr>
      <w:tabs>
        <w:tab w:val="left" w:pos="6476"/>
        <w:tab w:val="left" w:pos="6480"/>
        <w:tab w:val="left" w:pos="7200"/>
        <w:tab w:val="left" w:pos="7920"/>
      </w:tabs>
      <w:ind w:left="6476" w:hanging="360"/>
    </w:pPr>
    <w:rPr>
      <w:rFonts w:eastAsia="Times New Roman" w:cs="Times New Roman"/>
      <w:sz w:val="20"/>
      <w:szCs w:val="20"/>
      <w:lang w:eastAsia="en-CA"/>
    </w:rPr>
  </w:style>
  <w:style w:type="paragraph" w:customStyle="1" w:styleId="Outline0021">
    <w:name w:val="Outline002_1"/>
    <w:basedOn w:val="Normal"/>
    <w:rsid w:val="00BC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eastAsia="en-CA"/>
    </w:rPr>
  </w:style>
  <w:style w:type="paragraph" w:customStyle="1" w:styleId="Outline0022">
    <w:name w:val="Outline002_2"/>
    <w:basedOn w:val="Normal"/>
    <w:rsid w:val="00BC01A8"/>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 w:val="20"/>
      <w:szCs w:val="20"/>
      <w:lang w:eastAsia="en-CA"/>
    </w:rPr>
  </w:style>
  <w:style w:type="paragraph" w:customStyle="1" w:styleId="Outline0023">
    <w:name w:val="Outline002_3"/>
    <w:basedOn w:val="Normal"/>
    <w:rsid w:val="00BC01A8"/>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0"/>
      <w:szCs w:val="20"/>
      <w:lang w:eastAsia="en-CA"/>
    </w:rPr>
  </w:style>
  <w:style w:type="paragraph" w:customStyle="1" w:styleId="Outline0024">
    <w:name w:val="Outline002_4"/>
    <w:basedOn w:val="Normal"/>
    <w:rsid w:val="00BC01A8"/>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0"/>
      <w:szCs w:val="20"/>
      <w:lang w:eastAsia="en-CA"/>
    </w:rPr>
  </w:style>
  <w:style w:type="paragraph" w:customStyle="1" w:styleId="Outline0025">
    <w:name w:val="Outline002_5"/>
    <w:basedOn w:val="Normal"/>
    <w:rsid w:val="00BC01A8"/>
    <w:pPr>
      <w:tabs>
        <w:tab w:val="left" w:pos="3600"/>
        <w:tab w:val="left" w:pos="4320"/>
        <w:tab w:val="left" w:pos="5040"/>
        <w:tab w:val="left" w:pos="5760"/>
        <w:tab w:val="left" w:pos="6480"/>
        <w:tab w:val="left" w:pos="7200"/>
        <w:tab w:val="left" w:pos="7920"/>
      </w:tabs>
      <w:ind w:left="3600" w:hanging="720"/>
    </w:pPr>
    <w:rPr>
      <w:rFonts w:eastAsia="Times New Roman" w:cs="Times New Roman"/>
      <w:sz w:val="20"/>
      <w:szCs w:val="20"/>
      <w:lang w:eastAsia="en-CA"/>
    </w:rPr>
  </w:style>
  <w:style w:type="paragraph" w:customStyle="1" w:styleId="Outline0026">
    <w:name w:val="Outline002_6"/>
    <w:basedOn w:val="Normal"/>
    <w:rsid w:val="00BC01A8"/>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7">
    <w:name w:val="Outline002_7"/>
    <w:basedOn w:val="Normal"/>
    <w:rsid w:val="00BC01A8"/>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8">
    <w:name w:val="Outline002_8"/>
    <w:basedOn w:val="Normal"/>
    <w:rsid w:val="00BC01A8"/>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9">
    <w:name w:val="Outline002_9"/>
    <w:basedOn w:val="Normal"/>
    <w:rsid w:val="00BC01A8"/>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31">
    <w:name w:val="Outline003_1"/>
    <w:basedOn w:val="Normal"/>
    <w:rsid w:val="00BC01A8"/>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rPr>
      <w:rFonts w:eastAsia="Times New Roman" w:cs="Times New Roman"/>
      <w:sz w:val="20"/>
      <w:szCs w:val="20"/>
      <w:lang w:eastAsia="en-CA"/>
    </w:rPr>
  </w:style>
  <w:style w:type="paragraph" w:customStyle="1" w:styleId="Outline0032">
    <w:name w:val="Outline003_2"/>
    <w:basedOn w:val="Normal"/>
    <w:rsid w:val="00BC01A8"/>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eastAsia="Times New Roman" w:cs="Times New Roman"/>
      <w:sz w:val="20"/>
      <w:szCs w:val="20"/>
      <w:lang w:eastAsia="en-CA"/>
    </w:rPr>
  </w:style>
  <w:style w:type="paragraph" w:customStyle="1" w:styleId="Outline0033">
    <w:name w:val="Outline003_3"/>
    <w:basedOn w:val="Normal"/>
    <w:rsid w:val="00BC01A8"/>
    <w:pPr>
      <w:tabs>
        <w:tab w:val="left" w:pos="2160"/>
        <w:tab w:val="left" w:pos="2880"/>
        <w:tab w:val="left" w:pos="3600"/>
        <w:tab w:val="left" w:pos="4320"/>
        <w:tab w:val="left" w:pos="5040"/>
        <w:tab w:val="left" w:pos="5760"/>
        <w:tab w:val="left" w:pos="6480"/>
        <w:tab w:val="left" w:pos="7200"/>
        <w:tab w:val="left" w:pos="7920"/>
      </w:tabs>
      <w:ind w:left="2160" w:hanging="180"/>
    </w:pPr>
    <w:rPr>
      <w:rFonts w:eastAsia="Times New Roman" w:cs="Times New Roman"/>
      <w:sz w:val="20"/>
      <w:szCs w:val="20"/>
      <w:lang w:eastAsia="en-CA"/>
    </w:rPr>
  </w:style>
  <w:style w:type="paragraph" w:customStyle="1" w:styleId="Outline0034">
    <w:name w:val="Outline003_4"/>
    <w:basedOn w:val="Normal"/>
    <w:rsid w:val="00BC01A8"/>
    <w:pPr>
      <w:tabs>
        <w:tab w:val="left" w:pos="2880"/>
        <w:tab w:val="left" w:pos="3600"/>
        <w:tab w:val="left" w:pos="4320"/>
        <w:tab w:val="left" w:pos="5040"/>
        <w:tab w:val="left" w:pos="5760"/>
        <w:tab w:val="left" w:pos="6480"/>
        <w:tab w:val="left" w:pos="7200"/>
        <w:tab w:val="left" w:pos="7920"/>
      </w:tabs>
      <w:ind w:left="2880" w:hanging="360"/>
    </w:pPr>
    <w:rPr>
      <w:rFonts w:eastAsia="Times New Roman" w:cs="Times New Roman"/>
      <w:sz w:val="20"/>
      <w:szCs w:val="20"/>
      <w:lang w:eastAsia="en-CA"/>
    </w:rPr>
  </w:style>
  <w:style w:type="paragraph" w:customStyle="1" w:styleId="Outline0035">
    <w:name w:val="Outline003_5"/>
    <w:basedOn w:val="Normal"/>
    <w:rsid w:val="00BC01A8"/>
    <w:pPr>
      <w:tabs>
        <w:tab w:val="left" w:pos="3600"/>
        <w:tab w:val="left" w:pos="4320"/>
        <w:tab w:val="left" w:pos="5040"/>
        <w:tab w:val="left" w:pos="5760"/>
        <w:tab w:val="left" w:pos="6480"/>
        <w:tab w:val="left" w:pos="7200"/>
        <w:tab w:val="left" w:pos="7920"/>
      </w:tabs>
      <w:ind w:left="3600" w:hanging="360"/>
    </w:pPr>
    <w:rPr>
      <w:rFonts w:eastAsia="Times New Roman" w:cs="Times New Roman"/>
      <w:sz w:val="20"/>
      <w:szCs w:val="20"/>
      <w:lang w:eastAsia="en-CA"/>
    </w:rPr>
  </w:style>
  <w:style w:type="paragraph" w:customStyle="1" w:styleId="Outline0036">
    <w:name w:val="Outline003_6"/>
    <w:basedOn w:val="Normal"/>
    <w:rsid w:val="00BC01A8"/>
    <w:pPr>
      <w:tabs>
        <w:tab w:val="left" w:pos="4320"/>
        <w:tab w:val="left" w:pos="5040"/>
        <w:tab w:val="left" w:pos="5760"/>
        <w:tab w:val="left" w:pos="6480"/>
        <w:tab w:val="left" w:pos="7200"/>
        <w:tab w:val="left" w:pos="7920"/>
      </w:tabs>
      <w:ind w:left="4320" w:hanging="180"/>
    </w:pPr>
    <w:rPr>
      <w:rFonts w:eastAsia="Times New Roman" w:cs="Times New Roman"/>
      <w:sz w:val="20"/>
      <w:szCs w:val="20"/>
      <w:lang w:eastAsia="en-CA"/>
    </w:rPr>
  </w:style>
  <w:style w:type="paragraph" w:customStyle="1" w:styleId="Outline0037">
    <w:name w:val="Outline003_7"/>
    <w:basedOn w:val="Normal"/>
    <w:rsid w:val="00BC01A8"/>
    <w:pPr>
      <w:tabs>
        <w:tab w:val="left" w:pos="5040"/>
        <w:tab w:val="left" w:pos="5760"/>
        <w:tab w:val="left" w:pos="6480"/>
        <w:tab w:val="left" w:pos="7200"/>
        <w:tab w:val="left" w:pos="7920"/>
      </w:tabs>
      <w:ind w:left="5040" w:hanging="360"/>
    </w:pPr>
    <w:rPr>
      <w:rFonts w:eastAsia="Times New Roman" w:cs="Times New Roman"/>
      <w:sz w:val="20"/>
      <w:szCs w:val="20"/>
      <w:lang w:eastAsia="en-CA"/>
    </w:rPr>
  </w:style>
  <w:style w:type="paragraph" w:customStyle="1" w:styleId="Outline0038">
    <w:name w:val="Outline003_8"/>
    <w:basedOn w:val="Normal"/>
    <w:rsid w:val="00BC01A8"/>
    <w:pPr>
      <w:tabs>
        <w:tab w:val="left" w:pos="5760"/>
        <w:tab w:val="left" w:pos="6480"/>
        <w:tab w:val="left" w:pos="7200"/>
        <w:tab w:val="left" w:pos="7920"/>
      </w:tabs>
      <w:ind w:left="5760" w:hanging="360"/>
    </w:pPr>
    <w:rPr>
      <w:rFonts w:eastAsia="Times New Roman" w:cs="Times New Roman"/>
      <w:sz w:val="20"/>
      <w:szCs w:val="20"/>
      <w:lang w:eastAsia="en-CA"/>
    </w:rPr>
  </w:style>
  <w:style w:type="character" w:customStyle="1" w:styleId="Numrodepa">
    <w:name w:val="Numĩro de pa"/>
    <w:basedOn w:val="DefaultParagraphFont"/>
    <w:rsid w:val="00BC01A8"/>
    <w:rPr>
      <w:sz w:val="24"/>
    </w:rPr>
  </w:style>
  <w:style w:type="character" w:customStyle="1" w:styleId="zzmpTrailerI">
    <w:name w:val="zzmpTrailerI"/>
    <w:basedOn w:val="DefaultParagraphFont"/>
    <w:rsid w:val="00BC01A8"/>
    <w:rPr>
      <w:rFonts w:ascii="Arial" w:hAnsi="Arial"/>
      <w:color w:val="000000"/>
      <w:sz w:val="14"/>
    </w:rPr>
  </w:style>
  <w:style w:type="paragraph" w:customStyle="1" w:styleId="SCCdocumenL1">
    <w:name w:val="SCCdocumen_L1"/>
    <w:basedOn w:val="Normal"/>
    <w:rsid w:val="00BC01A8"/>
    <w:pPr>
      <w:numPr>
        <w:numId w:val="15"/>
      </w:numPr>
      <w:spacing w:after="240" w:line="360" w:lineRule="auto"/>
      <w:jc w:val="both"/>
      <w:outlineLvl w:val="0"/>
    </w:pPr>
    <w:rPr>
      <w:rFonts w:ascii="Arial" w:eastAsia="Times New Roman" w:hAnsi="Arial" w:cs="Arial"/>
      <w:szCs w:val="20"/>
    </w:rPr>
  </w:style>
  <w:style w:type="paragraph" w:customStyle="1" w:styleId="SCCdocumenL2">
    <w:name w:val="SCCdocumen_L2"/>
    <w:basedOn w:val="SCCdocumenL1"/>
    <w:rsid w:val="00BC01A8"/>
    <w:pPr>
      <w:numPr>
        <w:ilvl w:val="1"/>
      </w:numPr>
      <w:outlineLvl w:val="1"/>
    </w:pPr>
    <w:rPr>
      <w:lang w:val="en-US"/>
    </w:rPr>
  </w:style>
  <w:style w:type="paragraph" w:customStyle="1" w:styleId="SCCdocumenL3">
    <w:name w:val="SCCdocumen_L3"/>
    <w:basedOn w:val="SCCdocumenL2"/>
    <w:rsid w:val="00BC01A8"/>
    <w:pPr>
      <w:numPr>
        <w:ilvl w:val="2"/>
      </w:numPr>
      <w:outlineLvl w:val="2"/>
    </w:pPr>
  </w:style>
  <w:style w:type="paragraph" w:customStyle="1" w:styleId="SCCdocumenL4">
    <w:name w:val="SCCdocumen_L4"/>
    <w:basedOn w:val="SCCdocumenL3"/>
    <w:rsid w:val="00BC01A8"/>
    <w:pPr>
      <w:numPr>
        <w:ilvl w:val="3"/>
      </w:numPr>
      <w:outlineLvl w:val="3"/>
    </w:pPr>
  </w:style>
  <w:style w:type="paragraph" w:customStyle="1" w:styleId="SCCdocumenL5">
    <w:name w:val="SCCdocumen_L5"/>
    <w:basedOn w:val="SCCdocumenL4"/>
    <w:rsid w:val="00BC01A8"/>
    <w:pPr>
      <w:numPr>
        <w:ilvl w:val="4"/>
      </w:numPr>
      <w:spacing w:after="360" w:line="240" w:lineRule="auto"/>
      <w:outlineLvl w:val="4"/>
    </w:pPr>
  </w:style>
  <w:style w:type="paragraph" w:styleId="BodyText">
    <w:name w:val="Body Text"/>
    <w:basedOn w:val="Normal"/>
    <w:link w:val="BodyTextChar"/>
    <w:rsid w:val="00BC01A8"/>
    <w:pPr>
      <w:spacing w:after="240"/>
    </w:pPr>
    <w:rPr>
      <w:rFonts w:eastAsia="Times New Roman" w:cs="Times New Roman"/>
      <w:szCs w:val="24"/>
    </w:rPr>
  </w:style>
  <w:style w:type="character" w:customStyle="1" w:styleId="BodyTextChar">
    <w:name w:val="Body Text Char"/>
    <w:basedOn w:val="DefaultParagraphFont"/>
    <w:link w:val="BodyText"/>
    <w:rsid w:val="00BC01A8"/>
    <w:rPr>
      <w:rFonts w:eastAsia="Times New Roman" w:cs="Times New Roman"/>
      <w:szCs w:val="24"/>
      <w:lang w:val="en-CA"/>
    </w:rPr>
  </w:style>
  <w:style w:type="table" w:customStyle="1" w:styleId="TableGrid4">
    <w:name w:val="Table Grid4"/>
    <w:basedOn w:val="TableNormal"/>
    <w:next w:val="TableGrid"/>
    <w:uiPriority w:val="59"/>
    <w:rsid w:val="007A77F9"/>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header" Target="header26.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2BA80-177E-4AAB-A95D-281AC953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40853</Words>
  <Characters>232865</Characters>
  <Application>Microsoft Office Word</Application>
  <DocSecurity>0</DocSecurity>
  <Lines>1940</Lines>
  <Paragraphs>546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2013-09-05T18:42:00Z</dcterms:created>
  <dcterms:modified xsi:type="dcterms:W3CDTF">2013-10-10T18:32:00Z</dcterms:modified>
</cp:coreProperties>
</file>