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3513A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513A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513AE"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3513A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513AE" w:rsidTr="002E5576">
        <w:tc>
          <w:tcPr>
            <w:tcW w:w="4518" w:type="dxa"/>
          </w:tcPr>
          <w:p w:rsidR="00BF25F3" w:rsidRPr="002E2327" w:rsidRDefault="00E704B0"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704B0"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513AE"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3513AE"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3513AE">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3513AE">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D525D" w:rsidP="00F0068D">
      <w:pPr>
        <w:pBdr>
          <w:bottom w:val="single" w:sz="6" w:space="1" w:color="auto"/>
        </w:pBdr>
        <w:tabs>
          <w:tab w:val="center" w:pos="4680"/>
          <w:tab w:val="right" w:pos="9360"/>
        </w:tabs>
        <w:rPr>
          <w:lang w:val="fr-CA"/>
        </w:rPr>
      </w:pPr>
      <w:r>
        <w:rPr>
          <w:lang w:val="fr-CA"/>
        </w:rPr>
        <w:t>Novembe</w:t>
      </w:r>
      <w:r w:rsidR="00C73D06">
        <w:rPr>
          <w:lang w:val="fr-CA"/>
        </w:rPr>
        <w:t>r</w:t>
      </w:r>
      <w:r w:rsidR="00440E24" w:rsidRPr="00675479">
        <w:rPr>
          <w:lang w:val="fr-CA"/>
        </w:rPr>
        <w:t xml:space="preserve"> </w:t>
      </w:r>
      <w:r>
        <w:rPr>
          <w:lang w:val="fr-CA"/>
        </w:rPr>
        <w:t>29</w:t>
      </w:r>
      <w:r w:rsidR="00440E24" w:rsidRPr="00675479">
        <w:rPr>
          <w:lang w:val="fr-CA"/>
        </w:rPr>
        <w:t>, 201</w:t>
      </w:r>
      <w:r w:rsidR="00F761A3">
        <w:rPr>
          <w:lang w:val="fr-CA"/>
        </w:rPr>
        <w:t>3</w:t>
      </w:r>
      <w:r w:rsidR="00F0068D" w:rsidRPr="00675479">
        <w:rPr>
          <w:lang w:val="fr-CA"/>
        </w:rPr>
        <w:tab/>
        <w:t>1</w:t>
      </w:r>
      <w:r>
        <w:rPr>
          <w:lang w:val="fr-CA"/>
        </w:rPr>
        <w:t>934</w:t>
      </w:r>
      <w:r w:rsidR="00F0068D" w:rsidRPr="00675479">
        <w:rPr>
          <w:lang w:val="fr-CA"/>
        </w:rPr>
        <w:t xml:space="preserve"> - </w:t>
      </w:r>
      <w:r w:rsidR="00AB07E5">
        <w:rPr>
          <w:lang w:val="fr-CA"/>
        </w:rPr>
        <w:t>1959</w:t>
      </w:r>
      <w:r w:rsidR="00440E24" w:rsidRPr="00675479">
        <w:rPr>
          <w:lang w:val="fr-CA"/>
        </w:rPr>
        <w:tab/>
      </w:r>
      <w:r w:rsidR="00440E24" w:rsidRPr="002E2327">
        <w:rPr>
          <w:lang w:val="fr-CA"/>
        </w:rPr>
        <w:t>Le</w:t>
      </w:r>
      <w:r w:rsidR="00C73D06">
        <w:rPr>
          <w:lang w:val="fr-CA"/>
        </w:rPr>
        <w:t xml:space="preserve"> </w:t>
      </w:r>
      <w:r>
        <w:rPr>
          <w:lang w:val="fr-CA"/>
        </w:rPr>
        <w:t xml:space="preserve">29 </w:t>
      </w:r>
      <w:r w:rsidR="00C73D06">
        <w:rPr>
          <w:lang w:val="fr-CA"/>
        </w:rPr>
        <w:t>n</w:t>
      </w:r>
      <w:r>
        <w:rPr>
          <w:lang w:val="fr-CA"/>
        </w:rPr>
        <w:t>o</w:t>
      </w:r>
      <w:r w:rsidR="00440E24" w:rsidRPr="002E2327">
        <w:rPr>
          <w:lang w:val="fr-CA"/>
        </w:rPr>
        <w:t>v</w:t>
      </w:r>
      <w:r w:rsidR="00C73D06">
        <w:rPr>
          <w:lang w:val="fr-CA"/>
        </w:rPr>
        <w:t>e</w:t>
      </w:r>
      <w:r>
        <w:rPr>
          <w:lang w:val="fr-CA"/>
        </w:rPr>
        <w:t>mb</w:t>
      </w:r>
      <w:r w:rsidR="00C73D06">
        <w:rPr>
          <w:lang w:val="fr-CA"/>
        </w:rPr>
        <w:t>r</w:t>
      </w:r>
      <w:r>
        <w:rPr>
          <w:lang w:val="fr-CA"/>
        </w:rPr>
        <w:t>e</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DD525D" w:rsidRDefault="00440E24" w:rsidP="00440E24">
      <w:pPr>
        <w:pBdr>
          <w:bottom w:val="single" w:sz="6" w:space="1" w:color="auto"/>
        </w:pBdr>
        <w:tabs>
          <w:tab w:val="right" w:pos="9360"/>
        </w:tabs>
        <w:rPr>
          <w:sz w:val="18"/>
          <w:szCs w:val="18"/>
          <w:lang w:val="fr-CA"/>
        </w:rPr>
      </w:pPr>
      <w:r w:rsidRPr="00DD525D">
        <w:rPr>
          <w:sz w:val="18"/>
          <w:szCs w:val="18"/>
          <w:lang w:val="fr-CA"/>
        </w:rPr>
        <w:lastRenderedPageBreak/>
        <w:t>© Supreme Court of Canada (201</w:t>
      </w:r>
      <w:r w:rsidR="00F761A3" w:rsidRPr="00DD525D">
        <w:rPr>
          <w:sz w:val="18"/>
          <w:szCs w:val="18"/>
          <w:lang w:val="fr-CA"/>
        </w:rPr>
        <w:t>3</w:t>
      </w:r>
      <w:r w:rsidRPr="00DD525D">
        <w:rPr>
          <w:sz w:val="18"/>
          <w:szCs w:val="18"/>
          <w:lang w:val="fr-CA"/>
        </w:rPr>
        <w:t>)</w:t>
      </w:r>
      <w:r w:rsidRPr="00DD525D">
        <w:rPr>
          <w:sz w:val="18"/>
          <w:szCs w:val="18"/>
          <w:lang w:val="fr-CA"/>
        </w:rPr>
        <w:tab/>
        <w:t>© Cour suprême du Canada (201</w:t>
      </w:r>
      <w:r w:rsidR="00F761A3" w:rsidRPr="00DD525D">
        <w:rPr>
          <w:sz w:val="18"/>
          <w:szCs w:val="18"/>
          <w:lang w:val="fr-CA"/>
        </w:rPr>
        <w:t>3</w:t>
      </w:r>
      <w:r w:rsidRPr="00DD525D">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4C33AB"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42382D">
            <w:pPr>
              <w:tabs>
                <w:tab w:val="right" w:pos="9360"/>
              </w:tabs>
              <w:rPr>
                <w:rFonts w:cs="Times New Roman"/>
                <w:sz w:val="20"/>
                <w:szCs w:val="20"/>
              </w:rPr>
            </w:pPr>
          </w:p>
        </w:tc>
        <w:tc>
          <w:tcPr>
            <w:tcW w:w="1980" w:type="dxa"/>
          </w:tcPr>
          <w:p w:rsidR="0095096B" w:rsidRPr="002E2327" w:rsidRDefault="00DD525D" w:rsidP="0095096B">
            <w:pPr>
              <w:jc w:val="center"/>
              <w:rPr>
                <w:rFonts w:cs="Times New Roman"/>
                <w:sz w:val="20"/>
                <w:szCs w:val="20"/>
              </w:rPr>
            </w:pPr>
            <w:r>
              <w:rPr>
                <w:rFonts w:cs="Times New Roman"/>
                <w:sz w:val="20"/>
                <w:szCs w:val="20"/>
              </w:rPr>
              <w:t>1934</w:t>
            </w:r>
            <w:r w:rsidR="00E704B0" w:rsidRPr="002E2327">
              <w:rPr>
                <w:rFonts w:cs="Times New Roman"/>
                <w:sz w:val="20"/>
                <w:szCs w:val="20"/>
              </w:rPr>
              <w:fldChar w:fldCharType="begin"/>
            </w:r>
            <w:r w:rsidR="0095096B" w:rsidRPr="002E2327">
              <w:rPr>
                <w:rFonts w:cs="Times New Roman"/>
                <w:sz w:val="20"/>
                <w:szCs w:val="20"/>
              </w:rPr>
              <w:instrText xml:space="preserve"> SEQ CHAPTER \h \r 1</w:instrText>
            </w:r>
            <w:r w:rsidR="00E704B0"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77130" w:rsidP="0095096B">
            <w:pPr>
              <w:jc w:val="center"/>
              <w:rPr>
                <w:rFonts w:cs="Times New Roman"/>
                <w:sz w:val="20"/>
                <w:szCs w:val="20"/>
              </w:rPr>
            </w:pPr>
            <w:r>
              <w:rPr>
                <w:rFonts w:cs="Times New Roman"/>
                <w:sz w:val="20"/>
                <w:szCs w:val="20"/>
              </w:rPr>
              <w:t>1935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2382D" w:rsidP="0095096B">
            <w:pPr>
              <w:jc w:val="center"/>
              <w:rPr>
                <w:rFonts w:cs="Times New Roman"/>
                <w:sz w:val="20"/>
                <w:szCs w:val="20"/>
              </w:rPr>
            </w:pPr>
            <w:r>
              <w:rPr>
                <w:rFonts w:cs="Times New Roman"/>
                <w:sz w:val="20"/>
                <w:szCs w:val="20"/>
              </w:rPr>
              <w:t xml:space="preserve">1936 </w:t>
            </w:r>
            <w:r w:rsidR="0095096B" w:rsidRPr="002E2327">
              <w:rPr>
                <w:rFonts w:cs="Times New Roman"/>
                <w:sz w:val="20"/>
                <w:szCs w:val="20"/>
              </w:rPr>
              <w:t>-</w:t>
            </w:r>
            <w:r w:rsidR="00914CB9">
              <w:rPr>
                <w:rFonts w:cs="Times New Roman"/>
                <w:sz w:val="20"/>
                <w:szCs w:val="20"/>
              </w:rPr>
              <w:t xml:space="preserve"> 1944</w:t>
            </w:r>
          </w:p>
          <w:p w:rsidR="0095096B" w:rsidRDefault="0095096B" w:rsidP="0095096B">
            <w:pPr>
              <w:jc w:val="center"/>
              <w:rPr>
                <w:rFonts w:cs="Times New Roman"/>
                <w:sz w:val="20"/>
                <w:szCs w:val="20"/>
              </w:rPr>
            </w:pPr>
          </w:p>
          <w:p w:rsidR="00914CB9" w:rsidRPr="002E2327" w:rsidRDefault="00914CB9" w:rsidP="0095096B">
            <w:pPr>
              <w:jc w:val="center"/>
              <w:rPr>
                <w:rFonts w:cs="Times New Roman"/>
                <w:sz w:val="20"/>
                <w:szCs w:val="20"/>
              </w:rPr>
            </w:pPr>
          </w:p>
          <w:p w:rsidR="0095096B" w:rsidRPr="002E2327" w:rsidRDefault="00914CB9" w:rsidP="0095096B">
            <w:pPr>
              <w:jc w:val="center"/>
              <w:rPr>
                <w:rFonts w:cs="Times New Roman"/>
                <w:sz w:val="20"/>
                <w:szCs w:val="20"/>
              </w:rPr>
            </w:pPr>
            <w:r>
              <w:rPr>
                <w:rFonts w:cs="Times New Roman"/>
                <w:sz w:val="20"/>
                <w:szCs w:val="20"/>
              </w:rPr>
              <w:t xml:space="preserve">1945 </w:t>
            </w:r>
            <w:r w:rsidR="0095096B" w:rsidRPr="002E2327">
              <w:rPr>
                <w:rFonts w:cs="Times New Roman"/>
                <w:sz w:val="20"/>
                <w:szCs w:val="20"/>
              </w:rPr>
              <w:t>-</w:t>
            </w:r>
            <w:r>
              <w:rPr>
                <w:rFonts w:cs="Times New Roman"/>
                <w:sz w:val="20"/>
                <w:szCs w:val="20"/>
              </w:rPr>
              <w:t xml:space="preserve"> 1949</w:t>
            </w:r>
          </w:p>
          <w:p w:rsidR="0095096B" w:rsidRPr="002E2327" w:rsidRDefault="0095096B" w:rsidP="0095096B">
            <w:pPr>
              <w:jc w:val="center"/>
              <w:rPr>
                <w:rFonts w:cs="Times New Roman"/>
                <w:sz w:val="20"/>
                <w:szCs w:val="20"/>
              </w:rPr>
            </w:pPr>
          </w:p>
          <w:p w:rsidR="0095096B" w:rsidRPr="002E2327" w:rsidRDefault="00914CB9" w:rsidP="0095096B">
            <w:pPr>
              <w:jc w:val="center"/>
              <w:rPr>
                <w:rFonts w:cs="Times New Roman"/>
                <w:sz w:val="20"/>
                <w:szCs w:val="20"/>
              </w:rPr>
            </w:pPr>
            <w:r>
              <w:rPr>
                <w:rFonts w:cs="Times New Roman"/>
                <w:sz w:val="20"/>
                <w:szCs w:val="20"/>
              </w:rPr>
              <w:t>1950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14CB9" w:rsidP="0095096B">
            <w:pPr>
              <w:jc w:val="center"/>
              <w:rPr>
                <w:rFonts w:cs="Times New Roman"/>
                <w:sz w:val="20"/>
                <w:szCs w:val="20"/>
              </w:rPr>
            </w:pPr>
            <w:r>
              <w:rPr>
                <w:rFonts w:cs="Times New Roman"/>
                <w:sz w:val="20"/>
                <w:szCs w:val="20"/>
              </w:rPr>
              <w:t>1951</w:t>
            </w:r>
          </w:p>
          <w:p w:rsidR="0095096B" w:rsidRDefault="0095096B" w:rsidP="0095096B">
            <w:pPr>
              <w:jc w:val="center"/>
              <w:rPr>
                <w:rFonts w:cs="Times New Roman"/>
                <w:sz w:val="20"/>
                <w:szCs w:val="20"/>
              </w:rPr>
            </w:pPr>
          </w:p>
          <w:p w:rsidR="00914CB9" w:rsidRPr="002E2327" w:rsidRDefault="00914CB9" w:rsidP="0095096B">
            <w:pPr>
              <w:jc w:val="center"/>
              <w:rPr>
                <w:rFonts w:cs="Times New Roman"/>
                <w:sz w:val="20"/>
                <w:szCs w:val="20"/>
              </w:rPr>
            </w:pPr>
          </w:p>
          <w:p w:rsidR="0095096B" w:rsidRPr="002E2327" w:rsidRDefault="003D5045" w:rsidP="0095096B">
            <w:pPr>
              <w:jc w:val="center"/>
              <w:rPr>
                <w:rFonts w:cs="Times New Roman"/>
                <w:sz w:val="20"/>
                <w:szCs w:val="20"/>
              </w:rPr>
            </w:pPr>
            <w:r>
              <w:rPr>
                <w:rFonts w:cs="Times New Roman"/>
                <w:sz w:val="20"/>
                <w:szCs w:val="20"/>
              </w:rPr>
              <w:t xml:space="preserve">1952 </w:t>
            </w:r>
            <w:r w:rsidR="0095096B" w:rsidRPr="002E2327">
              <w:rPr>
                <w:rFonts w:cs="Times New Roman"/>
                <w:sz w:val="20"/>
                <w:szCs w:val="20"/>
              </w:rPr>
              <w:t>-</w:t>
            </w:r>
            <w:r>
              <w:rPr>
                <w:rFonts w:cs="Times New Roman"/>
                <w:sz w:val="20"/>
                <w:szCs w:val="20"/>
              </w:rPr>
              <w:t xml:space="preserve"> 1959</w:t>
            </w:r>
          </w:p>
          <w:p w:rsidR="00A87207" w:rsidRPr="002E2327" w:rsidRDefault="00A87207" w:rsidP="0042382D">
            <w:pPr>
              <w:jc w:val="center"/>
              <w:rPr>
                <w:rFonts w:cs="Times New Roman"/>
                <w:sz w:val="20"/>
                <w:szCs w:val="20"/>
              </w:rPr>
            </w:pPr>
          </w:p>
        </w:tc>
        <w:tc>
          <w:tcPr>
            <w:tcW w:w="3888" w:type="dxa"/>
          </w:tcPr>
          <w:p w:rsidR="0095096B" w:rsidRPr="002E2327" w:rsidRDefault="00E704B0"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42382D">
            <w:pPr>
              <w:rPr>
                <w:rFonts w:cs="Times New Roman"/>
                <w:sz w:val="20"/>
                <w:szCs w:val="20"/>
                <w:lang w:val="fr-CA"/>
              </w:rPr>
            </w:pPr>
          </w:p>
        </w:tc>
      </w:tr>
    </w:tbl>
    <w:p w:rsidR="0095096B" w:rsidRDefault="0095096B" w:rsidP="0095096B">
      <w:pPr>
        <w:tabs>
          <w:tab w:val="right" w:pos="9360"/>
        </w:tabs>
        <w:rPr>
          <w:lang w:val="fr-CA"/>
        </w:rPr>
      </w:pPr>
    </w:p>
    <w:p w:rsidR="00A77130" w:rsidRDefault="00A77130" w:rsidP="0095096B">
      <w:pPr>
        <w:tabs>
          <w:tab w:val="right" w:pos="9360"/>
        </w:tabs>
        <w:rPr>
          <w:lang w:val="fr-CA"/>
        </w:rPr>
      </w:pPr>
    </w:p>
    <w:p w:rsidR="00A77130" w:rsidRDefault="00A77130" w:rsidP="0095096B">
      <w:pPr>
        <w:tabs>
          <w:tab w:val="right" w:pos="9360"/>
        </w:tabs>
        <w:rPr>
          <w:lang w:val="fr-CA"/>
        </w:rPr>
      </w:pPr>
    </w:p>
    <w:p w:rsidR="00A77130" w:rsidRDefault="00A77130" w:rsidP="0095096B">
      <w:pPr>
        <w:tabs>
          <w:tab w:val="right" w:pos="9360"/>
        </w:tabs>
        <w:rPr>
          <w:lang w:val="fr-CA"/>
        </w:rPr>
      </w:pPr>
    </w:p>
    <w:p w:rsidR="00A77130" w:rsidRPr="008C799B" w:rsidRDefault="00A77130"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3513AE"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A935AA" w:rsidTr="003B3977">
        <w:tc>
          <w:tcPr>
            <w:tcW w:w="4320" w:type="dxa"/>
            <w:shd w:val="clear" w:color="auto" w:fill="auto"/>
          </w:tcPr>
          <w:p w:rsidR="00242AEE" w:rsidRPr="008C799B" w:rsidRDefault="00A47690" w:rsidP="003B3977">
            <w:pPr>
              <w:rPr>
                <w:b/>
                <w:sz w:val="20"/>
                <w:szCs w:val="20"/>
                <w:lang w:val="fr-CA"/>
              </w:rPr>
            </w:pPr>
            <w:r w:rsidRPr="008C799B">
              <w:rPr>
                <w:b/>
                <w:sz w:val="20"/>
                <w:szCs w:val="20"/>
                <w:lang w:val="fr-CA"/>
              </w:rPr>
              <w:t>Madelaine Reid et autres</w:t>
            </w:r>
          </w:p>
          <w:p w:rsidR="00242AEE" w:rsidRPr="008C799B" w:rsidRDefault="00242AEE" w:rsidP="003B3977">
            <w:pPr>
              <w:tabs>
                <w:tab w:val="left" w:pos="-1440"/>
                <w:tab w:val="left" w:pos="-720"/>
              </w:tabs>
              <w:rPr>
                <w:sz w:val="20"/>
                <w:szCs w:val="20"/>
                <w:lang w:val="fr-CA"/>
              </w:rPr>
            </w:pPr>
            <w:r w:rsidRPr="008C799B">
              <w:rPr>
                <w:sz w:val="20"/>
                <w:szCs w:val="20"/>
                <w:lang w:val="fr-CA"/>
              </w:rPr>
              <w:tab/>
            </w:r>
            <w:r w:rsidR="00A47690" w:rsidRPr="008C799B">
              <w:rPr>
                <w:sz w:val="20"/>
                <w:szCs w:val="20"/>
                <w:lang w:val="fr-CA"/>
              </w:rPr>
              <w:t>Ricardo Hrtschan</w:t>
            </w:r>
          </w:p>
          <w:p w:rsidR="00242AEE" w:rsidRPr="008C799B" w:rsidRDefault="00242AEE" w:rsidP="003B3977">
            <w:pPr>
              <w:tabs>
                <w:tab w:val="left" w:pos="-1440"/>
                <w:tab w:val="left" w:pos="-720"/>
              </w:tabs>
              <w:rPr>
                <w:sz w:val="20"/>
                <w:szCs w:val="20"/>
                <w:lang w:val="fr-CA"/>
              </w:rPr>
            </w:pPr>
          </w:p>
          <w:p w:rsidR="00242AEE" w:rsidRPr="00A47690" w:rsidRDefault="00242AEE" w:rsidP="003B3977">
            <w:pPr>
              <w:tabs>
                <w:tab w:val="left" w:pos="-1440"/>
                <w:tab w:val="left" w:pos="-720"/>
              </w:tabs>
              <w:rPr>
                <w:sz w:val="20"/>
                <w:szCs w:val="20"/>
                <w:lang w:val="fr-CA"/>
              </w:rPr>
            </w:pPr>
            <w:r w:rsidRPr="008C799B">
              <w:rPr>
                <w:sz w:val="20"/>
                <w:szCs w:val="20"/>
                <w:lang w:val="fr-CA"/>
              </w:rPr>
              <w:tab/>
            </w:r>
            <w:r w:rsidR="00386C36">
              <w:rPr>
                <w:sz w:val="20"/>
                <w:szCs w:val="20"/>
                <w:lang w:val="fr-CA"/>
              </w:rPr>
              <w:t>c</w:t>
            </w:r>
            <w:r w:rsidRPr="00A47690">
              <w:rPr>
                <w:sz w:val="20"/>
                <w:szCs w:val="20"/>
                <w:lang w:val="fr-CA"/>
              </w:rPr>
              <w:t>. (3</w:t>
            </w:r>
            <w:r w:rsidR="009A59D4" w:rsidRPr="00A47690">
              <w:rPr>
                <w:sz w:val="20"/>
                <w:szCs w:val="20"/>
                <w:lang w:val="fr-CA"/>
              </w:rPr>
              <w:t>5</w:t>
            </w:r>
            <w:r w:rsidR="00A47690" w:rsidRPr="00A47690">
              <w:rPr>
                <w:sz w:val="20"/>
                <w:szCs w:val="20"/>
                <w:lang w:val="fr-CA"/>
              </w:rPr>
              <w:t>602</w:t>
            </w:r>
            <w:r w:rsidRPr="00A47690">
              <w:rPr>
                <w:sz w:val="20"/>
                <w:szCs w:val="20"/>
                <w:lang w:val="fr-CA"/>
              </w:rPr>
              <w:t>)</w:t>
            </w:r>
          </w:p>
          <w:p w:rsidR="00242AEE" w:rsidRPr="00A47690" w:rsidRDefault="00242AEE" w:rsidP="003B3977">
            <w:pPr>
              <w:tabs>
                <w:tab w:val="left" w:pos="-1440"/>
                <w:tab w:val="left" w:pos="-720"/>
              </w:tabs>
              <w:rPr>
                <w:sz w:val="20"/>
                <w:szCs w:val="20"/>
                <w:lang w:val="fr-CA"/>
              </w:rPr>
            </w:pPr>
          </w:p>
          <w:p w:rsidR="00242AEE" w:rsidRPr="00A47690" w:rsidRDefault="00A47690" w:rsidP="003B3977">
            <w:pPr>
              <w:tabs>
                <w:tab w:val="left" w:pos="-1440"/>
                <w:tab w:val="left" w:pos="-720"/>
              </w:tabs>
              <w:rPr>
                <w:b/>
                <w:sz w:val="20"/>
                <w:szCs w:val="20"/>
                <w:lang w:val="fr-CA"/>
              </w:rPr>
            </w:pPr>
            <w:r w:rsidRPr="00A47690">
              <w:rPr>
                <w:b/>
                <w:sz w:val="20"/>
                <w:szCs w:val="20"/>
                <w:lang w:val="fr-CA"/>
              </w:rPr>
              <w:t>Ville de Montréal et autre</w:t>
            </w:r>
            <w:r w:rsidR="00242AEE" w:rsidRPr="00A47690">
              <w:rPr>
                <w:b/>
                <w:sz w:val="20"/>
                <w:szCs w:val="20"/>
                <w:lang w:val="fr-CA"/>
              </w:rPr>
              <w:t xml:space="preserve"> (</w:t>
            </w:r>
            <w:r w:rsidRPr="00A47690">
              <w:rPr>
                <w:b/>
                <w:sz w:val="20"/>
                <w:szCs w:val="20"/>
                <w:lang w:val="fr-CA"/>
              </w:rPr>
              <w:t>Que</w:t>
            </w:r>
            <w:r w:rsidR="00242AEE" w:rsidRPr="00A47690">
              <w:rPr>
                <w:b/>
                <w:sz w:val="20"/>
                <w:szCs w:val="20"/>
                <w:lang w:val="fr-CA"/>
              </w:rPr>
              <w:t>.)</w:t>
            </w:r>
          </w:p>
          <w:p w:rsidR="00242AEE" w:rsidRPr="00A47690" w:rsidRDefault="00242AEE" w:rsidP="003B3977">
            <w:pPr>
              <w:tabs>
                <w:tab w:val="left" w:pos="-1440"/>
                <w:tab w:val="left" w:pos="-720"/>
              </w:tabs>
              <w:rPr>
                <w:sz w:val="20"/>
                <w:szCs w:val="20"/>
                <w:lang w:val="fr-CA"/>
              </w:rPr>
            </w:pPr>
            <w:r w:rsidRPr="00A47690">
              <w:rPr>
                <w:sz w:val="20"/>
                <w:szCs w:val="20"/>
                <w:lang w:val="fr-CA"/>
              </w:rPr>
              <w:tab/>
            </w:r>
            <w:r w:rsidR="00A47690">
              <w:rPr>
                <w:sz w:val="20"/>
                <w:szCs w:val="20"/>
                <w:lang w:val="fr-CA"/>
              </w:rPr>
              <w:t>Eric Couture</w:t>
            </w:r>
          </w:p>
          <w:p w:rsidR="00242AEE" w:rsidRPr="00A47690" w:rsidRDefault="00242AEE" w:rsidP="003B3977">
            <w:pPr>
              <w:tabs>
                <w:tab w:val="left" w:pos="-1440"/>
                <w:tab w:val="left" w:pos="-720"/>
              </w:tabs>
              <w:rPr>
                <w:sz w:val="20"/>
                <w:szCs w:val="20"/>
                <w:lang w:val="fr-CA"/>
              </w:rPr>
            </w:pPr>
            <w:r w:rsidRPr="00A47690">
              <w:rPr>
                <w:sz w:val="20"/>
                <w:szCs w:val="20"/>
                <w:lang w:val="fr-CA"/>
              </w:rPr>
              <w:tab/>
            </w:r>
            <w:r w:rsidR="00A47690">
              <w:rPr>
                <w:sz w:val="20"/>
                <w:szCs w:val="20"/>
                <w:lang w:val="fr-CA"/>
              </w:rPr>
              <w:t>Dagenais Gagnier Biron Avocats</w:t>
            </w:r>
          </w:p>
          <w:p w:rsidR="00242AEE" w:rsidRPr="00A47690" w:rsidRDefault="00242AEE" w:rsidP="003B3977">
            <w:pPr>
              <w:tabs>
                <w:tab w:val="left" w:pos="-1440"/>
                <w:tab w:val="left" w:pos="-720"/>
              </w:tabs>
              <w:rPr>
                <w:sz w:val="20"/>
                <w:szCs w:val="20"/>
                <w:lang w:val="fr-CA"/>
              </w:rPr>
            </w:pPr>
          </w:p>
          <w:p w:rsidR="00242AEE" w:rsidRPr="00A935AA" w:rsidRDefault="00242AEE" w:rsidP="003B3977">
            <w:pPr>
              <w:rPr>
                <w:sz w:val="20"/>
                <w:szCs w:val="20"/>
              </w:rPr>
            </w:pPr>
            <w:r w:rsidRPr="00A935AA">
              <w:rPr>
                <w:sz w:val="20"/>
                <w:szCs w:val="20"/>
              </w:rPr>
              <w:t>DATE</w:t>
            </w:r>
            <w:r w:rsidR="00386C36">
              <w:rPr>
                <w:sz w:val="20"/>
                <w:szCs w:val="20"/>
              </w:rPr>
              <w:t xml:space="preserve"> DE PRODUCTION </w:t>
            </w:r>
            <w:r w:rsidRPr="00A935AA">
              <w:rPr>
                <w:sz w:val="20"/>
                <w:szCs w:val="20"/>
              </w:rPr>
              <w:t xml:space="preserve">: </w:t>
            </w:r>
            <w:r w:rsidR="009A59D4">
              <w:rPr>
                <w:sz w:val="20"/>
                <w:szCs w:val="20"/>
              </w:rPr>
              <w:t>0</w:t>
            </w:r>
            <w:r w:rsidR="00A47690">
              <w:rPr>
                <w:sz w:val="20"/>
                <w:szCs w:val="20"/>
              </w:rPr>
              <w:t>5</w:t>
            </w:r>
            <w:r w:rsidRPr="00A935AA">
              <w:rPr>
                <w:sz w:val="20"/>
                <w:szCs w:val="20"/>
              </w:rPr>
              <w:t>.</w:t>
            </w:r>
            <w:r w:rsidR="009A59D4">
              <w:rPr>
                <w:sz w:val="20"/>
                <w:szCs w:val="20"/>
              </w:rPr>
              <w:t>11</w:t>
            </w:r>
            <w:r w:rsidRPr="00A935AA">
              <w:rPr>
                <w:sz w:val="20"/>
                <w:szCs w:val="20"/>
              </w:rPr>
              <w:t>.201</w:t>
            </w:r>
            <w:r w:rsidR="009A59D4">
              <w:rPr>
                <w:sz w:val="20"/>
                <w:szCs w:val="20"/>
              </w:rPr>
              <w:t>3</w:t>
            </w:r>
          </w:p>
          <w:p w:rsidR="00242AEE" w:rsidRPr="00A935AA" w:rsidRDefault="003513AE"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A47690" w:rsidP="003B3977">
            <w:pPr>
              <w:keepNext/>
              <w:keepLines/>
              <w:tabs>
                <w:tab w:val="left" w:pos="-1440"/>
                <w:tab w:val="left" w:pos="-720"/>
              </w:tabs>
              <w:rPr>
                <w:b/>
                <w:sz w:val="20"/>
                <w:szCs w:val="20"/>
              </w:rPr>
            </w:pPr>
            <w:r>
              <w:rPr>
                <w:b/>
                <w:sz w:val="20"/>
                <w:szCs w:val="20"/>
              </w:rPr>
              <w:t>Scott Meeking, as representative Plaintiff</w:t>
            </w:r>
          </w:p>
          <w:p w:rsidR="00242AEE" w:rsidRPr="00A935AA" w:rsidRDefault="00242AEE" w:rsidP="003B3977">
            <w:pPr>
              <w:keepNext/>
              <w:keepLines/>
              <w:tabs>
                <w:tab w:val="left" w:pos="-1440"/>
                <w:tab w:val="left" w:pos="-720"/>
              </w:tabs>
              <w:rPr>
                <w:sz w:val="20"/>
                <w:szCs w:val="20"/>
              </w:rPr>
            </w:pPr>
            <w:r w:rsidRPr="00A935AA">
              <w:rPr>
                <w:sz w:val="20"/>
                <w:szCs w:val="20"/>
              </w:rPr>
              <w:tab/>
            </w:r>
            <w:r w:rsidR="008C792D">
              <w:rPr>
                <w:sz w:val="20"/>
                <w:szCs w:val="20"/>
              </w:rPr>
              <w:t>Paul R. Bennett</w:t>
            </w:r>
          </w:p>
          <w:p w:rsidR="00242AEE" w:rsidRPr="00A935AA" w:rsidRDefault="00242AEE" w:rsidP="003B3977">
            <w:pPr>
              <w:keepNext/>
              <w:keepLines/>
              <w:tabs>
                <w:tab w:val="left" w:pos="-1440"/>
                <w:tab w:val="left" w:pos="-720"/>
              </w:tabs>
              <w:rPr>
                <w:sz w:val="20"/>
                <w:szCs w:val="20"/>
              </w:rPr>
            </w:pPr>
            <w:r w:rsidRPr="00A935AA">
              <w:rPr>
                <w:sz w:val="20"/>
                <w:szCs w:val="20"/>
              </w:rPr>
              <w:tab/>
            </w:r>
            <w:r w:rsidR="008C792D">
              <w:rPr>
                <w:sz w:val="20"/>
                <w:szCs w:val="20"/>
              </w:rPr>
              <w:t>Hordo &amp; Bennett</w:t>
            </w:r>
          </w:p>
          <w:p w:rsidR="00242AEE" w:rsidRPr="00A935AA" w:rsidRDefault="00242AEE" w:rsidP="003B3977">
            <w:pPr>
              <w:keepNext/>
              <w:keepLines/>
              <w:tabs>
                <w:tab w:val="left" w:pos="-1440"/>
                <w:tab w:val="left" w:pos="-720"/>
              </w:tabs>
              <w:rPr>
                <w:sz w:val="20"/>
                <w:szCs w:val="20"/>
              </w:rPr>
            </w:pPr>
          </w:p>
          <w:p w:rsidR="00242AEE" w:rsidRPr="00A47690" w:rsidRDefault="00242AEE" w:rsidP="003B3977">
            <w:pPr>
              <w:keepNext/>
              <w:keepLines/>
              <w:tabs>
                <w:tab w:val="left" w:pos="-1440"/>
                <w:tab w:val="left" w:pos="-720"/>
              </w:tabs>
              <w:rPr>
                <w:sz w:val="20"/>
                <w:szCs w:val="20"/>
              </w:rPr>
            </w:pPr>
            <w:r w:rsidRPr="00A935AA">
              <w:rPr>
                <w:sz w:val="20"/>
                <w:szCs w:val="20"/>
              </w:rPr>
              <w:tab/>
            </w:r>
            <w:r w:rsidRPr="00A47690">
              <w:rPr>
                <w:sz w:val="20"/>
                <w:szCs w:val="20"/>
              </w:rPr>
              <w:t>v. (3</w:t>
            </w:r>
            <w:r w:rsidR="009A59D4" w:rsidRPr="00A47690">
              <w:rPr>
                <w:sz w:val="20"/>
                <w:szCs w:val="20"/>
              </w:rPr>
              <w:t>5</w:t>
            </w:r>
            <w:r w:rsidR="00FB6854">
              <w:rPr>
                <w:sz w:val="20"/>
                <w:szCs w:val="20"/>
              </w:rPr>
              <w:t>6</w:t>
            </w:r>
            <w:r w:rsidR="008C792D">
              <w:rPr>
                <w:sz w:val="20"/>
                <w:szCs w:val="20"/>
              </w:rPr>
              <w:t>08</w:t>
            </w:r>
            <w:r w:rsidRPr="00A47690">
              <w:rPr>
                <w:sz w:val="20"/>
                <w:szCs w:val="20"/>
              </w:rPr>
              <w:t>)</w:t>
            </w:r>
          </w:p>
          <w:p w:rsidR="00242AEE" w:rsidRPr="00A47690" w:rsidRDefault="00242AEE" w:rsidP="003B3977">
            <w:pPr>
              <w:keepNext/>
              <w:keepLines/>
              <w:tabs>
                <w:tab w:val="left" w:pos="-1440"/>
                <w:tab w:val="left" w:pos="-720"/>
              </w:tabs>
              <w:rPr>
                <w:sz w:val="20"/>
                <w:szCs w:val="20"/>
              </w:rPr>
            </w:pPr>
          </w:p>
          <w:p w:rsidR="00242AEE" w:rsidRPr="00A47690" w:rsidRDefault="00A47690" w:rsidP="003B3977">
            <w:pPr>
              <w:keepNext/>
              <w:keepLines/>
              <w:tabs>
                <w:tab w:val="left" w:pos="-1440"/>
                <w:tab w:val="left" w:pos="-720"/>
              </w:tabs>
              <w:rPr>
                <w:b/>
                <w:sz w:val="20"/>
                <w:szCs w:val="20"/>
              </w:rPr>
            </w:pPr>
            <w:r w:rsidRPr="00A47690">
              <w:rPr>
                <w:b/>
                <w:sz w:val="20"/>
                <w:szCs w:val="20"/>
              </w:rPr>
              <w:t>Cash Store I</w:t>
            </w:r>
            <w:r>
              <w:rPr>
                <w:b/>
                <w:sz w:val="20"/>
                <w:szCs w:val="20"/>
              </w:rPr>
              <w:t>n</w:t>
            </w:r>
            <w:r w:rsidRPr="00A47690">
              <w:rPr>
                <w:b/>
                <w:sz w:val="20"/>
                <w:szCs w:val="20"/>
              </w:rPr>
              <w:t>c.</w:t>
            </w:r>
            <w:r>
              <w:rPr>
                <w:b/>
                <w:sz w:val="20"/>
                <w:szCs w:val="20"/>
              </w:rPr>
              <w:t xml:space="preserve"> </w:t>
            </w:r>
            <w:r w:rsidR="008C792D">
              <w:rPr>
                <w:b/>
                <w:sz w:val="20"/>
                <w:szCs w:val="20"/>
              </w:rPr>
              <w:t>et al.</w:t>
            </w:r>
            <w:r w:rsidR="00242AEE" w:rsidRPr="00A47690">
              <w:rPr>
                <w:b/>
                <w:sz w:val="20"/>
                <w:szCs w:val="20"/>
              </w:rPr>
              <w:t xml:space="preserve"> (</w:t>
            </w:r>
            <w:r w:rsidR="008C792D">
              <w:rPr>
                <w:b/>
                <w:sz w:val="20"/>
                <w:szCs w:val="20"/>
              </w:rPr>
              <w:t>Ma</w:t>
            </w:r>
            <w:r w:rsidR="00242AEE" w:rsidRPr="00A47690">
              <w:rPr>
                <w:b/>
                <w:sz w:val="20"/>
                <w:szCs w:val="20"/>
              </w:rPr>
              <w:t>n.)</w:t>
            </w:r>
          </w:p>
          <w:p w:rsidR="00242AEE" w:rsidRPr="00A47690" w:rsidRDefault="00242AEE" w:rsidP="003B3977">
            <w:pPr>
              <w:keepNext/>
              <w:keepLines/>
              <w:tabs>
                <w:tab w:val="left" w:pos="-1440"/>
                <w:tab w:val="left" w:pos="-720"/>
              </w:tabs>
              <w:rPr>
                <w:sz w:val="20"/>
                <w:szCs w:val="20"/>
              </w:rPr>
            </w:pPr>
            <w:r w:rsidRPr="00A47690">
              <w:rPr>
                <w:sz w:val="20"/>
                <w:szCs w:val="20"/>
              </w:rPr>
              <w:tab/>
            </w:r>
            <w:r w:rsidR="008C792D">
              <w:rPr>
                <w:sz w:val="20"/>
                <w:szCs w:val="20"/>
              </w:rPr>
              <w:t>Timothy Pinos</w:t>
            </w:r>
          </w:p>
          <w:p w:rsidR="00242AEE" w:rsidRPr="00A47690" w:rsidRDefault="00242AEE" w:rsidP="003B3977">
            <w:pPr>
              <w:keepNext/>
              <w:keepLines/>
              <w:tabs>
                <w:tab w:val="left" w:pos="-1440"/>
                <w:tab w:val="left" w:pos="-720"/>
              </w:tabs>
              <w:rPr>
                <w:sz w:val="20"/>
                <w:szCs w:val="20"/>
              </w:rPr>
            </w:pPr>
            <w:r w:rsidRPr="00A47690">
              <w:rPr>
                <w:sz w:val="20"/>
                <w:szCs w:val="20"/>
              </w:rPr>
              <w:tab/>
            </w:r>
            <w:r w:rsidR="008C792D">
              <w:rPr>
                <w:sz w:val="20"/>
                <w:szCs w:val="20"/>
              </w:rPr>
              <w:t>Cassels Brock &amp; Blackwell LLP</w:t>
            </w:r>
          </w:p>
          <w:p w:rsidR="00242AEE" w:rsidRPr="00A47690" w:rsidRDefault="00242AEE" w:rsidP="003B3977">
            <w:pPr>
              <w:keepNext/>
              <w:keepLines/>
              <w:tabs>
                <w:tab w:val="left" w:pos="-1440"/>
                <w:tab w:val="left" w:pos="-720"/>
              </w:tabs>
              <w:rPr>
                <w:sz w:val="20"/>
                <w:szCs w:val="20"/>
              </w:rPr>
            </w:pPr>
          </w:p>
          <w:p w:rsidR="00242AEE" w:rsidRPr="00A935AA" w:rsidRDefault="00242AEE" w:rsidP="008C792D">
            <w:pPr>
              <w:rPr>
                <w:sz w:val="20"/>
                <w:szCs w:val="20"/>
              </w:rPr>
            </w:pPr>
            <w:r w:rsidRPr="00A935AA">
              <w:rPr>
                <w:sz w:val="20"/>
                <w:szCs w:val="20"/>
              </w:rPr>
              <w:t xml:space="preserve">FILING DATE: </w:t>
            </w:r>
            <w:r w:rsidR="009A59D4">
              <w:rPr>
                <w:sz w:val="20"/>
                <w:szCs w:val="20"/>
              </w:rPr>
              <w:t>0</w:t>
            </w:r>
            <w:r w:rsidR="008C792D">
              <w:rPr>
                <w:sz w:val="20"/>
                <w:szCs w:val="20"/>
              </w:rPr>
              <w:t>7</w:t>
            </w:r>
            <w:r w:rsidRPr="00A935AA">
              <w:rPr>
                <w:sz w:val="20"/>
                <w:szCs w:val="20"/>
              </w:rPr>
              <w:t>.</w:t>
            </w:r>
            <w:r w:rsidR="009A59D4">
              <w:rPr>
                <w:sz w:val="20"/>
                <w:szCs w:val="20"/>
              </w:rPr>
              <w:t>11</w:t>
            </w:r>
            <w:r w:rsidRPr="00A935AA">
              <w:rPr>
                <w:sz w:val="20"/>
                <w:szCs w:val="20"/>
              </w:rPr>
              <w:t>.201</w:t>
            </w:r>
            <w:r w:rsidR="009A59D4">
              <w:rPr>
                <w:sz w:val="20"/>
                <w:szCs w:val="20"/>
              </w:rPr>
              <w:t>3</w:t>
            </w:r>
            <w:r w:rsidR="003513AE">
              <w:rPr>
                <w:sz w:val="20"/>
                <w:szCs w:val="20"/>
                <w:lang w:val="fr-CA"/>
              </w:rPr>
              <w:pict>
                <v:rect id="_x0000_i1026" style="width:108pt;height:1pt" o:hrpct="0" o:hralign="center" o:hrstd="t" o:hrnoshade="t" o:hr="t" fillcolor="black [3213]" stroked="f"/>
              </w:pict>
            </w:r>
          </w:p>
        </w:tc>
      </w:tr>
      <w:tr w:rsidR="009A59D4" w:rsidRPr="00A935AA" w:rsidTr="003B3977">
        <w:tc>
          <w:tcPr>
            <w:tcW w:w="4320" w:type="dxa"/>
            <w:shd w:val="clear" w:color="auto" w:fill="auto"/>
          </w:tcPr>
          <w:p w:rsidR="009A59D4" w:rsidRPr="00A935AA" w:rsidRDefault="008C792D" w:rsidP="00A47690">
            <w:pPr>
              <w:rPr>
                <w:b/>
                <w:sz w:val="20"/>
                <w:szCs w:val="20"/>
              </w:rPr>
            </w:pPr>
            <w:r>
              <w:rPr>
                <w:b/>
                <w:sz w:val="20"/>
                <w:szCs w:val="20"/>
              </w:rPr>
              <w:t>Forrest C. Higgins Jr.</w:t>
            </w:r>
          </w:p>
          <w:p w:rsidR="009A59D4" w:rsidRPr="00A935AA" w:rsidRDefault="009A59D4" w:rsidP="00A47690">
            <w:pPr>
              <w:tabs>
                <w:tab w:val="left" w:pos="-1440"/>
                <w:tab w:val="left" w:pos="-720"/>
              </w:tabs>
              <w:rPr>
                <w:sz w:val="20"/>
                <w:szCs w:val="20"/>
              </w:rPr>
            </w:pPr>
            <w:r w:rsidRPr="00A935AA">
              <w:rPr>
                <w:sz w:val="20"/>
                <w:szCs w:val="20"/>
              </w:rPr>
              <w:tab/>
            </w:r>
            <w:r w:rsidR="008C792D">
              <w:rPr>
                <w:sz w:val="20"/>
                <w:szCs w:val="20"/>
              </w:rPr>
              <w:t>Robert H. Pineo</w:t>
            </w:r>
          </w:p>
          <w:p w:rsidR="009A59D4" w:rsidRPr="00A935AA" w:rsidRDefault="009A59D4" w:rsidP="00A47690">
            <w:pPr>
              <w:tabs>
                <w:tab w:val="left" w:pos="-1440"/>
                <w:tab w:val="left" w:pos="-720"/>
              </w:tabs>
              <w:rPr>
                <w:sz w:val="20"/>
                <w:szCs w:val="20"/>
              </w:rPr>
            </w:pPr>
            <w:r w:rsidRPr="00A935AA">
              <w:rPr>
                <w:sz w:val="20"/>
                <w:szCs w:val="20"/>
              </w:rPr>
              <w:tab/>
            </w:r>
            <w:r w:rsidR="008C792D">
              <w:rPr>
                <w:sz w:val="20"/>
                <w:szCs w:val="20"/>
              </w:rPr>
              <w:t>Patterson Law</w:t>
            </w:r>
          </w:p>
          <w:p w:rsidR="009A59D4" w:rsidRPr="00A935AA" w:rsidRDefault="009A59D4" w:rsidP="00A47690">
            <w:pPr>
              <w:tabs>
                <w:tab w:val="left" w:pos="-1440"/>
                <w:tab w:val="left" w:pos="-720"/>
              </w:tabs>
              <w:rPr>
                <w:sz w:val="20"/>
                <w:szCs w:val="20"/>
              </w:rPr>
            </w:pPr>
          </w:p>
          <w:p w:rsidR="009A59D4" w:rsidRPr="00A935AA" w:rsidRDefault="009A59D4" w:rsidP="00A47690">
            <w:pPr>
              <w:tabs>
                <w:tab w:val="left" w:pos="-1440"/>
                <w:tab w:val="left" w:pos="-720"/>
              </w:tabs>
              <w:rPr>
                <w:sz w:val="20"/>
                <w:szCs w:val="20"/>
              </w:rPr>
            </w:pPr>
            <w:r w:rsidRPr="00A935AA">
              <w:rPr>
                <w:sz w:val="20"/>
                <w:szCs w:val="20"/>
              </w:rPr>
              <w:tab/>
              <w:t>v. (3</w:t>
            </w:r>
            <w:r>
              <w:rPr>
                <w:sz w:val="20"/>
                <w:szCs w:val="20"/>
              </w:rPr>
              <w:t>55</w:t>
            </w:r>
            <w:r w:rsidR="008C792D">
              <w:rPr>
                <w:sz w:val="20"/>
                <w:szCs w:val="20"/>
              </w:rPr>
              <w:t>40</w:t>
            </w:r>
            <w:r w:rsidRPr="00A935AA">
              <w:rPr>
                <w:sz w:val="20"/>
                <w:szCs w:val="20"/>
              </w:rPr>
              <w:t>)</w:t>
            </w:r>
          </w:p>
          <w:p w:rsidR="009A59D4" w:rsidRPr="00A935AA" w:rsidRDefault="009A59D4" w:rsidP="00A47690">
            <w:pPr>
              <w:tabs>
                <w:tab w:val="left" w:pos="-1440"/>
                <w:tab w:val="left" w:pos="-720"/>
              </w:tabs>
              <w:rPr>
                <w:sz w:val="20"/>
                <w:szCs w:val="20"/>
              </w:rPr>
            </w:pPr>
          </w:p>
          <w:p w:rsidR="009A59D4" w:rsidRPr="00A935AA" w:rsidRDefault="008C792D" w:rsidP="00A47690">
            <w:pPr>
              <w:tabs>
                <w:tab w:val="left" w:pos="-1440"/>
                <w:tab w:val="left" w:pos="-720"/>
              </w:tabs>
              <w:rPr>
                <w:b/>
                <w:sz w:val="20"/>
                <w:szCs w:val="20"/>
              </w:rPr>
            </w:pPr>
            <w:r>
              <w:rPr>
                <w:b/>
                <w:sz w:val="20"/>
                <w:szCs w:val="20"/>
              </w:rPr>
              <w:t xml:space="preserve">Attorney General of Nova Scotia representing Her Majesty the Queen in Right of the Province of Nova Scotia et al. </w:t>
            </w:r>
            <w:r w:rsidR="009A59D4" w:rsidRPr="00A935AA">
              <w:rPr>
                <w:b/>
                <w:sz w:val="20"/>
                <w:szCs w:val="20"/>
              </w:rPr>
              <w:t>(</w:t>
            </w:r>
            <w:r>
              <w:rPr>
                <w:b/>
                <w:sz w:val="20"/>
                <w:szCs w:val="20"/>
              </w:rPr>
              <w:t>N</w:t>
            </w:r>
            <w:r w:rsidR="009A59D4" w:rsidRPr="00A935AA">
              <w:rPr>
                <w:b/>
                <w:sz w:val="20"/>
                <w:szCs w:val="20"/>
              </w:rPr>
              <w:t>.</w:t>
            </w:r>
            <w:r>
              <w:rPr>
                <w:b/>
                <w:sz w:val="20"/>
                <w:szCs w:val="20"/>
              </w:rPr>
              <w:t>S</w:t>
            </w:r>
            <w:r w:rsidR="009A59D4" w:rsidRPr="00A935AA">
              <w:rPr>
                <w:b/>
                <w:sz w:val="20"/>
                <w:szCs w:val="20"/>
              </w:rPr>
              <w:t>.)</w:t>
            </w:r>
          </w:p>
          <w:p w:rsidR="009A59D4" w:rsidRPr="00A935AA" w:rsidRDefault="009A59D4" w:rsidP="00A47690">
            <w:pPr>
              <w:tabs>
                <w:tab w:val="left" w:pos="-1440"/>
                <w:tab w:val="left" w:pos="-720"/>
              </w:tabs>
              <w:rPr>
                <w:sz w:val="20"/>
                <w:szCs w:val="20"/>
              </w:rPr>
            </w:pPr>
            <w:r w:rsidRPr="00A935AA">
              <w:rPr>
                <w:sz w:val="20"/>
                <w:szCs w:val="20"/>
              </w:rPr>
              <w:tab/>
            </w:r>
            <w:r w:rsidR="008C792D">
              <w:rPr>
                <w:sz w:val="20"/>
                <w:szCs w:val="20"/>
              </w:rPr>
              <w:t>Darlene Willcott</w:t>
            </w:r>
          </w:p>
          <w:p w:rsidR="009A59D4" w:rsidRPr="00A935AA" w:rsidRDefault="009A59D4" w:rsidP="00A47690">
            <w:pPr>
              <w:tabs>
                <w:tab w:val="left" w:pos="-1440"/>
                <w:tab w:val="left" w:pos="-720"/>
              </w:tabs>
              <w:rPr>
                <w:sz w:val="20"/>
                <w:szCs w:val="20"/>
              </w:rPr>
            </w:pPr>
            <w:r w:rsidRPr="00A935AA">
              <w:rPr>
                <w:sz w:val="20"/>
                <w:szCs w:val="20"/>
              </w:rPr>
              <w:tab/>
            </w:r>
            <w:r w:rsidR="008C792D">
              <w:rPr>
                <w:sz w:val="20"/>
                <w:szCs w:val="20"/>
              </w:rPr>
              <w:t>A.G. of Nova Scotia</w:t>
            </w:r>
          </w:p>
          <w:p w:rsidR="009A59D4" w:rsidRPr="00A935AA" w:rsidRDefault="009A59D4" w:rsidP="00A47690">
            <w:pPr>
              <w:tabs>
                <w:tab w:val="left" w:pos="-1440"/>
                <w:tab w:val="left" w:pos="-720"/>
              </w:tabs>
              <w:rPr>
                <w:sz w:val="20"/>
                <w:szCs w:val="20"/>
              </w:rPr>
            </w:pPr>
          </w:p>
          <w:p w:rsidR="009A59D4" w:rsidRPr="00A935AA" w:rsidRDefault="009A59D4" w:rsidP="00A47690">
            <w:pPr>
              <w:rPr>
                <w:sz w:val="20"/>
                <w:szCs w:val="20"/>
              </w:rPr>
            </w:pPr>
            <w:r w:rsidRPr="00A935AA">
              <w:rPr>
                <w:sz w:val="20"/>
                <w:szCs w:val="20"/>
              </w:rPr>
              <w:t xml:space="preserve">FILING DATE: </w:t>
            </w:r>
            <w:r w:rsidR="008C792D">
              <w:rPr>
                <w:sz w:val="20"/>
                <w:szCs w:val="20"/>
              </w:rPr>
              <w:t>12</w:t>
            </w:r>
            <w:r w:rsidRPr="00A935AA">
              <w:rPr>
                <w:sz w:val="20"/>
                <w:szCs w:val="20"/>
              </w:rPr>
              <w:t>.</w:t>
            </w:r>
            <w:r>
              <w:rPr>
                <w:sz w:val="20"/>
                <w:szCs w:val="20"/>
              </w:rPr>
              <w:t>11</w:t>
            </w:r>
            <w:r w:rsidRPr="00A935AA">
              <w:rPr>
                <w:sz w:val="20"/>
                <w:szCs w:val="20"/>
              </w:rPr>
              <w:t>.201</w:t>
            </w:r>
            <w:r>
              <w:rPr>
                <w:sz w:val="20"/>
                <w:szCs w:val="20"/>
              </w:rPr>
              <w:t>3</w:t>
            </w:r>
          </w:p>
          <w:p w:rsidR="009A59D4" w:rsidRPr="00A935AA" w:rsidRDefault="003513AE" w:rsidP="00A47690">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Default="009A59D4" w:rsidP="00242AEE">
            <w:pPr>
              <w:jc w:val="center"/>
              <w:rPr>
                <w:sz w:val="20"/>
                <w:szCs w:val="20"/>
              </w:rPr>
            </w:pPr>
          </w:p>
          <w:p w:rsidR="008C792D" w:rsidRDefault="008C792D" w:rsidP="00242AEE">
            <w:pPr>
              <w:jc w:val="center"/>
              <w:rPr>
                <w:sz w:val="20"/>
                <w:szCs w:val="20"/>
              </w:rPr>
            </w:pPr>
          </w:p>
          <w:p w:rsidR="008C792D" w:rsidRPr="00A935AA" w:rsidRDefault="008C792D" w:rsidP="00242AEE">
            <w:pPr>
              <w:jc w:val="center"/>
              <w:rPr>
                <w:sz w:val="20"/>
                <w:szCs w:val="20"/>
              </w:rPr>
            </w:pPr>
          </w:p>
          <w:p w:rsidR="009A59D4" w:rsidRPr="00A935AA" w:rsidRDefault="009A59D4" w:rsidP="00242AEE">
            <w:pPr>
              <w:jc w:val="center"/>
              <w:rPr>
                <w:sz w:val="20"/>
                <w:szCs w:val="20"/>
              </w:rPr>
            </w:pPr>
          </w:p>
        </w:tc>
        <w:tc>
          <w:tcPr>
            <w:tcW w:w="4320" w:type="dxa"/>
            <w:shd w:val="clear" w:color="auto" w:fill="auto"/>
          </w:tcPr>
          <w:p w:rsidR="009A59D4" w:rsidRDefault="009A59D4" w:rsidP="00A47690">
            <w:pPr>
              <w:keepNext/>
              <w:keepLines/>
              <w:tabs>
                <w:tab w:val="left" w:pos="-1440"/>
                <w:tab w:val="left" w:pos="-720"/>
              </w:tabs>
              <w:rPr>
                <w:b/>
                <w:sz w:val="20"/>
                <w:szCs w:val="20"/>
              </w:rPr>
            </w:pPr>
          </w:p>
          <w:p w:rsidR="008C792D" w:rsidRPr="00A935AA" w:rsidRDefault="008C792D" w:rsidP="00A47690">
            <w:pPr>
              <w:keepNext/>
              <w:keepLines/>
              <w:tabs>
                <w:tab w:val="left" w:pos="-1440"/>
                <w:tab w:val="left" w:pos="-720"/>
              </w:tabs>
              <w:rPr>
                <w:b/>
                <w:sz w:val="20"/>
                <w:szCs w:val="20"/>
              </w:rPr>
            </w:pPr>
            <w:r>
              <w:rPr>
                <w:b/>
                <w:sz w:val="20"/>
                <w:szCs w:val="20"/>
              </w:rPr>
              <w:t>Banque de Montréal / Bank of Montreal</w:t>
            </w:r>
          </w:p>
          <w:p w:rsidR="009A59D4" w:rsidRPr="00A935AA" w:rsidRDefault="009A59D4" w:rsidP="00A47690">
            <w:pPr>
              <w:keepNext/>
              <w:keepLines/>
              <w:tabs>
                <w:tab w:val="left" w:pos="-1440"/>
                <w:tab w:val="left" w:pos="-720"/>
              </w:tabs>
              <w:rPr>
                <w:sz w:val="20"/>
                <w:szCs w:val="20"/>
              </w:rPr>
            </w:pPr>
            <w:r w:rsidRPr="00A935AA">
              <w:rPr>
                <w:sz w:val="20"/>
                <w:szCs w:val="20"/>
              </w:rPr>
              <w:tab/>
            </w:r>
            <w:r w:rsidR="008C792D">
              <w:rPr>
                <w:sz w:val="20"/>
                <w:szCs w:val="20"/>
              </w:rPr>
              <w:t>Douglas C. Mitchell</w:t>
            </w:r>
          </w:p>
          <w:p w:rsidR="009A59D4" w:rsidRPr="00A935AA" w:rsidRDefault="009A59D4" w:rsidP="00A47690">
            <w:pPr>
              <w:keepNext/>
              <w:keepLines/>
              <w:tabs>
                <w:tab w:val="left" w:pos="-1440"/>
                <w:tab w:val="left" w:pos="-720"/>
              </w:tabs>
              <w:rPr>
                <w:sz w:val="20"/>
                <w:szCs w:val="20"/>
              </w:rPr>
            </w:pPr>
            <w:r w:rsidRPr="00A935AA">
              <w:rPr>
                <w:sz w:val="20"/>
                <w:szCs w:val="20"/>
              </w:rPr>
              <w:tab/>
            </w:r>
            <w:r w:rsidR="008C792D">
              <w:rPr>
                <w:sz w:val="20"/>
                <w:szCs w:val="20"/>
              </w:rPr>
              <w:t>Irving Mitchell Kalichman LLP</w:t>
            </w:r>
          </w:p>
          <w:p w:rsidR="009A59D4" w:rsidRPr="00A935AA" w:rsidRDefault="009A59D4" w:rsidP="00A47690">
            <w:pPr>
              <w:keepNext/>
              <w:keepLines/>
              <w:tabs>
                <w:tab w:val="left" w:pos="-1440"/>
                <w:tab w:val="left" w:pos="-720"/>
              </w:tabs>
              <w:rPr>
                <w:sz w:val="20"/>
                <w:szCs w:val="20"/>
              </w:rPr>
            </w:pPr>
          </w:p>
          <w:p w:rsidR="009A59D4" w:rsidRPr="008C799B" w:rsidRDefault="009A59D4" w:rsidP="00A47690">
            <w:pPr>
              <w:keepNext/>
              <w:keepLines/>
              <w:tabs>
                <w:tab w:val="left" w:pos="-1440"/>
                <w:tab w:val="left" w:pos="-720"/>
              </w:tabs>
              <w:rPr>
                <w:sz w:val="20"/>
                <w:szCs w:val="20"/>
              </w:rPr>
            </w:pPr>
            <w:r w:rsidRPr="00A935AA">
              <w:rPr>
                <w:sz w:val="20"/>
                <w:szCs w:val="20"/>
              </w:rPr>
              <w:tab/>
            </w:r>
            <w:r w:rsidRPr="008C799B">
              <w:rPr>
                <w:sz w:val="20"/>
                <w:szCs w:val="20"/>
              </w:rPr>
              <w:t>v. (35</w:t>
            </w:r>
            <w:r w:rsidR="008C792D" w:rsidRPr="008C799B">
              <w:rPr>
                <w:sz w:val="20"/>
                <w:szCs w:val="20"/>
              </w:rPr>
              <w:t>610</w:t>
            </w:r>
            <w:r w:rsidRPr="008C799B">
              <w:rPr>
                <w:sz w:val="20"/>
                <w:szCs w:val="20"/>
              </w:rPr>
              <w:t>)</w:t>
            </w:r>
          </w:p>
          <w:p w:rsidR="009A59D4" w:rsidRPr="008C799B" w:rsidRDefault="009A59D4" w:rsidP="00A47690">
            <w:pPr>
              <w:keepNext/>
              <w:keepLines/>
              <w:tabs>
                <w:tab w:val="left" w:pos="-1440"/>
                <w:tab w:val="left" w:pos="-720"/>
              </w:tabs>
              <w:rPr>
                <w:sz w:val="20"/>
                <w:szCs w:val="20"/>
              </w:rPr>
            </w:pPr>
          </w:p>
          <w:p w:rsidR="009A59D4" w:rsidRPr="008C792D" w:rsidRDefault="008C792D" w:rsidP="00A47690">
            <w:pPr>
              <w:keepNext/>
              <w:keepLines/>
              <w:tabs>
                <w:tab w:val="left" w:pos="-1440"/>
                <w:tab w:val="left" w:pos="-720"/>
              </w:tabs>
              <w:rPr>
                <w:b/>
                <w:sz w:val="20"/>
                <w:szCs w:val="20"/>
                <w:lang w:val="fr-CA"/>
              </w:rPr>
            </w:pPr>
            <w:r w:rsidRPr="008C792D">
              <w:rPr>
                <w:b/>
                <w:sz w:val="20"/>
                <w:szCs w:val="20"/>
                <w:lang w:val="fr-CA"/>
              </w:rPr>
              <w:t>Banque de Nouvelle-Écosse / Bank of Nova Scotia</w:t>
            </w:r>
            <w:r w:rsidR="009A59D4" w:rsidRPr="008C792D">
              <w:rPr>
                <w:b/>
                <w:sz w:val="20"/>
                <w:szCs w:val="20"/>
                <w:lang w:val="fr-CA"/>
              </w:rPr>
              <w:t xml:space="preserve"> (</w:t>
            </w:r>
            <w:r w:rsidRPr="008C792D">
              <w:rPr>
                <w:b/>
                <w:sz w:val="20"/>
                <w:szCs w:val="20"/>
                <w:lang w:val="fr-CA"/>
              </w:rPr>
              <w:t>Que</w:t>
            </w:r>
            <w:r w:rsidR="009A59D4" w:rsidRPr="008C792D">
              <w:rPr>
                <w:b/>
                <w:sz w:val="20"/>
                <w:szCs w:val="20"/>
                <w:lang w:val="fr-CA"/>
              </w:rPr>
              <w:t>.)</w:t>
            </w:r>
          </w:p>
          <w:p w:rsidR="009A59D4" w:rsidRPr="008C792D" w:rsidRDefault="009A59D4" w:rsidP="00A47690">
            <w:pPr>
              <w:keepNext/>
              <w:keepLines/>
              <w:tabs>
                <w:tab w:val="left" w:pos="-1440"/>
                <w:tab w:val="left" w:pos="-720"/>
              </w:tabs>
              <w:rPr>
                <w:sz w:val="20"/>
                <w:szCs w:val="20"/>
                <w:lang w:val="fr-CA"/>
              </w:rPr>
            </w:pPr>
            <w:r w:rsidRPr="008C792D">
              <w:rPr>
                <w:sz w:val="20"/>
                <w:szCs w:val="20"/>
                <w:lang w:val="fr-CA"/>
              </w:rPr>
              <w:tab/>
            </w:r>
            <w:r w:rsidR="008C792D">
              <w:rPr>
                <w:sz w:val="20"/>
                <w:szCs w:val="20"/>
                <w:lang w:val="fr-CA"/>
              </w:rPr>
              <w:t>Gérald F. Kandestin</w:t>
            </w:r>
          </w:p>
          <w:p w:rsidR="009A59D4" w:rsidRPr="008C792D" w:rsidRDefault="009A59D4" w:rsidP="00A47690">
            <w:pPr>
              <w:keepNext/>
              <w:keepLines/>
              <w:tabs>
                <w:tab w:val="left" w:pos="-1440"/>
                <w:tab w:val="left" w:pos="-720"/>
              </w:tabs>
              <w:rPr>
                <w:sz w:val="20"/>
                <w:szCs w:val="20"/>
                <w:lang w:val="fr-CA"/>
              </w:rPr>
            </w:pPr>
            <w:r w:rsidRPr="008C792D">
              <w:rPr>
                <w:sz w:val="20"/>
                <w:szCs w:val="20"/>
                <w:lang w:val="fr-CA"/>
              </w:rPr>
              <w:tab/>
            </w:r>
            <w:r w:rsidR="008C792D">
              <w:rPr>
                <w:sz w:val="20"/>
                <w:szCs w:val="20"/>
                <w:lang w:val="fr-CA"/>
              </w:rPr>
              <w:t>Kugler Kandestin, LLP</w:t>
            </w:r>
          </w:p>
          <w:p w:rsidR="009A59D4" w:rsidRPr="008C792D" w:rsidRDefault="009A59D4" w:rsidP="00A47690">
            <w:pPr>
              <w:keepNext/>
              <w:keepLines/>
              <w:tabs>
                <w:tab w:val="left" w:pos="-1440"/>
                <w:tab w:val="left" w:pos="-720"/>
              </w:tabs>
              <w:rPr>
                <w:sz w:val="20"/>
                <w:szCs w:val="20"/>
                <w:lang w:val="fr-CA"/>
              </w:rPr>
            </w:pPr>
          </w:p>
          <w:p w:rsidR="009A59D4" w:rsidRPr="00A935AA" w:rsidRDefault="009A59D4" w:rsidP="008C792D">
            <w:pPr>
              <w:rPr>
                <w:sz w:val="20"/>
                <w:szCs w:val="20"/>
              </w:rPr>
            </w:pPr>
            <w:r w:rsidRPr="00A935AA">
              <w:rPr>
                <w:sz w:val="20"/>
                <w:szCs w:val="20"/>
              </w:rPr>
              <w:t xml:space="preserve">FILING DATE: </w:t>
            </w:r>
            <w:r w:rsidR="008C792D">
              <w:rPr>
                <w:sz w:val="20"/>
                <w:szCs w:val="20"/>
              </w:rPr>
              <w:t>12</w:t>
            </w:r>
            <w:r w:rsidRPr="00A935AA">
              <w:rPr>
                <w:sz w:val="20"/>
                <w:szCs w:val="20"/>
              </w:rPr>
              <w:t>.</w:t>
            </w:r>
            <w:r>
              <w:rPr>
                <w:sz w:val="20"/>
                <w:szCs w:val="20"/>
              </w:rPr>
              <w:t>11</w:t>
            </w:r>
            <w:r w:rsidRPr="00A935AA">
              <w:rPr>
                <w:sz w:val="20"/>
                <w:szCs w:val="20"/>
              </w:rPr>
              <w:t>.201</w:t>
            </w:r>
            <w:r>
              <w:rPr>
                <w:sz w:val="20"/>
                <w:szCs w:val="20"/>
              </w:rPr>
              <w:t>3</w:t>
            </w:r>
            <w:r w:rsidR="003513AE">
              <w:rPr>
                <w:sz w:val="20"/>
                <w:szCs w:val="20"/>
                <w:lang w:val="fr-CA"/>
              </w:rPr>
              <w:pict>
                <v:rect id="_x0000_i1028" style="width:108pt;height:1pt" o:hrpct="0" o:hralign="center" o:hrstd="t" o:hrnoshade="t" o:hr="t" fillcolor="black [3213]" stroked="f"/>
              </w:pict>
            </w:r>
          </w:p>
        </w:tc>
      </w:tr>
      <w:tr w:rsidR="009A59D4" w:rsidRPr="003513AE" w:rsidTr="003B3977">
        <w:tc>
          <w:tcPr>
            <w:tcW w:w="4320" w:type="dxa"/>
            <w:shd w:val="clear" w:color="auto" w:fill="auto"/>
          </w:tcPr>
          <w:p w:rsidR="009A59D4" w:rsidRPr="00A935AA" w:rsidRDefault="008C792D" w:rsidP="00A47690">
            <w:pPr>
              <w:rPr>
                <w:b/>
                <w:sz w:val="20"/>
                <w:szCs w:val="20"/>
              </w:rPr>
            </w:pPr>
            <w:r>
              <w:rPr>
                <w:b/>
                <w:sz w:val="20"/>
                <w:szCs w:val="20"/>
              </w:rPr>
              <w:t>Vrege Sami Armoyan</w:t>
            </w:r>
          </w:p>
          <w:p w:rsidR="009A59D4" w:rsidRPr="00A935AA" w:rsidRDefault="009A59D4" w:rsidP="00A47690">
            <w:pPr>
              <w:tabs>
                <w:tab w:val="left" w:pos="-1440"/>
                <w:tab w:val="left" w:pos="-720"/>
              </w:tabs>
              <w:rPr>
                <w:sz w:val="20"/>
                <w:szCs w:val="20"/>
              </w:rPr>
            </w:pPr>
            <w:r w:rsidRPr="00A935AA">
              <w:rPr>
                <w:sz w:val="20"/>
                <w:szCs w:val="20"/>
              </w:rPr>
              <w:tab/>
            </w:r>
            <w:r w:rsidR="008C792D">
              <w:rPr>
                <w:sz w:val="20"/>
                <w:szCs w:val="20"/>
              </w:rPr>
              <w:t>Gordon R. Kelly</w:t>
            </w:r>
          </w:p>
          <w:p w:rsidR="009A59D4" w:rsidRPr="008C799B" w:rsidRDefault="009A59D4" w:rsidP="00A47690">
            <w:pPr>
              <w:tabs>
                <w:tab w:val="left" w:pos="-1440"/>
                <w:tab w:val="left" w:pos="-720"/>
              </w:tabs>
              <w:rPr>
                <w:sz w:val="20"/>
                <w:szCs w:val="20"/>
                <w:lang w:val="fr-CA"/>
              </w:rPr>
            </w:pPr>
            <w:r w:rsidRPr="00A935AA">
              <w:rPr>
                <w:sz w:val="20"/>
                <w:szCs w:val="20"/>
              </w:rPr>
              <w:tab/>
            </w:r>
            <w:r w:rsidR="008C792D" w:rsidRPr="008C799B">
              <w:rPr>
                <w:sz w:val="20"/>
                <w:szCs w:val="20"/>
                <w:lang w:val="fr-CA"/>
              </w:rPr>
              <w:t xml:space="preserve">Blois, Nickerson &amp; Bryson </w:t>
            </w:r>
          </w:p>
          <w:p w:rsidR="009A59D4" w:rsidRPr="008C799B" w:rsidRDefault="009A59D4" w:rsidP="00A47690">
            <w:pPr>
              <w:tabs>
                <w:tab w:val="left" w:pos="-1440"/>
                <w:tab w:val="left" w:pos="-720"/>
              </w:tabs>
              <w:rPr>
                <w:sz w:val="20"/>
                <w:szCs w:val="20"/>
                <w:lang w:val="fr-CA"/>
              </w:rPr>
            </w:pPr>
          </w:p>
          <w:p w:rsidR="009A59D4" w:rsidRPr="008C792D" w:rsidRDefault="009A59D4" w:rsidP="00A47690">
            <w:pPr>
              <w:tabs>
                <w:tab w:val="left" w:pos="-1440"/>
                <w:tab w:val="left" w:pos="-720"/>
              </w:tabs>
              <w:rPr>
                <w:sz w:val="20"/>
                <w:szCs w:val="20"/>
                <w:lang w:val="fr-CA"/>
              </w:rPr>
            </w:pPr>
            <w:r w:rsidRPr="008C799B">
              <w:rPr>
                <w:sz w:val="20"/>
                <w:szCs w:val="20"/>
                <w:lang w:val="fr-CA"/>
              </w:rPr>
              <w:tab/>
            </w:r>
            <w:r w:rsidRPr="008C792D">
              <w:rPr>
                <w:sz w:val="20"/>
                <w:szCs w:val="20"/>
                <w:lang w:val="fr-CA"/>
              </w:rPr>
              <w:t>v. (35</w:t>
            </w:r>
            <w:r w:rsidR="008C792D" w:rsidRPr="008C792D">
              <w:rPr>
                <w:sz w:val="20"/>
                <w:szCs w:val="20"/>
                <w:lang w:val="fr-CA"/>
              </w:rPr>
              <w:t>611</w:t>
            </w:r>
            <w:r w:rsidRPr="008C792D">
              <w:rPr>
                <w:sz w:val="20"/>
                <w:szCs w:val="20"/>
                <w:lang w:val="fr-CA"/>
              </w:rPr>
              <w:t>)</w:t>
            </w:r>
          </w:p>
          <w:p w:rsidR="009A59D4" w:rsidRPr="008C792D" w:rsidRDefault="009A59D4" w:rsidP="00A47690">
            <w:pPr>
              <w:tabs>
                <w:tab w:val="left" w:pos="-1440"/>
                <w:tab w:val="left" w:pos="-720"/>
              </w:tabs>
              <w:rPr>
                <w:sz w:val="20"/>
                <w:szCs w:val="20"/>
                <w:lang w:val="fr-CA"/>
              </w:rPr>
            </w:pPr>
          </w:p>
          <w:p w:rsidR="009A59D4" w:rsidRPr="008C799B" w:rsidRDefault="008C792D" w:rsidP="00A47690">
            <w:pPr>
              <w:tabs>
                <w:tab w:val="left" w:pos="-1440"/>
                <w:tab w:val="left" w:pos="-720"/>
              </w:tabs>
              <w:rPr>
                <w:b/>
                <w:sz w:val="20"/>
                <w:szCs w:val="20"/>
                <w:lang w:val="fr-CA"/>
              </w:rPr>
            </w:pPr>
            <w:r w:rsidRPr="008C799B">
              <w:rPr>
                <w:b/>
                <w:sz w:val="20"/>
                <w:szCs w:val="20"/>
                <w:lang w:val="fr-CA"/>
              </w:rPr>
              <w:t>Lisa Armoyan</w:t>
            </w:r>
            <w:r w:rsidR="009A59D4" w:rsidRPr="008C799B">
              <w:rPr>
                <w:b/>
                <w:sz w:val="20"/>
                <w:szCs w:val="20"/>
                <w:lang w:val="fr-CA"/>
              </w:rPr>
              <w:t xml:space="preserve"> (</w:t>
            </w:r>
            <w:r w:rsidRPr="008C799B">
              <w:rPr>
                <w:b/>
                <w:sz w:val="20"/>
                <w:szCs w:val="20"/>
                <w:lang w:val="fr-CA"/>
              </w:rPr>
              <w:t>N</w:t>
            </w:r>
            <w:r w:rsidR="009A59D4" w:rsidRPr="008C799B">
              <w:rPr>
                <w:b/>
                <w:sz w:val="20"/>
                <w:szCs w:val="20"/>
                <w:lang w:val="fr-CA"/>
              </w:rPr>
              <w:t>.</w:t>
            </w:r>
            <w:r w:rsidRPr="008C799B">
              <w:rPr>
                <w:b/>
                <w:sz w:val="20"/>
                <w:szCs w:val="20"/>
                <w:lang w:val="fr-CA"/>
              </w:rPr>
              <w:t>S</w:t>
            </w:r>
            <w:r w:rsidR="009A59D4" w:rsidRPr="008C799B">
              <w:rPr>
                <w:b/>
                <w:sz w:val="20"/>
                <w:szCs w:val="20"/>
                <w:lang w:val="fr-CA"/>
              </w:rPr>
              <w:t>.)</w:t>
            </w:r>
          </w:p>
          <w:p w:rsidR="009A59D4" w:rsidRPr="008C792D" w:rsidRDefault="009A59D4" w:rsidP="00A47690">
            <w:pPr>
              <w:tabs>
                <w:tab w:val="left" w:pos="-1440"/>
                <w:tab w:val="left" w:pos="-720"/>
              </w:tabs>
              <w:rPr>
                <w:sz w:val="20"/>
                <w:szCs w:val="20"/>
              </w:rPr>
            </w:pPr>
            <w:r w:rsidRPr="008C799B">
              <w:rPr>
                <w:sz w:val="20"/>
                <w:szCs w:val="20"/>
                <w:lang w:val="fr-CA"/>
              </w:rPr>
              <w:tab/>
            </w:r>
            <w:r w:rsidR="008C792D" w:rsidRPr="008C792D">
              <w:rPr>
                <w:sz w:val="20"/>
                <w:szCs w:val="20"/>
              </w:rPr>
              <w:t>Mary Jane McGinty</w:t>
            </w:r>
          </w:p>
          <w:p w:rsidR="009A59D4" w:rsidRPr="008C792D" w:rsidRDefault="009A59D4" w:rsidP="00A47690">
            <w:pPr>
              <w:tabs>
                <w:tab w:val="left" w:pos="-1440"/>
                <w:tab w:val="left" w:pos="-720"/>
              </w:tabs>
              <w:rPr>
                <w:sz w:val="20"/>
                <w:szCs w:val="20"/>
              </w:rPr>
            </w:pPr>
            <w:r w:rsidRPr="008C792D">
              <w:rPr>
                <w:sz w:val="20"/>
                <w:szCs w:val="20"/>
              </w:rPr>
              <w:tab/>
            </w:r>
            <w:r w:rsidR="008C792D">
              <w:rPr>
                <w:sz w:val="20"/>
                <w:szCs w:val="20"/>
              </w:rPr>
              <w:t>McGinty Doucet Walker</w:t>
            </w:r>
          </w:p>
          <w:p w:rsidR="009A59D4" w:rsidRPr="008C792D" w:rsidRDefault="009A59D4" w:rsidP="00A47690">
            <w:pPr>
              <w:tabs>
                <w:tab w:val="left" w:pos="-1440"/>
                <w:tab w:val="left" w:pos="-720"/>
              </w:tabs>
              <w:rPr>
                <w:sz w:val="20"/>
                <w:szCs w:val="20"/>
              </w:rPr>
            </w:pPr>
          </w:p>
          <w:p w:rsidR="009A59D4" w:rsidRPr="00A935AA" w:rsidRDefault="009A59D4" w:rsidP="00A47690">
            <w:pPr>
              <w:rPr>
                <w:sz w:val="20"/>
                <w:szCs w:val="20"/>
              </w:rPr>
            </w:pPr>
            <w:r w:rsidRPr="00A935AA">
              <w:rPr>
                <w:sz w:val="20"/>
                <w:szCs w:val="20"/>
              </w:rPr>
              <w:t xml:space="preserve">FILING DATE: </w:t>
            </w:r>
            <w:r w:rsidR="008C792D">
              <w:rPr>
                <w:sz w:val="20"/>
                <w:szCs w:val="20"/>
              </w:rPr>
              <w:t>12</w:t>
            </w:r>
            <w:r w:rsidRPr="00A935AA">
              <w:rPr>
                <w:sz w:val="20"/>
                <w:szCs w:val="20"/>
              </w:rPr>
              <w:t>.</w:t>
            </w:r>
            <w:r>
              <w:rPr>
                <w:sz w:val="20"/>
                <w:szCs w:val="20"/>
              </w:rPr>
              <w:t>11</w:t>
            </w:r>
            <w:r w:rsidRPr="00A935AA">
              <w:rPr>
                <w:sz w:val="20"/>
                <w:szCs w:val="20"/>
              </w:rPr>
              <w:t>.201</w:t>
            </w:r>
            <w:r>
              <w:rPr>
                <w:sz w:val="20"/>
                <w:szCs w:val="20"/>
              </w:rPr>
              <w:t>3</w:t>
            </w:r>
          </w:p>
          <w:p w:rsidR="009A59D4" w:rsidRPr="00A935AA" w:rsidRDefault="003513AE" w:rsidP="00A47690">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Default="009A59D4" w:rsidP="00242AEE">
            <w:pPr>
              <w:jc w:val="center"/>
              <w:rPr>
                <w:sz w:val="20"/>
                <w:szCs w:val="20"/>
              </w:rPr>
            </w:pPr>
          </w:p>
          <w:p w:rsidR="009A59D4" w:rsidRDefault="009A59D4" w:rsidP="00242AEE">
            <w:pPr>
              <w:jc w:val="center"/>
              <w:rPr>
                <w:sz w:val="20"/>
                <w:szCs w:val="20"/>
              </w:rPr>
            </w:pPr>
          </w:p>
          <w:p w:rsidR="009A59D4" w:rsidRPr="00A935AA" w:rsidRDefault="009A59D4" w:rsidP="00242AEE">
            <w:pPr>
              <w:jc w:val="center"/>
              <w:rPr>
                <w:sz w:val="20"/>
                <w:szCs w:val="20"/>
              </w:rPr>
            </w:pPr>
          </w:p>
        </w:tc>
        <w:tc>
          <w:tcPr>
            <w:tcW w:w="4320" w:type="dxa"/>
            <w:shd w:val="clear" w:color="auto" w:fill="auto"/>
          </w:tcPr>
          <w:p w:rsidR="009A59D4" w:rsidRPr="008C792D" w:rsidRDefault="008C792D" w:rsidP="00A47690">
            <w:pPr>
              <w:keepNext/>
              <w:keepLines/>
              <w:tabs>
                <w:tab w:val="left" w:pos="-1440"/>
                <w:tab w:val="left" w:pos="-720"/>
              </w:tabs>
              <w:rPr>
                <w:b/>
                <w:sz w:val="20"/>
                <w:szCs w:val="20"/>
                <w:lang w:val="fr-CA"/>
              </w:rPr>
            </w:pPr>
            <w:r w:rsidRPr="008C792D">
              <w:rPr>
                <w:b/>
                <w:sz w:val="20"/>
                <w:szCs w:val="20"/>
                <w:lang w:val="fr-CA"/>
              </w:rPr>
              <w:t>Primmum, compagnie d’assurance</w:t>
            </w:r>
          </w:p>
          <w:p w:rsidR="009A59D4" w:rsidRPr="008C792D" w:rsidRDefault="009A59D4" w:rsidP="00A47690">
            <w:pPr>
              <w:keepNext/>
              <w:keepLines/>
              <w:tabs>
                <w:tab w:val="left" w:pos="-1440"/>
                <w:tab w:val="left" w:pos="-720"/>
              </w:tabs>
              <w:rPr>
                <w:sz w:val="20"/>
                <w:szCs w:val="20"/>
                <w:lang w:val="fr-CA"/>
              </w:rPr>
            </w:pPr>
            <w:r w:rsidRPr="008C792D">
              <w:rPr>
                <w:sz w:val="20"/>
                <w:szCs w:val="20"/>
                <w:lang w:val="fr-CA"/>
              </w:rPr>
              <w:tab/>
            </w:r>
            <w:r w:rsidR="008C792D" w:rsidRPr="008C792D">
              <w:rPr>
                <w:sz w:val="20"/>
                <w:szCs w:val="20"/>
                <w:lang w:val="fr-CA"/>
              </w:rPr>
              <w:t>Marie-Josée Hogue</w:t>
            </w:r>
          </w:p>
          <w:p w:rsidR="009A59D4" w:rsidRPr="008C792D" w:rsidRDefault="009A59D4" w:rsidP="00A47690">
            <w:pPr>
              <w:keepNext/>
              <w:keepLines/>
              <w:tabs>
                <w:tab w:val="left" w:pos="-1440"/>
                <w:tab w:val="left" w:pos="-720"/>
              </w:tabs>
              <w:rPr>
                <w:sz w:val="20"/>
                <w:szCs w:val="20"/>
                <w:lang w:val="fr-CA"/>
              </w:rPr>
            </w:pPr>
            <w:r w:rsidRPr="008C792D">
              <w:rPr>
                <w:sz w:val="20"/>
                <w:szCs w:val="20"/>
                <w:lang w:val="fr-CA"/>
              </w:rPr>
              <w:tab/>
            </w:r>
            <w:r w:rsidR="008C792D">
              <w:rPr>
                <w:sz w:val="20"/>
                <w:szCs w:val="20"/>
                <w:lang w:val="fr-CA"/>
              </w:rPr>
              <w:t>Heenan Blaikie, s.e.n.c.r.l., s.r.l.</w:t>
            </w:r>
          </w:p>
          <w:p w:rsidR="009A59D4" w:rsidRPr="008C792D" w:rsidRDefault="009A59D4" w:rsidP="00A47690">
            <w:pPr>
              <w:keepNext/>
              <w:keepLines/>
              <w:tabs>
                <w:tab w:val="left" w:pos="-1440"/>
                <w:tab w:val="left" w:pos="-720"/>
              </w:tabs>
              <w:rPr>
                <w:sz w:val="20"/>
                <w:szCs w:val="20"/>
                <w:lang w:val="fr-CA"/>
              </w:rPr>
            </w:pPr>
          </w:p>
          <w:p w:rsidR="009A59D4" w:rsidRPr="0003246F" w:rsidRDefault="009A59D4" w:rsidP="00A47690">
            <w:pPr>
              <w:keepNext/>
              <w:keepLines/>
              <w:tabs>
                <w:tab w:val="left" w:pos="-1440"/>
                <w:tab w:val="left" w:pos="-720"/>
              </w:tabs>
              <w:rPr>
                <w:sz w:val="20"/>
                <w:szCs w:val="20"/>
                <w:lang w:val="fr-CA"/>
              </w:rPr>
            </w:pPr>
            <w:r w:rsidRPr="008C792D">
              <w:rPr>
                <w:sz w:val="20"/>
                <w:szCs w:val="20"/>
                <w:lang w:val="fr-CA"/>
              </w:rPr>
              <w:tab/>
            </w:r>
            <w:r w:rsidR="008C792D">
              <w:rPr>
                <w:sz w:val="20"/>
                <w:szCs w:val="20"/>
                <w:lang w:val="fr-CA"/>
              </w:rPr>
              <w:t>c</w:t>
            </w:r>
            <w:r w:rsidRPr="0003246F">
              <w:rPr>
                <w:sz w:val="20"/>
                <w:szCs w:val="20"/>
                <w:lang w:val="fr-CA"/>
              </w:rPr>
              <w:t>. (35</w:t>
            </w:r>
            <w:r w:rsidR="008C792D" w:rsidRPr="0003246F">
              <w:rPr>
                <w:sz w:val="20"/>
                <w:szCs w:val="20"/>
                <w:lang w:val="fr-CA"/>
              </w:rPr>
              <w:t>612</w:t>
            </w:r>
            <w:r w:rsidRPr="0003246F">
              <w:rPr>
                <w:sz w:val="20"/>
                <w:szCs w:val="20"/>
                <w:lang w:val="fr-CA"/>
              </w:rPr>
              <w:t>)</w:t>
            </w:r>
          </w:p>
          <w:p w:rsidR="009A59D4" w:rsidRPr="0003246F" w:rsidRDefault="009A59D4" w:rsidP="00A47690">
            <w:pPr>
              <w:keepNext/>
              <w:keepLines/>
              <w:tabs>
                <w:tab w:val="left" w:pos="-1440"/>
                <w:tab w:val="left" w:pos="-720"/>
              </w:tabs>
              <w:rPr>
                <w:sz w:val="20"/>
                <w:szCs w:val="20"/>
                <w:lang w:val="fr-CA"/>
              </w:rPr>
            </w:pPr>
          </w:p>
          <w:p w:rsidR="009A59D4" w:rsidRPr="0003246F" w:rsidRDefault="008C792D" w:rsidP="00A47690">
            <w:pPr>
              <w:keepNext/>
              <w:keepLines/>
              <w:tabs>
                <w:tab w:val="left" w:pos="-1440"/>
                <w:tab w:val="left" w:pos="-720"/>
              </w:tabs>
              <w:rPr>
                <w:b/>
                <w:sz w:val="20"/>
                <w:szCs w:val="20"/>
                <w:lang w:val="fr-CA"/>
              </w:rPr>
            </w:pPr>
            <w:r w:rsidRPr="0003246F">
              <w:rPr>
                <w:b/>
                <w:sz w:val="20"/>
                <w:szCs w:val="20"/>
                <w:lang w:val="fr-CA"/>
              </w:rPr>
              <w:t>Société d’assurance collective Sodaco</w:t>
            </w:r>
            <w:r w:rsidR="009A59D4" w:rsidRPr="0003246F">
              <w:rPr>
                <w:b/>
                <w:sz w:val="20"/>
                <w:szCs w:val="20"/>
                <w:lang w:val="fr-CA"/>
              </w:rPr>
              <w:t xml:space="preserve"> (</w:t>
            </w:r>
            <w:r w:rsidR="004B6BD4">
              <w:rPr>
                <w:b/>
                <w:sz w:val="20"/>
                <w:szCs w:val="20"/>
                <w:lang w:val="fr-CA"/>
              </w:rPr>
              <w:t>Qc</w:t>
            </w:r>
            <w:r w:rsidR="009A59D4" w:rsidRPr="0003246F">
              <w:rPr>
                <w:b/>
                <w:sz w:val="20"/>
                <w:szCs w:val="20"/>
                <w:lang w:val="fr-CA"/>
              </w:rPr>
              <w:t>)</w:t>
            </w:r>
          </w:p>
          <w:p w:rsidR="009A59D4" w:rsidRPr="0003246F" w:rsidRDefault="009A59D4" w:rsidP="00A47690">
            <w:pPr>
              <w:keepNext/>
              <w:keepLines/>
              <w:tabs>
                <w:tab w:val="left" w:pos="-1440"/>
                <w:tab w:val="left" w:pos="-720"/>
              </w:tabs>
              <w:rPr>
                <w:sz w:val="20"/>
                <w:szCs w:val="20"/>
                <w:lang w:val="fr-CA"/>
              </w:rPr>
            </w:pPr>
            <w:r w:rsidRPr="0003246F">
              <w:rPr>
                <w:sz w:val="20"/>
                <w:szCs w:val="20"/>
                <w:lang w:val="fr-CA"/>
              </w:rPr>
              <w:tab/>
            </w:r>
            <w:r w:rsidR="0003246F">
              <w:rPr>
                <w:sz w:val="20"/>
                <w:szCs w:val="20"/>
                <w:lang w:val="fr-CA"/>
              </w:rPr>
              <w:t>Serge Létourneau</w:t>
            </w:r>
          </w:p>
          <w:p w:rsidR="009A59D4" w:rsidRPr="0003246F" w:rsidRDefault="009A59D4" w:rsidP="00A47690">
            <w:pPr>
              <w:keepNext/>
              <w:keepLines/>
              <w:tabs>
                <w:tab w:val="left" w:pos="-1440"/>
                <w:tab w:val="left" w:pos="-720"/>
              </w:tabs>
              <w:rPr>
                <w:sz w:val="20"/>
                <w:szCs w:val="20"/>
                <w:lang w:val="fr-CA"/>
              </w:rPr>
            </w:pPr>
            <w:r w:rsidRPr="0003246F">
              <w:rPr>
                <w:sz w:val="20"/>
                <w:szCs w:val="20"/>
                <w:lang w:val="fr-CA"/>
              </w:rPr>
              <w:tab/>
            </w:r>
            <w:r w:rsidR="0003246F">
              <w:rPr>
                <w:sz w:val="20"/>
                <w:szCs w:val="20"/>
                <w:lang w:val="fr-CA"/>
              </w:rPr>
              <w:t>Létourneau &amp; Gagné</w:t>
            </w:r>
          </w:p>
          <w:p w:rsidR="009A59D4" w:rsidRPr="0003246F" w:rsidRDefault="009A59D4" w:rsidP="00A47690">
            <w:pPr>
              <w:keepNext/>
              <w:keepLines/>
              <w:tabs>
                <w:tab w:val="left" w:pos="-1440"/>
                <w:tab w:val="left" w:pos="-720"/>
              </w:tabs>
              <w:rPr>
                <w:sz w:val="20"/>
                <w:szCs w:val="20"/>
                <w:lang w:val="fr-CA"/>
              </w:rPr>
            </w:pPr>
          </w:p>
          <w:p w:rsidR="009A59D4" w:rsidRPr="0003246F" w:rsidRDefault="009A59D4" w:rsidP="0003246F">
            <w:pPr>
              <w:rPr>
                <w:sz w:val="20"/>
                <w:szCs w:val="20"/>
                <w:lang w:val="fr-CA"/>
              </w:rPr>
            </w:pPr>
            <w:r w:rsidRPr="0003246F">
              <w:rPr>
                <w:sz w:val="20"/>
                <w:szCs w:val="20"/>
                <w:lang w:val="fr-CA"/>
              </w:rPr>
              <w:t>DATE</w:t>
            </w:r>
            <w:r w:rsidR="0003246F" w:rsidRPr="0003246F">
              <w:rPr>
                <w:sz w:val="20"/>
                <w:szCs w:val="20"/>
                <w:lang w:val="fr-CA"/>
              </w:rPr>
              <w:t xml:space="preserve"> DE PRODUCTION </w:t>
            </w:r>
            <w:r w:rsidRPr="0003246F">
              <w:rPr>
                <w:sz w:val="20"/>
                <w:szCs w:val="20"/>
                <w:lang w:val="fr-CA"/>
              </w:rPr>
              <w:t xml:space="preserve">: </w:t>
            </w:r>
            <w:r w:rsidR="0003246F" w:rsidRPr="0003246F">
              <w:rPr>
                <w:sz w:val="20"/>
                <w:szCs w:val="20"/>
                <w:lang w:val="fr-CA"/>
              </w:rPr>
              <w:t>12</w:t>
            </w:r>
            <w:r w:rsidRPr="0003246F">
              <w:rPr>
                <w:sz w:val="20"/>
                <w:szCs w:val="20"/>
                <w:lang w:val="fr-CA"/>
              </w:rPr>
              <w:t>.11.2013</w:t>
            </w:r>
            <w:r w:rsidR="003513AE">
              <w:rPr>
                <w:sz w:val="20"/>
                <w:szCs w:val="20"/>
                <w:lang w:val="fr-CA"/>
              </w:rPr>
              <w:pict>
                <v:rect id="_x0000_i1030" style="width:108pt;height:1pt" o:hrpct="0" o:hralign="center" o:hrstd="t" o:hrnoshade="t" o:hr="t" fillcolor="black [3213]" stroked="f"/>
              </w:pict>
            </w:r>
          </w:p>
        </w:tc>
      </w:tr>
      <w:tr w:rsidR="009A59D4" w:rsidRPr="00A935AA" w:rsidTr="003B3977">
        <w:trPr>
          <w:cantSplit/>
        </w:trPr>
        <w:tc>
          <w:tcPr>
            <w:tcW w:w="4320" w:type="dxa"/>
            <w:shd w:val="clear" w:color="auto" w:fill="auto"/>
          </w:tcPr>
          <w:p w:rsidR="009A59D4" w:rsidRPr="0003246F" w:rsidRDefault="0003246F" w:rsidP="00A47690">
            <w:pPr>
              <w:rPr>
                <w:b/>
                <w:sz w:val="20"/>
                <w:szCs w:val="20"/>
                <w:lang w:val="fr-CA"/>
              </w:rPr>
            </w:pPr>
            <w:r>
              <w:rPr>
                <w:b/>
                <w:sz w:val="20"/>
                <w:szCs w:val="20"/>
                <w:lang w:val="fr-CA"/>
              </w:rPr>
              <w:t>Réjean Hinse</w:t>
            </w:r>
          </w:p>
          <w:p w:rsidR="009A59D4" w:rsidRPr="0003246F" w:rsidRDefault="009A59D4" w:rsidP="00A47690">
            <w:pPr>
              <w:tabs>
                <w:tab w:val="left" w:pos="-1440"/>
                <w:tab w:val="left" w:pos="-720"/>
              </w:tabs>
              <w:rPr>
                <w:sz w:val="20"/>
                <w:szCs w:val="20"/>
                <w:lang w:val="fr-CA"/>
              </w:rPr>
            </w:pPr>
            <w:r w:rsidRPr="0003246F">
              <w:rPr>
                <w:sz w:val="20"/>
                <w:szCs w:val="20"/>
                <w:lang w:val="fr-CA"/>
              </w:rPr>
              <w:tab/>
            </w:r>
            <w:r w:rsidR="0003246F">
              <w:rPr>
                <w:sz w:val="20"/>
                <w:szCs w:val="20"/>
                <w:lang w:val="fr-CA"/>
              </w:rPr>
              <w:t>Guy J. Pratte</w:t>
            </w:r>
          </w:p>
          <w:p w:rsidR="009A59D4" w:rsidRPr="0003246F" w:rsidRDefault="009A59D4" w:rsidP="00A47690">
            <w:pPr>
              <w:tabs>
                <w:tab w:val="left" w:pos="-1440"/>
                <w:tab w:val="left" w:pos="-720"/>
              </w:tabs>
              <w:rPr>
                <w:sz w:val="20"/>
                <w:szCs w:val="20"/>
                <w:lang w:val="fr-CA"/>
              </w:rPr>
            </w:pPr>
            <w:r w:rsidRPr="0003246F">
              <w:rPr>
                <w:sz w:val="20"/>
                <w:szCs w:val="20"/>
                <w:lang w:val="fr-CA"/>
              </w:rPr>
              <w:tab/>
            </w:r>
            <w:r w:rsidR="0003246F">
              <w:rPr>
                <w:sz w:val="20"/>
                <w:szCs w:val="20"/>
                <w:lang w:val="fr-CA"/>
              </w:rPr>
              <w:t>Borden Ladner Gervais</w:t>
            </w:r>
          </w:p>
          <w:p w:rsidR="009A59D4" w:rsidRPr="0003246F" w:rsidRDefault="009A59D4" w:rsidP="00A47690">
            <w:pPr>
              <w:tabs>
                <w:tab w:val="left" w:pos="-1440"/>
                <w:tab w:val="left" w:pos="-720"/>
              </w:tabs>
              <w:rPr>
                <w:sz w:val="20"/>
                <w:szCs w:val="20"/>
                <w:lang w:val="fr-CA"/>
              </w:rPr>
            </w:pPr>
          </w:p>
          <w:p w:rsidR="009A59D4" w:rsidRPr="0003246F" w:rsidRDefault="009A59D4" w:rsidP="00A47690">
            <w:pPr>
              <w:tabs>
                <w:tab w:val="left" w:pos="-1440"/>
                <w:tab w:val="left" w:pos="-720"/>
              </w:tabs>
              <w:rPr>
                <w:sz w:val="20"/>
                <w:szCs w:val="20"/>
                <w:lang w:val="fr-CA"/>
              </w:rPr>
            </w:pPr>
            <w:r w:rsidRPr="0003246F">
              <w:rPr>
                <w:sz w:val="20"/>
                <w:szCs w:val="20"/>
                <w:lang w:val="fr-CA"/>
              </w:rPr>
              <w:tab/>
            </w:r>
            <w:r w:rsidR="0003246F">
              <w:rPr>
                <w:sz w:val="20"/>
                <w:szCs w:val="20"/>
                <w:lang w:val="fr-CA"/>
              </w:rPr>
              <w:t>c</w:t>
            </w:r>
            <w:r w:rsidRPr="0003246F">
              <w:rPr>
                <w:sz w:val="20"/>
                <w:szCs w:val="20"/>
                <w:lang w:val="fr-CA"/>
              </w:rPr>
              <w:t>. (35</w:t>
            </w:r>
            <w:r w:rsidR="0003246F">
              <w:rPr>
                <w:sz w:val="20"/>
                <w:szCs w:val="20"/>
                <w:lang w:val="fr-CA"/>
              </w:rPr>
              <w:t>613)</w:t>
            </w:r>
          </w:p>
          <w:p w:rsidR="009A59D4" w:rsidRPr="0003246F" w:rsidRDefault="009A59D4" w:rsidP="00A47690">
            <w:pPr>
              <w:tabs>
                <w:tab w:val="left" w:pos="-1440"/>
                <w:tab w:val="left" w:pos="-720"/>
              </w:tabs>
              <w:rPr>
                <w:sz w:val="20"/>
                <w:szCs w:val="20"/>
                <w:lang w:val="fr-CA"/>
              </w:rPr>
            </w:pPr>
          </w:p>
          <w:p w:rsidR="009A59D4" w:rsidRPr="0003246F" w:rsidRDefault="0003246F" w:rsidP="00A47690">
            <w:pPr>
              <w:tabs>
                <w:tab w:val="left" w:pos="-1440"/>
                <w:tab w:val="left" w:pos="-720"/>
              </w:tabs>
              <w:rPr>
                <w:b/>
                <w:sz w:val="20"/>
                <w:szCs w:val="20"/>
                <w:lang w:val="fr-CA"/>
              </w:rPr>
            </w:pPr>
            <w:r w:rsidRPr="0003246F">
              <w:rPr>
                <w:b/>
                <w:sz w:val="20"/>
                <w:szCs w:val="20"/>
                <w:lang w:val="fr-CA"/>
              </w:rPr>
              <w:t>Procureur général du Canada</w:t>
            </w:r>
            <w:r w:rsidR="009A59D4" w:rsidRPr="0003246F">
              <w:rPr>
                <w:b/>
                <w:sz w:val="20"/>
                <w:szCs w:val="20"/>
                <w:lang w:val="fr-CA"/>
              </w:rPr>
              <w:t xml:space="preserve"> (</w:t>
            </w:r>
            <w:r w:rsidRPr="0003246F">
              <w:rPr>
                <w:b/>
                <w:sz w:val="20"/>
                <w:szCs w:val="20"/>
                <w:lang w:val="fr-CA"/>
              </w:rPr>
              <w:t>Qc</w:t>
            </w:r>
            <w:r w:rsidR="009A59D4" w:rsidRPr="0003246F">
              <w:rPr>
                <w:b/>
                <w:sz w:val="20"/>
                <w:szCs w:val="20"/>
                <w:lang w:val="fr-CA"/>
              </w:rPr>
              <w:t>)</w:t>
            </w:r>
          </w:p>
          <w:p w:rsidR="009A59D4" w:rsidRPr="0003246F" w:rsidRDefault="009A59D4" w:rsidP="00A47690">
            <w:pPr>
              <w:tabs>
                <w:tab w:val="left" w:pos="-1440"/>
                <w:tab w:val="left" w:pos="-720"/>
              </w:tabs>
              <w:rPr>
                <w:sz w:val="20"/>
                <w:szCs w:val="20"/>
                <w:lang w:val="fr-CA"/>
              </w:rPr>
            </w:pPr>
            <w:r w:rsidRPr="0003246F">
              <w:rPr>
                <w:sz w:val="20"/>
                <w:szCs w:val="20"/>
                <w:lang w:val="fr-CA"/>
              </w:rPr>
              <w:tab/>
            </w:r>
            <w:r w:rsidR="0003246F">
              <w:rPr>
                <w:sz w:val="20"/>
                <w:szCs w:val="20"/>
                <w:lang w:val="fr-CA"/>
              </w:rPr>
              <w:t>Bernard Letarte</w:t>
            </w:r>
          </w:p>
          <w:p w:rsidR="009A59D4" w:rsidRPr="0003246F" w:rsidRDefault="009A59D4" w:rsidP="00A47690">
            <w:pPr>
              <w:tabs>
                <w:tab w:val="left" w:pos="-1440"/>
                <w:tab w:val="left" w:pos="-720"/>
              </w:tabs>
              <w:rPr>
                <w:sz w:val="20"/>
                <w:szCs w:val="20"/>
                <w:lang w:val="fr-CA"/>
              </w:rPr>
            </w:pPr>
            <w:r w:rsidRPr="0003246F">
              <w:rPr>
                <w:sz w:val="20"/>
                <w:szCs w:val="20"/>
                <w:lang w:val="fr-CA"/>
              </w:rPr>
              <w:tab/>
            </w:r>
            <w:r w:rsidR="0003246F">
              <w:rPr>
                <w:sz w:val="20"/>
                <w:szCs w:val="20"/>
                <w:lang w:val="fr-CA"/>
              </w:rPr>
              <w:t>P.G. du Canada</w:t>
            </w:r>
          </w:p>
          <w:p w:rsidR="009A59D4" w:rsidRPr="0003246F" w:rsidRDefault="009A59D4" w:rsidP="00A47690">
            <w:pPr>
              <w:tabs>
                <w:tab w:val="left" w:pos="-1440"/>
                <w:tab w:val="left" w:pos="-720"/>
              </w:tabs>
              <w:rPr>
                <w:sz w:val="20"/>
                <w:szCs w:val="20"/>
                <w:lang w:val="fr-CA"/>
              </w:rPr>
            </w:pPr>
          </w:p>
          <w:p w:rsidR="009A59D4" w:rsidRPr="00A935AA" w:rsidRDefault="009A59D4" w:rsidP="00A47690">
            <w:pPr>
              <w:rPr>
                <w:sz w:val="20"/>
                <w:szCs w:val="20"/>
              </w:rPr>
            </w:pPr>
            <w:r w:rsidRPr="00A935AA">
              <w:rPr>
                <w:sz w:val="20"/>
                <w:szCs w:val="20"/>
              </w:rPr>
              <w:t>DATE</w:t>
            </w:r>
            <w:r w:rsidR="0003246F">
              <w:rPr>
                <w:sz w:val="20"/>
                <w:szCs w:val="20"/>
              </w:rPr>
              <w:t xml:space="preserve"> </w:t>
            </w:r>
            <w:r w:rsidR="0003246F" w:rsidRPr="0003246F">
              <w:rPr>
                <w:sz w:val="20"/>
                <w:szCs w:val="20"/>
                <w:lang w:val="fr-CA"/>
              </w:rPr>
              <w:t>DE PRODUCTION</w:t>
            </w:r>
            <w:r w:rsidR="0003246F">
              <w:rPr>
                <w:sz w:val="20"/>
                <w:szCs w:val="20"/>
                <w:lang w:val="fr-CA"/>
              </w:rPr>
              <w:t xml:space="preserve"> </w:t>
            </w:r>
            <w:r w:rsidRPr="00A935AA">
              <w:rPr>
                <w:sz w:val="20"/>
                <w:szCs w:val="20"/>
              </w:rPr>
              <w:t xml:space="preserve">: </w:t>
            </w:r>
            <w:r w:rsidR="0003246F">
              <w:rPr>
                <w:sz w:val="20"/>
                <w:szCs w:val="20"/>
              </w:rPr>
              <w:t>12</w:t>
            </w:r>
            <w:r w:rsidRPr="00A935AA">
              <w:rPr>
                <w:sz w:val="20"/>
                <w:szCs w:val="20"/>
              </w:rPr>
              <w:t>.</w:t>
            </w:r>
            <w:r>
              <w:rPr>
                <w:sz w:val="20"/>
                <w:szCs w:val="20"/>
              </w:rPr>
              <w:t>11</w:t>
            </w:r>
            <w:r w:rsidRPr="00A935AA">
              <w:rPr>
                <w:sz w:val="20"/>
                <w:szCs w:val="20"/>
              </w:rPr>
              <w:t>.201</w:t>
            </w:r>
            <w:r>
              <w:rPr>
                <w:sz w:val="20"/>
                <w:szCs w:val="20"/>
              </w:rPr>
              <w:t>3</w:t>
            </w:r>
          </w:p>
          <w:p w:rsidR="009A59D4" w:rsidRPr="00A935AA" w:rsidRDefault="003513AE" w:rsidP="00A47690">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p w:rsidR="009A59D4" w:rsidRPr="00A935AA" w:rsidRDefault="009A59D4" w:rsidP="00242AEE">
            <w:pPr>
              <w:jc w:val="center"/>
              <w:rPr>
                <w:sz w:val="20"/>
                <w:szCs w:val="20"/>
              </w:rPr>
            </w:pPr>
          </w:p>
        </w:tc>
        <w:tc>
          <w:tcPr>
            <w:tcW w:w="4320" w:type="dxa"/>
            <w:shd w:val="clear" w:color="auto" w:fill="auto"/>
          </w:tcPr>
          <w:p w:rsidR="009A59D4" w:rsidRPr="00A935AA" w:rsidRDefault="0003246F" w:rsidP="00A47690">
            <w:pPr>
              <w:keepNext/>
              <w:keepLines/>
              <w:tabs>
                <w:tab w:val="left" w:pos="-1440"/>
                <w:tab w:val="left" w:pos="-720"/>
              </w:tabs>
              <w:rPr>
                <w:b/>
                <w:sz w:val="20"/>
                <w:szCs w:val="20"/>
              </w:rPr>
            </w:pPr>
            <w:r>
              <w:rPr>
                <w:b/>
                <w:sz w:val="20"/>
                <w:szCs w:val="20"/>
              </w:rPr>
              <w:t>Danny Moss</w:t>
            </w:r>
          </w:p>
          <w:p w:rsidR="009A59D4" w:rsidRPr="00A935AA" w:rsidRDefault="009A59D4" w:rsidP="00A47690">
            <w:pPr>
              <w:keepNext/>
              <w:keepLines/>
              <w:tabs>
                <w:tab w:val="left" w:pos="-1440"/>
                <w:tab w:val="left" w:pos="-720"/>
              </w:tabs>
              <w:rPr>
                <w:sz w:val="20"/>
                <w:szCs w:val="20"/>
              </w:rPr>
            </w:pPr>
            <w:r w:rsidRPr="00A935AA">
              <w:rPr>
                <w:sz w:val="20"/>
                <w:szCs w:val="20"/>
              </w:rPr>
              <w:tab/>
            </w:r>
            <w:r w:rsidR="0003246F">
              <w:rPr>
                <w:sz w:val="20"/>
                <w:szCs w:val="20"/>
              </w:rPr>
              <w:t>Danny Moss</w:t>
            </w:r>
          </w:p>
          <w:p w:rsidR="0003246F" w:rsidRDefault="0003246F" w:rsidP="00A47690">
            <w:pPr>
              <w:keepNext/>
              <w:keepLines/>
              <w:tabs>
                <w:tab w:val="left" w:pos="-1440"/>
                <w:tab w:val="left" w:pos="-720"/>
              </w:tabs>
              <w:rPr>
                <w:sz w:val="20"/>
                <w:szCs w:val="20"/>
              </w:rPr>
            </w:pPr>
          </w:p>
          <w:p w:rsidR="009A59D4" w:rsidRPr="0003246F" w:rsidRDefault="009A59D4" w:rsidP="00A47690">
            <w:pPr>
              <w:keepNext/>
              <w:keepLines/>
              <w:tabs>
                <w:tab w:val="left" w:pos="-1440"/>
                <w:tab w:val="left" w:pos="-720"/>
              </w:tabs>
              <w:rPr>
                <w:sz w:val="20"/>
                <w:szCs w:val="20"/>
              </w:rPr>
            </w:pPr>
            <w:r w:rsidRPr="00A935AA">
              <w:rPr>
                <w:sz w:val="20"/>
                <w:szCs w:val="20"/>
              </w:rPr>
              <w:tab/>
            </w:r>
            <w:r w:rsidRPr="0003246F">
              <w:rPr>
                <w:sz w:val="20"/>
                <w:szCs w:val="20"/>
              </w:rPr>
              <w:t>v. (35</w:t>
            </w:r>
            <w:r w:rsidR="0003246F" w:rsidRPr="0003246F">
              <w:rPr>
                <w:sz w:val="20"/>
                <w:szCs w:val="20"/>
              </w:rPr>
              <w:t>614</w:t>
            </w:r>
            <w:r w:rsidRPr="0003246F">
              <w:rPr>
                <w:sz w:val="20"/>
                <w:szCs w:val="20"/>
              </w:rPr>
              <w:t>)</w:t>
            </w:r>
          </w:p>
          <w:p w:rsidR="009A59D4" w:rsidRPr="0003246F" w:rsidRDefault="009A59D4" w:rsidP="00A47690">
            <w:pPr>
              <w:keepNext/>
              <w:keepLines/>
              <w:tabs>
                <w:tab w:val="left" w:pos="-1440"/>
                <w:tab w:val="left" w:pos="-720"/>
              </w:tabs>
              <w:rPr>
                <w:sz w:val="20"/>
                <w:szCs w:val="20"/>
              </w:rPr>
            </w:pPr>
          </w:p>
          <w:p w:rsidR="009A59D4" w:rsidRPr="0003246F" w:rsidRDefault="0003246F" w:rsidP="00A47690">
            <w:pPr>
              <w:keepNext/>
              <w:keepLines/>
              <w:tabs>
                <w:tab w:val="left" w:pos="-1440"/>
                <w:tab w:val="left" w:pos="-720"/>
              </w:tabs>
              <w:rPr>
                <w:b/>
                <w:sz w:val="20"/>
                <w:szCs w:val="20"/>
              </w:rPr>
            </w:pPr>
            <w:r w:rsidRPr="0003246F">
              <w:rPr>
                <w:b/>
                <w:sz w:val="20"/>
                <w:szCs w:val="20"/>
              </w:rPr>
              <w:t>BMO Nesbitt Burns Inc.</w:t>
            </w:r>
            <w:r w:rsidR="009A59D4" w:rsidRPr="0003246F">
              <w:rPr>
                <w:b/>
                <w:sz w:val="20"/>
                <w:szCs w:val="20"/>
              </w:rPr>
              <w:t xml:space="preserve"> (</w:t>
            </w:r>
            <w:r>
              <w:rPr>
                <w:b/>
                <w:sz w:val="20"/>
                <w:szCs w:val="20"/>
              </w:rPr>
              <w:t>Man</w:t>
            </w:r>
            <w:r w:rsidR="009A59D4" w:rsidRPr="0003246F">
              <w:rPr>
                <w:b/>
                <w:sz w:val="20"/>
                <w:szCs w:val="20"/>
              </w:rPr>
              <w:t>.)</w:t>
            </w:r>
          </w:p>
          <w:p w:rsidR="009A59D4" w:rsidRPr="0003246F" w:rsidRDefault="009A59D4" w:rsidP="00A47690">
            <w:pPr>
              <w:keepNext/>
              <w:keepLines/>
              <w:tabs>
                <w:tab w:val="left" w:pos="-1440"/>
                <w:tab w:val="left" w:pos="-720"/>
              </w:tabs>
              <w:rPr>
                <w:sz w:val="20"/>
                <w:szCs w:val="20"/>
              </w:rPr>
            </w:pPr>
            <w:r w:rsidRPr="0003246F">
              <w:rPr>
                <w:sz w:val="20"/>
                <w:szCs w:val="20"/>
              </w:rPr>
              <w:tab/>
            </w:r>
            <w:r w:rsidR="0003246F">
              <w:rPr>
                <w:sz w:val="20"/>
                <w:szCs w:val="20"/>
              </w:rPr>
              <w:t>David J. Kroft</w:t>
            </w:r>
          </w:p>
          <w:p w:rsidR="009A59D4" w:rsidRPr="0003246F" w:rsidRDefault="009A59D4" w:rsidP="00A47690">
            <w:pPr>
              <w:keepNext/>
              <w:keepLines/>
              <w:tabs>
                <w:tab w:val="left" w:pos="-1440"/>
                <w:tab w:val="left" w:pos="-720"/>
              </w:tabs>
              <w:rPr>
                <w:sz w:val="20"/>
                <w:szCs w:val="20"/>
              </w:rPr>
            </w:pPr>
            <w:r w:rsidRPr="0003246F">
              <w:rPr>
                <w:sz w:val="20"/>
                <w:szCs w:val="20"/>
              </w:rPr>
              <w:tab/>
            </w:r>
            <w:r w:rsidR="0003246F">
              <w:rPr>
                <w:sz w:val="20"/>
                <w:szCs w:val="20"/>
              </w:rPr>
              <w:t>Fillmore Riley LLP</w:t>
            </w:r>
          </w:p>
          <w:p w:rsidR="009A59D4" w:rsidRPr="0003246F" w:rsidRDefault="009A59D4" w:rsidP="00A47690">
            <w:pPr>
              <w:keepNext/>
              <w:keepLines/>
              <w:tabs>
                <w:tab w:val="left" w:pos="-1440"/>
                <w:tab w:val="left" w:pos="-720"/>
              </w:tabs>
              <w:rPr>
                <w:sz w:val="20"/>
                <w:szCs w:val="20"/>
              </w:rPr>
            </w:pPr>
          </w:p>
          <w:p w:rsidR="009A59D4" w:rsidRPr="00A935AA" w:rsidRDefault="009A59D4" w:rsidP="0003246F">
            <w:pPr>
              <w:rPr>
                <w:sz w:val="20"/>
                <w:szCs w:val="20"/>
              </w:rPr>
            </w:pPr>
            <w:r w:rsidRPr="00A935AA">
              <w:rPr>
                <w:sz w:val="20"/>
                <w:szCs w:val="20"/>
              </w:rPr>
              <w:t xml:space="preserve">FILING DATE: </w:t>
            </w:r>
            <w:r w:rsidR="0003246F">
              <w:rPr>
                <w:sz w:val="20"/>
                <w:szCs w:val="20"/>
              </w:rPr>
              <w:t>12</w:t>
            </w:r>
            <w:r w:rsidRPr="00A935AA">
              <w:rPr>
                <w:sz w:val="20"/>
                <w:szCs w:val="20"/>
              </w:rPr>
              <w:t>.</w:t>
            </w:r>
            <w:r>
              <w:rPr>
                <w:sz w:val="20"/>
                <w:szCs w:val="20"/>
              </w:rPr>
              <w:t>11</w:t>
            </w:r>
            <w:r w:rsidRPr="00A935AA">
              <w:rPr>
                <w:sz w:val="20"/>
                <w:szCs w:val="20"/>
              </w:rPr>
              <w:t>.201</w:t>
            </w:r>
            <w:r>
              <w:rPr>
                <w:sz w:val="20"/>
                <w:szCs w:val="20"/>
              </w:rPr>
              <w:t>3</w:t>
            </w:r>
            <w:r w:rsidR="003513AE">
              <w:rPr>
                <w:sz w:val="20"/>
                <w:szCs w:val="20"/>
                <w:lang w:val="fr-CA"/>
              </w:rPr>
              <w:pict>
                <v:rect id="_x0000_i1032"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DD525D">
          <w:headerReference w:type="default" r:id="rId17"/>
          <w:footerReference w:type="default" r:id="rId18"/>
          <w:headerReference w:type="first" r:id="rId19"/>
          <w:footerReference w:type="first" r:id="rId20"/>
          <w:pgSz w:w="12240" w:h="15840"/>
          <w:pgMar w:top="720" w:right="965" w:bottom="1080" w:left="1656" w:header="706" w:footer="706" w:gutter="0"/>
          <w:pgNumType w:start="193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3513AE"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9A59D4" w:rsidP="004B7F60">
      <w:pPr>
        <w:widowControl w:val="0"/>
        <w:rPr>
          <w:b/>
          <w:sz w:val="20"/>
          <w:szCs w:val="20"/>
        </w:rPr>
      </w:pPr>
      <w:r>
        <w:rPr>
          <w:b/>
          <w:sz w:val="20"/>
          <w:szCs w:val="20"/>
        </w:rPr>
        <w:t>NOV</w:t>
      </w:r>
      <w:r w:rsidR="00DE349D">
        <w:rPr>
          <w:b/>
          <w:sz w:val="20"/>
          <w:szCs w:val="20"/>
        </w:rPr>
        <w:t>EMBER</w:t>
      </w:r>
      <w:r w:rsidR="00F761A3">
        <w:rPr>
          <w:b/>
          <w:sz w:val="20"/>
          <w:szCs w:val="20"/>
        </w:rPr>
        <w:t xml:space="preserve"> </w:t>
      </w:r>
      <w:r>
        <w:rPr>
          <w:b/>
          <w:sz w:val="20"/>
          <w:szCs w:val="20"/>
        </w:rPr>
        <w:t>25</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25 NOV</w:t>
      </w:r>
      <w:r w:rsidR="00F761A3">
        <w:rPr>
          <w:b/>
          <w:sz w:val="20"/>
          <w:szCs w:val="20"/>
        </w:rPr>
        <w:t>E</w:t>
      </w:r>
      <w:r w:rsidR="00DE349D">
        <w:rPr>
          <w:b/>
          <w:sz w:val="20"/>
          <w:szCs w:val="20"/>
        </w:rPr>
        <w:t>MB</w:t>
      </w:r>
      <w:r w:rsidR="004B7F60">
        <w:rPr>
          <w:b/>
          <w:sz w:val="20"/>
          <w:szCs w:val="20"/>
        </w:rPr>
        <w:t>R</w:t>
      </w:r>
      <w:r w:rsidR="00DE349D">
        <w:rPr>
          <w:b/>
          <w:sz w:val="20"/>
          <w:szCs w:val="20"/>
        </w:rPr>
        <w:t>E</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8C799B" w:rsidP="004B7F60">
      <w:pPr>
        <w:pStyle w:val="ListParagraph"/>
        <w:widowControl w:val="0"/>
        <w:numPr>
          <w:ilvl w:val="0"/>
          <w:numId w:val="1"/>
        </w:numPr>
        <w:ind w:hanging="720"/>
        <w:jc w:val="both"/>
        <w:rPr>
          <w:sz w:val="20"/>
          <w:szCs w:val="20"/>
        </w:rPr>
      </w:pPr>
      <w:r w:rsidRPr="008C799B">
        <w:rPr>
          <w:i/>
          <w:sz w:val="20"/>
          <w:szCs w:val="20"/>
        </w:rPr>
        <w:t>Bruce Clinton Joseph Ryder v. Minister of National Revenue</w:t>
      </w:r>
      <w:r w:rsidRPr="008C799B">
        <w:rPr>
          <w:sz w:val="20"/>
          <w:szCs w:val="20"/>
        </w:rPr>
        <w:t xml:space="preserve"> (F.C.) (Civil) (By Leave)</w:t>
      </w:r>
      <w:r w:rsidRPr="00C50A5C">
        <w:rPr>
          <w:sz w:val="20"/>
          <w:szCs w:val="20"/>
        </w:rPr>
        <w:t xml:space="preserve"> </w:t>
      </w:r>
      <w:r w:rsidR="004B7F60" w:rsidRPr="00C50A5C">
        <w:rPr>
          <w:sz w:val="20"/>
          <w:szCs w:val="20"/>
        </w:rPr>
        <w:t>(3</w:t>
      </w:r>
      <w:r>
        <w:rPr>
          <w:sz w:val="20"/>
          <w:szCs w:val="20"/>
        </w:rPr>
        <w:t>5570</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8C799B" w:rsidP="004B7F60">
      <w:pPr>
        <w:pStyle w:val="ListParagraph"/>
        <w:widowControl w:val="0"/>
        <w:numPr>
          <w:ilvl w:val="0"/>
          <w:numId w:val="1"/>
        </w:numPr>
        <w:ind w:hanging="720"/>
        <w:jc w:val="both"/>
        <w:rPr>
          <w:sz w:val="20"/>
          <w:szCs w:val="20"/>
        </w:rPr>
      </w:pPr>
      <w:r w:rsidRPr="008C799B">
        <w:rPr>
          <w:i/>
          <w:sz w:val="20"/>
          <w:szCs w:val="20"/>
        </w:rPr>
        <w:t>British American Tobacco P.L.C. et al. v. Her Majesty the Queen in Right of Ontario</w:t>
      </w:r>
      <w:r w:rsidRPr="008C799B">
        <w:rPr>
          <w:sz w:val="20"/>
          <w:szCs w:val="20"/>
        </w:rPr>
        <w:t xml:space="preserve"> (Ont.) (Civil) (By Leave)</w:t>
      </w:r>
      <w:r w:rsidRPr="00C612D0">
        <w:rPr>
          <w:sz w:val="20"/>
          <w:szCs w:val="20"/>
        </w:rPr>
        <w:t xml:space="preserve"> </w:t>
      </w:r>
      <w:r w:rsidR="004B7F60" w:rsidRPr="00C612D0">
        <w:rPr>
          <w:sz w:val="20"/>
          <w:szCs w:val="20"/>
        </w:rPr>
        <w:t>(3</w:t>
      </w:r>
      <w:r>
        <w:rPr>
          <w:sz w:val="20"/>
          <w:szCs w:val="20"/>
        </w:rPr>
        <w:t>5</w:t>
      </w:r>
      <w:r w:rsidR="004B7F60" w:rsidRPr="00C612D0">
        <w:rPr>
          <w:sz w:val="20"/>
          <w:szCs w:val="20"/>
        </w:rPr>
        <w:t>4</w:t>
      </w:r>
      <w:r>
        <w:rPr>
          <w:sz w:val="20"/>
          <w:szCs w:val="20"/>
        </w:rPr>
        <w:t>97</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8C799B" w:rsidP="004B7F60">
      <w:pPr>
        <w:pStyle w:val="ListParagraph"/>
        <w:widowControl w:val="0"/>
        <w:numPr>
          <w:ilvl w:val="0"/>
          <w:numId w:val="1"/>
        </w:numPr>
        <w:ind w:hanging="720"/>
        <w:jc w:val="both"/>
        <w:rPr>
          <w:sz w:val="20"/>
          <w:szCs w:val="20"/>
        </w:rPr>
      </w:pPr>
      <w:r w:rsidRPr="008C799B">
        <w:rPr>
          <w:i/>
          <w:sz w:val="20"/>
          <w:szCs w:val="20"/>
        </w:rPr>
        <w:t>Chief Sheldon Taypotat et al. v. Louis Taypotat</w:t>
      </w:r>
      <w:r w:rsidRPr="008C799B">
        <w:rPr>
          <w:sz w:val="20"/>
          <w:szCs w:val="20"/>
        </w:rPr>
        <w:t xml:space="preserve"> (F.C.) (Civil) (By Leave)</w:t>
      </w:r>
      <w:r w:rsidRPr="00940CAD">
        <w:rPr>
          <w:sz w:val="20"/>
          <w:szCs w:val="20"/>
        </w:rPr>
        <w:t xml:space="preserve"> </w:t>
      </w:r>
      <w:r w:rsidR="004B7F60" w:rsidRPr="00940CAD">
        <w:rPr>
          <w:sz w:val="20"/>
          <w:szCs w:val="20"/>
        </w:rPr>
        <w:t>(3</w:t>
      </w:r>
      <w:r>
        <w:rPr>
          <w:sz w:val="20"/>
          <w:szCs w:val="20"/>
        </w:rPr>
        <w:t>5518</w:t>
      </w:r>
      <w:r w:rsidR="004B7F60" w:rsidRPr="00940CAD">
        <w:rPr>
          <w:sz w:val="20"/>
          <w:szCs w:val="20"/>
        </w:rPr>
        <w:t>)</w:t>
      </w:r>
    </w:p>
    <w:p w:rsidR="004B7F60" w:rsidRDefault="004B7F60" w:rsidP="004B7F60">
      <w:pPr>
        <w:widowControl w:val="0"/>
        <w:rPr>
          <w:sz w:val="20"/>
          <w:szCs w:val="20"/>
        </w:rPr>
      </w:pPr>
    </w:p>
    <w:p w:rsidR="008C799B" w:rsidRDefault="008C799B" w:rsidP="004B7F60">
      <w:pPr>
        <w:widowControl w:val="0"/>
        <w:rPr>
          <w:sz w:val="20"/>
          <w:szCs w:val="20"/>
        </w:rPr>
      </w:pPr>
    </w:p>
    <w:p w:rsidR="008C799B" w:rsidRPr="00C50A5C" w:rsidRDefault="008C799B" w:rsidP="008C799B">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8C799B" w:rsidRPr="00C50A5C" w:rsidRDefault="008C799B" w:rsidP="008C799B">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8C799B" w:rsidRPr="008C799B" w:rsidRDefault="008C799B" w:rsidP="004B7F60">
      <w:pPr>
        <w:widowControl w:val="0"/>
        <w:rPr>
          <w:sz w:val="20"/>
          <w:szCs w:val="20"/>
          <w:lang w:val="fr-CA"/>
        </w:rPr>
      </w:pPr>
    </w:p>
    <w:p w:rsidR="004B7F60" w:rsidRPr="008C799B" w:rsidRDefault="008C799B" w:rsidP="004B7F60">
      <w:pPr>
        <w:pStyle w:val="ListParagraph"/>
        <w:widowControl w:val="0"/>
        <w:numPr>
          <w:ilvl w:val="0"/>
          <w:numId w:val="1"/>
        </w:numPr>
        <w:ind w:hanging="720"/>
        <w:jc w:val="both"/>
        <w:rPr>
          <w:sz w:val="20"/>
          <w:szCs w:val="20"/>
          <w:lang w:val="fr-CA"/>
        </w:rPr>
      </w:pPr>
      <w:r w:rsidRPr="008C799B">
        <w:rPr>
          <w:i/>
          <w:sz w:val="20"/>
          <w:szCs w:val="20"/>
          <w:lang w:val="fr-CA"/>
        </w:rPr>
        <w:t>Pierre Matalani c. Pierre Khouzam</w:t>
      </w:r>
      <w:r w:rsidRPr="008C799B">
        <w:rPr>
          <w:sz w:val="20"/>
          <w:szCs w:val="20"/>
          <w:lang w:val="fr-CA"/>
        </w:rPr>
        <w:t xml:space="preserve"> (Qc) (Civile) (Autorisation) </w:t>
      </w:r>
      <w:r w:rsidR="004B7F60" w:rsidRPr="008C799B">
        <w:rPr>
          <w:sz w:val="20"/>
          <w:szCs w:val="20"/>
          <w:lang w:val="fr-CA"/>
        </w:rPr>
        <w:t>(3</w:t>
      </w:r>
      <w:r w:rsidRPr="008C799B">
        <w:rPr>
          <w:sz w:val="20"/>
          <w:szCs w:val="20"/>
          <w:lang w:val="fr-CA"/>
        </w:rPr>
        <w:t>556</w:t>
      </w:r>
      <w:r w:rsidR="004B7F60" w:rsidRPr="008C799B">
        <w:rPr>
          <w:sz w:val="20"/>
          <w:szCs w:val="20"/>
          <w:lang w:val="fr-CA"/>
        </w:rPr>
        <w:t>6)</w:t>
      </w:r>
    </w:p>
    <w:p w:rsidR="004B7F60" w:rsidRPr="00C16CB3" w:rsidRDefault="004B7F60" w:rsidP="004B7F60">
      <w:pPr>
        <w:widowControl w:val="0"/>
        <w:jc w:val="both"/>
        <w:rPr>
          <w:sz w:val="20"/>
          <w:szCs w:val="20"/>
          <w:lang w:val="fr-CA"/>
        </w:rPr>
      </w:pPr>
    </w:p>
    <w:p w:rsidR="004B7F60" w:rsidRPr="00C612D0" w:rsidRDefault="008C799B" w:rsidP="004B7F60">
      <w:pPr>
        <w:pStyle w:val="ListParagraph"/>
        <w:widowControl w:val="0"/>
        <w:numPr>
          <w:ilvl w:val="0"/>
          <w:numId w:val="1"/>
        </w:numPr>
        <w:ind w:hanging="720"/>
        <w:jc w:val="both"/>
        <w:rPr>
          <w:sz w:val="20"/>
          <w:szCs w:val="20"/>
          <w:lang w:val="fr-CA"/>
        </w:rPr>
      </w:pPr>
      <w:r w:rsidRPr="008C799B">
        <w:rPr>
          <w:i/>
          <w:sz w:val="20"/>
          <w:szCs w:val="20"/>
          <w:lang w:val="fr-CA"/>
        </w:rPr>
        <w:t>Ghislain Hudon, personnellement et ès qualités de tuteur à ses enfants mineurs, Raphaël Hudon, Jérémy Hudon et Gabriel Hudon et a</w:t>
      </w:r>
      <w:r>
        <w:rPr>
          <w:i/>
          <w:sz w:val="20"/>
          <w:szCs w:val="20"/>
          <w:lang w:val="fr-CA"/>
        </w:rPr>
        <w:t>utre</w:t>
      </w:r>
      <w:r w:rsidRPr="008C799B">
        <w:rPr>
          <w:i/>
          <w:sz w:val="20"/>
          <w:szCs w:val="20"/>
          <w:lang w:val="fr-CA"/>
        </w:rPr>
        <w:t xml:space="preserve"> c. Jean-Marie Lévesque</w:t>
      </w:r>
      <w:r w:rsidRPr="008C799B">
        <w:rPr>
          <w:sz w:val="20"/>
          <w:szCs w:val="20"/>
          <w:lang w:val="fr-CA"/>
        </w:rPr>
        <w:t xml:space="preserve"> (Qc) (Civile) (Autorisation)</w:t>
      </w:r>
      <w:r w:rsidRPr="00C612D0">
        <w:rPr>
          <w:sz w:val="20"/>
          <w:szCs w:val="20"/>
          <w:lang w:val="fr-CA"/>
        </w:rPr>
        <w:t xml:space="preserve"> </w:t>
      </w:r>
      <w:r w:rsidR="004B7F60" w:rsidRPr="00C612D0">
        <w:rPr>
          <w:sz w:val="20"/>
          <w:szCs w:val="20"/>
          <w:lang w:val="fr-CA"/>
        </w:rPr>
        <w:t>(3</w:t>
      </w:r>
      <w:r>
        <w:rPr>
          <w:sz w:val="20"/>
          <w:szCs w:val="20"/>
          <w:lang w:val="fr-CA"/>
        </w:rPr>
        <w:t>5</w:t>
      </w:r>
      <w:r w:rsidR="004B7F60" w:rsidRPr="00C612D0">
        <w:rPr>
          <w:sz w:val="20"/>
          <w:szCs w:val="20"/>
          <w:lang w:val="fr-CA"/>
        </w:rPr>
        <w:t>4</w:t>
      </w:r>
      <w:r>
        <w:rPr>
          <w:sz w:val="20"/>
          <w:szCs w:val="20"/>
          <w:lang w:val="fr-CA"/>
        </w:rPr>
        <w:t>85</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115C9E" w:rsidRDefault="008C799B" w:rsidP="004B7F60">
      <w:pPr>
        <w:pStyle w:val="ListParagraph"/>
        <w:widowControl w:val="0"/>
        <w:numPr>
          <w:ilvl w:val="0"/>
          <w:numId w:val="1"/>
        </w:numPr>
        <w:ind w:hanging="720"/>
        <w:jc w:val="both"/>
        <w:rPr>
          <w:sz w:val="20"/>
          <w:szCs w:val="20"/>
          <w:lang w:val="fr-CA"/>
        </w:rPr>
      </w:pPr>
      <w:r w:rsidRPr="008C799B">
        <w:rPr>
          <w:i/>
          <w:sz w:val="20"/>
          <w:szCs w:val="20"/>
          <w:lang w:val="fr-CA"/>
        </w:rPr>
        <w:t>Ghislain Hudon, personnellement et ès qualités de tuteur à ses enfants mineurs, Raphaël Hudon, Jérémy Hudon et Gabriel Hudon et a</w:t>
      </w:r>
      <w:r>
        <w:rPr>
          <w:i/>
          <w:sz w:val="20"/>
          <w:szCs w:val="20"/>
          <w:lang w:val="fr-CA"/>
        </w:rPr>
        <w:t>utre</w:t>
      </w:r>
      <w:r w:rsidRPr="008C799B">
        <w:rPr>
          <w:i/>
          <w:sz w:val="20"/>
          <w:szCs w:val="20"/>
          <w:lang w:val="fr-CA"/>
        </w:rPr>
        <w:t xml:space="preserve"> c. Louis Carpentier et a</w:t>
      </w:r>
      <w:r>
        <w:rPr>
          <w:i/>
          <w:sz w:val="20"/>
          <w:szCs w:val="20"/>
          <w:lang w:val="fr-CA"/>
        </w:rPr>
        <w:t>utre</w:t>
      </w:r>
      <w:r w:rsidRPr="008C799B">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Pr>
          <w:sz w:val="20"/>
          <w:szCs w:val="20"/>
          <w:lang w:val="fr-CA"/>
        </w:rPr>
        <w:t>486</w:t>
      </w:r>
      <w:r w:rsidR="004B7F60" w:rsidRPr="00115C9E">
        <w:rPr>
          <w:sz w:val="20"/>
          <w:szCs w:val="20"/>
          <w:lang w:val="fr-CA"/>
        </w:rPr>
        <w:t>)</w:t>
      </w:r>
    </w:p>
    <w:p w:rsidR="004B7F60" w:rsidRDefault="004B7F60" w:rsidP="004B7F60">
      <w:pPr>
        <w:widowControl w:val="0"/>
        <w:jc w:val="both"/>
        <w:rPr>
          <w:sz w:val="20"/>
          <w:szCs w:val="20"/>
          <w:lang w:val="fr-CA"/>
        </w:rPr>
      </w:pPr>
    </w:p>
    <w:p w:rsidR="008C799B" w:rsidRDefault="008C799B" w:rsidP="004B7F60">
      <w:pPr>
        <w:widowControl w:val="0"/>
        <w:jc w:val="both"/>
        <w:rPr>
          <w:sz w:val="20"/>
          <w:szCs w:val="20"/>
          <w:lang w:val="fr-CA"/>
        </w:rPr>
      </w:pPr>
    </w:p>
    <w:p w:rsidR="008C799B" w:rsidRPr="00C50A5C" w:rsidRDefault="008C799B" w:rsidP="008C799B">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8C799B" w:rsidRPr="00C50A5C" w:rsidRDefault="008C799B" w:rsidP="008C799B">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8C799B" w:rsidRPr="00115C9E" w:rsidRDefault="008C799B" w:rsidP="004B7F60">
      <w:pPr>
        <w:widowControl w:val="0"/>
        <w:jc w:val="both"/>
        <w:rPr>
          <w:sz w:val="20"/>
          <w:szCs w:val="20"/>
          <w:lang w:val="fr-CA"/>
        </w:rPr>
      </w:pPr>
    </w:p>
    <w:p w:rsidR="004B7F60" w:rsidRPr="008C799B" w:rsidRDefault="008C799B" w:rsidP="004B7F60">
      <w:pPr>
        <w:pStyle w:val="ListParagraph"/>
        <w:widowControl w:val="0"/>
        <w:numPr>
          <w:ilvl w:val="0"/>
          <w:numId w:val="1"/>
        </w:numPr>
        <w:ind w:hanging="720"/>
        <w:jc w:val="both"/>
        <w:rPr>
          <w:sz w:val="20"/>
          <w:szCs w:val="20"/>
        </w:rPr>
      </w:pPr>
      <w:r w:rsidRPr="008C799B">
        <w:rPr>
          <w:i/>
          <w:sz w:val="20"/>
          <w:szCs w:val="20"/>
        </w:rPr>
        <w:t>Florina Vladescu v. CTV Globemedia Inc. et al.</w:t>
      </w:r>
      <w:r w:rsidRPr="008C799B">
        <w:rPr>
          <w:sz w:val="20"/>
          <w:szCs w:val="20"/>
        </w:rPr>
        <w:t xml:space="preserve"> (Ont.) (Civil) (By Leave) </w:t>
      </w:r>
      <w:r w:rsidR="004B7F60" w:rsidRPr="008C799B">
        <w:rPr>
          <w:sz w:val="20"/>
          <w:szCs w:val="20"/>
        </w:rPr>
        <w:t>(3</w:t>
      </w:r>
      <w:r w:rsidRPr="008C799B">
        <w:rPr>
          <w:sz w:val="20"/>
          <w:szCs w:val="20"/>
        </w:rPr>
        <w:t>5</w:t>
      </w:r>
      <w:r w:rsidR="004B7F60" w:rsidRPr="008C799B">
        <w:rPr>
          <w:sz w:val="20"/>
          <w:szCs w:val="20"/>
        </w:rPr>
        <w:t>54</w:t>
      </w:r>
      <w:r w:rsidRPr="008C799B">
        <w:rPr>
          <w:sz w:val="20"/>
          <w:szCs w:val="20"/>
        </w:rPr>
        <w:t>2</w:t>
      </w:r>
      <w:r w:rsidR="004B7F60" w:rsidRPr="008C799B">
        <w:rPr>
          <w:sz w:val="20"/>
          <w:szCs w:val="20"/>
        </w:rPr>
        <w:t>)</w:t>
      </w:r>
    </w:p>
    <w:p w:rsidR="004B7F60" w:rsidRPr="008C799B" w:rsidRDefault="004B7F60" w:rsidP="004B7F60">
      <w:pPr>
        <w:widowControl w:val="0"/>
        <w:jc w:val="both"/>
        <w:rPr>
          <w:sz w:val="20"/>
          <w:szCs w:val="20"/>
        </w:rPr>
      </w:pPr>
    </w:p>
    <w:p w:rsidR="004B7F60" w:rsidRPr="00C50A5C" w:rsidRDefault="008C799B" w:rsidP="004B7F60">
      <w:pPr>
        <w:pStyle w:val="ListParagraph"/>
        <w:widowControl w:val="0"/>
        <w:numPr>
          <w:ilvl w:val="0"/>
          <w:numId w:val="1"/>
        </w:numPr>
        <w:ind w:hanging="720"/>
        <w:jc w:val="both"/>
        <w:rPr>
          <w:sz w:val="20"/>
          <w:szCs w:val="20"/>
          <w:lang w:val="fr-CA"/>
        </w:rPr>
      </w:pPr>
      <w:r w:rsidRPr="008C799B">
        <w:rPr>
          <w:i/>
          <w:sz w:val="20"/>
          <w:szCs w:val="20"/>
        </w:rPr>
        <w:t xml:space="preserve">Faris Hazim Abdul-Raheem Saiyegh v. Ottawa Police Services Board et al. </w:t>
      </w:r>
      <w:r w:rsidRPr="008C799B">
        <w:rPr>
          <w:sz w:val="20"/>
          <w:szCs w:val="20"/>
        </w:rPr>
        <w:t>(Ont.) (Civil) (By Leave)</w:t>
      </w:r>
      <w:r w:rsidRPr="00C50A5C">
        <w:rPr>
          <w:sz w:val="20"/>
          <w:szCs w:val="20"/>
          <w:lang w:val="fr-CA"/>
        </w:rPr>
        <w:t xml:space="preserve"> </w:t>
      </w:r>
      <w:r w:rsidR="004B7F60" w:rsidRPr="00C50A5C">
        <w:rPr>
          <w:sz w:val="20"/>
          <w:szCs w:val="20"/>
          <w:lang w:val="fr-CA"/>
        </w:rPr>
        <w:t>(3</w:t>
      </w:r>
      <w:r>
        <w:rPr>
          <w:sz w:val="20"/>
          <w:szCs w:val="20"/>
          <w:lang w:val="fr-CA"/>
        </w:rPr>
        <w:t>55</w:t>
      </w:r>
      <w:r w:rsidR="004B7F60">
        <w:rPr>
          <w:sz w:val="20"/>
          <w:szCs w:val="20"/>
          <w:lang w:val="fr-CA"/>
        </w:rPr>
        <w:t>7</w:t>
      </w:r>
      <w:r>
        <w:rPr>
          <w:sz w:val="20"/>
          <w:szCs w:val="20"/>
          <w:lang w:val="fr-CA"/>
        </w:rPr>
        <w:t>4</w:t>
      </w:r>
      <w:r w:rsidR="004B7F60" w:rsidRPr="00C50A5C">
        <w:rPr>
          <w:sz w:val="20"/>
          <w:szCs w:val="20"/>
          <w:lang w:val="fr-CA"/>
        </w:rPr>
        <w:t>)</w:t>
      </w:r>
    </w:p>
    <w:p w:rsidR="004B7F60" w:rsidRPr="00C50A5C" w:rsidRDefault="004B7F60" w:rsidP="004B7F60">
      <w:pPr>
        <w:widowControl w:val="0"/>
        <w:rPr>
          <w:sz w:val="20"/>
          <w:szCs w:val="20"/>
          <w:lang w:val="fr-CA"/>
        </w:rPr>
      </w:pPr>
    </w:p>
    <w:p w:rsidR="004B7F60" w:rsidRPr="008C799B" w:rsidRDefault="008C799B" w:rsidP="004B7F60">
      <w:pPr>
        <w:pStyle w:val="ListParagraph"/>
        <w:widowControl w:val="0"/>
        <w:numPr>
          <w:ilvl w:val="0"/>
          <w:numId w:val="1"/>
        </w:numPr>
        <w:ind w:hanging="720"/>
        <w:jc w:val="both"/>
        <w:rPr>
          <w:sz w:val="20"/>
          <w:szCs w:val="20"/>
        </w:rPr>
      </w:pPr>
      <w:r w:rsidRPr="008C799B">
        <w:rPr>
          <w:i/>
          <w:sz w:val="20"/>
          <w:szCs w:val="20"/>
        </w:rPr>
        <w:t>Lombard General Insurance Company of Canada v. Aviva Insurance Company of Canada</w:t>
      </w:r>
      <w:r w:rsidRPr="008C799B">
        <w:rPr>
          <w:sz w:val="20"/>
          <w:szCs w:val="20"/>
        </w:rPr>
        <w:t xml:space="preserve"> (Ont.) (Civil) (By Leave) </w:t>
      </w:r>
      <w:r w:rsidR="004B7F60" w:rsidRPr="008C799B">
        <w:rPr>
          <w:sz w:val="20"/>
          <w:szCs w:val="20"/>
        </w:rPr>
        <w:t>(3</w:t>
      </w:r>
      <w:r w:rsidRPr="008C799B">
        <w:rPr>
          <w:sz w:val="20"/>
          <w:szCs w:val="20"/>
        </w:rPr>
        <w:t>55</w:t>
      </w:r>
      <w:r w:rsidR="004B7F60" w:rsidRPr="008C799B">
        <w:rPr>
          <w:sz w:val="20"/>
          <w:szCs w:val="20"/>
        </w:rPr>
        <w:t>4</w:t>
      </w:r>
      <w:r w:rsidRPr="008C799B">
        <w:rPr>
          <w:sz w:val="20"/>
          <w:szCs w:val="20"/>
        </w:rPr>
        <w:t>7</w:t>
      </w:r>
      <w:r w:rsidR="004B7F60" w:rsidRPr="008C799B">
        <w:rPr>
          <w:sz w:val="20"/>
          <w:szCs w:val="20"/>
        </w:rPr>
        <w:t>)</w:t>
      </w:r>
    </w:p>
    <w:p w:rsidR="002E2327" w:rsidRPr="008C799B" w:rsidRDefault="002E2327" w:rsidP="002E2327">
      <w:pPr>
        <w:widowControl w:val="0"/>
        <w:rPr>
          <w:sz w:val="20"/>
          <w:szCs w:val="20"/>
        </w:rPr>
      </w:pPr>
    </w:p>
    <w:p w:rsidR="002E2327" w:rsidRDefault="003513AE"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3513AE"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9A59D4" w:rsidP="000E2959">
      <w:pPr>
        <w:rPr>
          <w:b/>
          <w:sz w:val="20"/>
          <w:szCs w:val="20"/>
        </w:rPr>
      </w:pPr>
      <w:r>
        <w:rPr>
          <w:b/>
          <w:sz w:val="20"/>
          <w:szCs w:val="20"/>
        </w:rPr>
        <w:t>NOVE</w:t>
      </w:r>
      <w:r w:rsidR="000E2959">
        <w:rPr>
          <w:b/>
          <w:sz w:val="20"/>
          <w:szCs w:val="20"/>
        </w:rPr>
        <w:t>M</w:t>
      </w:r>
      <w:r>
        <w:rPr>
          <w:b/>
          <w:sz w:val="20"/>
          <w:szCs w:val="20"/>
        </w:rPr>
        <w:t>BER</w:t>
      </w:r>
      <w:r w:rsidR="000E2959" w:rsidRPr="00C50A5C">
        <w:rPr>
          <w:b/>
          <w:sz w:val="20"/>
          <w:szCs w:val="20"/>
        </w:rPr>
        <w:t xml:space="preserve"> 2</w:t>
      </w:r>
      <w:r>
        <w:rPr>
          <w:b/>
          <w:sz w:val="20"/>
          <w:szCs w:val="20"/>
        </w:rPr>
        <w:t>8</w:t>
      </w:r>
      <w:r w:rsidR="000E2959" w:rsidRPr="00C50A5C">
        <w:rPr>
          <w:b/>
          <w:sz w:val="20"/>
          <w:szCs w:val="20"/>
        </w:rPr>
        <w:t>, 201</w:t>
      </w:r>
      <w:r w:rsidR="000E2959">
        <w:rPr>
          <w:b/>
          <w:sz w:val="20"/>
          <w:szCs w:val="20"/>
        </w:rPr>
        <w:t>3</w:t>
      </w:r>
      <w:r w:rsidR="000E2959" w:rsidRPr="00C50A5C">
        <w:rPr>
          <w:b/>
          <w:sz w:val="20"/>
          <w:szCs w:val="20"/>
        </w:rPr>
        <w:t xml:space="preserve"> / LE 2</w:t>
      </w:r>
      <w:r>
        <w:rPr>
          <w:b/>
          <w:sz w:val="20"/>
          <w:szCs w:val="20"/>
        </w:rPr>
        <w:t>8</w:t>
      </w:r>
      <w:r w:rsidR="000E2959" w:rsidRPr="00C50A5C">
        <w:rPr>
          <w:b/>
          <w:sz w:val="20"/>
          <w:szCs w:val="20"/>
        </w:rPr>
        <w:t xml:space="preserve"> </w:t>
      </w:r>
      <w:r>
        <w:rPr>
          <w:b/>
          <w:sz w:val="20"/>
          <w:szCs w:val="20"/>
        </w:rPr>
        <w:t>NOVE</w:t>
      </w:r>
      <w:r w:rsidR="000E2959">
        <w:rPr>
          <w:b/>
          <w:sz w:val="20"/>
          <w:szCs w:val="20"/>
        </w:rPr>
        <w:t>M</w:t>
      </w:r>
      <w:r>
        <w:rPr>
          <w:b/>
          <w:sz w:val="20"/>
          <w:szCs w:val="20"/>
        </w:rPr>
        <w:t>BRE</w:t>
      </w:r>
      <w:r w:rsidR="000E2959" w:rsidRPr="00C50A5C">
        <w:rPr>
          <w:b/>
          <w:sz w:val="20"/>
          <w:szCs w:val="20"/>
        </w:rPr>
        <w:t xml:space="preserve"> 201</w:t>
      </w:r>
      <w:r w:rsidR="000E2959">
        <w:rPr>
          <w:b/>
          <w:sz w:val="20"/>
          <w:szCs w:val="20"/>
        </w:rPr>
        <w:t>3</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F1E74" w:rsidRPr="00EF1E74" w:rsidTr="008E2A8E">
        <w:trPr>
          <w:cantSplit/>
        </w:trPr>
        <w:tc>
          <w:tcPr>
            <w:tcW w:w="1458" w:type="dxa"/>
          </w:tcPr>
          <w:p w:rsidR="00EF1E74" w:rsidRPr="00EF1E74" w:rsidRDefault="00EF1E74" w:rsidP="00EF1E74">
            <w:pPr>
              <w:rPr>
                <w:sz w:val="20"/>
              </w:rPr>
            </w:pPr>
            <w:r w:rsidRPr="00EF1E74">
              <w:rPr>
                <w:b/>
                <w:sz w:val="20"/>
                <w:lang w:val="fr-CA"/>
              </w:rPr>
              <w:t>34975</w:t>
            </w:r>
          </w:p>
          <w:p w:rsidR="00EF1E74" w:rsidRPr="00EF1E74" w:rsidRDefault="00EF1E74" w:rsidP="00EF1E74">
            <w:pPr>
              <w:rPr>
                <w:b/>
                <w:sz w:val="20"/>
                <w:lang w:val="fr-CA"/>
              </w:rPr>
            </w:pPr>
          </w:p>
        </w:tc>
        <w:tc>
          <w:tcPr>
            <w:tcW w:w="8118" w:type="dxa"/>
          </w:tcPr>
          <w:p w:rsidR="00EF1E74" w:rsidRPr="00EF1E74" w:rsidRDefault="00EF1E74" w:rsidP="00EF1E74">
            <w:pPr>
              <w:jc w:val="both"/>
              <w:rPr>
                <w:sz w:val="20"/>
              </w:rPr>
            </w:pPr>
            <w:r w:rsidRPr="00EF1E74">
              <w:rPr>
                <w:b/>
                <w:sz w:val="20"/>
                <w:u w:val="single"/>
              </w:rPr>
              <w:t>D.L. v. Director (Child, Youth and Family Enhancement Act)</w:t>
            </w:r>
            <w:r w:rsidR="00E70095">
              <w:rPr>
                <w:b/>
                <w:sz w:val="20"/>
                <w:u w:val="single"/>
              </w:rPr>
              <w:t xml:space="preserve"> and c</w:t>
            </w:r>
            <w:r w:rsidRPr="00EF1E74">
              <w:rPr>
                <w:b/>
                <w:sz w:val="20"/>
                <w:u w:val="single"/>
              </w:rPr>
              <w:t>hild AND BETWEEN M.B. v. Director (Child, Youth and Family Enhancement Act)</w:t>
            </w:r>
            <w:r w:rsidR="00E70095">
              <w:rPr>
                <w:b/>
                <w:sz w:val="20"/>
                <w:u w:val="single"/>
              </w:rPr>
              <w:t xml:space="preserve"> and c</w:t>
            </w:r>
            <w:r w:rsidRPr="00EF1E74">
              <w:rPr>
                <w:b/>
                <w:sz w:val="20"/>
                <w:u w:val="single"/>
              </w:rPr>
              <w:t>hild</w:t>
            </w:r>
            <w:r w:rsidRPr="00EF1E74">
              <w:rPr>
                <w:sz w:val="20"/>
              </w:rPr>
              <w:t xml:space="preserve"> (Alta.) (Civil) (By</w:t>
            </w:r>
            <w:r w:rsidR="00E70095">
              <w:rPr>
                <w:sz w:val="20"/>
              </w:rPr>
              <w:t> </w:t>
            </w:r>
            <w:r w:rsidRPr="00EF1E74">
              <w:rPr>
                <w:sz w:val="20"/>
              </w:rPr>
              <w:t>Leave)</w:t>
            </w:r>
          </w:p>
          <w:p w:rsidR="00EF1E74" w:rsidRPr="00EF1E74" w:rsidRDefault="00EF1E74" w:rsidP="00EF1E74">
            <w:pPr>
              <w:jc w:val="both"/>
              <w:rPr>
                <w:sz w:val="20"/>
              </w:rPr>
            </w:pPr>
          </w:p>
        </w:tc>
      </w:tr>
      <w:tr w:rsidR="00EF1E74" w:rsidRPr="00EF1E74" w:rsidTr="008E2A8E">
        <w:trPr>
          <w:cantSplit/>
        </w:trPr>
        <w:tc>
          <w:tcPr>
            <w:tcW w:w="1458" w:type="dxa"/>
          </w:tcPr>
          <w:p w:rsidR="00EF1E74" w:rsidRPr="00EF1E74" w:rsidRDefault="00EF1E74" w:rsidP="00EF1E74">
            <w:pPr>
              <w:rPr>
                <w:sz w:val="20"/>
              </w:rPr>
            </w:pPr>
            <w:r w:rsidRPr="00EF1E74">
              <w:rPr>
                <w:sz w:val="20"/>
              </w:rPr>
              <w:t>Coram :</w:t>
            </w:r>
          </w:p>
        </w:tc>
        <w:tc>
          <w:tcPr>
            <w:tcW w:w="8118" w:type="dxa"/>
          </w:tcPr>
          <w:p w:rsidR="00EF1E74" w:rsidRPr="00EF1E74" w:rsidRDefault="00EF1E74" w:rsidP="00EF1E74">
            <w:pPr>
              <w:rPr>
                <w:sz w:val="20"/>
              </w:rPr>
            </w:pPr>
            <w:r w:rsidRPr="00EF1E74">
              <w:rPr>
                <w:sz w:val="20"/>
                <w:u w:val="single"/>
              </w:rPr>
              <w:t>Fish, Rothstein and Moldaver JJ.</w:t>
            </w:r>
          </w:p>
          <w:p w:rsidR="00EF1E74" w:rsidRPr="00EF1E74" w:rsidRDefault="00EF1E74" w:rsidP="00EF1E74">
            <w:pPr>
              <w:rPr>
                <w:sz w:val="20"/>
                <w:u w:val="single"/>
              </w:rPr>
            </w:pPr>
          </w:p>
        </w:tc>
      </w:tr>
      <w:tr w:rsidR="00EF1E74" w:rsidRPr="003513AE" w:rsidTr="008E2A8E">
        <w:trPr>
          <w:cantSplit/>
        </w:trPr>
        <w:tc>
          <w:tcPr>
            <w:tcW w:w="9576" w:type="dxa"/>
            <w:gridSpan w:val="2"/>
          </w:tcPr>
          <w:p w:rsidR="00EF1E74" w:rsidRPr="00EF1E74" w:rsidRDefault="00EF1E74" w:rsidP="00EF1E74">
            <w:pPr>
              <w:ind w:firstLine="720"/>
              <w:jc w:val="both"/>
              <w:rPr>
                <w:sz w:val="20"/>
              </w:rPr>
            </w:pPr>
            <w:r w:rsidRPr="00EF1E74">
              <w:rPr>
                <w:sz w:val="20"/>
              </w:rPr>
              <w:t>The applications for leave to appeal from the judgment of the Court of Appeal of Alberta (Edmonton), Number 1203-0209-AC, 2012 ABCA 275, dated September 19, 2012, are dismissed without costs.</w:t>
            </w:r>
          </w:p>
          <w:p w:rsidR="00EF1E74" w:rsidRPr="00EF1E74" w:rsidRDefault="00EF1E74" w:rsidP="00EF1E74">
            <w:pPr>
              <w:jc w:val="both"/>
              <w:rPr>
                <w:sz w:val="20"/>
              </w:rPr>
            </w:pPr>
          </w:p>
          <w:p w:rsidR="00EF1E74" w:rsidRPr="00EF1E74" w:rsidRDefault="00EF1E74" w:rsidP="00EF1E74">
            <w:pPr>
              <w:ind w:firstLine="720"/>
              <w:jc w:val="both"/>
              <w:rPr>
                <w:sz w:val="20"/>
                <w:lang w:val="fr-CA"/>
              </w:rPr>
            </w:pPr>
            <w:r w:rsidRPr="00EF1E74">
              <w:rPr>
                <w:sz w:val="20"/>
                <w:lang w:val="fr-CA"/>
              </w:rPr>
              <w:t>Les demandes d’autorisation d’appel de l’arrêt de la Cour d'appel de l’Alberta (Edmonton), numéro 1203-0209-AC, 2012 ABCA 275, daté du 19 septembre 2012, sont rejetées sans dépens.</w:t>
            </w:r>
          </w:p>
        </w:tc>
      </w:tr>
    </w:tbl>
    <w:p w:rsidR="00642F12" w:rsidRPr="00EF1E74" w:rsidRDefault="00642F12" w:rsidP="000E2959">
      <w:pPr>
        <w:rPr>
          <w:sz w:val="20"/>
          <w:szCs w:val="20"/>
          <w:lang w:val="fr-CA"/>
        </w:rPr>
      </w:pPr>
    </w:p>
    <w:p w:rsidR="00642F12" w:rsidRPr="001B157C" w:rsidRDefault="00642F12" w:rsidP="00642F12">
      <w:pPr>
        <w:rPr>
          <w:sz w:val="20"/>
          <w:szCs w:val="20"/>
          <w:u w:val="single"/>
        </w:rPr>
      </w:pPr>
      <w:r w:rsidRPr="001B157C">
        <w:rPr>
          <w:sz w:val="20"/>
          <w:szCs w:val="20"/>
          <w:u w:val="single"/>
        </w:rPr>
        <w:t>CASE SUMMARY</w:t>
      </w:r>
    </w:p>
    <w:p w:rsidR="00642F12" w:rsidRDefault="00642F12" w:rsidP="00642F1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72B4" w:rsidRPr="00BC0F04" w:rsidTr="00A47690">
        <w:tc>
          <w:tcPr>
            <w:tcW w:w="5000" w:type="pct"/>
            <w:gridSpan w:val="3"/>
          </w:tcPr>
          <w:p w:rsidR="00A072B4" w:rsidRPr="00BC0F04" w:rsidRDefault="00A072B4" w:rsidP="00A47690">
            <w:pPr>
              <w:jc w:val="both"/>
              <w:rPr>
                <w:rFonts w:eastAsia="Calibri"/>
                <w:smallCaps/>
                <w:sz w:val="20"/>
              </w:rPr>
            </w:pPr>
            <w:r w:rsidRPr="00BC0F04">
              <w:rPr>
                <w:rFonts w:eastAsia="Calibri"/>
                <w:smallCaps/>
                <w:sz w:val="20"/>
              </w:rPr>
              <w:t xml:space="preserve">(Publication </w:t>
            </w:r>
            <w:r>
              <w:rPr>
                <w:rFonts w:eastAsia="Calibri"/>
                <w:smallCaps/>
                <w:sz w:val="20"/>
              </w:rPr>
              <w:t>B</w:t>
            </w:r>
            <w:r w:rsidRPr="00BC0F04">
              <w:rPr>
                <w:rFonts w:eastAsia="Calibri"/>
                <w:smallCaps/>
                <w:sz w:val="20"/>
              </w:rPr>
              <w:t xml:space="preserve">an in </w:t>
            </w:r>
            <w:r>
              <w:rPr>
                <w:rFonts w:eastAsia="Calibri"/>
                <w:smallCaps/>
                <w:sz w:val="20"/>
              </w:rPr>
              <w:t>C</w:t>
            </w:r>
            <w:r w:rsidRPr="00BC0F04">
              <w:rPr>
                <w:rFonts w:eastAsia="Calibri"/>
                <w:smallCaps/>
                <w:sz w:val="20"/>
              </w:rPr>
              <w:t xml:space="preserve">ase) (Publication </w:t>
            </w:r>
            <w:r>
              <w:rPr>
                <w:rFonts w:eastAsia="Calibri"/>
                <w:smallCaps/>
                <w:sz w:val="20"/>
              </w:rPr>
              <w:t>B</w:t>
            </w:r>
            <w:r w:rsidRPr="00BC0F04">
              <w:rPr>
                <w:rFonts w:eastAsia="Calibri"/>
                <w:smallCaps/>
                <w:sz w:val="20"/>
              </w:rPr>
              <w:t xml:space="preserve">an on </w:t>
            </w:r>
            <w:r>
              <w:rPr>
                <w:rFonts w:eastAsia="Calibri"/>
                <w:smallCaps/>
                <w:sz w:val="20"/>
              </w:rPr>
              <w:t>P</w:t>
            </w:r>
            <w:r w:rsidRPr="00BC0F04">
              <w:rPr>
                <w:rFonts w:eastAsia="Calibri"/>
                <w:smallCaps/>
                <w:sz w:val="20"/>
              </w:rPr>
              <w:t xml:space="preserve">arty) (Court </w:t>
            </w:r>
            <w:r>
              <w:rPr>
                <w:rFonts w:eastAsia="Calibri"/>
                <w:smallCaps/>
                <w:sz w:val="20"/>
              </w:rPr>
              <w:t>F</w:t>
            </w:r>
            <w:r w:rsidRPr="00BC0F04">
              <w:rPr>
                <w:rFonts w:eastAsia="Calibri"/>
                <w:smallCaps/>
                <w:sz w:val="20"/>
              </w:rPr>
              <w:t xml:space="preserve">ile </w:t>
            </w:r>
            <w:r>
              <w:rPr>
                <w:rFonts w:eastAsia="Calibri"/>
                <w:smallCaps/>
                <w:sz w:val="20"/>
              </w:rPr>
              <w:t>C</w:t>
            </w:r>
            <w:r w:rsidRPr="00BC0F04">
              <w:rPr>
                <w:rFonts w:eastAsia="Calibri"/>
                <w:smallCaps/>
                <w:sz w:val="20"/>
              </w:rPr>
              <w:t xml:space="preserve">ontains </w:t>
            </w:r>
            <w:r>
              <w:rPr>
                <w:rFonts w:eastAsia="Calibri"/>
                <w:smallCaps/>
                <w:sz w:val="20"/>
              </w:rPr>
              <w:t>I</w:t>
            </w:r>
            <w:r w:rsidRPr="00BC0F04">
              <w:rPr>
                <w:rFonts w:eastAsia="Calibri"/>
                <w:smallCaps/>
                <w:sz w:val="20"/>
              </w:rPr>
              <w:t xml:space="preserve">nformation </w:t>
            </w:r>
            <w:r>
              <w:rPr>
                <w:rFonts w:eastAsia="Calibri"/>
                <w:smallCaps/>
                <w:sz w:val="20"/>
              </w:rPr>
              <w:t>T</w:t>
            </w:r>
            <w:r w:rsidRPr="00BC0F04">
              <w:rPr>
                <w:rFonts w:eastAsia="Calibri"/>
                <w:smallCaps/>
                <w:sz w:val="20"/>
              </w:rPr>
              <w:t xml:space="preserve">hat is not </w:t>
            </w:r>
            <w:r>
              <w:rPr>
                <w:rFonts w:eastAsia="Calibri"/>
                <w:smallCaps/>
                <w:sz w:val="20"/>
              </w:rPr>
              <w:t>A</w:t>
            </w:r>
            <w:r w:rsidRPr="00BC0F04">
              <w:rPr>
                <w:rFonts w:eastAsia="Calibri"/>
                <w:smallCaps/>
                <w:sz w:val="20"/>
              </w:rPr>
              <w:t xml:space="preserve">vailable for </w:t>
            </w:r>
            <w:r>
              <w:rPr>
                <w:rFonts w:eastAsia="Calibri"/>
                <w:smallCaps/>
                <w:sz w:val="20"/>
              </w:rPr>
              <w:t>I</w:t>
            </w:r>
            <w:r w:rsidRPr="00BC0F04">
              <w:rPr>
                <w:rFonts w:eastAsia="Calibri"/>
                <w:smallCaps/>
                <w:sz w:val="20"/>
              </w:rPr>
              <w:t xml:space="preserve">nspection by the </w:t>
            </w:r>
            <w:r>
              <w:rPr>
                <w:rFonts w:eastAsia="Calibri"/>
                <w:smallCaps/>
                <w:sz w:val="20"/>
              </w:rPr>
              <w:t>P</w:t>
            </w:r>
            <w:r w:rsidRPr="00BC0F04">
              <w:rPr>
                <w:rFonts w:eastAsia="Calibri"/>
                <w:smallCaps/>
                <w:sz w:val="20"/>
              </w:rPr>
              <w:t>ublic)</w:t>
            </w:r>
          </w:p>
          <w:p w:rsidR="00A072B4" w:rsidRPr="00BC0F04" w:rsidRDefault="00A072B4" w:rsidP="00A47690">
            <w:pPr>
              <w:jc w:val="both"/>
              <w:rPr>
                <w:rFonts w:eastAsia="Calibri"/>
                <w:sz w:val="20"/>
              </w:rPr>
            </w:pPr>
          </w:p>
          <w:p w:rsidR="00A072B4" w:rsidRPr="00BC0F04" w:rsidRDefault="00A072B4" w:rsidP="00A47690">
            <w:pPr>
              <w:jc w:val="both"/>
              <w:rPr>
                <w:rFonts w:eastAsia="Calibri"/>
                <w:sz w:val="20"/>
              </w:rPr>
            </w:pPr>
            <w:r w:rsidRPr="00BC0F04">
              <w:rPr>
                <w:rFonts w:eastAsia="Calibri"/>
                <w:sz w:val="20"/>
              </w:rPr>
              <w:t xml:space="preserve">Health law – Courts – Jurisdiction – </w:t>
            </w:r>
            <w:r w:rsidRPr="00BC0F04">
              <w:rPr>
                <w:rFonts w:eastAsia="Calibri"/>
                <w:i/>
                <w:sz w:val="20"/>
              </w:rPr>
              <w:t>Parens patriae</w:t>
            </w:r>
            <w:r w:rsidRPr="00BC0F04">
              <w:rPr>
                <w:rFonts w:eastAsia="Calibri"/>
                <w:sz w:val="20"/>
              </w:rPr>
              <w:t xml:space="preserve"> – Application to determine the course of medical treatment of child permanently comatose and on life support – Application judge directing that child be provided only with palliative care and that life</w:t>
            </w:r>
            <w:r w:rsidRPr="00BC0F04">
              <w:rPr>
                <w:rFonts w:eastAsia="Calibri"/>
                <w:sz w:val="20"/>
              </w:rPr>
              <w:noBreakHyphen/>
              <w:t xml:space="preserve">extending treatment be withdrawn, over objections by child’s parents – Whether and in what circumstances </w:t>
            </w:r>
            <w:r w:rsidRPr="00BC0F04">
              <w:rPr>
                <w:rFonts w:eastAsia="Calibri"/>
                <w:i/>
                <w:sz w:val="20"/>
              </w:rPr>
              <w:t>parens patriae</w:t>
            </w:r>
            <w:r w:rsidRPr="00BC0F04">
              <w:rPr>
                <w:rFonts w:eastAsia="Calibri"/>
                <w:sz w:val="20"/>
              </w:rPr>
              <w:t xml:space="preserve"> jurisdiction extends to withdrawal of life support.</w:t>
            </w:r>
          </w:p>
        </w:tc>
      </w:tr>
      <w:tr w:rsidR="00A072B4" w:rsidRPr="00BC0F04" w:rsidTr="00A47690">
        <w:tc>
          <w:tcPr>
            <w:tcW w:w="5000" w:type="pct"/>
            <w:gridSpan w:val="3"/>
          </w:tcPr>
          <w:p w:rsidR="00A072B4" w:rsidRPr="00BC0F04" w:rsidRDefault="00A072B4" w:rsidP="00A47690">
            <w:pPr>
              <w:jc w:val="both"/>
              <w:rPr>
                <w:rFonts w:eastAsia="Calibri"/>
                <w:sz w:val="20"/>
              </w:rPr>
            </w:pPr>
          </w:p>
        </w:tc>
      </w:tr>
      <w:tr w:rsidR="00A072B4" w:rsidRPr="00BC0F04" w:rsidTr="00A47690">
        <w:tc>
          <w:tcPr>
            <w:tcW w:w="5000" w:type="pct"/>
            <w:gridSpan w:val="3"/>
          </w:tcPr>
          <w:p w:rsidR="00A072B4" w:rsidRPr="00BC0F04" w:rsidRDefault="00A072B4" w:rsidP="00A47690">
            <w:pPr>
              <w:tabs>
                <w:tab w:val="left" w:pos="7920"/>
              </w:tabs>
              <w:jc w:val="both"/>
              <w:rPr>
                <w:rFonts w:eastAsia="Calibri"/>
                <w:sz w:val="20"/>
              </w:rPr>
            </w:pPr>
            <w:r w:rsidRPr="00BC0F04">
              <w:rPr>
                <w:rFonts w:eastAsia="Calibri"/>
                <w:sz w:val="20"/>
              </w:rPr>
              <w:t xml:space="preserve">M, now deceased, was a two and a half year old girl permanently comatose and on life support in an Alberta hospital.  Her parents, who are the applicants, were in custody and had been charged with serious criminal offences in relation to M (aggravated assault, criminal negligence and failing to provide the necessities of life).  At the time, M had been apprehended pursuant to the </w:t>
            </w:r>
            <w:r w:rsidRPr="00BC0F04">
              <w:rPr>
                <w:rFonts w:eastAsia="Calibri"/>
                <w:i/>
                <w:sz w:val="20"/>
              </w:rPr>
              <w:t>Child, Youth, and Family Enhancement Act</w:t>
            </w:r>
            <w:r w:rsidRPr="00BC0F04">
              <w:rPr>
                <w:rFonts w:eastAsia="Calibri"/>
                <w:sz w:val="20"/>
              </w:rPr>
              <w:t>, R.S.A. 2000, c. C</w:t>
            </w:r>
            <w:r w:rsidRPr="00BC0F04">
              <w:rPr>
                <w:rFonts w:eastAsia="Calibri"/>
                <w:sz w:val="20"/>
              </w:rPr>
              <w:noBreakHyphen/>
              <w:t>12, and an application for the transfer of permanent guardianship was under way.</w:t>
            </w:r>
          </w:p>
          <w:p w:rsidR="00A072B4" w:rsidRPr="00BC0F04" w:rsidRDefault="00A072B4" w:rsidP="00A47690">
            <w:pPr>
              <w:tabs>
                <w:tab w:val="left" w:pos="7920"/>
              </w:tabs>
              <w:jc w:val="both"/>
              <w:rPr>
                <w:rFonts w:eastAsia="Calibri"/>
                <w:sz w:val="20"/>
              </w:rPr>
            </w:pPr>
          </w:p>
          <w:p w:rsidR="00A072B4" w:rsidRPr="00BC0F04" w:rsidRDefault="00A072B4" w:rsidP="00A47690">
            <w:pPr>
              <w:tabs>
                <w:tab w:val="left" w:pos="7920"/>
              </w:tabs>
              <w:jc w:val="both"/>
              <w:rPr>
                <w:rFonts w:eastAsia="Calibri"/>
                <w:sz w:val="20"/>
              </w:rPr>
            </w:pPr>
            <w:r w:rsidRPr="00BC0F04">
              <w:rPr>
                <w:rFonts w:eastAsia="Calibri"/>
                <w:sz w:val="20"/>
              </w:rPr>
              <w:t xml:space="preserve">The physicians unanimously agreed that M’s condition was irreversible and that no further medical intervention was warranted.  However, her parents refused to consent to the withdrawal of life support on the ground that their love for M and their religious beliefs precluded them from accepting the doctors’ recommendation.  The respondent Director applied to the Alberta Court of Queen’s Bench asking the court to determine the course of medical treatment.  The application proceeded on the basis that the </w:t>
            </w:r>
            <w:r w:rsidRPr="00BC0F04">
              <w:rPr>
                <w:rFonts w:eastAsia="Calibri"/>
                <w:i/>
                <w:sz w:val="20"/>
              </w:rPr>
              <w:t>Child, Youth, and Family Enhancement Act</w:t>
            </w:r>
            <w:r w:rsidRPr="00BC0F04">
              <w:rPr>
                <w:rFonts w:eastAsia="Calibri"/>
                <w:sz w:val="20"/>
              </w:rPr>
              <w:t xml:space="preserve"> did not give courts jurisdiction to order the withdrawal or limitation of treatment.  The Director appealed to the court’s </w:t>
            </w:r>
            <w:r w:rsidRPr="00BC0F04">
              <w:rPr>
                <w:rFonts w:eastAsia="Calibri"/>
                <w:i/>
                <w:sz w:val="20"/>
              </w:rPr>
              <w:t>parens patriae</w:t>
            </w:r>
            <w:r w:rsidRPr="00BC0F04">
              <w:rPr>
                <w:rFonts w:eastAsia="Calibri"/>
                <w:sz w:val="20"/>
              </w:rPr>
              <w:t xml:space="preserve"> jurisdiction to make decisions in the best interests of the child.</w:t>
            </w:r>
          </w:p>
          <w:p w:rsidR="00A072B4" w:rsidRPr="00BC0F04" w:rsidRDefault="00A072B4" w:rsidP="00A47690">
            <w:pPr>
              <w:jc w:val="both"/>
              <w:rPr>
                <w:rFonts w:eastAsia="Calibri"/>
                <w:sz w:val="20"/>
              </w:rPr>
            </w:pPr>
          </w:p>
        </w:tc>
      </w:tr>
      <w:tr w:rsidR="00A072B4" w:rsidRPr="00BC0F04" w:rsidTr="00A47690">
        <w:tc>
          <w:tcPr>
            <w:tcW w:w="2427" w:type="pct"/>
          </w:tcPr>
          <w:p w:rsidR="00A072B4" w:rsidRPr="00BC0F04" w:rsidRDefault="00A072B4" w:rsidP="00A47690">
            <w:pPr>
              <w:jc w:val="both"/>
              <w:rPr>
                <w:rFonts w:eastAsia="Calibri"/>
                <w:sz w:val="20"/>
              </w:rPr>
            </w:pPr>
            <w:r w:rsidRPr="00BC0F04">
              <w:rPr>
                <w:rFonts w:eastAsia="Calibri"/>
                <w:sz w:val="20"/>
              </w:rPr>
              <w:t>September 14, 2012</w:t>
            </w:r>
          </w:p>
          <w:p w:rsidR="00A072B4" w:rsidRPr="00BC0F04" w:rsidRDefault="00A072B4" w:rsidP="00A47690">
            <w:pPr>
              <w:jc w:val="both"/>
              <w:rPr>
                <w:rFonts w:eastAsia="Calibri"/>
                <w:sz w:val="20"/>
              </w:rPr>
            </w:pPr>
            <w:r w:rsidRPr="00BC0F04">
              <w:rPr>
                <w:rFonts w:eastAsia="Calibri"/>
                <w:sz w:val="20"/>
              </w:rPr>
              <w:t>Court of Queen’s Bench of Alberta</w:t>
            </w:r>
          </w:p>
          <w:p w:rsidR="00A072B4" w:rsidRPr="00BC0F04" w:rsidRDefault="00A072B4" w:rsidP="00A47690">
            <w:pPr>
              <w:jc w:val="both"/>
              <w:rPr>
                <w:rFonts w:eastAsia="Calibri"/>
                <w:sz w:val="20"/>
              </w:rPr>
            </w:pPr>
            <w:r w:rsidRPr="00BC0F04">
              <w:rPr>
                <w:rFonts w:eastAsia="Calibri"/>
                <w:sz w:val="20"/>
              </w:rPr>
              <w:t>(Ross J.)</w:t>
            </w:r>
          </w:p>
          <w:p w:rsidR="00A072B4" w:rsidRPr="00BC0F04" w:rsidRDefault="00A072B4" w:rsidP="00A47690">
            <w:pPr>
              <w:jc w:val="both"/>
              <w:rPr>
                <w:rFonts w:eastAsia="Calibri"/>
                <w:sz w:val="20"/>
              </w:rPr>
            </w:pPr>
            <w:r w:rsidRPr="00BC0F04">
              <w:rPr>
                <w:rFonts w:eastAsia="Calibri"/>
                <w:sz w:val="20"/>
              </w:rPr>
              <w:t>2012 ABQB 562</w:t>
            </w:r>
          </w:p>
          <w:p w:rsidR="00A072B4" w:rsidRPr="00BC0F04" w:rsidRDefault="00A072B4" w:rsidP="00A47690">
            <w:pPr>
              <w:jc w:val="both"/>
              <w:rPr>
                <w:rFonts w:eastAsia="Calibri"/>
                <w:sz w:val="20"/>
              </w:rPr>
            </w:pP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rPr>
            </w:pPr>
            <w:r w:rsidRPr="00BC0F04">
              <w:rPr>
                <w:rFonts w:eastAsia="Calibri"/>
                <w:sz w:val="20"/>
              </w:rPr>
              <w:t>Application to determine the course of medical treatment allowed</w:t>
            </w:r>
          </w:p>
          <w:p w:rsidR="00A072B4" w:rsidRPr="00BC0F04" w:rsidRDefault="00A072B4" w:rsidP="00A47690">
            <w:pPr>
              <w:jc w:val="both"/>
              <w:rPr>
                <w:rFonts w:eastAsia="Calibri"/>
                <w:sz w:val="20"/>
              </w:rPr>
            </w:pPr>
          </w:p>
        </w:tc>
      </w:tr>
      <w:tr w:rsidR="00A072B4" w:rsidRPr="00BC0F04" w:rsidTr="00A47690">
        <w:tc>
          <w:tcPr>
            <w:tcW w:w="2427" w:type="pct"/>
          </w:tcPr>
          <w:p w:rsidR="00A072B4" w:rsidRPr="00BC0F04" w:rsidRDefault="00A072B4" w:rsidP="00A47690">
            <w:pPr>
              <w:jc w:val="both"/>
              <w:rPr>
                <w:rFonts w:eastAsia="Calibri"/>
                <w:sz w:val="20"/>
              </w:rPr>
            </w:pPr>
            <w:r w:rsidRPr="00BC0F04">
              <w:rPr>
                <w:rFonts w:eastAsia="Calibri"/>
                <w:sz w:val="20"/>
              </w:rPr>
              <w:t>September 19, 2012</w:t>
            </w:r>
          </w:p>
          <w:p w:rsidR="00A072B4" w:rsidRPr="00BC0F04" w:rsidRDefault="00A072B4" w:rsidP="00A47690">
            <w:pPr>
              <w:jc w:val="both"/>
              <w:rPr>
                <w:rFonts w:eastAsia="Calibri"/>
                <w:sz w:val="20"/>
              </w:rPr>
            </w:pPr>
            <w:r w:rsidRPr="00BC0F04">
              <w:rPr>
                <w:rFonts w:eastAsia="Calibri"/>
                <w:sz w:val="20"/>
              </w:rPr>
              <w:t>Court of Appeal of Alberta (Edmonton)</w:t>
            </w:r>
          </w:p>
          <w:p w:rsidR="00A072B4" w:rsidRPr="00BC0F04" w:rsidRDefault="00A072B4" w:rsidP="00A47690">
            <w:pPr>
              <w:jc w:val="both"/>
              <w:rPr>
                <w:rFonts w:eastAsia="Calibri"/>
                <w:sz w:val="20"/>
              </w:rPr>
            </w:pPr>
            <w:r w:rsidRPr="00BC0F04">
              <w:rPr>
                <w:rFonts w:eastAsia="Calibri"/>
                <w:sz w:val="20"/>
              </w:rPr>
              <w:t>(Ritter, Slatter and Bielby JJ.A.)</w:t>
            </w:r>
          </w:p>
          <w:p w:rsidR="00A072B4" w:rsidRPr="00BC0F04" w:rsidRDefault="00A072B4" w:rsidP="00A47690">
            <w:pPr>
              <w:jc w:val="both"/>
              <w:rPr>
                <w:rFonts w:eastAsia="Calibri"/>
                <w:sz w:val="20"/>
              </w:rPr>
            </w:pPr>
            <w:r w:rsidRPr="00BC0F04">
              <w:rPr>
                <w:rFonts w:eastAsia="Calibri"/>
                <w:sz w:val="20"/>
              </w:rPr>
              <w:t>2012 ABCA 275</w:t>
            </w:r>
          </w:p>
          <w:p w:rsidR="00A072B4" w:rsidRPr="00BC0F04" w:rsidRDefault="00A072B4" w:rsidP="00A47690">
            <w:pPr>
              <w:jc w:val="both"/>
              <w:rPr>
                <w:rFonts w:eastAsia="Calibri"/>
                <w:sz w:val="20"/>
              </w:rPr>
            </w:pP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rPr>
            </w:pPr>
            <w:r w:rsidRPr="00BC0F04">
              <w:rPr>
                <w:rFonts w:eastAsia="Calibri"/>
                <w:sz w:val="20"/>
              </w:rPr>
              <w:t>Appeal dismissed</w:t>
            </w:r>
          </w:p>
          <w:p w:rsidR="00A072B4" w:rsidRPr="00BC0F04" w:rsidRDefault="00A072B4" w:rsidP="00A47690">
            <w:pPr>
              <w:jc w:val="both"/>
              <w:rPr>
                <w:rFonts w:eastAsia="Calibri"/>
                <w:sz w:val="20"/>
              </w:rPr>
            </w:pPr>
          </w:p>
        </w:tc>
      </w:tr>
      <w:tr w:rsidR="00A072B4" w:rsidRPr="00BC0F04" w:rsidTr="00EF1E74">
        <w:trPr>
          <w:cantSplit/>
        </w:trPr>
        <w:tc>
          <w:tcPr>
            <w:tcW w:w="2427" w:type="pct"/>
          </w:tcPr>
          <w:p w:rsidR="00A072B4" w:rsidRPr="00BC0F04" w:rsidRDefault="00A072B4" w:rsidP="00A47690">
            <w:pPr>
              <w:jc w:val="both"/>
              <w:rPr>
                <w:rFonts w:eastAsia="Calibri"/>
                <w:sz w:val="20"/>
              </w:rPr>
            </w:pPr>
            <w:r w:rsidRPr="00BC0F04">
              <w:rPr>
                <w:rFonts w:eastAsia="Calibri"/>
                <w:sz w:val="20"/>
              </w:rPr>
              <w:lastRenderedPageBreak/>
              <w:t>September 20, 2012</w:t>
            </w:r>
          </w:p>
          <w:p w:rsidR="00A072B4" w:rsidRPr="00BC0F04" w:rsidRDefault="00A072B4" w:rsidP="00A47690">
            <w:pPr>
              <w:jc w:val="both"/>
              <w:rPr>
                <w:rFonts w:eastAsia="Calibri"/>
                <w:sz w:val="20"/>
              </w:rPr>
            </w:pPr>
            <w:r w:rsidRPr="00BC0F04">
              <w:rPr>
                <w:rFonts w:eastAsia="Calibri"/>
                <w:sz w:val="20"/>
              </w:rPr>
              <w:t>Supreme Court of Canada</w:t>
            </w:r>
          </w:p>
          <w:p w:rsidR="00A072B4" w:rsidRPr="00BC0F04" w:rsidRDefault="00A072B4" w:rsidP="00A47690">
            <w:pPr>
              <w:jc w:val="both"/>
              <w:rPr>
                <w:rFonts w:eastAsia="Calibri"/>
                <w:sz w:val="20"/>
              </w:rPr>
            </w:pPr>
            <w:r w:rsidRPr="00BC0F04">
              <w:rPr>
                <w:rFonts w:eastAsia="Calibri"/>
                <w:sz w:val="20"/>
              </w:rPr>
              <w:t>(Fish, Rothstein and Moldaver JJ.)</w:t>
            </w:r>
          </w:p>
          <w:p w:rsidR="00A072B4" w:rsidRPr="00BC0F04" w:rsidRDefault="00A072B4" w:rsidP="00A47690">
            <w:pPr>
              <w:jc w:val="both"/>
              <w:rPr>
                <w:rFonts w:eastAsia="Calibri"/>
                <w:sz w:val="20"/>
              </w:rPr>
            </w:pP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rPr>
            </w:pPr>
            <w:r w:rsidRPr="00BC0F04">
              <w:rPr>
                <w:rFonts w:eastAsia="Calibri"/>
                <w:sz w:val="20"/>
              </w:rPr>
              <w:t>Application for an order staying the judgment of the Court of Appeal of Alberta dismissed</w:t>
            </w:r>
          </w:p>
          <w:p w:rsidR="00A072B4" w:rsidRPr="00BC0F04" w:rsidRDefault="00A072B4" w:rsidP="00A47690">
            <w:pPr>
              <w:jc w:val="both"/>
              <w:rPr>
                <w:rFonts w:eastAsia="Calibri"/>
                <w:sz w:val="20"/>
              </w:rPr>
            </w:pPr>
          </w:p>
        </w:tc>
      </w:tr>
      <w:tr w:rsidR="00A072B4" w:rsidRPr="00BC0F04" w:rsidTr="00EF1E74">
        <w:trPr>
          <w:cantSplit/>
        </w:trPr>
        <w:tc>
          <w:tcPr>
            <w:tcW w:w="2427" w:type="pct"/>
          </w:tcPr>
          <w:p w:rsidR="00A072B4" w:rsidRPr="00BC0F04" w:rsidRDefault="00A072B4" w:rsidP="00A47690">
            <w:pPr>
              <w:jc w:val="both"/>
              <w:rPr>
                <w:rFonts w:eastAsia="Calibri"/>
                <w:sz w:val="20"/>
              </w:rPr>
            </w:pPr>
            <w:r w:rsidRPr="00BC0F04">
              <w:rPr>
                <w:rFonts w:eastAsia="Calibri"/>
                <w:sz w:val="20"/>
              </w:rPr>
              <w:t>November 19, 2012</w:t>
            </w:r>
          </w:p>
          <w:p w:rsidR="00A072B4" w:rsidRPr="00BC0F04" w:rsidRDefault="00A072B4" w:rsidP="00A47690">
            <w:pPr>
              <w:jc w:val="both"/>
              <w:rPr>
                <w:rFonts w:eastAsia="Calibri"/>
                <w:sz w:val="20"/>
              </w:rPr>
            </w:pPr>
            <w:r w:rsidRPr="00BC0F04">
              <w:rPr>
                <w:rFonts w:eastAsia="Calibri"/>
                <w:sz w:val="20"/>
              </w:rPr>
              <w:t>Supreme Court of Canada</w:t>
            </w: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rPr>
            </w:pPr>
            <w:r w:rsidRPr="00BC0F04">
              <w:rPr>
                <w:rFonts w:eastAsia="Calibri"/>
                <w:sz w:val="20"/>
              </w:rPr>
              <w:t>Applications for leave to appeal filed</w:t>
            </w:r>
          </w:p>
          <w:p w:rsidR="00A072B4" w:rsidRPr="00BC0F04" w:rsidRDefault="00A072B4" w:rsidP="00A47690">
            <w:pPr>
              <w:jc w:val="both"/>
              <w:rPr>
                <w:rFonts w:eastAsia="Calibri"/>
                <w:sz w:val="20"/>
              </w:rPr>
            </w:pPr>
          </w:p>
        </w:tc>
      </w:tr>
    </w:tbl>
    <w:p w:rsidR="00642F12" w:rsidRDefault="00642F12" w:rsidP="00642F12">
      <w:pPr>
        <w:rPr>
          <w:sz w:val="20"/>
          <w:szCs w:val="20"/>
        </w:rPr>
      </w:pPr>
    </w:p>
    <w:p w:rsidR="00642F12" w:rsidRPr="00C50A5C" w:rsidRDefault="003513AE" w:rsidP="00642F12">
      <w:pPr>
        <w:rPr>
          <w:sz w:val="20"/>
          <w:szCs w:val="20"/>
        </w:rPr>
      </w:pPr>
      <w:r>
        <w:rPr>
          <w:sz w:val="20"/>
          <w:szCs w:val="20"/>
          <w:lang w:val="fr-CA"/>
        </w:rPr>
        <w:pict>
          <v:rect id="_x0000_i1038" style="width:2in;height:1pt" o:hrpct="0" o:hralign="center" o:hrstd="t" o:hrnoshade="t" o:hr="t" fillcolor="black [3213]" stroked="f"/>
        </w:pict>
      </w:r>
    </w:p>
    <w:p w:rsidR="00642F12" w:rsidRDefault="00642F12" w:rsidP="00642F12">
      <w:pPr>
        <w:rPr>
          <w:sz w:val="20"/>
          <w:szCs w:val="20"/>
        </w:rPr>
      </w:pPr>
    </w:p>
    <w:p w:rsidR="00642F12" w:rsidRPr="001B157C" w:rsidRDefault="00642F12" w:rsidP="00642F12">
      <w:pPr>
        <w:rPr>
          <w:sz w:val="20"/>
          <w:szCs w:val="20"/>
          <w:u w:val="single"/>
          <w:lang w:val="fr-CA"/>
        </w:rPr>
      </w:pPr>
      <w:r w:rsidRPr="001B157C">
        <w:rPr>
          <w:sz w:val="20"/>
          <w:szCs w:val="20"/>
          <w:u w:val="single"/>
          <w:lang w:val="fr-CA"/>
        </w:rPr>
        <w:t>RÉSUMÉ DE L’AFFAIRE</w:t>
      </w:r>
    </w:p>
    <w:p w:rsidR="00642F12" w:rsidRDefault="00642F12" w:rsidP="00642F12">
      <w:pPr>
        <w:rPr>
          <w:sz w:val="20"/>
          <w:szCs w:val="20"/>
        </w:rPr>
      </w:pPr>
    </w:p>
    <w:tbl>
      <w:tblPr>
        <w:tblW w:w="4952" w:type="pct"/>
        <w:tblLayout w:type="fixed"/>
        <w:tblCellMar>
          <w:left w:w="0" w:type="dxa"/>
          <w:bottom w:w="99" w:type="dxa"/>
          <w:right w:w="0" w:type="dxa"/>
        </w:tblCellMar>
        <w:tblLook w:val="00A0" w:firstRow="1" w:lastRow="0" w:firstColumn="1" w:lastColumn="0" w:noHBand="0" w:noVBand="0"/>
      </w:tblPr>
      <w:tblGrid>
        <w:gridCol w:w="4624"/>
        <w:gridCol w:w="463"/>
        <w:gridCol w:w="4440"/>
      </w:tblGrid>
      <w:tr w:rsidR="00A072B4" w:rsidRPr="003513AE" w:rsidTr="00A47690">
        <w:tc>
          <w:tcPr>
            <w:tcW w:w="5000" w:type="pct"/>
            <w:gridSpan w:val="3"/>
          </w:tcPr>
          <w:p w:rsidR="00A072B4" w:rsidRPr="00BC0F04" w:rsidRDefault="00A072B4" w:rsidP="00A47690">
            <w:pPr>
              <w:jc w:val="both"/>
              <w:rPr>
                <w:rFonts w:eastAsia="Calibri"/>
                <w:smallCaps/>
                <w:sz w:val="20"/>
                <w:lang w:val="fr-CA"/>
              </w:rPr>
            </w:pPr>
            <w:r w:rsidRPr="00BC0F04">
              <w:rPr>
                <w:rFonts w:eastAsia="Calibri"/>
                <w:smallCaps/>
                <w:sz w:val="20"/>
                <w:lang w:val="fr-CA"/>
              </w:rPr>
              <w:t>(Ordonnance de non</w:t>
            </w:r>
            <w:r w:rsidRPr="00BC0F04">
              <w:rPr>
                <w:rFonts w:eastAsia="Calibri"/>
                <w:smallCaps/>
                <w:sz w:val="20"/>
                <w:lang w:val="fr-CA"/>
              </w:rPr>
              <w:noBreakHyphen/>
              <w:t>publication dans le dossier) (Ordonnance de non</w:t>
            </w:r>
            <w:r w:rsidRPr="00BC0F04">
              <w:rPr>
                <w:rFonts w:eastAsia="Calibri"/>
                <w:smallCaps/>
                <w:sz w:val="20"/>
                <w:lang w:val="fr-CA"/>
              </w:rPr>
              <w:noBreakHyphen/>
              <w:t>publication visant une partie) (Le dossier de la Cour renferme des données que le public n'est pas autorisé à consulter)</w:t>
            </w:r>
          </w:p>
          <w:p w:rsidR="00A072B4" w:rsidRPr="00BC0F04" w:rsidRDefault="00A072B4" w:rsidP="00A47690">
            <w:pPr>
              <w:jc w:val="both"/>
              <w:rPr>
                <w:rFonts w:eastAsia="Calibri"/>
                <w:sz w:val="20"/>
                <w:lang w:val="fr-CA"/>
              </w:rPr>
            </w:pPr>
          </w:p>
          <w:p w:rsidR="00A072B4" w:rsidRPr="00BC0F04" w:rsidRDefault="00A072B4" w:rsidP="00A47690">
            <w:pPr>
              <w:jc w:val="both"/>
              <w:rPr>
                <w:rFonts w:eastAsia="Calibri"/>
                <w:sz w:val="20"/>
                <w:lang w:val="fr-CA"/>
              </w:rPr>
            </w:pPr>
            <w:r w:rsidRPr="00BC0F04">
              <w:rPr>
                <w:rFonts w:eastAsia="Calibri"/>
                <w:sz w:val="20"/>
                <w:lang w:val="fr-CA"/>
              </w:rPr>
              <w:t xml:space="preserve">Droit de la santé – Tribunaux – Compétence – </w:t>
            </w:r>
            <w:r w:rsidRPr="00BC0F04">
              <w:rPr>
                <w:rFonts w:eastAsia="Calibri"/>
                <w:i/>
                <w:sz w:val="20"/>
                <w:lang w:val="fr-CA"/>
              </w:rPr>
              <w:t>Parens patriae</w:t>
            </w:r>
            <w:r w:rsidRPr="00BC0F04">
              <w:rPr>
                <w:rFonts w:eastAsia="Calibri"/>
                <w:sz w:val="20"/>
                <w:lang w:val="fr-CA"/>
              </w:rPr>
              <w:t xml:space="preserve"> – Demande en vue de déterminer les traitements médicaux à dispenser à un enfant en état comateux permanent maintenu en vie artificiellement – Le juge de première instance a ordonné que l'on ne prodigue à l'enfant que des soins palliatifs et que cesse le traitement de maintien des fonctions vitales, malgré les objections des parents de l'enfant – La compétence </w:t>
            </w:r>
            <w:r w:rsidRPr="00BC0F04">
              <w:rPr>
                <w:rFonts w:eastAsia="Calibri"/>
                <w:i/>
                <w:sz w:val="20"/>
                <w:lang w:val="fr-CA"/>
              </w:rPr>
              <w:t>parens patriae</w:t>
            </w:r>
            <w:r w:rsidRPr="00BC0F04">
              <w:rPr>
                <w:rFonts w:eastAsia="Calibri"/>
                <w:sz w:val="20"/>
                <w:lang w:val="fr-CA"/>
              </w:rPr>
              <w:t xml:space="preserve"> permet</w:t>
            </w:r>
            <w:r w:rsidRPr="00BC0F04">
              <w:rPr>
                <w:rFonts w:eastAsia="Calibri"/>
                <w:sz w:val="20"/>
                <w:lang w:val="fr-CA"/>
              </w:rPr>
              <w:noBreakHyphen/>
              <w:t>elle d'ordonner la cessation du traitement de maintien des fonctions vitales et, dans l'affirmative, dans quelles situations?</w:t>
            </w:r>
          </w:p>
        </w:tc>
      </w:tr>
      <w:tr w:rsidR="00A072B4" w:rsidRPr="003513AE" w:rsidTr="00A47690">
        <w:tc>
          <w:tcPr>
            <w:tcW w:w="5000" w:type="pct"/>
            <w:gridSpan w:val="3"/>
          </w:tcPr>
          <w:p w:rsidR="00A072B4" w:rsidRPr="00BC0F04" w:rsidRDefault="00A072B4" w:rsidP="00A47690">
            <w:pPr>
              <w:jc w:val="both"/>
              <w:rPr>
                <w:rFonts w:eastAsia="Calibri"/>
                <w:sz w:val="20"/>
                <w:lang w:val="fr-CA"/>
              </w:rPr>
            </w:pPr>
          </w:p>
        </w:tc>
      </w:tr>
      <w:tr w:rsidR="00A072B4" w:rsidRPr="003513AE" w:rsidTr="00A47690">
        <w:tc>
          <w:tcPr>
            <w:tcW w:w="5000" w:type="pct"/>
            <w:gridSpan w:val="3"/>
          </w:tcPr>
          <w:p w:rsidR="00A072B4" w:rsidRPr="00BC0F04" w:rsidRDefault="00A072B4" w:rsidP="00A47690">
            <w:pPr>
              <w:tabs>
                <w:tab w:val="left" w:pos="7920"/>
              </w:tabs>
              <w:jc w:val="both"/>
              <w:rPr>
                <w:rFonts w:eastAsia="Calibri"/>
                <w:sz w:val="20"/>
                <w:lang w:val="fr-CA"/>
              </w:rPr>
            </w:pPr>
            <w:r w:rsidRPr="00BC0F04">
              <w:rPr>
                <w:rFonts w:eastAsia="Calibri"/>
                <w:sz w:val="20"/>
                <w:lang w:val="fr-CA"/>
              </w:rPr>
              <w:t xml:space="preserve">M, maintenant décédée, était une fille âgée de deux an et demi qui se trouvait dans un état comateux permanent et qui était maintenue en vie artificiellement dans un hôpital de l'Alberta. Ses parents, les demandeurs en l'espèce, étaient sous garde et avaient été accusés d'infractions criminelles graves en lien avec M (voies de faits graves, négligence criminelle et omission de fournir les choses nécessaires à l'existence).  À l'époque, M avait été appréhendée en vertu de la </w:t>
            </w:r>
            <w:r w:rsidRPr="00BC0F04">
              <w:rPr>
                <w:rFonts w:eastAsia="Calibri"/>
                <w:i/>
                <w:sz w:val="20"/>
                <w:lang w:val="fr-CA"/>
              </w:rPr>
              <w:t>Child, Youth, and Family Enhancement Act</w:t>
            </w:r>
            <w:r w:rsidRPr="00BC0F04">
              <w:rPr>
                <w:rFonts w:eastAsia="Calibri"/>
                <w:sz w:val="20"/>
                <w:lang w:val="fr-CA"/>
              </w:rPr>
              <w:t>, R.S.A. 2000, ch. C</w:t>
            </w:r>
            <w:r w:rsidRPr="00BC0F04">
              <w:rPr>
                <w:rFonts w:eastAsia="Calibri"/>
                <w:sz w:val="20"/>
                <w:lang w:val="fr-CA"/>
              </w:rPr>
              <w:noBreakHyphen/>
              <w:t>12, et une demande de transfert de la tutelle permanente était en instance.</w:t>
            </w:r>
          </w:p>
          <w:p w:rsidR="00A072B4" w:rsidRPr="00BC0F04" w:rsidRDefault="00A072B4" w:rsidP="00A47690">
            <w:pPr>
              <w:tabs>
                <w:tab w:val="left" w:pos="7920"/>
              </w:tabs>
              <w:jc w:val="both"/>
              <w:rPr>
                <w:rFonts w:eastAsia="Calibri"/>
                <w:sz w:val="20"/>
                <w:lang w:val="fr-CA"/>
              </w:rPr>
            </w:pPr>
          </w:p>
          <w:p w:rsidR="00A072B4" w:rsidRPr="00BC0F04" w:rsidRDefault="00A072B4" w:rsidP="00A47690">
            <w:pPr>
              <w:tabs>
                <w:tab w:val="left" w:pos="7920"/>
              </w:tabs>
              <w:jc w:val="both"/>
              <w:rPr>
                <w:rFonts w:eastAsia="Calibri"/>
                <w:sz w:val="20"/>
                <w:lang w:val="fr-CA"/>
              </w:rPr>
            </w:pPr>
            <w:r w:rsidRPr="00BC0F04">
              <w:rPr>
                <w:rFonts w:eastAsia="Calibri"/>
                <w:sz w:val="20"/>
                <w:lang w:val="fr-CA"/>
              </w:rPr>
              <w:t xml:space="preserve">Les médecins ont convenu à l'unanimité que l'état de M était irréversible et qu'aucune autre intervention médicale n'était justifiée.  Toutefois, ses parents ont refusé de consentir à la cessation du traitement de maintien des fonctions vitales, plaidant que leur amour pour M et leurs croyances religieuses les empêchaient d'accepter la recommandation des médecins.  Le directeur intimé a demandé à la Cour du Banc de la Reine de l'Alberta de déterminer les traitements médicaux à dispenser.  La demande a été instruite en s’appuyant sur le fait que la </w:t>
            </w:r>
            <w:r w:rsidRPr="00BC0F04">
              <w:rPr>
                <w:rFonts w:eastAsia="Calibri"/>
                <w:i/>
                <w:sz w:val="20"/>
                <w:lang w:val="fr-CA"/>
              </w:rPr>
              <w:t>Child, Youth, and Family Enhancement Act</w:t>
            </w:r>
            <w:r w:rsidRPr="00BC0F04">
              <w:rPr>
                <w:rFonts w:eastAsia="Calibri"/>
                <w:sz w:val="20"/>
                <w:lang w:val="fr-CA"/>
              </w:rPr>
              <w:t xml:space="preserve"> ne donnait pas aux tribunaux la compétence d'ordonner la cessation ou la limitation de traitements.  Le directeur a demandé au tribunal d'exercer sa compétence </w:t>
            </w:r>
            <w:r w:rsidRPr="00BC0F04">
              <w:rPr>
                <w:rFonts w:eastAsia="Calibri"/>
                <w:i/>
                <w:sz w:val="20"/>
                <w:lang w:val="fr-CA"/>
              </w:rPr>
              <w:t>parens patriae</w:t>
            </w:r>
            <w:r w:rsidRPr="00BC0F04">
              <w:rPr>
                <w:rFonts w:eastAsia="Calibri"/>
                <w:sz w:val="20"/>
                <w:lang w:val="fr-CA"/>
              </w:rPr>
              <w:t xml:space="preserve"> pour prendre des décisions dans l'intérêt supérieur de l'enfant.</w:t>
            </w:r>
          </w:p>
          <w:p w:rsidR="00A072B4" w:rsidRPr="00BC0F04" w:rsidRDefault="00A072B4" w:rsidP="00A47690">
            <w:pPr>
              <w:jc w:val="both"/>
              <w:rPr>
                <w:rFonts w:eastAsia="Calibri"/>
                <w:sz w:val="20"/>
                <w:lang w:val="fr-CA"/>
              </w:rPr>
            </w:pPr>
          </w:p>
        </w:tc>
      </w:tr>
      <w:tr w:rsidR="00A072B4" w:rsidRPr="003513AE" w:rsidTr="00A47690">
        <w:tc>
          <w:tcPr>
            <w:tcW w:w="2427" w:type="pct"/>
          </w:tcPr>
          <w:p w:rsidR="00A072B4" w:rsidRPr="00BC0F04" w:rsidRDefault="00A072B4" w:rsidP="00A47690">
            <w:pPr>
              <w:jc w:val="both"/>
              <w:rPr>
                <w:rFonts w:eastAsia="Calibri"/>
                <w:sz w:val="20"/>
                <w:lang w:val="fr-CA"/>
              </w:rPr>
            </w:pPr>
            <w:r w:rsidRPr="00BC0F04">
              <w:rPr>
                <w:rFonts w:eastAsia="Calibri"/>
                <w:sz w:val="20"/>
                <w:lang w:val="fr-CA"/>
              </w:rPr>
              <w:t>14 septembre 2012</w:t>
            </w:r>
          </w:p>
          <w:p w:rsidR="00A072B4" w:rsidRPr="00BC0F04" w:rsidRDefault="00A072B4" w:rsidP="00A47690">
            <w:pPr>
              <w:jc w:val="both"/>
              <w:rPr>
                <w:rFonts w:eastAsia="Calibri"/>
                <w:sz w:val="20"/>
                <w:lang w:val="fr-CA"/>
              </w:rPr>
            </w:pPr>
            <w:r w:rsidRPr="00BC0F04">
              <w:rPr>
                <w:rFonts w:eastAsia="Calibri"/>
                <w:sz w:val="20"/>
                <w:lang w:val="fr-CA"/>
              </w:rPr>
              <w:t>Cour du Banc de la Reine de l'Alberta</w:t>
            </w:r>
          </w:p>
          <w:p w:rsidR="00A072B4" w:rsidRPr="00BC0F04" w:rsidRDefault="00A072B4" w:rsidP="00A47690">
            <w:pPr>
              <w:jc w:val="both"/>
              <w:rPr>
                <w:rFonts w:eastAsia="Calibri"/>
                <w:sz w:val="20"/>
                <w:lang w:val="fr-CA"/>
              </w:rPr>
            </w:pPr>
            <w:r w:rsidRPr="00BC0F04">
              <w:rPr>
                <w:rFonts w:eastAsia="Calibri"/>
                <w:sz w:val="20"/>
                <w:lang w:val="fr-CA"/>
              </w:rPr>
              <w:t>(Juge Ross)</w:t>
            </w:r>
          </w:p>
          <w:p w:rsidR="00A072B4" w:rsidRPr="00BC0F04" w:rsidRDefault="00A072B4" w:rsidP="00A47690">
            <w:pPr>
              <w:jc w:val="both"/>
              <w:rPr>
                <w:rFonts w:eastAsia="Calibri"/>
                <w:sz w:val="20"/>
                <w:lang w:val="fr-CA"/>
              </w:rPr>
            </w:pPr>
            <w:r w:rsidRPr="00BC0F04">
              <w:rPr>
                <w:rFonts w:eastAsia="Calibri"/>
                <w:sz w:val="20"/>
                <w:lang w:val="fr-CA"/>
              </w:rPr>
              <w:t>2012 ABQB 562</w:t>
            </w:r>
          </w:p>
          <w:p w:rsidR="00A072B4" w:rsidRPr="00BC0F04" w:rsidRDefault="00A072B4" w:rsidP="00A47690">
            <w:pPr>
              <w:jc w:val="both"/>
              <w:rPr>
                <w:rFonts w:eastAsia="Calibri"/>
                <w:sz w:val="20"/>
                <w:lang w:val="fr-CA"/>
              </w:rPr>
            </w:pPr>
          </w:p>
        </w:tc>
        <w:tc>
          <w:tcPr>
            <w:tcW w:w="243" w:type="pct"/>
          </w:tcPr>
          <w:p w:rsidR="00A072B4" w:rsidRPr="00BC0F04" w:rsidRDefault="00A072B4" w:rsidP="00A47690">
            <w:pPr>
              <w:jc w:val="both"/>
              <w:rPr>
                <w:rFonts w:eastAsia="Calibri"/>
                <w:sz w:val="20"/>
                <w:lang w:val="fr-CA"/>
              </w:rPr>
            </w:pPr>
          </w:p>
        </w:tc>
        <w:tc>
          <w:tcPr>
            <w:tcW w:w="2330" w:type="pct"/>
          </w:tcPr>
          <w:p w:rsidR="00A072B4" w:rsidRPr="00BC0F04" w:rsidRDefault="00A072B4" w:rsidP="00A47690">
            <w:pPr>
              <w:jc w:val="both"/>
              <w:rPr>
                <w:rFonts w:eastAsia="Calibri"/>
                <w:sz w:val="20"/>
                <w:lang w:val="fr-CA"/>
              </w:rPr>
            </w:pPr>
            <w:r w:rsidRPr="00BC0F04">
              <w:rPr>
                <w:rFonts w:eastAsia="Calibri"/>
                <w:sz w:val="20"/>
                <w:lang w:val="fr-CA"/>
              </w:rPr>
              <w:t>Demande en vue de déterminer les traitements médicaux à dispenser, accueillie</w:t>
            </w:r>
          </w:p>
          <w:p w:rsidR="00A072B4" w:rsidRPr="00BC0F04" w:rsidRDefault="00A072B4" w:rsidP="00A47690">
            <w:pPr>
              <w:jc w:val="both"/>
              <w:rPr>
                <w:rFonts w:eastAsia="Calibri"/>
                <w:sz w:val="20"/>
                <w:lang w:val="fr-CA"/>
              </w:rPr>
            </w:pPr>
          </w:p>
        </w:tc>
      </w:tr>
      <w:tr w:rsidR="00A072B4" w:rsidRPr="00BC0F04" w:rsidTr="00A47690">
        <w:tc>
          <w:tcPr>
            <w:tcW w:w="2427" w:type="pct"/>
          </w:tcPr>
          <w:p w:rsidR="00A072B4" w:rsidRPr="00BC0F04" w:rsidRDefault="00A072B4" w:rsidP="00A47690">
            <w:pPr>
              <w:jc w:val="both"/>
              <w:rPr>
                <w:rFonts w:eastAsia="Calibri"/>
                <w:sz w:val="20"/>
                <w:lang w:val="fr-CA"/>
              </w:rPr>
            </w:pPr>
            <w:r w:rsidRPr="00BC0F04">
              <w:rPr>
                <w:rFonts w:eastAsia="Calibri"/>
                <w:sz w:val="20"/>
                <w:lang w:val="fr-CA"/>
              </w:rPr>
              <w:t>19 septembre 2012</w:t>
            </w:r>
          </w:p>
          <w:p w:rsidR="00A072B4" w:rsidRPr="00BC0F04" w:rsidRDefault="00A072B4" w:rsidP="00A47690">
            <w:pPr>
              <w:jc w:val="both"/>
              <w:rPr>
                <w:rFonts w:eastAsia="Calibri"/>
                <w:sz w:val="20"/>
                <w:lang w:val="fr-CA"/>
              </w:rPr>
            </w:pPr>
            <w:r w:rsidRPr="00BC0F04">
              <w:rPr>
                <w:rFonts w:eastAsia="Calibri"/>
                <w:sz w:val="20"/>
                <w:lang w:val="fr-CA"/>
              </w:rPr>
              <w:t>Cour d'appel de l'Alberta (Edmonton)</w:t>
            </w:r>
          </w:p>
          <w:p w:rsidR="00A072B4" w:rsidRPr="00BC0F04" w:rsidRDefault="00A072B4" w:rsidP="00A47690">
            <w:pPr>
              <w:jc w:val="both"/>
              <w:rPr>
                <w:rFonts w:eastAsia="Calibri"/>
                <w:sz w:val="20"/>
                <w:lang w:val="fr-CA"/>
              </w:rPr>
            </w:pPr>
            <w:r w:rsidRPr="00BC0F04">
              <w:rPr>
                <w:rFonts w:eastAsia="Calibri"/>
                <w:sz w:val="20"/>
                <w:lang w:val="fr-CA"/>
              </w:rPr>
              <w:t>(Juges Ritter, Slatter et Bielby)</w:t>
            </w:r>
          </w:p>
          <w:p w:rsidR="00A072B4" w:rsidRPr="00BC0F04" w:rsidRDefault="00A072B4" w:rsidP="00A47690">
            <w:pPr>
              <w:jc w:val="both"/>
              <w:rPr>
                <w:rFonts w:eastAsia="Calibri"/>
                <w:sz w:val="20"/>
                <w:lang w:val="fr-CA"/>
              </w:rPr>
            </w:pPr>
            <w:r w:rsidRPr="00BC0F04">
              <w:rPr>
                <w:rFonts w:eastAsia="Calibri"/>
                <w:sz w:val="20"/>
                <w:lang w:val="fr-CA"/>
              </w:rPr>
              <w:t>2012 ABCA 275</w:t>
            </w:r>
          </w:p>
          <w:p w:rsidR="00A072B4" w:rsidRPr="00BC0F04" w:rsidRDefault="00A072B4" w:rsidP="00A47690">
            <w:pPr>
              <w:jc w:val="both"/>
              <w:rPr>
                <w:rFonts w:eastAsia="Calibri"/>
                <w:sz w:val="20"/>
                <w:lang w:val="fr-CA"/>
              </w:rPr>
            </w:pPr>
          </w:p>
        </w:tc>
        <w:tc>
          <w:tcPr>
            <w:tcW w:w="243" w:type="pct"/>
          </w:tcPr>
          <w:p w:rsidR="00A072B4" w:rsidRPr="00BC0F04" w:rsidRDefault="00A072B4" w:rsidP="00A47690">
            <w:pPr>
              <w:jc w:val="both"/>
              <w:rPr>
                <w:rFonts w:eastAsia="Calibri"/>
                <w:sz w:val="20"/>
                <w:lang w:val="fr-CA"/>
              </w:rPr>
            </w:pPr>
          </w:p>
        </w:tc>
        <w:tc>
          <w:tcPr>
            <w:tcW w:w="2330" w:type="pct"/>
          </w:tcPr>
          <w:p w:rsidR="00A072B4" w:rsidRPr="00BC0F04" w:rsidRDefault="00A072B4" w:rsidP="00A47690">
            <w:pPr>
              <w:jc w:val="both"/>
              <w:rPr>
                <w:rFonts w:eastAsia="Calibri"/>
                <w:sz w:val="20"/>
                <w:lang w:val="fr-CA"/>
              </w:rPr>
            </w:pPr>
            <w:r w:rsidRPr="00BC0F04">
              <w:rPr>
                <w:rFonts w:eastAsia="Calibri"/>
                <w:sz w:val="20"/>
                <w:lang w:val="fr-CA"/>
              </w:rPr>
              <w:t>Appel rejeté</w:t>
            </w:r>
          </w:p>
          <w:p w:rsidR="00A072B4" w:rsidRPr="00BC0F04" w:rsidRDefault="00A072B4" w:rsidP="00A47690">
            <w:pPr>
              <w:jc w:val="both"/>
              <w:rPr>
                <w:rFonts w:eastAsia="Calibri"/>
                <w:sz w:val="20"/>
                <w:lang w:val="fr-CA"/>
              </w:rPr>
            </w:pPr>
          </w:p>
        </w:tc>
      </w:tr>
      <w:tr w:rsidR="00A072B4" w:rsidRPr="003513AE" w:rsidTr="00A47690">
        <w:tc>
          <w:tcPr>
            <w:tcW w:w="2427" w:type="pct"/>
          </w:tcPr>
          <w:p w:rsidR="00A072B4" w:rsidRPr="00BC0F04" w:rsidRDefault="00A072B4" w:rsidP="00A47690">
            <w:pPr>
              <w:jc w:val="both"/>
              <w:rPr>
                <w:rFonts w:eastAsia="Calibri"/>
                <w:sz w:val="20"/>
                <w:lang w:val="fr-CA"/>
              </w:rPr>
            </w:pPr>
            <w:r w:rsidRPr="00BC0F04">
              <w:rPr>
                <w:rFonts w:eastAsia="Calibri"/>
                <w:sz w:val="20"/>
                <w:lang w:val="fr-CA"/>
              </w:rPr>
              <w:t>20 septembre 2012</w:t>
            </w:r>
          </w:p>
          <w:p w:rsidR="00A072B4" w:rsidRPr="00BC0F04" w:rsidRDefault="00A072B4" w:rsidP="00A47690">
            <w:pPr>
              <w:jc w:val="both"/>
              <w:rPr>
                <w:rFonts w:eastAsia="Calibri"/>
                <w:sz w:val="20"/>
                <w:lang w:val="fr-CA"/>
              </w:rPr>
            </w:pPr>
            <w:r w:rsidRPr="00BC0F04">
              <w:rPr>
                <w:rFonts w:eastAsia="Calibri"/>
                <w:sz w:val="20"/>
                <w:lang w:val="fr-CA"/>
              </w:rPr>
              <w:t>Cour suprême du Canada</w:t>
            </w:r>
          </w:p>
          <w:p w:rsidR="00A072B4" w:rsidRPr="00BC0F04" w:rsidRDefault="00A072B4" w:rsidP="00A47690">
            <w:pPr>
              <w:jc w:val="both"/>
              <w:rPr>
                <w:rFonts w:eastAsia="Calibri"/>
                <w:sz w:val="20"/>
                <w:lang w:val="fr-CA"/>
              </w:rPr>
            </w:pPr>
            <w:r w:rsidRPr="00BC0F04">
              <w:rPr>
                <w:rFonts w:eastAsia="Calibri"/>
                <w:sz w:val="20"/>
                <w:lang w:val="fr-CA"/>
              </w:rPr>
              <w:t>(Juges Fish, Rothstein et Moldaver)</w:t>
            </w:r>
          </w:p>
          <w:p w:rsidR="00A072B4" w:rsidRPr="00BC0F04" w:rsidRDefault="00A072B4" w:rsidP="00A47690">
            <w:pPr>
              <w:jc w:val="both"/>
              <w:rPr>
                <w:rFonts w:eastAsia="Calibri"/>
                <w:sz w:val="20"/>
                <w:lang w:val="fr-CA"/>
              </w:rPr>
            </w:pPr>
          </w:p>
        </w:tc>
        <w:tc>
          <w:tcPr>
            <w:tcW w:w="243" w:type="pct"/>
          </w:tcPr>
          <w:p w:rsidR="00A072B4" w:rsidRPr="00BC0F04" w:rsidRDefault="00A072B4" w:rsidP="00A47690">
            <w:pPr>
              <w:jc w:val="both"/>
              <w:rPr>
                <w:rFonts w:eastAsia="Calibri"/>
                <w:sz w:val="20"/>
                <w:lang w:val="fr-CA"/>
              </w:rPr>
            </w:pPr>
          </w:p>
        </w:tc>
        <w:tc>
          <w:tcPr>
            <w:tcW w:w="2330" w:type="pct"/>
          </w:tcPr>
          <w:p w:rsidR="00A072B4" w:rsidRPr="00BC0F04" w:rsidRDefault="00A072B4" w:rsidP="00A47690">
            <w:pPr>
              <w:jc w:val="both"/>
              <w:rPr>
                <w:rFonts w:eastAsia="Calibri"/>
                <w:sz w:val="20"/>
                <w:lang w:val="fr-CA"/>
              </w:rPr>
            </w:pPr>
            <w:r w:rsidRPr="00BC0F04">
              <w:rPr>
                <w:rFonts w:eastAsia="Calibri"/>
                <w:sz w:val="20"/>
                <w:lang w:val="fr-CA"/>
              </w:rPr>
              <w:t>Requête en sursis d’exécution de la décision de la Cour d'appel de l'Alberta, rejetée</w:t>
            </w:r>
          </w:p>
          <w:p w:rsidR="00A072B4" w:rsidRPr="00BC0F04" w:rsidRDefault="00A072B4" w:rsidP="00A47690">
            <w:pPr>
              <w:jc w:val="both"/>
              <w:rPr>
                <w:rFonts w:eastAsia="Calibri"/>
                <w:sz w:val="20"/>
                <w:lang w:val="fr-CA"/>
              </w:rPr>
            </w:pPr>
          </w:p>
        </w:tc>
      </w:tr>
      <w:tr w:rsidR="00A072B4" w:rsidRPr="00BC0F04" w:rsidTr="00A47690">
        <w:tc>
          <w:tcPr>
            <w:tcW w:w="2427" w:type="pct"/>
          </w:tcPr>
          <w:p w:rsidR="00A072B4" w:rsidRPr="00BC0F04" w:rsidRDefault="00A072B4" w:rsidP="00A47690">
            <w:pPr>
              <w:jc w:val="both"/>
              <w:rPr>
                <w:rFonts w:eastAsia="Calibri"/>
                <w:sz w:val="20"/>
                <w:lang w:val="fr-CA"/>
              </w:rPr>
            </w:pPr>
            <w:r w:rsidRPr="00BC0F04">
              <w:rPr>
                <w:rFonts w:eastAsia="Calibri"/>
                <w:sz w:val="20"/>
                <w:lang w:val="fr-CA"/>
              </w:rPr>
              <w:lastRenderedPageBreak/>
              <w:t>19 novembre 2012</w:t>
            </w:r>
          </w:p>
          <w:p w:rsidR="00A072B4" w:rsidRPr="00BC0F04" w:rsidRDefault="00A072B4" w:rsidP="00A47690">
            <w:pPr>
              <w:jc w:val="both"/>
              <w:rPr>
                <w:rFonts w:eastAsia="Calibri"/>
                <w:sz w:val="20"/>
                <w:lang w:val="fr-CA"/>
              </w:rPr>
            </w:pPr>
            <w:r w:rsidRPr="00BC0F04">
              <w:rPr>
                <w:rFonts w:eastAsia="Calibri"/>
                <w:sz w:val="20"/>
                <w:lang w:val="fr-CA"/>
              </w:rPr>
              <w:t>Cour suprême du Canada</w:t>
            </w:r>
          </w:p>
        </w:tc>
        <w:tc>
          <w:tcPr>
            <w:tcW w:w="243" w:type="pct"/>
          </w:tcPr>
          <w:p w:rsidR="00A072B4" w:rsidRPr="00BC0F04" w:rsidRDefault="00A072B4" w:rsidP="00A47690">
            <w:pPr>
              <w:jc w:val="both"/>
              <w:rPr>
                <w:rFonts w:eastAsia="Calibri"/>
                <w:sz w:val="20"/>
                <w:lang w:val="fr-CA"/>
              </w:rPr>
            </w:pPr>
          </w:p>
        </w:tc>
        <w:tc>
          <w:tcPr>
            <w:tcW w:w="2330" w:type="pct"/>
          </w:tcPr>
          <w:p w:rsidR="00A072B4" w:rsidRPr="00BC0F04" w:rsidRDefault="00A072B4" w:rsidP="00A47690">
            <w:pPr>
              <w:jc w:val="both"/>
              <w:rPr>
                <w:rFonts w:eastAsia="Calibri"/>
                <w:sz w:val="20"/>
                <w:lang w:val="fr-CA"/>
              </w:rPr>
            </w:pPr>
            <w:r w:rsidRPr="00BC0F04">
              <w:rPr>
                <w:rFonts w:eastAsia="Calibri"/>
                <w:sz w:val="20"/>
                <w:lang w:val="fr-CA"/>
              </w:rPr>
              <w:t>Demande d'autorisation d'appel, déposée</w:t>
            </w:r>
          </w:p>
          <w:p w:rsidR="00A072B4" w:rsidRPr="00BC0F04" w:rsidRDefault="00A072B4" w:rsidP="00A47690">
            <w:pPr>
              <w:jc w:val="both"/>
              <w:rPr>
                <w:rFonts w:eastAsia="Calibri"/>
                <w:sz w:val="20"/>
                <w:lang w:val="fr-CA"/>
              </w:rPr>
            </w:pPr>
          </w:p>
        </w:tc>
      </w:tr>
    </w:tbl>
    <w:p w:rsidR="00642F12" w:rsidRDefault="00642F12" w:rsidP="00642F12">
      <w:pPr>
        <w:rPr>
          <w:sz w:val="20"/>
          <w:szCs w:val="20"/>
        </w:rPr>
      </w:pPr>
    </w:p>
    <w:p w:rsidR="00642F12" w:rsidRPr="00C50A5C" w:rsidRDefault="003513AE" w:rsidP="00642F12">
      <w:pPr>
        <w:rPr>
          <w:sz w:val="20"/>
          <w:szCs w:val="20"/>
        </w:rPr>
      </w:pPr>
      <w:r>
        <w:rPr>
          <w:sz w:val="20"/>
          <w:szCs w:val="20"/>
          <w:lang w:val="fr-CA"/>
        </w:rPr>
        <w:pict>
          <v:rect id="_x0000_i1039" style="width:2in;height:1pt" o:hrpct="0" o:hralign="center" o:hrstd="t" o:hrnoshade="t" o:hr="t" fillcolor="black [3213]" stroked="f"/>
        </w:pict>
      </w:r>
    </w:p>
    <w:p w:rsidR="00642F12" w:rsidRDefault="00642F12" w:rsidP="00642F12">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F1E74" w:rsidRPr="00EF1E74" w:rsidTr="008E2A8E">
        <w:trPr>
          <w:cantSplit/>
        </w:trPr>
        <w:tc>
          <w:tcPr>
            <w:tcW w:w="1458" w:type="dxa"/>
          </w:tcPr>
          <w:p w:rsidR="00EF1E74" w:rsidRPr="00EF1E74" w:rsidRDefault="00EF1E74" w:rsidP="00EF1E74">
            <w:pPr>
              <w:rPr>
                <w:sz w:val="20"/>
              </w:rPr>
            </w:pPr>
            <w:r w:rsidRPr="00EF1E74">
              <w:rPr>
                <w:b/>
                <w:sz w:val="20"/>
                <w:lang w:val="fr-CA"/>
              </w:rPr>
              <w:t>35410</w:t>
            </w:r>
          </w:p>
          <w:p w:rsidR="00EF1E74" w:rsidRPr="00EF1E74" w:rsidRDefault="00EF1E74" w:rsidP="00EF1E74">
            <w:pPr>
              <w:rPr>
                <w:b/>
                <w:sz w:val="20"/>
                <w:lang w:val="fr-CA"/>
              </w:rPr>
            </w:pPr>
          </w:p>
        </w:tc>
        <w:tc>
          <w:tcPr>
            <w:tcW w:w="8118" w:type="dxa"/>
          </w:tcPr>
          <w:p w:rsidR="00EF1E74" w:rsidRPr="00EF1E74" w:rsidRDefault="00EF1E74" w:rsidP="00EF1E74">
            <w:pPr>
              <w:rPr>
                <w:sz w:val="20"/>
              </w:rPr>
            </w:pPr>
            <w:r w:rsidRPr="00EF1E74">
              <w:rPr>
                <w:b/>
                <w:sz w:val="20"/>
                <w:u w:val="single"/>
                <w:lang w:val="fr-CA"/>
              </w:rPr>
              <w:t>Linda Hammerschmid v. Hélène Nadon Corriveau</w:t>
            </w:r>
            <w:r w:rsidRPr="00EF1E74">
              <w:rPr>
                <w:sz w:val="20"/>
                <w:lang w:val="fr-CA"/>
              </w:rPr>
              <w:t xml:space="preserve"> (Que.) </w:t>
            </w:r>
            <w:r w:rsidRPr="00EF1E74">
              <w:rPr>
                <w:sz w:val="20"/>
              </w:rPr>
              <w:t>(Civil) (By Leave)</w:t>
            </w:r>
          </w:p>
          <w:p w:rsidR="00EF1E74" w:rsidRPr="00EF1E74" w:rsidRDefault="00EF1E74" w:rsidP="00EF1E74">
            <w:pPr>
              <w:rPr>
                <w:sz w:val="20"/>
              </w:rPr>
            </w:pPr>
          </w:p>
        </w:tc>
      </w:tr>
      <w:tr w:rsidR="00EF1E74" w:rsidRPr="00EF1E74" w:rsidTr="008E2A8E">
        <w:trPr>
          <w:cantSplit/>
        </w:trPr>
        <w:tc>
          <w:tcPr>
            <w:tcW w:w="1458" w:type="dxa"/>
          </w:tcPr>
          <w:p w:rsidR="00EF1E74" w:rsidRPr="00EF1E74" w:rsidRDefault="00EF1E74" w:rsidP="00EF1E74">
            <w:pPr>
              <w:rPr>
                <w:sz w:val="20"/>
              </w:rPr>
            </w:pPr>
            <w:r w:rsidRPr="00EF1E74">
              <w:rPr>
                <w:sz w:val="20"/>
              </w:rPr>
              <w:t>Coram :</w:t>
            </w:r>
          </w:p>
        </w:tc>
        <w:tc>
          <w:tcPr>
            <w:tcW w:w="8118" w:type="dxa"/>
          </w:tcPr>
          <w:p w:rsidR="00EF1E74" w:rsidRPr="00EF1E74" w:rsidRDefault="00EF1E74" w:rsidP="00EF1E74">
            <w:pPr>
              <w:rPr>
                <w:sz w:val="20"/>
              </w:rPr>
            </w:pPr>
            <w:r w:rsidRPr="00EF1E74">
              <w:rPr>
                <w:sz w:val="20"/>
                <w:u w:val="single"/>
              </w:rPr>
              <w:t>McLachlin C.J. and Cromwell and Wagner JJ.</w:t>
            </w:r>
          </w:p>
          <w:p w:rsidR="00EF1E74" w:rsidRPr="00EF1E74" w:rsidRDefault="00EF1E74" w:rsidP="00EF1E74">
            <w:pPr>
              <w:rPr>
                <w:sz w:val="20"/>
                <w:u w:val="single"/>
              </w:rPr>
            </w:pPr>
          </w:p>
        </w:tc>
      </w:tr>
      <w:tr w:rsidR="00EF1E74" w:rsidRPr="003513AE" w:rsidTr="008E2A8E">
        <w:trPr>
          <w:cantSplit/>
        </w:trPr>
        <w:tc>
          <w:tcPr>
            <w:tcW w:w="9576" w:type="dxa"/>
            <w:gridSpan w:val="2"/>
          </w:tcPr>
          <w:p w:rsidR="00EF1E74" w:rsidRPr="00EF1E74" w:rsidRDefault="00EF1E74" w:rsidP="00EF1E74">
            <w:pPr>
              <w:ind w:firstLine="720"/>
              <w:jc w:val="both"/>
              <w:rPr>
                <w:sz w:val="20"/>
              </w:rPr>
            </w:pPr>
            <w:r w:rsidRPr="00EF1E74">
              <w:rPr>
                <w:sz w:val="20"/>
              </w:rPr>
              <w:t>The application for leave to appeal from the judgment of the Court of Appeal of Quebec (Montréal), Number 500-09-023480-130, 2013 QCCA 648, dated April 12, 2013, is dismissed without costs.</w:t>
            </w:r>
          </w:p>
          <w:p w:rsidR="00EF1E74" w:rsidRPr="00EF1E74" w:rsidRDefault="00EF1E74" w:rsidP="00EF1E74">
            <w:pPr>
              <w:jc w:val="both"/>
              <w:rPr>
                <w:sz w:val="20"/>
              </w:rPr>
            </w:pPr>
          </w:p>
          <w:p w:rsidR="00EF1E74" w:rsidRPr="00EF1E74" w:rsidRDefault="00EF1E74" w:rsidP="00EF1E74">
            <w:pPr>
              <w:ind w:firstLine="720"/>
              <w:jc w:val="both"/>
              <w:rPr>
                <w:sz w:val="20"/>
                <w:lang w:val="fr-CA"/>
              </w:rPr>
            </w:pPr>
            <w:r w:rsidRPr="00EF1E74">
              <w:rPr>
                <w:sz w:val="20"/>
                <w:lang w:val="fr-CA"/>
              </w:rPr>
              <w:t>La demande d’autorisation d’appel de l’arrêt de la Cour d’appel du Québec (Montréal), numéro 500-09-023480-130, 2013 QCCA 648, daté du 12 avril 2013, est rejetée sans dépens.</w:t>
            </w:r>
          </w:p>
        </w:tc>
      </w:tr>
    </w:tbl>
    <w:p w:rsidR="00642F12" w:rsidRPr="00EF1E74" w:rsidRDefault="00642F12" w:rsidP="00642F12">
      <w:pPr>
        <w:rPr>
          <w:sz w:val="20"/>
          <w:szCs w:val="20"/>
          <w:lang w:val="fr-CA"/>
        </w:rPr>
      </w:pPr>
    </w:p>
    <w:p w:rsidR="00642F12" w:rsidRPr="001B157C" w:rsidRDefault="00642F12" w:rsidP="00642F12">
      <w:pPr>
        <w:rPr>
          <w:sz w:val="20"/>
          <w:szCs w:val="20"/>
          <w:u w:val="single"/>
        </w:rPr>
      </w:pPr>
      <w:r w:rsidRPr="001B157C">
        <w:rPr>
          <w:sz w:val="20"/>
          <w:szCs w:val="20"/>
          <w:u w:val="single"/>
        </w:rPr>
        <w:t>CASE SUMMARY</w:t>
      </w:r>
    </w:p>
    <w:p w:rsidR="00642F12" w:rsidRDefault="00642F12" w:rsidP="00642F1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72B4" w:rsidRPr="00BC0F04" w:rsidTr="00A47690">
        <w:tc>
          <w:tcPr>
            <w:tcW w:w="5000" w:type="pct"/>
            <w:gridSpan w:val="3"/>
          </w:tcPr>
          <w:p w:rsidR="00A072B4" w:rsidRPr="00BC0F04" w:rsidRDefault="00A072B4" w:rsidP="00A47690">
            <w:pPr>
              <w:jc w:val="both"/>
              <w:rPr>
                <w:rFonts w:eastAsia="Calibri"/>
                <w:sz w:val="20"/>
              </w:rPr>
            </w:pPr>
            <w:r w:rsidRPr="00BC0F04">
              <w:rPr>
                <w:rFonts w:eastAsia="Calibri"/>
                <w:sz w:val="20"/>
              </w:rPr>
              <w:t>Contracts – Non</w:t>
            </w:r>
            <w:r w:rsidRPr="00BC0F04">
              <w:rPr>
                <w:rFonts w:eastAsia="Calibri"/>
                <w:sz w:val="20"/>
              </w:rPr>
              <w:noBreakHyphen/>
              <w:t xml:space="preserve">performance – Injury – Moratory damages – Interest – Action in contractual liability dismissed on ground that only interest could be awarded to compensate for injury sustained by applicant as result of respondent’s delay in performing obligation to pay sum of money – Whether Court of Appeal should have granted leave to appeal – </w:t>
            </w:r>
            <w:r w:rsidRPr="00BC0F04">
              <w:rPr>
                <w:rFonts w:eastAsia="Calibri"/>
                <w:i/>
                <w:sz w:val="20"/>
              </w:rPr>
              <w:t>Civil Code of Québec</w:t>
            </w:r>
            <w:r w:rsidRPr="00BC0F04">
              <w:rPr>
                <w:rFonts w:eastAsia="Calibri"/>
                <w:sz w:val="20"/>
              </w:rPr>
              <w:t xml:space="preserve">, S.Q. 1991, c. 64, arts. 1458, 1617; </w:t>
            </w:r>
            <w:r w:rsidRPr="00BC0F04">
              <w:rPr>
                <w:rFonts w:eastAsia="Calibri"/>
                <w:i/>
                <w:sz w:val="20"/>
              </w:rPr>
              <w:t>Code of Civil Procedure</w:t>
            </w:r>
            <w:r w:rsidRPr="00BC0F04">
              <w:rPr>
                <w:rFonts w:eastAsia="Calibri"/>
                <w:sz w:val="20"/>
              </w:rPr>
              <w:t>, R.S.Q. c. C</w:t>
            </w:r>
            <w:r w:rsidRPr="00BC0F04">
              <w:rPr>
                <w:rFonts w:eastAsia="Calibri"/>
                <w:sz w:val="20"/>
              </w:rPr>
              <w:noBreakHyphen/>
              <w:t>25, art. 26.</w:t>
            </w:r>
          </w:p>
        </w:tc>
      </w:tr>
      <w:tr w:rsidR="00A072B4" w:rsidRPr="00BC0F04" w:rsidTr="00A47690">
        <w:tc>
          <w:tcPr>
            <w:tcW w:w="5000" w:type="pct"/>
            <w:gridSpan w:val="3"/>
          </w:tcPr>
          <w:p w:rsidR="00A072B4" w:rsidRPr="00BC0F04" w:rsidRDefault="00A072B4" w:rsidP="00A47690">
            <w:pPr>
              <w:jc w:val="both"/>
              <w:rPr>
                <w:rFonts w:eastAsia="Calibri"/>
                <w:sz w:val="20"/>
              </w:rPr>
            </w:pPr>
          </w:p>
        </w:tc>
      </w:tr>
      <w:tr w:rsidR="00A072B4" w:rsidRPr="00BC0F04" w:rsidTr="00A47690">
        <w:tc>
          <w:tcPr>
            <w:tcW w:w="5000" w:type="pct"/>
            <w:gridSpan w:val="3"/>
          </w:tcPr>
          <w:p w:rsidR="00A072B4" w:rsidRPr="00BC0F04" w:rsidRDefault="00A072B4" w:rsidP="00A47690">
            <w:pPr>
              <w:jc w:val="both"/>
              <w:rPr>
                <w:rFonts w:eastAsia="Calibri"/>
                <w:sz w:val="20"/>
              </w:rPr>
            </w:pPr>
            <w:r w:rsidRPr="00BC0F04">
              <w:rPr>
                <w:rFonts w:eastAsia="Calibri"/>
                <w:sz w:val="20"/>
              </w:rPr>
              <w:t xml:space="preserve">The applicant, Ms. Hammerschmid, an attorney, acted on behalf of the respondent, Ms. Nadon Corriveau, in family proceedings. The professional services mandate was signed on May 12, 2011.  On June 10, 2011, the respondent was sent invoices totalling $58,703.79.  On July 7, 2011, the respondent signed an acknowledgment of debt for that amount.  On May 2, 2012, Ms. Hammerschmid instituted legal proceedings against the respondent claiming $45,000 in compensatory and exemplary damages.  She alleged that the respondent was refusing to pay the amount owed, causing her pecuniary loss and psychological injury.  On August 30, 2012, the Court of Québec homologated the acknowledgment of debt signed by the respondent, declared the amount due and exigible and ordered that interest at the legal rate and the additional indemnity provided for in art. 1619 C.C.Q. apply. </w:t>
            </w:r>
          </w:p>
          <w:p w:rsidR="00A072B4" w:rsidRPr="00BC0F04" w:rsidRDefault="00A072B4" w:rsidP="00A47690">
            <w:pPr>
              <w:jc w:val="both"/>
              <w:rPr>
                <w:rFonts w:eastAsia="Calibri"/>
                <w:sz w:val="20"/>
              </w:rPr>
            </w:pPr>
          </w:p>
          <w:p w:rsidR="00A072B4" w:rsidRPr="00BC0F04" w:rsidRDefault="00A072B4" w:rsidP="00A47690">
            <w:pPr>
              <w:jc w:val="both"/>
              <w:rPr>
                <w:rFonts w:eastAsia="Calibri"/>
                <w:sz w:val="20"/>
              </w:rPr>
            </w:pPr>
            <w:r w:rsidRPr="00BC0F04">
              <w:rPr>
                <w:rFonts w:eastAsia="Calibri"/>
                <w:sz w:val="20"/>
              </w:rPr>
              <w:t>On February 4, 2013, the Court of Québec dismissed Ms. Hammerschmid’s action.  Judge Gouin found that the action was unfounded because, under art. 1617 C.C.Q., damages which result from delay in the performance of an obligation to pay a sum of money consist of interest.  The judgment of August 30, 2012 already included a conclusion to that effect.  A professional whose client refuses or neglects to pay for services rendered cannot claim damages to compensate for the monetary value of the steps that must be taken by the professional in order to be paid.  St</w:t>
            </w:r>
            <w:r w:rsidRPr="00BC0F04">
              <w:rPr>
                <w:rFonts w:eastAsia="Calibri"/>
                <w:sz w:val="20"/>
              </w:rPr>
              <w:noBreakHyphen/>
              <w:t>Pierre J.A. of the Court of Appeal refused leave to appeal.</w:t>
            </w:r>
          </w:p>
          <w:p w:rsidR="00A072B4" w:rsidRPr="00BC0F04" w:rsidRDefault="00A072B4" w:rsidP="00A47690">
            <w:pPr>
              <w:jc w:val="both"/>
              <w:rPr>
                <w:rFonts w:eastAsia="Calibri"/>
                <w:sz w:val="20"/>
              </w:rPr>
            </w:pPr>
          </w:p>
        </w:tc>
      </w:tr>
      <w:tr w:rsidR="00A072B4" w:rsidRPr="00BC0F04" w:rsidTr="00A47690">
        <w:tc>
          <w:tcPr>
            <w:tcW w:w="2427" w:type="pct"/>
          </w:tcPr>
          <w:p w:rsidR="00A072B4" w:rsidRPr="00BC0F04" w:rsidRDefault="00A072B4" w:rsidP="00A47690">
            <w:pPr>
              <w:jc w:val="both"/>
              <w:rPr>
                <w:rFonts w:eastAsia="Calibri"/>
                <w:sz w:val="20"/>
              </w:rPr>
            </w:pPr>
            <w:r w:rsidRPr="00BC0F04">
              <w:rPr>
                <w:rFonts w:eastAsia="Calibri"/>
                <w:sz w:val="20"/>
              </w:rPr>
              <w:t>February 4, 2013</w:t>
            </w:r>
          </w:p>
          <w:p w:rsidR="00A072B4" w:rsidRPr="00BC0F04" w:rsidRDefault="00A072B4" w:rsidP="00A47690">
            <w:pPr>
              <w:jc w:val="both"/>
              <w:rPr>
                <w:rFonts w:eastAsia="Calibri"/>
                <w:sz w:val="20"/>
              </w:rPr>
            </w:pPr>
            <w:r w:rsidRPr="00BC0F04">
              <w:rPr>
                <w:rFonts w:eastAsia="Calibri"/>
                <w:sz w:val="20"/>
              </w:rPr>
              <w:t>Court of Québec</w:t>
            </w:r>
          </w:p>
          <w:p w:rsidR="00A072B4" w:rsidRPr="00BC0F04" w:rsidRDefault="00A072B4" w:rsidP="00A47690">
            <w:pPr>
              <w:jc w:val="both"/>
              <w:rPr>
                <w:rFonts w:eastAsia="Calibri"/>
                <w:sz w:val="20"/>
              </w:rPr>
            </w:pPr>
            <w:r w:rsidRPr="00BC0F04">
              <w:rPr>
                <w:rFonts w:eastAsia="Calibri"/>
                <w:sz w:val="20"/>
              </w:rPr>
              <w:t>(Judge Gouin)</w:t>
            </w:r>
          </w:p>
          <w:p w:rsidR="00A072B4" w:rsidRPr="00BC0F04" w:rsidRDefault="003513AE" w:rsidP="00A47690">
            <w:pPr>
              <w:jc w:val="both"/>
              <w:rPr>
                <w:rFonts w:eastAsia="Calibri"/>
                <w:sz w:val="20"/>
              </w:rPr>
            </w:pPr>
            <w:hyperlink r:id="rId25" w:history="1">
              <w:r w:rsidR="00A072B4" w:rsidRPr="00BC0F04">
                <w:rPr>
                  <w:rFonts w:eastAsia="Calibri"/>
                  <w:color w:val="0000FF"/>
                  <w:sz w:val="20"/>
                  <w:u w:val="single"/>
                </w:rPr>
                <w:t>2013 QCCQ 892</w:t>
              </w:r>
            </w:hyperlink>
          </w:p>
          <w:p w:rsidR="00A072B4" w:rsidRPr="00BC0F04" w:rsidRDefault="00A072B4" w:rsidP="00A47690">
            <w:pPr>
              <w:jc w:val="both"/>
              <w:rPr>
                <w:rFonts w:eastAsia="Calibri"/>
                <w:sz w:val="20"/>
              </w:rPr>
            </w:pP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rPr>
            </w:pPr>
            <w:r w:rsidRPr="00BC0F04">
              <w:rPr>
                <w:rFonts w:eastAsia="Calibri"/>
                <w:sz w:val="20"/>
              </w:rPr>
              <w:t>Action in contractual liability dismissed</w:t>
            </w:r>
          </w:p>
          <w:p w:rsidR="00A072B4" w:rsidRPr="00BC0F04" w:rsidRDefault="00A072B4" w:rsidP="00A47690">
            <w:pPr>
              <w:jc w:val="both"/>
              <w:rPr>
                <w:rFonts w:eastAsia="Calibri"/>
                <w:sz w:val="20"/>
              </w:rPr>
            </w:pPr>
          </w:p>
        </w:tc>
      </w:tr>
      <w:tr w:rsidR="00A072B4" w:rsidRPr="00BC0F04" w:rsidTr="00A47690">
        <w:tc>
          <w:tcPr>
            <w:tcW w:w="2427" w:type="pct"/>
          </w:tcPr>
          <w:p w:rsidR="00A072B4" w:rsidRPr="00BC0F04" w:rsidRDefault="00A072B4" w:rsidP="00A47690">
            <w:pPr>
              <w:jc w:val="both"/>
              <w:rPr>
                <w:rFonts w:eastAsia="Calibri"/>
                <w:sz w:val="20"/>
              </w:rPr>
            </w:pPr>
            <w:r w:rsidRPr="00BC0F04">
              <w:rPr>
                <w:rFonts w:eastAsia="Calibri"/>
                <w:sz w:val="20"/>
              </w:rPr>
              <w:t>April 12, 2013</w:t>
            </w:r>
          </w:p>
          <w:p w:rsidR="00A072B4" w:rsidRPr="00BC0F04" w:rsidRDefault="00A072B4" w:rsidP="00A47690">
            <w:pPr>
              <w:jc w:val="both"/>
              <w:rPr>
                <w:rFonts w:eastAsia="Calibri"/>
                <w:sz w:val="20"/>
              </w:rPr>
            </w:pPr>
            <w:r w:rsidRPr="00BC0F04">
              <w:rPr>
                <w:rFonts w:eastAsia="Calibri"/>
                <w:sz w:val="20"/>
              </w:rPr>
              <w:t>Quebec Court of Appeal (Montréal)</w:t>
            </w:r>
          </w:p>
          <w:p w:rsidR="00A072B4" w:rsidRPr="00BC0F04" w:rsidRDefault="00A072B4" w:rsidP="00A47690">
            <w:pPr>
              <w:jc w:val="both"/>
              <w:rPr>
                <w:rFonts w:eastAsia="Calibri"/>
                <w:sz w:val="20"/>
              </w:rPr>
            </w:pPr>
            <w:r w:rsidRPr="00BC0F04">
              <w:rPr>
                <w:rFonts w:eastAsia="Calibri"/>
                <w:sz w:val="20"/>
              </w:rPr>
              <w:t>(St-Pierre J.A.)</w:t>
            </w:r>
          </w:p>
          <w:p w:rsidR="00A072B4" w:rsidRPr="00BC0F04" w:rsidRDefault="00A072B4" w:rsidP="00EF1E74">
            <w:pPr>
              <w:jc w:val="both"/>
              <w:rPr>
                <w:rFonts w:eastAsia="Calibri"/>
                <w:sz w:val="20"/>
              </w:rPr>
            </w:pPr>
            <w:r w:rsidRPr="00BC0F04">
              <w:rPr>
                <w:rFonts w:eastAsia="Calibri"/>
                <w:sz w:val="20"/>
              </w:rPr>
              <w:t xml:space="preserve">500-09-023480-130; </w:t>
            </w:r>
            <w:hyperlink r:id="rId26" w:history="1">
              <w:r w:rsidRPr="00BC0F04">
                <w:rPr>
                  <w:rFonts w:eastAsia="Calibri"/>
                  <w:color w:val="0000FF"/>
                  <w:sz w:val="20"/>
                  <w:u w:val="single"/>
                </w:rPr>
                <w:t>2013 QCCA 648</w:t>
              </w:r>
            </w:hyperlink>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rPr>
            </w:pPr>
            <w:r w:rsidRPr="00BC0F04">
              <w:rPr>
                <w:rFonts w:eastAsia="Calibri"/>
                <w:sz w:val="20"/>
              </w:rPr>
              <w:t>Motion for leave to appeal dismissed</w:t>
            </w:r>
          </w:p>
          <w:p w:rsidR="00A072B4" w:rsidRPr="00BC0F04" w:rsidRDefault="00A072B4" w:rsidP="00A47690">
            <w:pPr>
              <w:jc w:val="both"/>
              <w:rPr>
                <w:rFonts w:eastAsia="Calibri"/>
                <w:sz w:val="20"/>
              </w:rPr>
            </w:pPr>
          </w:p>
        </w:tc>
      </w:tr>
    </w:tbl>
    <w:p w:rsidR="00EF1E74" w:rsidRDefault="00EF1E74"/>
    <w:p w:rsidR="00EF1E74" w:rsidRDefault="00EF1E74">
      <w:r>
        <w:lastRenderedPageBreak/>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72B4" w:rsidRPr="00BC0F04" w:rsidTr="00EF1E74">
        <w:trPr>
          <w:cantSplit/>
        </w:trPr>
        <w:tc>
          <w:tcPr>
            <w:tcW w:w="2427" w:type="pct"/>
          </w:tcPr>
          <w:p w:rsidR="00A072B4" w:rsidRPr="00BC0F04" w:rsidRDefault="00A072B4" w:rsidP="00A47690">
            <w:pPr>
              <w:jc w:val="both"/>
              <w:rPr>
                <w:rFonts w:eastAsia="Calibri"/>
                <w:sz w:val="20"/>
              </w:rPr>
            </w:pPr>
            <w:r w:rsidRPr="00BC0F04">
              <w:rPr>
                <w:rFonts w:eastAsia="Calibri"/>
                <w:sz w:val="20"/>
              </w:rPr>
              <w:lastRenderedPageBreak/>
              <w:t>June 11, 2013</w:t>
            </w:r>
          </w:p>
          <w:p w:rsidR="00A072B4" w:rsidRPr="00BC0F04" w:rsidRDefault="00A072B4" w:rsidP="00A47690">
            <w:pPr>
              <w:jc w:val="both"/>
              <w:rPr>
                <w:rFonts w:eastAsia="Calibri"/>
                <w:sz w:val="20"/>
              </w:rPr>
            </w:pPr>
            <w:r w:rsidRPr="00BC0F04">
              <w:rPr>
                <w:rFonts w:eastAsia="Calibri"/>
                <w:sz w:val="20"/>
              </w:rPr>
              <w:t>Supreme Court of Canada</w:t>
            </w: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rPr>
            </w:pPr>
            <w:r w:rsidRPr="00BC0F04">
              <w:rPr>
                <w:rFonts w:eastAsia="Calibri"/>
                <w:sz w:val="20"/>
              </w:rPr>
              <w:t>Application for leave to appeal filed</w:t>
            </w:r>
          </w:p>
          <w:p w:rsidR="00A072B4" w:rsidRPr="00BC0F04" w:rsidRDefault="00A072B4" w:rsidP="00A47690">
            <w:pPr>
              <w:jc w:val="both"/>
              <w:rPr>
                <w:rFonts w:eastAsia="Calibri"/>
                <w:sz w:val="20"/>
              </w:rPr>
            </w:pPr>
          </w:p>
        </w:tc>
      </w:tr>
    </w:tbl>
    <w:p w:rsidR="00642F12" w:rsidRDefault="00642F12" w:rsidP="00642F12">
      <w:pPr>
        <w:rPr>
          <w:sz w:val="20"/>
          <w:szCs w:val="20"/>
        </w:rPr>
      </w:pPr>
    </w:p>
    <w:p w:rsidR="00642F12" w:rsidRDefault="003513AE" w:rsidP="00642F12">
      <w:pPr>
        <w:rPr>
          <w:sz w:val="20"/>
          <w:szCs w:val="20"/>
        </w:rPr>
      </w:pPr>
      <w:r>
        <w:rPr>
          <w:sz w:val="20"/>
          <w:szCs w:val="20"/>
          <w:lang w:val="fr-CA"/>
        </w:rPr>
        <w:pict>
          <v:rect id="_x0000_i1040" style="width:2in;height:1pt" o:hrpct="0" o:hralign="center" o:hrstd="t" o:hrnoshade="t" o:hr="t" fillcolor="black [3213]" stroked="f"/>
        </w:pict>
      </w:r>
    </w:p>
    <w:p w:rsidR="00642F12" w:rsidRDefault="00642F12" w:rsidP="00642F12">
      <w:pPr>
        <w:rPr>
          <w:sz w:val="20"/>
          <w:szCs w:val="20"/>
        </w:rPr>
      </w:pPr>
    </w:p>
    <w:p w:rsidR="00642F12" w:rsidRPr="001B157C" w:rsidRDefault="00642F12" w:rsidP="00642F12">
      <w:pPr>
        <w:rPr>
          <w:sz w:val="20"/>
          <w:szCs w:val="20"/>
          <w:u w:val="single"/>
          <w:lang w:val="fr-CA"/>
        </w:rPr>
      </w:pPr>
      <w:r w:rsidRPr="001B157C">
        <w:rPr>
          <w:sz w:val="20"/>
          <w:szCs w:val="20"/>
          <w:u w:val="single"/>
          <w:lang w:val="fr-CA"/>
        </w:rPr>
        <w:t>RÉSUMÉ DE L’AFFAIRE</w:t>
      </w:r>
    </w:p>
    <w:p w:rsidR="00642F12" w:rsidRDefault="00642F12" w:rsidP="00642F1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72B4" w:rsidRPr="00BC0F04" w:rsidTr="00A47690">
        <w:tc>
          <w:tcPr>
            <w:tcW w:w="5000" w:type="pct"/>
            <w:gridSpan w:val="3"/>
          </w:tcPr>
          <w:p w:rsidR="00A072B4" w:rsidRPr="00BC0F04" w:rsidRDefault="00A072B4" w:rsidP="00A47690">
            <w:pPr>
              <w:jc w:val="both"/>
              <w:rPr>
                <w:rFonts w:eastAsia="Calibri"/>
                <w:sz w:val="20"/>
                <w:lang w:val="fr-CA"/>
              </w:rPr>
            </w:pPr>
            <w:r w:rsidRPr="00BC0F04">
              <w:rPr>
                <w:rFonts w:eastAsia="Calibri"/>
                <w:sz w:val="20"/>
                <w:lang w:val="fr-CA"/>
              </w:rPr>
              <w:t xml:space="preserve">Contrats – Inexécution – Préjudice – Dommages-intérêts moratoires – Intérêts – Action en responsabilité contractuelle rejetée au motif que le préjudice subi par la demanderesse en raison du retard de l’intimée à exécuter une obligation de payer une somme d’argent ne pouvait être compensé autrement que par l’attribution d’intérêts – La Cour d’appel aurait-elle dû autoriser un appel? – </w:t>
            </w:r>
            <w:r w:rsidRPr="00BC0F04">
              <w:rPr>
                <w:rFonts w:eastAsia="Calibri"/>
                <w:i/>
                <w:sz w:val="20"/>
                <w:lang w:val="fr-CA"/>
              </w:rPr>
              <w:t>Code civil du Québec</w:t>
            </w:r>
            <w:r w:rsidRPr="00BC0F04">
              <w:rPr>
                <w:rFonts w:eastAsia="Calibri"/>
                <w:sz w:val="20"/>
                <w:lang w:val="fr-CA"/>
              </w:rPr>
              <w:t xml:space="preserve">, L.Q. 1991, ch. 64, art. 1458, 1617; </w:t>
            </w:r>
            <w:r w:rsidRPr="00BC0F04">
              <w:rPr>
                <w:rFonts w:eastAsia="Calibri"/>
                <w:i/>
                <w:sz w:val="20"/>
                <w:lang w:val="fr-CA"/>
              </w:rPr>
              <w:t>Code de procédure civile</w:t>
            </w:r>
            <w:r w:rsidRPr="00BC0F04">
              <w:rPr>
                <w:rFonts w:eastAsia="Calibri"/>
                <w:sz w:val="20"/>
                <w:lang w:val="fr-CA"/>
              </w:rPr>
              <w:t>, L.R.Q. ch. C-25, art. 26.</w:t>
            </w:r>
          </w:p>
        </w:tc>
      </w:tr>
      <w:tr w:rsidR="00A072B4" w:rsidRPr="00BC0F04" w:rsidTr="00A47690">
        <w:tc>
          <w:tcPr>
            <w:tcW w:w="5000" w:type="pct"/>
            <w:gridSpan w:val="3"/>
          </w:tcPr>
          <w:p w:rsidR="00A072B4" w:rsidRPr="00BC0F04" w:rsidRDefault="00A072B4" w:rsidP="00A47690">
            <w:pPr>
              <w:jc w:val="both"/>
              <w:rPr>
                <w:rFonts w:eastAsia="Calibri"/>
                <w:sz w:val="20"/>
                <w:lang w:val="fr-CA"/>
              </w:rPr>
            </w:pPr>
          </w:p>
        </w:tc>
      </w:tr>
      <w:tr w:rsidR="00A072B4" w:rsidRPr="003513AE" w:rsidTr="00A47690">
        <w:tc>
          <w:tcPr>
            <w:tcW w:w="5000" w:type="pct"/>
            <w:gridSpan w:val="3"/>
          </w:tcPr>
          <w:p w:rsidR="00A072B4" w:rsidRPr="00BC0F04" w:rsidRDefault="00A072B4" w:rsidP="00A47690">
            <w:pPr>
              <w:jc w:val="both"/>
              <w:rPr>
                <w:rFonts w:eastAsia="Calibri"/>
                <w:sz w:val="20"/>
                <w:lang w:val="fr-CA"/>
              </w:rPr>
            </w:pPr>
            <w:r w:rsidRPr="00BC0F04">
              <w:rPr>
                <w:rFonts w:eastAsia="Calibri"/>
                <w:sz w:val="20"/>
                <w:lang w:val="fr-CA"/>
              </w:rPr>
              <w:t xml:space="preserve">Mme Hammerschmid, demanderesse et avocate, a agi au nom de Mme Nadon Corriveau, intimée, dans des procédures en matière familiale.  Le mandat de services professionnels a été signé le 12 mai 2011 et le 10 juin 2011, des factures totalisant 58 703,79 $ ont été adressées à l’intimée.  Le 7 juillet 2011, celle-ci signe d’ailleurs une reconnaissance de dette pour ce montant.  Le 2 mai 2012, Mme Hammerschmid entreprend des procédures judiciaires contre l’intimée.  Elle lui réclame une somme de 45 000 $ à titre de dommages-intérêts compensatoires et exemplaires.  Elle allègue que l’intimée refuse de payer le montant dû, ce qui lui entraîne un préjudice pécuniaire et psychologique.  Le 30 août 2012, la Cour du Québec homologue la reconnaissance de dette signée par l’intimée, déclare la somme due et exigible et ordonne que l’intérêt au taux légal ainsi que l’indemnité additionnelle prévue à l’art. 1619 C.c.Q. s’appliqueront. </w:t>
            </w:r>
          </w:p>
          <w:p w:rsidR="00A072B4" w:rsidRPr="00BC0F04" w:rsidRDefault="00A072B4" w:rsidP="00A47690">
            <w:pPr>
              <w:jc w:val="both"/>
              <w:rPr>
                <w:rFonts w:eastAsia="Calibri"/>
                <w:sz w:val="20"/>
                <w:lang w:val="fr-CA"/>
              </w:rPr>
            </w:pPr>
          </w:p>
          <w:p w:rsidR="00A072B4" w:rsidRPr="00BC0F04" w:rsidRDefault="00A072B4" w:rsidP="00A47690">
            <w:pPr>
              <w:jc w:val="both"/>
              <w:rPr>
                <w:rFonts w:eastAsia="Calibri"/>
                <w:sz w:val="20"/>
                <w:lang w:val="fr-CA"/>
              </w:rPr>
            </w:pPr>
            <w:r w:rsidRPr="00BC0F04">
              <w:rPr>
                <w:rFonts w:eastAsia="Calibri"/>
                <w:sz w:val="20"/>
                <w:lang w:val="fr-CA"/>
              </w:rPr>
              <w:t xml:space="preserve">Le 4 février 2013, la Cour du Québec rejette l’action de Mme Hammerschmid.  La juge Gouin estime que l’action est mal fondée, car, aux termes de l’art. 1617 C.c.Q., les dommages-intérêts résultant du retard dans l’exécution d’une obligation de payer une somme d’argent consistent dans l’intérêt.  Or, le jugement du 30 août 2012 contient déjà une conclusion en ce sens.  Devant le refus ou la négligence de son client de le payer pour les services rendus, le professionnel ne peut réclamer des dommages-intérêts pour compenser la valeur monétaire des démarches qu’il doit entreprendre pour se faire payer.  La juge St-Pierre de la Cour d’appel refuse la permission d’appeler. </w:t>
            </w:r>
          </w:p>
          <w:p w:rsidR="00A072B4" w:rsidRPr="00BC0F04" w:rsidRDefault="00A072B4" w:rsidP="00A47690">
            <w:pPr>
              <w:jc w:val="both"/>
              <w:rPr>
                <w:rFonts w:eastAsia="Calibri"/>
                <w:sz w:val="20"/>
                <w:lang w:val="fr-CA"/>
              </w:rPr>
            </w:pPr>
          </w:p>
        </w:tc>
      </w:tr>
      <w:tr w:rsidR="00A072B4" w:rsidRPr="00BC0F04" w:rsidTr="00A47690">
        <w:tc>
          <w:tcPr>
            <w:tcW w:w="2427" w:type="pct"/>
          </w:tcPr>
          <w:p w:rsidR="00A072B4" w:rsidRPr="00BC0F04" w:rsidRDefault="00A072B4" w:rsidP="00A47690">
            <w:pPr>
              <w:jc w:val="both"/>
              <w:rPr>
                <w:rFonts w:eastAsia="Calibri"/>
                <w:sz w:val="20"/>
                <w:lang w:val="fr-CA"/>
              </w:rPr>
            </w:pPr>
            <w:r w:rsidRPr="00BC0F04">
              <w:rPr>
                <w:rFonts w:eastAsia="Calibri"/>
                <w:sz w:val="20"/>
                <w:lang w:val="fr-CA"/>
              </w:rPr>
              <w:t>Le 4 février 2013</w:t>
            </w:r>
          </w:p>
          <w:p w:rsidR="00A072B4" w:rsidRPr="00BC0F04" w:rsidRDefault="00A072B4" w:rsidP="00A47690">
            <w:pPr>
              <w:jc w:val="both"/>
              <w:rPr>
                <w:rFonts w:eastAsia="Calibri"/>
                <w:sz w:val="20"/>
                <w:lang w:val="fr-CA"/>
              </w:rPr>
            </w:pPr>
            <w:r w:rsidRPr="00BC0F04">
              <w:rPr>
                <w:rFonts w:eastAsia="Calibri"/>
                <w:sz w:val="20"/>
                <w:lang w:val="fr-CA"/>
              </w:rPr>
              <w:t>Cour du Québec</w:t>
            </w:r>
          </w:p>
          <w:p w:rsidR="00A072B4" w:rsidRPr="00BC0F04" w:rsidRDefault="00A072B4" w:rsidP="00A47690">
            <w:pPr>
              <w:jc w:val="both"/>
              <w:rPr>
                <w:rFonts w:eastAsia="Calibri"/>
                <w:sz w:val="20"/>
                <w:lang w:val="fr-CA"/>
              </w:rPr>
            </w:pPr>
            <w:r w:rsidRPr="00BC0F04">
              <w:rPr>
                <w:rFonts w:eastAsia="Calibri"/>
                <w:sz w:val="20"/>
                <w:lang w:val="fr-CA"/>
              </w:rPr>
              <w:t>(La juge Gouin)</w:t>
            </w:r>
          </w:p>
          <w:p w:rsidR="00A072B4" w:rsidRPr="00BC0F04" w:rsidRDefault="003513AE" w:rsidP="00A47690">
            <w:pPr>
              <w:jc w:val="both"/>
              <w:rPr>
                <w:rFonts w:eastAsia="Calibri"/>
                <w:sz w:val="20"/>
                <w:lang w:val="fr-CA"/>
              </w:rPr>
            </w:pPr>
            <w:hyperlink r:id="rId27" w:history="1">
              <w:r w:rsidR="00A072B4" w:rsidRPr="00BC0F04">
                <w:rPr>
                  <w:rFonts w:eastAsia="Calibri"/>
                  <w:color w:val="0000FF"/>
                  <w:sz w:val="20"/>
                  <w:u w:val="single"/>
                  <w:lang w:val="fr-CA"/>
                </w:rPr>
                <w:t>2013 QCCQ 892</w:t>
              </w:r>
            </w:hyperlink>
          </w:p>
          <w:p w:rsidR="00A072B4" w:rsidRPr="00BC0F04" w:rsidRDefault="00A072B4" w:rsidP="00A47690">
            <w:pPr>
              <w:jc w:val="both"/>
              <w:rPr>
                <w:rFonts w:eastAsia="Calibri"/>
                <w:sz w:val="20"/>
              </w:rPr>
            </w:pP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lang w:val="fr-CA"/>
              </w:rPr>
            </w:pPr>
            <w:r w:rsidRPr="00BC0F04">
              <w:rPr>
                <w:rFonts w:eastAsia="Calibri"/>
                <w:sz w:val="20"/>
                <w:lang w:val="fr-CA"/>
              </w:rPr>
              <w:t>Action en responsabilité contractuelle rejetée</w:t>
            </w:r>
          </w:p>
          <w:p w:rsidR="00A072B4" w:rsidRPr="00BC0F04" w:rsidRDefault="00A072B4" w:rsidP="00A47690">
            <w:pPr>
              <w:jc w:val="both"/>
              <w:rPr>
                <w:rFonts w:eastAsia="Calibri"/>
                <w:sz w:val="20"/>
                <w:lang w:val="fr-CA"/>
              </w:rPr>
            </w:pPr>
          </w:p>
        </w:tc>
      </w:tr>
      <w:tr w:rsidR="00A072B4" w:rsidRPr="00BC0F04" w:rsidTr="00A47690">
        <w:tc>
          <w:tcPr>
            <w:tcW w:w="2427" w:type="pct"/>
          </w:tcPr>
          <w:p w:rsidR="00A072B4" w:rsidRPr="00BC0F04" w:rsidRDefault="00A072B4" w:rsidP="00A47690">
            <w:pPr>
              <w:jc w:val="both"/>
              <w:rPr>
                <w:rFonts w:eastAsia="Calibri"/>
                <w:sz w:val="20"/>
                <w:lang w:val="fr-CA"/>
              </w:rPr>
            </w:pPr>
            <w:r w:rsidRPr="00BC0F04">
              <w:rPr>
                <w:rFonts w:eastAsia="Calibri"/>
                <w:sz w:val="20"/>
                <w:lang w:val="fr-CA"/>
              </w:rPr>
              <w:t>Le 12 avril 2013</w:t>
            </w:r>
          </w:p>
          <w:p w:rsidR="00A072B4" w:rsidRPr="00BC0F04" w:rsidRDefault="00A072B4" w:rsidP="00A47690">
            <w:pPr>
              <w:jc w:val="both"/>
              <w:rPr>
                <w:rFonts w:eastAsia="Calibri"/>
                <w:sz w:val="20"/>
                <w:lang w:val="fr-CA"/>
              </w:rPr>
            </w:pPr>
            <w:r w:rsidRPr="00BC0F04">
              <w:rPr>
                <w:rFonts w:eastAsia="Calibri"/>
                <w:sz w:val="20"/>
                <w:lang w:val="fr-CA"/>
              </w:rPr>
              <w:t>Cour d’appel du Québec (Montréal)</w:t>
            </w:r>
          </w:p>
          <w:p w:rsidR="00A072B4" w:rsidRPr="00BC0F04" w:rsidRDefault="00A072B4" w:rsidP="00A47690">
            <w:pPr>
              <w:jc w:val="both"/>
              <w:rPr>
                <w:rFonts w:eastAsia="Calibri"/>
                <w:sz w:val="20"/>
                <w:lang w:val="fr-CA"/>
              </w:rPr>
            </w:pPr>
            <w:r w:rsidRPr="00BC0F04">
              <w:rPr>
                <w:rFonts w:eastAsia="Calibri"/>
                <w:sz w:val="20"/>
                <w:lang w:val="fr-CA"/>
              </w:rPr>
              <w:t>(La juge St-Pierre)</w:t>
            </w:r>
          </w:p>
          <w:p w:rsidR="00A072B4" w:rsidRPr="00BC0F04" w:rsidRDefault="00A072B4" w:rsidP="00A47690">
            <w:pPr>
              <w:jc w:val="both"/>
              <w:rPr>
                <w:rFonts w:eastAsia="Calibri"/>
                <w:sz w:val="20"/>
                <w:lang w:val="fr-CA"/>
              </w:rPr>
            </w:pPr>
            <w:r w:rsidRPr="00BC0F04">
              <w:rPr>
                <w:rFonts w:eastAsia="Calibri"/>
                <w:sz w:val="20"/>
                <w:lang w:val="fr-CA"/>
              </w:rPr>
              <w:t xml:space="preserve">500-09-023480-130; </w:t>
            </w:r>
            <w:hyperlink r:id="rId28" w:history="1">
              <w:r w:rsidRPr="00BC0F04">
                <w:rPr>
                  <w:rFonts w:eastAsia="Calibri"/>
                  <w:color w:val="0000FF"/>
                  <w:sz w:val="20"/>
                  <w:u w:val="single"/>
                  <w:lang w:val="fr-CA"/>
                </w:rPr>
                <w:t>2013 QCCA 648</w:t>
              </w:r>
            </w:hyperlink>
          </w:p>
          <w:p w:rsidR="00A072B4" w:rsidRPr="00BC0F04" w:rsidRDefault="00A072B4" w:rsidP="00A47690">
            <w:pPr>
              <w:jc w:val="both"/>
              <w:rPr>
                <w:rFonts w:eastAsia="Calibri"/>
                <w:sz w:val="20"/>
                <w:lang w:val="fr-CA"/>
              </w:rPr>
            </w:pPr>
          </w:p>
        </w:tc>
        <w:tc>
          <w:tcPr>
            <w:tcW w:w="243" w:type="pct"/>
          </w:tcPr>
          <w:p w:rsidR="00A072B4" w:rsidRPr="00BC0F04" w:rsidRDefault="00A072B4" w:rsidP="00A47690">
            <w:pPr>
              <w:jc w:val="both"/>
              <w:rPr>
                <w:rFonts w:eastAsia="Calibri"/>
                <w:sz w:val="20"/>
                <w:lang w:val="fr-CA"/>
              </w:rPr>
            </w:pPr>
          </w:p>
        </w:tc>
        <w:tc>
          <w:tcPr>
            <w:tcW w:w="2330" w:type="pct"/>
          </w:tcPr>
          <w:p w:rsidR="00A072B4" w:rsidRPr="00BC0F04" w:rsidRDefault="00A072B4" w:rsidP="00A47690">
            <w:pPr>
              <w:jc w:val="both"/>
              <w:rPr>
                <w:rFonts w:eastAsia="Calibri"/>
                <w:sz w:val="20"/>
                <w:lang w:val="fr-CA"/>
              </w:rPr>
            </w:pPr>
            <w:r w:rsidRPr="00BC0F04">
              <w:rPr>
                <w:rFonts w:eastAsia="Calibri"/>
                <w:sz w:val="20"/>
                <w:lang w:val="fr-CA"/>
              </w:rPr>
              <w:t>Requête pour permission d’appeler rejetée</w:t>
            </w:r>
          </w:p>
          <w:p w:rsidR="00A072B4" w:rsidRPr="00BC0F04" w:rsidRDefault="00A072B4" w:rsidP="00A47690">
            <w:pPr>
              <w:jc w:val="both"/>
              <w:rPr>
                <w:rFonts w:eastAsia="Calibri"/>
                <w:sz w:val="20"/>
                <w:lang w:val="fr-CA"/>
              </w:rPr>
            </w:pPr>
          </w:p>
        </w:tc>
      </w:tr>
      <w:tr w:rsidR="00A072B4" w:rsidRPr="00BC0F04" w:rsidTr="00A47690">
        <w:tc>
          <w:tcPr>
            <w:tcW w:w="2427" w:type="pct"/>
          </w:tcPr>
          <w:p w:rsidR="00A072B4" w:rsidRPr="00BC0F04" w:rsidRDefault="00A072B4" w:rsidP="00A47690">
            <w:pPr>
              <w:jc w:val="both"/>
              <w:rPr>
                <w:rFonts w:eastAsia="Calibri"/>
                <w:sz w:val="20"/>
                <w:lang w:val="fr-CA"/>
              </w:rPr>
            </w:pPr>
            <w:r w:rsidRPr="00BC0F04">
              <w:rPr>
                <w:rFonts w:eastAsia="Calibri"/>
                <w:sz w:val="20"/>
                <w:lang w:val="fr-CA"/>
              </w:rPr>
              <w:t>Le 11 juin 2013</w:t>
            </w:r>
          </w:p>
          <w:p w:rsidR="00A072B4" w:rsidRPr="00BC0F04" w:rsidRDefault="00A072B4" w:rsidP="00A47690">
            <w:pPr>
              <w:jc w:val="both"/>
              <w:rPr>
                <w:rFonts w:eastAsia="Calibri"/>
                <w:sz w:val="20"/>
                <w:lang w:val="fr-CA"/>
              </w:rPr>
            </w:pPr>
            <w:r w:rsidRPr="00BC0F04">
              <w:rPr>
                <w:rFonts w:eastAsia="Calibri"/>
                <w:sz w:val="20"/>
                <w:lang w:val="fr-CA"/>
              </w:rPr>
              <w:t>Cour suprême du Canada</w:t>
            </w:r>
          </w:p>
        </w:tc>
        <w:tc>
          <w:tcPr>
            <w:tcW w:w="243" w:type="pct"/>
          </w:tcPr>
          <w:p w:rsidR="00A072B4" w:rsidRPr="00BC0F04" w:rsidRDefault="00A072B4" w:rsidP="00A47690">
            <w:pPr>
              <w:jc w:val="both"/>
              <w:rPr>
                <w:rFonts w:eastAsia="Calibri"/>
                <w:sz w:val="20"/>
                <w:lang w:val="fr-CA"/>
              </w:rPr>
            </w:pPr>
          </w:p>
        </w:tc>
        <w:tc>
          <w:tcPr>
            <w:tcW w:w="2330" w:type="pct"/>
          </w:tcPr>
          <w:p w:rsidR="00A072B4" w:rsidRPr="00BC0F04" w:rsidRDefault="00A072B4" w:rsidP="00A47690">
            <w:pPr>
              <w:jc w:val="both"/>
              <w:rPr>
                <w:rFonts w:eastAsia="Calibri"/>
                <w:sz w:val="20"/>
                <w:lang w:val="fr-CA"/>
              </w:rPr>
            </w:pPr>
            <w:r w:rsidRPr="00BC0F04">
              <w:rPr>
                <w:rFonts w:eastAsia="Calibri"/>
                <w:sz w:val="20"/>
                <w:lang w:val="fr-CA"/>
              </w:rPr>
              <w:t>Demande d'autorisation d'appel déposée</w:t>
            </w:r>
          </w:p>
          <w:p w:rsidR="00A072B4" w:rsidRPr="00BC0F04" w:rsidRDefault="00A072B4" w:rsidP="00A47690">
            <w:pPr>
              <w:jc w:val="both"/>
              <w:rPr>
                <w:rFonts w:eastAsia="Calibri"/>
                <w:sz w:val="20"/>
                <w:lang w:val="fr-CA"/>
              </w:rPr>
            </w:pPr>
          </w:p>
        </w:tc>
      </w:tr>
    </w:tbl>
    <w:p w:rsidR="00642F12" w:rsidRDefault="00642F12" w:rsidP="000E2959">
      <w:pPr>
        <w:rPr>
          <w:sz w:val="20"/>
          <w:szCs w:val="20"/>
        </w:rPr>
      </w:pPr>
    </w:p>
    <w:p w:rsidR="00642F12" w:rsidRDefault="003513AE" w:rsidP="000E2959">
      <w:pPr>
        <w:rPr>
          <w:sz w:val="20"/>
          <w:szCs w:val="20"/>
        </w:rPr>
      </w:pPr>
      <w:r>
        <w:rPr>
          <w:sz w:val="20"/>
          <w:szCs w:val="20"/>
          <w:lang w:val="fr-CA"/>
        </w:rPr>
        <w:pict>
          <v:rect id="_x0000_i1041" style="width:2in;height:1pt" o:hrpct="0" o:hralign="center" o:hrstd="t" o:hrnoshade="t" o:hr="t" fillcolor="black [3213]" stroked="f"/>
        </w:pict>
      </w:r>
    </w:p>
    <w:p w:rsidR="00642F12" w:rsidRDefault="00642F12" w:rsidP="000E2959">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F1E74" w:rsidRPr="00EF1E74" w:rsidTr="008E2A8E">
        <w:trPr>
          <w:cantSplit/>
        </w:trPr>
        <w:tc>
          <w:tcPr>
            <w:tcW w:w="1458" w:type="dxa"/>
          </w:tcPr>
          <w:p w:rsidR="00EF1E74" w:rsidRPr="00EF1E74" w:rsidRDefault="00EF1E74" w:rsidP="00EF1E74">
            <w:pPr>
              <w:rPr>
                <w:sz w:val="20"/>
              </w:rPr>
            </w:pPr>
            <w:r w:rsidRPr="00EF1E74">
              <w:rPr>
                <w:b/>
                <w:sz w:val="20"/>
                <w:lang w:val="fr-CA"/>
              </w:rPr>
              <w:t>35413</w:t>
            </w:r>
          </w:p>
          <w:p w:rsidR="00EF1E74" w:rsidRPr="00EF1E74" w:rsidRDefault="00EF1E74" w:rsidP="00EF1E74">
            <w:pPr>
              <w:rPr>
                <w:b/>
                <w:sz w:val="20"/>
                <w:lang w:val="fr-CA"/>
              </w:rPr>
            </w:pPr>
          </w:p>
        </w:tc>
        <w:tc>
          <w:tcPr>
            <w:tcW w:w="8118" w:type="dxa"/>
          </w:tcPr>
          <w:p w:rsidR="00EF1E74" w:rsidRPr="00EF1E74" w:rsidRDefault="00EF1E74" w:rsidP="00EF1E74">
            <w:pPr>
              <w:rPr>
                <w:sz w:val="20"/>
              </w:rPr>
            </w:pPr>
            <w:r w:rsidRPr="00EF1E74">
              <w:rPr>
                <w:b/>
                <w:sz w:val="20"/>
                <w:u w:val="single"/>
              </w:rPr>
              <w:t>C.D. v. N.D.</w:t>
            </w:r>
            <w:r w:rsidRPr="00EF1E74">
              <w:rPr>
                <w:sz w:val="20"/>
              </w:rPr>
              <w:t xml:space="preserve"> (Que.) (Civil) (By Leave)</w:t>
            </w:r>
          </w:p>
          <w:p w:rsidR="00EF1E74" w:rsidRPr="00EF1E74" w:rsidRDefault="00EF1E74" w:rsidP="00EF1E74">
            <w:pPr>
              <w:rPr>
                <w:sz w:val="20"/>
              </w:rPr>
            </w:pPr>
          </w:p>
        </w:tc>
      </w:tr>
      <w:tr w:rsidR="00EF1E74" w:rsidRPr="00EF1E74" w:rsidTr="008E2A8E">
        <w:trPr>
          <w:cantSplit/>
        </w:trPr>
        <w:tc>
          <w:tcPr>
            <w:tcW w:w="1458" w:type="dxa"/>
          </w:tcPr>
          <w:p w:rsidR="00EF1E74" w:rsidRPr="00EF1E74" w:rsidRDefault="00EF1E74" w:rsidP="00EF1E74">
            <w:pPr>
              <w:rPr>
                <w:sz w:val="20"/>
              </w:rPr>
            </w:pPr>
            <w:r w:rsidRPr="00EF1E74">
              <w:rPr>
                <w:sz w:val="20"/>
              </w:rPr>
              <w:t>Coram :</w:t>
            </w:r>
          </w:p>
        </w:tc>
        <w:tc>
          <w:tcPr>
            <w:tcW w:w="8118" w:type="dxa"/>
          </w:tcPr>
          <w:p w:rsidR="00EF1E74" w:rsidRPr="00EF1E74" w:rsidRDefault="00EF1E74" w:rsidP="00EF1E74">
            <w:pPr>
              <w:rPr>
                <w:sz w:val="20"/>
              </w:rPr>
            </w:pPr>
            <w:r w:rsidRPr="00EF1E74">
              <w:rPr>
                <w:sz w:val="20"/>
                <w:u w:val="single"/>
              </w:rPr>
              <w:t>LeBel, Karakatsanis and Wagner JJ.</w:t>
            </w:r>
          </w:p>
          <w:p w:rsidR="00EF1E74" w:rsidRPr="00EF1E74" w:rsidRDefault="00EF1E74" w:rsidP="00EF1E74">
            <w:pPr>
              <w:rPr>
                <w:sz w:val="20"/>
                <w:u w:val="single"/>
              </w:rPr>
            </w:pPr>
          </w:p>
        </w:tc>
      </w:tr>
      <w:tr w:rsidR="00EF1E74" w:rsidRPr="003513AE" w:rsidTr="008E2A8E">
        <w:trPr>
          <w:cantSplit/>
        </w:trPr>
        <w:tc>
          <w:tcPr>
            <w:tcW w:w="9576" w:type="dxa"/>
            <w:gridSpan w:val="2"/>
          </w:tcPr>
          <w:p w:rsidR="00EF1E74" w:rsidRPr="00EF1E74" w:rsidRDefault="00EF1E74" w:rsidP="00EF1E74">
            <w:pPr>
              <w:ind w:firstLine="720"/>
              <w:jc w:val="both"/>
              <w:rPr>
                <w:sz w:val="20"/>
              </w:rPr>
            </w:pPr>
            <w:r w:rsidRPr="00EF1E74">
              <w:rPr>
                <w:sz w:val="20"/>
              </w:rPr>
              <w:lastRenderedPageBreak/>
              <w:t>The application for leave to appeal from the judgment of the Court of Appeal of Quebec (Montréal), Number 500-09-023141-120, 2013 QCCA 719, dated April 19, 2013, is dismissed with costs.</w:t>
            </w:r>
          </w:p>
          <w:p w:rsidR="00EF1E74" w:rsidRPr="00EF1E74" w:rsidRDefault="00EF1E74" w:rsidP="00EF1E74">
            <w:pPr>
              <w:jc w:val="both"/>
              <w:rPr>
                <w:sz w:val="20"/>
              </w:rPr>
            </w:pPr>
          </w:p>
          <w:p w:rsidR="00EF1E74" w:rsidRPr="00EF1E74" w:rsidRDefault="00EF1E74" w:rsidP="00EF1E74">
            <w:pPr>
              <w:ind w:firstLine="720"/>
              <w:jc w:val="both"/>
              <w:rPr>
                <w:sz w:val="20"/>
                <w:lang w:val="fr-CA"/>
              </w:rPr>
            </w:pPr>
            <w:r w:rsidRPr="00EF1E74">
              <w:rPr>
                <w:sz w:val="20"/>
                <w:lang w:val="fr-CA"/>
              </w:rPr>
              <w:t>La demande d’autorisation d’appel de l’arrêt de la Cour d’appel du Québec (Montréal), numéro 500-09-023141-120, 2013 QCCA 719, daté du 19 avril 2013, est rejetée avec dépens.</w:t>
            </w:r>
          </w:p>
        </w:tc>
      </w:tr>
    </w:tbl>
    <w:p w:rsidR="00642F12" w:rsidRPr="00EF1E74" w:rsidRDefault="00642F12" w:rsidP="00642F12">
      <w:pPr>
        <w:rPr>
          <w:sz w:val="20"/>
          <w:szCs w:val="20"/>
          <w:lang w:val="fr-CA"/>
        </w:rPr>
      </w:pPr>
    </w:p>
    <w:p w:rsidR="00642F12" w:rsidRPr="001B157C" w:rsidRDefault="00642F12" w:rsidP="00642F12">
      <w:pPr>
        <w:rPr>
          <w:sz w:val="20"/>
          <w:szCs w:val="20"/>
          <w:u w:val="single"/>
        </w:rPr>
      </w:pPr>
      <w:r w:rsidRPr="001B157C">
        <w:rPr>
          <w:sz w:val="20"/>
          <w:szCs w:val="20"/>
          <w:u w:val="single"/>
        </w:rPr>
        <w:t>CASE SUMMARY</w:t>
      </w:r>
    </w:p>
    <w:p w:rsidR="00642F12" w:rsidRDefault="00642F12" w:rsidP="00642F1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72B4" w:rsidRPr="00BC0F04" w:rsidTr="00A47690">
        <w:tc>
          <w:tcPr>
            <w:tcW w:w="5000" w:type="pct"/>
            <w:gridSpan w:val="3"/>
          </w:tcPr>
          <w:p w:rsidR="00A072B4" w:rsidRPr="00BC0F04" w:rsidRDefault="00A072B4" w:rsidP="00A47690">
            <w:pPr>
              <w:jc w:val="both"/>
              <w:rPr>
                <w:rFonts w:eastAsia="Calibri"/>
                <w:smallCaps/>
                <w:sz w:val="20"/>
              </w:rPr>
            </w:pPr>
            <w:r w:rsidRPr="00BC0F04">
              <w:rPr>
                <w:rFonts w:eastAsia="Calibri"/>
                <w:smallCaps/>
                <w:sz w:val="20"/>
              </w:rPr>
              <w:t>(Publication Ban in Case) (Publication Ban on Party)</w:t>
            </w:r>
          </w:p>
          <w:p w:rsidR="00A072B4" w:rsidRPr="00BC0F04" w:rsidRDefault="00A072B4" w:rsidP="00A47690">
            <w:pPr>
              <w:jc w:val="both"/>
              <w:rPr>
                <w:rFonts w:eastAsia="Calibri"/>
                <w:sz w:val="20"/>
              </w:rPr>
            </w:pPr>
          </w:p>
        </w:tc>
      </w:tr>
      <w:tr w:rsidR="00A072B4" w:rsidRPr="00BC0F04" w:rsidTr="00A47690">
        <w:tc>
          <w:tcPr>
            <w:tcW w:w="5000" w:type="pct"/>
            <w:gridSpan w:val="3"/>
          </w:tcPr>
          <w:p w:rsidR="00A072B4" w:rsidRPr="00BC0F04" w:rsidRDefault="00A072B4" w:rsidP="00A47690">
            <w:pPr>
              <w:jc w:val="both"/>
              <w:rPr>
                <w:rFonts w:eastAsia="Calibri"/>
                <w:sz w:val="20"/>
              </w:rPr>
            </w:pPr>
            <w:r w:rsidRPr="00BC0F04">
              <w:rPr>
                <w:rFonts w:eastAsia="Calibri"/>
                <w:sz w:val="20"/>
              </w:rPr>
              <w:t>Family law – Divorce – Corollary relief – Whether courts below erred in refusing to award compensatory lump sum or in determining appropriate amount of support for former spouse and for children.</w:t>
            </w:r>
          </w:p>
        </w:tc>
      </w:tr>
      <w:tr w:rsidR="00A072B4" w:rsidRPr="00BC0F04" w:rsidTr="00A47690">
        <w:tc>
          <w:tcPr>
            <w:tcW w:w="5000" w:type="pct"/>
            <w:gridSpan w:val="3"/>
          </w:tcPr>
          <w:p w:rsidR="00A072B4" w:rsidRPr="00BC0F04" w:rsidRDefault="00A072B4" w:rsidP="00A47690">
            <w:pPr>
              <w:jc w:val="both"/>
              <w:rPr>
                <w:rFonts w:eastAsia="Calibri"/>
                <w:sz w:val="20"/>
              </w:rPr>
            </w:pPr>
          </w:p>
          <w:p w:rsidR="00A072B4" w:rsidRPr="00BC0F04" w:rsidRDefault="00A072B4" w:rsidP="00A47690">
            <w:pPr>
              <w:jc w:val="both"/>
              <w:rPr>
                <w:rFonts w:eastAsia="Calibri"/>
                <w:sz w:val="20"/>
              </w:rPr>
            </w:pPr>
            <w:r w:rsidRPr="00BC0F04">
              <w:rPr>
                <w:rFonts w:eastAsia="Calibri"/>
                <w:sz w:val="20"/>
              </w:rPr>
              <w:t xml:space="preserve">In 1992, the parties were married under the regime of separation as to property.  At the time of the marriage, the respondent worked as an engineer and the applicant as a manager.  The couple’s children were born in 1999, 2001 and 2005.  In January 2005, the applicant voluntarily left her job in the context of a reorganization and then set about changing careers, including by returning to school.  The couple separated in October 2007 and divorce proceedings were served in July 2008.  As provisional measures, a judgment provided for gradual shared custody and awarded support for the children and the applicant. </w:t>
            </w:r>
          </w:p>
          <w:p w:rsidR="00A072B4" w:rsidRPr="00BC0F04" w:rsidRDefault="00A072B4" w:rsidP="00A47690">
            <w:pPr>
              <w:jc w:val="both"/>
              <w:rPr>
                <w:rFonts w:eastAsia="Calibri"/>
                <w:sz w:val="20"/>
              </w:rPr>
            </w:pPr>
          </w:p>
          <w:p w:rsidR="00A072B4" w:rsidRPr="00BC0F04" w:rsidRDefault="00A072B4" w:rsidP="00A47690">
            <w:pPr>
              <w:jc w:val="both"/>
              <w:rPr>
                <w:rFonts w:eastAsia="Calibri"/>
                <w:sz w:val="20"/>
              </w:rPr>
            </w:pPr>
            <w:r w:rsidRPr="00BC0F04">
              <w:rPr>
                <w:rFonts w:eastAsia="Calibri"/>
                <w:sz w:val="20"/>
              </w:rPr>
              <w:t>The divorce judgment was rendered on October 31, 2012.  At the time, the applicant was 45 years old and the respondent was 46.  The applicant was still studying to become a psychotherapist and was not expected to finish until 2016.  The parties had both amassed capital during the marriage, but there was still a disparity in this regard. The Superior Court confirmed an agreement between the parties concerning the partition of the family patrimony and the payment of certain special expenses, refused to award the applicant a compensatory lump sum or compensatory allowance, ordered the respondent to pay the applicant a lump sum of $36,000 as support, granted a provision for costs and set child support at $837.52 a month.  The Court of Appeal dismissed the applicant’s appeal.</w:t>
            </w:r>
          </w:p>
          <w:p w:rsidR="00A072B4" w:rsidRPr="00BC0F04" w:rsidRDefault="00A072B4" w:rsidP="00A47690">
            <w:pPr>
              <w:jc w:val="both"/>
              <w:rPr>
                <w:rFonts w:eastAsia="Calibri"/>
                <w:sz w:val="20"/>
              </w:rPr>
            </w:pPr>
          </w:p>
        </w:tc>
      </w:tr>
      <w:tr w:rsidR="00A072B4" w:rsidRPr="00BC0F04" w:rsidTr="00A47690">
        <w:tc>
          <w:tcPr>
            <w:tcW w:w="2427" w:type="pct"/>
          </w:tcPr>
          <w:p w:rsidR="00A072B4" w:rsidRPr="00BC0F04" w:rsidRDefault="00A072B4" w:rsidP="00A47690">
            <w:pPr>
              <w:jc w:val="both"/>
              <w:rPr>
                <w:rFonts w:eastAsia="Calibri"/>
                <w:sz w:val="20"/>
              </w:rPr>
            </w:pPr>
            <w:r w:rsidRPr="00BC0F04">
              <w:rPr>
                <w:rFonts w:eastAsia="Calibri"/>
                <w:sz w:val="20"/>
              </w:rPr>
              <w:t>October 31, 2012</w:t>
            </w:r>
          </w:p>
          <w:p w:rsidR="00A072B4" w:rsidRPr="00BC0F04" w:rsidRDefault="00A072B4" w:rsidP="00A47690">
            <w:pPr>
              <w:jc w:val="both"/>
              <w:rPr>
                <w:rFonts w:eastAsia="Calibri"/>
                <w:sz w:val="20"/>
              </w:rPr>
            </w:pPr>
            <w:r w:rsidRPr="00BC0F04">
              <w:rPr>
                <w:rFonts w:eastAsia="Calibri"/>
                <w:sz w:val="20"/>
              </w:rPr>
              <w:t>Quebec Superior Court</w:t>
            </w:r>
          </w:p>
          <w:p w:rsidR="00A072B4" w:rsidRPr="00BC0F04" w:rsidRDefault="00A072B4" w:rsidP="00A47690">
            <w:pPr>
              <w:jc w:val="both"/>
              <w:rPr>
                <w:rFonts w:eastAsia="Calibri"/>
                <w:sz w:val="20"/>
              </w:rPr>
            </w:pPr>
            <w:r w:rsidRPr="00BC0F04">
              <w:rPr>
                <w:rFonts w:eastAsia="Calibri"/>
                <w:sz w:val="20"/>
              </w:rPr>
              <w:t>(Picard J.)</w:t>
            </w:r>
          </w:p>
          <w:p w:rsidR="00A072B4" w:rsidRPr="00BC0F04" w:rsidRDefault="003513AE" w:rsidP="00A47690">
            <w:pPr>
              <w:jc w:val="both"/>
              <w:rPr>
                <w:rFonts w:eastAsia="Calibri"/>
                <w:sz w:val="20"/>
              </w:rPr>
            </w:pPr>
            <w:hyperlink r:id="rId29" w:history="1">
              <w:r w:rsidR="00A072B4" w:rsidRPr="00BC0F04">
                <w:rPr>
                  <w:rFonts w:eastAsia="Calibri"/>
                  <w:color w:val="0000FF"/>
                  <w:sz w:val="20"/>
                  <w:u w:val="single"/>
                </w:rPr>
                <w:t>2012 QCCS 5591</w:t>
              </w:r>
            </w:hyperlink>
          </w:p>
          <w:p w:rsidR="00A072B4" w:rsidRPr="00BC0F04" w:rsidRDefault="00A072B4" w:rsidP="00A47690">
            <w:pPr>
              <w:jc w:val="both"/>
              <w:rPr>
                <w:rFonts w:eastAsia="Calibri"/>
                <w:sz w:val="20"/>
              </w:rPr>
            </w:pP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rPr>
            </w:pPr>
            <w:r w:rsidRPr="00BC0F04">
              <w:rPr>
                <w:rFonts w:eastAsia="Calibri"/>
                <w:sz w:val="20"/>
              </w:rPr>
              <w:t xml:space="preserve">Divorce action allowed; claims for compensatory allowance and compensatory lump sum dismissed; applications for support and provision for costs allowed in part </w:t>
            </w:r>
          </w:p>
          <w:p w:rsidR="00A072B4" w:rsidRPr="00BC0F04" w:rsidRDefault="00A072B4" w:rsidP="00A47690">
            <w:pPr>
              <w:jc w:val="both"/>
              <w:rPr>
                <w:rFonts w:eastAsia="Calibri"/>
                <w:sz w:val="20"/>
              </w:rPr>
            </w:pPr>
          </w:p>
        </w:tc>
      </w:tr>
      <w:tr w:rsidR="00A072B4" w:rsidRPr="00BC0F04" w:rsidTr="00A47690">
        <w:tc>
          <w:tcPr>
            <w:tcW w:w="2427" w:type="pct"/>
          </w:tcPr>
          <w:p w:rsidR="00A072B4" w:rsidRPr="00BC0F04" w:rsidRDefault="00A072B4" w:rsidP="00A47690">
            <w:pPr>
              <w:jc w:val="both"/>
              <w:rPr>
                <w:rFonts w:eastAsia="Calibri"/>
                <w:sz w:val="20"/>
              </w:rPr>
            </w:pPr>
            <w:r w:rsidRPr="00BC0F04">
              <w:rPr>
                <w:rFonts w:eastAsia="Calibri"/>
                <w:sz w:val="20"/>
              </w:rPr>
              <w:t>April 19, 2013</w:t>
            </w:r>
          </w:p>
          <w:p w:rsidR="00A072B4" w:rsidRPr="00BC0F04" w:rsidRDefault="00A072B4" w:rsidP="00A47690">
            <w:pPr>
              <w:jc w:val="both"/>
              <w:rPr>
                <w:rFonts w:eastAsia="Calibri"/>
                <w:sz w:val="20"/>
              </w:rPr>
            </w:pPr>
            <w:r w:rsidRPr="00BC0F04">
              <w:rPr>
                <w:rFonts w:eastAsia="Calibri"/>
                <w:sz w:val="20"/>
              </w:rPr>
              <w:t>Quebec Court of Appeal (Montréal)</w:t>
            </w:r>
          </w:p>
          <w:p w:rsidR="00A072B4" w:rsidRPr="00BC0F04" w:rsidRDefault="00A072B4" w:rsidP="00A47690">
            <w:pPr>
              <w:jc w:val="both"/>
              <w:rPr>
                <w:rFonts w:eastAsia="Calibri"/>
                <w:sz w:val="20"/>
              </w:rPr>
            </w:pPr>
            <w:r w:rsidRPr="00BC0F04">
              <w:rPr>
                <w:rFonts w:eastAsia="Calibri"/>
                <w:sz w:val="20"/>
              </w:rPr>
              <w:t>(Fournier, St-Pierre and Viens JJ.A.)</w:t>
            </w:r>
          </w:p>
          <w:p w:rsidR="00A072B4" w:rsidRPr="00BC0F04" w:rsidRDefault="003513AE" w:rsidP="00A47690">
            <w:pPr>
              <w:jc w:val="both"/>
              <w:rPr>
                <w:rFonts w:eastAsia="Calibri"/>
                <w:sz w:val="20"/>
              </w:rPr>
            </w:pPr>
            <w:hyperlink r:id="rId30" w:history="1">
              <w:r w:rsidR="00A072B4" w:rsidRPr="00BC0F04">
                <w:rPr>
                  <w:rFonts w:eastAsia="Calibri"/>
                  <w:color w:val="0000FF"/>
                  <w:sz w:val="20"/>
                  <w:u w:val="single"/>
                </w:rPr>
                <w:t>2013 QCCA 719</w:t>
              </w:r>
            </w:hyperlink>
            <w:r w:rsidR="00A072B4" w:rsidRPr="00BC0F04">
              <w:rPr>
                <w:rFonts w:eastAsia="Calibri"/>
                <w:sz w:val="20"/>
              </w:rPr>
              <w:t>; 500-09-023141-120</w:t>
            </w:r>
          </w:p>
          <w:p w:rsidR="00A072B4" w:rsidRPr="00BC0F04" w:rsidRDefault="00A072B4" w:rsidP="00A47690">
            <w:pPr>
              <w:jc w:val="both"/>
              <w:rPr>
                <w:rFonts w:eastAsia="Calibri"/>
                <w:sz w:val="20"/>
              </w:rPr>
            </w:pP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rPr>
            </w:pPr>
            <w:r w:rsidRPr="00BC0F04">
              <w:rPr>
                <w:rFonts w:eastAsia="Calibri"/>
                <w:sz w:val="20"/>
              </w:rPr>
              <w:t>Appeal dismissed</w:t>
            </w:r>
          </w:p>
          <w:p w:rsidR="00A072B4" w:rsidRPr="00BC0F04" w:rsidRDefault="00A072B4" w:rsidP="00A47690">
            <w:pPr>
              <w:jc w:val="both"/>
              <w:rPr>
                <w:rFonts w:eastAsia="Calibri"/>
                <w:sz w:val="20"/>
              </w:rPr>
            </w:pPr>
          </w:p>
        </w:tc>
      </w:tr>
      <w:tr w:rsidR="00A072B4" w:rsidRPr="00BC0F04" w:rsidTr="00A47690">
        <w:tc>
          <w:tcPr>
            <w:tcW w:w="2427" w:type="pct"/>
          </w:tcPr>
          <w:p w:rsidR="00A072B4" w:rsidRPr="00BC0F04" w:rsidRDefault="00A072B4" w:rsidP="00A47690">
            <w:pPr>
              <w:jc w:val="both"/>
              <w:rPr>
                <w:rFonts w:eastAsia="Calibri"/>
                <w:sz w:val="20"/>
              </w:rPr>
            </w:pPr>
            <w:r w:rsidRPr="00BC0F04">
              <w:rPr>
                <w:rFonts w:eastAsia="Calibri"/>
                <w:sz w:val="20"/>
              </w:rPr>
              <w:t>June 12, 2013</w:t>
            </w:r>
          </w:p>
          <w:p w:rsidR="00A072B4" w:rsidRPr="00BC0F04" w:rsidRDefault="00A072B4" w:rsidP="00A47690">
            <w:pPr>
              <w:jc w:val="both"/>
              <w:rPr>
                <w:rFonts w:eastAsia="Calibri"/>
                <w:sz w:val="20"/>
              </w:rPr>
            </w:pPr>
            <w:r w:rsidRPr="00BC0F04">
              <w:rPr>
                <w:rFonts w:eastAsia="Calibri"/>
                <w:sz w:val="20"/>
              </w:rPr>
              <w:t>Supreme Court of Canada</w:t>
            </w: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rPr>
            </w:pPr>
            <w:r w:rsidRPr="00BC0F04">
              <w:rPr>
                <w:rFonts w:eastAsia="Calibri"/>
                <w:sz w:val="20"/>
              </w:rPr>
              <w:t>Application for leave to appeal filed</w:t>
            </w:r>
          </w:p>
          <w:p w:rsidR="00A072B4" w:rsidRPr="00BC0F04" w:rsidRDefault="00A072B4" w:rsidP="00A47690">
            <w:pPr>
              <w:jc w:val="both"/>
              <w:rPr>
                <w:rFonts w:eastAsia="Calibri"/>
                <w:sz w:val="20"/>
              </w:rPr>
            </w:pPr>
          </w:p>
        </w:tc>
      </w:tr>
    </w:tbl>
    <w:p w:rsidR="00642F12" w:rsidRDefault="00642F12" w:rsidP="00642F12">
      <w:pPr>
        <w:rPr>
          <w:sz w:val="20"/>
          <w:szCs w:val="20"/>
        </w:rPr>
      </w:pPr>
    </w:p>
    <w:p w:rsidR="00642F12" w:rsidRDefault="003513AE" w:rsidP="00642F12">
      <w:pPr>
        <w:rPr>
          <w:sz w:val="20"/>
          <w:szCs w:val="20"/>
        </w:rPr>
      </w:pPr>
      <w:r>
        <w:rPr>
          <w:sz w:val="20"/>
          <w:szCs w:val="20"/>
          <w:lang w:val="fr-CA"/>
        </w:rPr>
        <w:pict>
          <v:rect id="_x0000_i1042" style="width:2in;height:1pt" o:hrpct="0" o:hralign="center" o:hrstd="t" o:hrnoshade="t" o:hr="t" fillcolor="black [3213]" stroked="f"/>
        </w:pict>
      </w:r>
    </w:p>
    <w:p w:rsidR="00642F12" w:rsidRDefault="00642F12" w:rsidP="00642F12">
      <w:pPr>
        <w:rPr>
          <w:sz w:val="20"/>
          <w:szCs w:val="20"/>
        </w:rPr>
      </w:pPr>
    </w:p>
    <w:p w:rsidR="00642F12" w:rsidRPr="001B157C" w:rsidRDefault="00642F12" w:rsidP="00642F12">
      <w:pPr>
        <w:rPr>
          <w:sz w:val="20"/>
          <w:szCs w:val="20"/>
          <w:u w:val="single"/>
          <w:lang w:val="fr-CA"/>
        </w:rPr>
      </w:pPr>
      <w:r w:rsidRPr="001B157C">
        <w:rPr>
          <w:sz w:val="20"/>
          <w:szCs w:val="20"/>
          <w:u w:val="single"/>
          <w:lang w:val="fr-CA"/>
        </w:rPr>
        <w:t>RÉSUMÉ DE L’AFFAIRE</w:t>
      </w:r>
    </w:p>
    <w:p w:rsidR="00642F12" w:rsidRDefault="00642F12" w:rsidP="00642F1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72B4" w:rsidRPr="003513AE" w:rsidTr="00A47690">
        <w:tc>
          <w:tcPr>
            <w:tcW w:w="5000" w:type="pct"/>
            <w:gridSpan w:val="3"/>
          </w:tcPr>
          <w:p w:rsidR="00A072B4" w:rsidRPr="00BC0F04" w:rsidRDefault="00A072B4" w:rsidP="00A47690">
            <w:pPr>
              <w:jc w:val="both"/>
              <w:rPr>
                <w:rFonts w:eastAsia="Calibri"/>
                <w:smallCaps/>
                <w:sz w:val="20"/>
                <w:lang w:val="fr-CA"/>
              </w:rPr>
            </w:pPr>
            <w:r w:rsidRPr="00BC0F04">
              <w:rPr>
                <w:rFonts w:eastAsia="Calibri"/>
                <w:smallCaps/>
                <w:sz w:val="20"/>
                <w:lang w:val="fr-CA"/>
              </w:rPr>
              <w:t>(Ordonnance de non-publication dans le dossier) (Ordonnance de non-publication visant une partie)</w:t>
            </w:r>
          </w:p>
          <w:p w:rsidR="00A072B4" w:rsidRPr="00BC0F04" w:rsidRDefault="00A072B4" w:rsidP="00A47690">
            <w:pPr>
              <w:jc w:val="both"/>
              <w:rPr>
                <w:rFonts w:eastAsia="Calibri"/>
                <w:sz w:val="20"/>
                <w:lang w:val="fr-CA"/>
              </w:rPr>
            </w:pPr>
          </w:p>
        </w:tc>
      </w:tr>
      <w:tr w:rsidR="00A072B4" w:rsidRPr="003513AE" w:rsidTr="00A47690">
        <w:tc>
          <w:tcPr>
            <w:tcW w:w="5000" w:type="pct"/>
            <w:gridSpan w:val="3"/>
          </w:tcPr>
          <w:p w:rsidR="00A072B4" w:rsidRPr="00BC0F04" w:rsidRDefault="00A072B4" w:rsidP="00A47690">
            <w:pPr>
              <w:jc w:val="both"/>
              <w:rPr>
                <w:rFonts w:eastAsia="Calibri"/>
                <w:sz w:val="20"/>
                <w:lang w:val="fr-CA"/>
              </w:rPr>
            </w:pPr>
            <w:r w:rsidRPr="00BC0F04">
              <w:rPr>
                <w:rFonts w:eastAsia="Calibri"/>
                <w:sz w:val="20"/>
                <w:lang w:val="fr-CA"/>
              </w:rPr>
              <w:t xml:space="preserve">Droit de la famille – Divorce – Mesures accessoires – Les tribunaux des instances inférieures ont-ils commis une erreur en refusant d’accorder une somme globale compensatoire ou en déterminant le montant approprié au titre des </w:t>
            </w:r>
            <w:r w:rsidRPr="00BC0F04">
              <w:rPr>
                <w:rFonts w:eastAsia="Calibri"/>
                <w:sz w:val="20"/>
                <w:lang w:val="fr-CA"/>
              </w:rPr>
              <w:lastRenderedPageBreak/>
              <w:t>pensions alimentaires pour l’ex-conjointe et pour les enfants?</w:t>
            </w:r>
          </w:p>
        </w:tc>
      </w:tr>
      <w:tr w:rsidR="00A072B4" w:rsidRPr="00BC0F04" w:rsidTr="00A47690">
        <w:tc>
          <w:tcPr>
            <w:tcW w:w="5000" w:type="pct"/>
            <w:gridSpan w:val="3"/>
          </w:tcPr>
          <w:p w:rsidR="00A072B4" w:rsidRPr="00BC0F04" w:rsidRDefault="00A072B4" w:rsidP="00A47690">
            <w:pPr>
              <w:jc w:val="both"/>
              <w:rPr>
                <w:rFonts w:eastAsia="Calibri"/>
                <w:sz w:val="20"/>
                <w:lang w:val="fr-CA"/>
              </w:rPr>
            </w:pPr>
          </w:p>
          <w:p w:rsidR="00A072B4" w:rsidRPr="00BC0F04" w:rsidRDefault="00A072B4" w:rsidP="00A47690">
            <w:pPr>
              <w:jc w:val="both"/>
              <w:rPr>
                <w:rFonts w:eastAsia="Calibri"/>
                <w:sz w:val="20"/>
                <w:lang w:val="fr-CA"/>
              </w:rPr>
            </w:pPr>
            <w:r w:rsidRPr="00BC0F04">
              <w:rPr>
                <w:rFonts w:eastAsia="Calibri"/>
                <w:sz w:val="20"/>
                <w:lang w:val="fr-CA"/>
              </w:rPr>
              <w:t xml:space="preserve">En 1992, les parties se marient sous le régime de la séparation des biens.  Au moment du mariage, l’intimé travaille comme ingénieur et la demanderesse, comme gestionnaire.  Les enfants du couple naissent en 1999, 2001 et 2005.  En janvier 2005, la demanderesse quitte volontairement son emploi dans le cadre d’une réorganisation puis entreprend de réorienter sa carrière, notamment en retournant aux études.  En octobre 2007, le couple se sépare, et les procédures de divorce sont signifiées en juillet 2008.  À titre de mesures provisoires, un jugement prévoit une garde partagée graduelle et accorde une pension alimentaire pour les enfants et pour la demanderesse. </w:t>
            </w:r>
          </w:p>
          <w:p w:rsidR="00A072B4" w:rsidRPr="00BC0F04" w:rsidRDefault="00A072B4" w:rsidP="00A47690">
            <w:pPr>
              <w:jc w:val="both"/>
              <w:rPr>
                <w:rFonts w:eastAsia="Calibri"/>
                <w:sz w:val="20"/>
                <w:lang w:val="fr-CA"/>
              </w:rPr>
            </w:pPr>
          </w:p>
          <w:p w:rsidR="00A072B4" w:rsidRPr="00BC0F04" w:rsidRDefault="00A072B4" w:rsidP="00A47690">
            <w:pPr>
              <w:jc w:val="both"/>
              <w:rPr>
                <w:rFonts w:eastAsia="Calibri"/>
                <w:sz w:val="20"/>
                <w:lang w:val="fr-CA"/>
              </w:rPr>
            </w:pPr>
            <w:r w:rsidRPr="00BC0F04">
              <w:rPr>
                <w:rFonts w:eastAsia="Calibri"/>
                <w:sz w:val="20"/>
                <w:lang w:val="fr-CA"/>
              </w:rPr>
              <w:t xml:space="preserve">Le jugement de divorce est prononcé le 31 octobre 2012.  La demanderesse est alors âgée de 45 ans et l’intimé, de 46 ans. La demanderesse est toujours aux études pour devenir psychothérapeute, et il est à prévoir qu’elle ne terminera pas avant 2016.  Les parties ont toutes deux amassé du capital durant le mariage, mais il existe quand même une disparité à cet égard. </w:t>
            </w:r>
          </w:p>
          <w:p w:rsidR="00A072B4" w:rsidRPr="00BC0F04" w:rsidRDefault="00A072B4" w:rsidP="00A47690">
            <w:pPr>
              <w:jc w:val="both"/>
              <w:rPr>
                <w:rFonts w:eastAsia="Calibri"/>
                <w:sz w:val="20"/>
                <w:lang w:val="fr-CA"/>
              </w:rPr>
            </w:pPr>
            <w:r w:rsidRPr="00BC0F04">
              <w:rPr>
                <w:rFonts w:eastAsia="Calibri"/>
                <w:sz w:val="20"/>
                <w:lang w:val="fr-CA"/>
              </w:rPr>
              <w:t>La Cour supérieure entérine une entente des parties quant au partage du patrimoine familial et au paiement de certains frais particuliers, refuse d’octroyer à la demanderesse une somme globale compensatoire ou une prestation compensatoire, ordonne à l’intimé de payer à la demanderesse une somme forfaitaire de 36 000 $ à titre de pension alimentaire et accorde une provision pour frais et fixe la pension alimentaire des enfants à 837,52 $ par mois.  La Cour d’appel rejette l’appel de la demanderesse.</w:t>
            </w:r>
          </w:p>
          <w:p w:rsidR="00A072B4" w:rsidRPr="00BC0F04" w:rsidRDefault="00A072B4" w:rsidP="00A47690">
            <w:pPr>
              <w:jc w:val="both"/>
              <w:rPr>
                <w:rFonts w:eastAsia="Calibri"/>
                <w:sz w:val="20"/>
                <w:lang w:val="fr-CA"/>
              </w:rPr>
            </w:pPr>
          </w:p>
        </w:tc>
      </w:tr>
      <w:tr w:rsidR="00A072B4" w:rsidRPr="003513AE" w:rsidTr="00A47690">
        <w:tc>
          <w:tcPr>
            <w:tcW w:w="2427" w:type="pct"/>
          </w:tcPr>
          <w:p w:rsidR="00A072B4" w:rsidRPr="00BC0F04" w:rsidRDefault="00A072B4" w:rsidP="00A47690">
            <w:pPr>
              <w:jc w:val="both"/>
              <w:rPr>
                <w:rFonts w:eastAsia="Calibri"/>
                <w:sz w:val="20"/>
                <w:lang w:val="fr-CA"/>
              </w:rPr>
            </w:pPr>
            <w:r w:rsidRPr="00BC0F04">
              <w:rPr>
                <w:rFonts w:eastAsia="Calibri"/>
                <w:sz w:val="20"/>
                <w:lang w:val="fr-CA"/>
              </w:rPr>
              <w:t>Le 31 octobre 2012</w:t>
            </w:r>
          </w:p>
          <w:p w:rsidR="00A072B4" w:rsidRPr="00BC0F04" w:rsidRDefault="00A072B4" w:rsidP="00A47690">
            <w:pPr>
              <w:jc w:val="both"/>
              <w:rPr>
                <w:rFonts w:eastAsia="Calibri"/>
                <w:sz w:val="20"/>
                <w:lang w:val="fr-CA"/>
              </w:rPr>
            </w:pPr>
            <w:r w:rsidRPr="00BC0F04">
              <w:rPr>
                <w:rFonts w:eastAsia="Calibri"/>
                <w:sz w:val="20"/>
                <w:lang w:val="fr-CA"/>
              </w:rPr>
              <w:t>Cour supérieure du Québec</w:t>
            </w:r>
          </w:p>
          <w:p w:rsidR="00A072B4" w:rsidRPr="00BC0F04" w:rsidRDefault="00A072B4" w:rsidP="00A47690">
            <w:pPr>
              <w:jc w:val="both"/>
              <w:rPr>
                <w:rFonts w:eastAsia="Calibri"/>
                <w:sz w:val="20"/>
                <w:lang w:val="fr-CA"/>
              </w:rPr>
            </w:pPr>
            <w:r w:rsidRPr="00BC0F04">
              <w:rPr>
                <w:rFonts w:eastAsia="Calibri"/>
                <w:sz w:val="20"/>
                <w:lang w:val="fr-CA"/>
              </w:rPr>
              <w:t>(La juge Picard)</w:t>
            </w:r>
          </w:p>
          <w:p w:rsidR="00A072B4" w:rsidRPr="00BC0F04" w:rsidRDefault="003513AE" w:rsidP="00A47690">
            <w:pPr>
              <w:jc w:val="both"/>
              <w:rPr>
                <w:rFonts w:eastAsia="Calibri"/>
                <w:sz w:val="20"/>
                <w:lang w:val="fr-CA"/>
              </w:rPr>
            </w:pPr>
            <w:hyperlink r:id="rId31" w:history="1">
              <w:r w:rsidR="00A072B4" w:rsidRPr="00BC0F04">
                <w:rPr>
                  <w:rFonts w:eastAsia="Calibri"/>
                  <w:color w:val="0000FF"/>
                  <w:sz w:val="20"/>
                  <w:u w:val="single"/>
                  <w:lang w:val="fr-CA"/>
                </w:rPr>
                <w:t>2012 QCCS 5591</w:t>
              </w:r>
            </w:hyperlink>
          </w:p>
          <w:p w:rsidR="00A072B4" w:rsidRPr="00BC0F04" w:rsidRDefault="00A072B4" w:rsidP="00A47690">
            <w:pPr>
              <w:jc w:val="both"/>
              <w:rPr>
                <w:rFonts w:eastAsia="Calibri"/>
                <w:sz w:val="20"/>
              </w:rPr>
            </w:pP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lang w:val="fr-CA"/>
              </w:rPr>
            </w:pPr>
            <w:r w:rsidRPr="00BC0F04">
              <w:rPr>
                <w:rFonts w:eastAsia="Calibri"/>
                <w:sz w:val="20"/>
                <w:lang w:val="fr-CA"/>
              </w:rPr>
              <w:t xml:space="preserve">Action en divorce accueillie; demandes de prestation compensatoire et de somme globale compensatoire rejetées; demandes de pension alimentaire et de provision pour frais accueillies en partie </w:t>
            </w:r>
          </w:p>
          <w:p w:rsidR="00A072B4" w:rsidRPr="00BC0F04" w:rsidRDefault="00A072B4" w:rsidP="00A47690">
            <w:pPr>
              <w:jc w:val="both"/>
              <w:rPr>
                <w:rFonts w:eastAsia="Calibri"/>
                <w:sz w:val="20"/>
                <w:lang w:val="fr-CA"/>
              </w:rPr>
            </w:pPr>
          </w:p>
        </w:tc>
      </w:tr>
      <w:tr w:rsidR="00A072B4" w:rsidRPr="00BC0F04" w:rsidTr="00A47690">
        <w:tc>
          <w:tcPr>
            <w:tcW w:w="2427" w:type="pct"/>
          </w:tcPr>
          <w:p w:rsidR="00A072B4" w:rsidRPr="00BC0F04" w:rsidRDefault="00A072B4" w:rsidP="00A47690">
            <w:pPr>
              <w:jc w:val="both"/>
              <w:rPr>
                <w:rFonts w:eastAsia="Calibri"/>
                <w:sz w:val="20"/>
                <w:lang w:val="fr-CA"/>
              </w:rPr>
            </w:pPr>
            <w:r w:rsidRPr="00BC0F04">
              <w:rPr>
                <w:rFonts w:eastAsia="Calibri"/>
                <w:sz w:val="20"/>
                <w:lang w:val="fr-CA"/>
              </w:rPr>
              <w:t>Le 19 avril 2013</w:t>
            </w:r>
          </w:p>
          <w:p w:rsidR="00A072B4" w:rsidRPr="00BC0F04" w:rsidRDefault="00A072B4" w:rsidP="00A47690">
            <w:pPr>
              <w:jc w:val="both"/>
              <w:rPr>
                <w:rFonts w:eastAsia="Calibri"/>
                <w:sz w:val="20"/>
                <w:lang w:val="fr-CA"/>
              </w:rPr>
            </w:pPr>
            <w:r w:rsidRPr="00BC0F04">
              <w:rPr>
                <w:rFonts w:eastAsia="Calibri"/>
                <w:sz w:val="20"/>
                <w:lang w:val="fr-CA"/>
              </w:rPr>
              <w:t>Cour d’appel du Québec (Montréal)</w:t>
            </w:r>
          </w:p>
          <w:p w:rsidR="00A072B4" w:rsidRPr="00BC0F04" w:rsidRDefault="00A072B4" w:rsidP="00A47690">
            <w:pPr>
              <w:jc w:val="both"/>
              <w:rPr>
                <w:rFonts w:eastAsia="Calibri"/>
                <w:sz w:val="20"/>
                <w:lang w:val="fr-CA"/>
              </w:rPr>
            </w:pPr>
            <w:r w:rsidRPr="00BC0F04">
              <w:rPr>
                <w:rFonts w:eastAsia="Calibri"/>
                <w:sz w:val="20"/>
                <w:lang w:val="fr-CA"/>
              </w:rPr>
              <w:t>(Les juges Fournier, St-Pierre et Viens)</w:t>
            </w:r>
          </w:p>
          <w:p w:rsidR="00A072B4" w:rsidRPr="00BC0F04" w:rsidRDefault="003513AE" w:rsidP="00A47690">
            <w:pPr>
              <w:jc w:val="both"/>
              <w:rPr>
                <w:rFonts w:eastAsia="Calibri"/>
                <w:sz w:val="20"/>
                <w:lang w:val="fr-CA"/>
              </w:rPr>
            </w:pPr>
            <w:hyperlink r:id="rId32" w:history="1">
              <w:r w:rsidR="00A072B4" w:rsidRPr="00BC0F04">
                <w:rPr>
                  <w:rFonts w:eastAsia="Calibri"/>
                  <w:color w:val="0000FF"/>
                  <w:sz w:val="20"/>
                  <w:u w:val="single"/>
                  <w:lang w:val="fr-CA"/>
                </w:rPr>
                <w:t>2013 QCCA 719</w:t>
              </w:r>
            </w:hyperlink>
            <w:r w:rsidR="00A072B4" w:rsidRPr="00BC0F04">
              <w:rPr>
                <w:rFonts w:eastAsia="Calibri"/>
                <w:sz w:val="20"/>
                <w:lang w:val="fr-CA"/>
              </w:rPr>
              <w:t>; 500-09-023141-120</w:t>
            </w:r>
          </w:p>
          <w:p w:rsidR="00A072B4" w:rsidRPr="00BC0F04" w:rsidRDefault="00A072B4" w:rsidP="00A47690">
            <w:pPr>
              <w:jc w:val="both"/>
              <w:rPr>
                <w:rFonts w:eastAsia="Calibri"/>
                <w:sz w:val="20"/>
              </w:rPr>
            </w:pP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lang w:val="fr-CA"/>
              </w:rPr>
            </w:pPr>
            <w:r w:rsidRPr="00BC0F04">
              <w:rPr>
                <w:rFonts w:eastAsia="Calibri"/>
                <w:sz w:val="20"/>
                <w:lang w:val="fr-CA"/>
              </w:rPr>
              <w:t>Appel rejeté</w:t>
            </w:r>
          </w:p>
          <w:p w:rsidR="00A072B4" w:rsidRPr="00BC0F04" w:rsidRDefault="00A072B4" w:rsidP="00A47690">
            <w:pPr>
              <w:jc w:val="both"/>
              <w:rPr>
                <w:rFonts w:eastAsia="Calibri"/>
                <w:sz w:val="20"/>
                <w:lang w:val="fr-CA"/>
              </w:rPr>
            </w:pPr>
          </w:p>
        </w:tc>
      </w:tr>
      <w:tr w:rsidR="00A072B4" w:rsidRPr="00BC0F04" w:rsidTr="00A47690">
        <w:tc>
          <w:tcPr>
            <w:tcW w:w="2427" w:type="pct"/>
          </w:tcPr>
          <w:p w:rsidR="00A072B4" w:rsidRPr="00BC0F04" w:rsidRDefault="00A072B4" w:rsidP="00A47690">
            <w:pPr>
              <w:jc w:val="both"/>
              <w:rPr>
                <w:rFonts w:eastAsia="Calibri"/>
                <w:sz w:val="20"/>
                <w:lang w:val="fr-CA"/>
              </w:rPr>
            </w:pPr>
            <w:r w:rsidRPr="00BC0F04">
              <w:rPr>
                <w:rFonts w:eastAsia="Calibri"/>
                <w:sz w:val="20"/>
                <w:lang w:val="fr-CA"/>
              </w:rPr>
              <w:t>Le 12 juin 2013</w:t>
            </w:r>
          </w:p>
          <w:p w:rsidR="00A072B4" w:rsidRPr="00BC0F04" w:rsidRDefault="00A072B4" w:rsidP="00A47690">
            <w:pPr>
              <w:jc w:val="both"/>
              <w:rPr>
                <w:rFonts w:eastAsia="Calibri"/>
                <w:sz w:val="20"/>
                <w:lang w:val="fr-CA"/>
              </w:rPr>
            </w:pPr>
            <w:r w:rsidRPr="00BC0F04">
              <w:rPr>
                <w:rFonts w:eastAsia="Calibri"/>
                <w:sz w:val="20"/>
                <w:lang w:val="fr-CA"/>
              </w:rPr>
              <w:t>Cour suprême du Canada</w:t>
            </w:r>
          </w:p>
        </w:tc>
        <w:tc>
          <w:tcPr>
            <w:tcW w:w="243" w:type="pct"/>
          </w:tcPr>
          <w:p w:rsidR="00A072B4" w:rsidRPr="00BC0F04" w:rsidRDefault="00A072B4" w:rsidP="00A47690">
            <w:pPr>
              <w:jc w:val="both"/>
              <w:rPr>
                <w:rFonts w:eastAsia="Calibri"/>
                <w:sz w:val="20"/>
                <w:lang w:val="fr-CA"/>
              </w:rPr>
            </w:pPr>
          </w:p>
        </w:tc>
        <w:tc>
          <w:tcPr>
            <w:tcW w:w="2330" w:type="pct"/>
          </w:tcPr>
          <w:p w:rsidR="00A072B4" w:rsidRPr="00BC0F04" w:rsidRDefault="00A072B4" w:rsidP="00A47690">
            <w:pPr>
              <w:jc w:val="both"/>
              <w:rPr>
                <w:rFonts w:eastAsia="Calibri"/>
                <w:sz w:val="20"/>
                <w:lang w:val="fr-CA"/>
              </w:rPr>
            </w:pPr>
            <w:r w:rsidRPr="00BC0F04">
              <w:rPr>
                <w:rFonts w:eastAsia="Calibri"/>
                <w:sz w:val="20"/>
                <w:lang w:val="fr-CA"/>
              </w:rPr>
              <w:t>Demande d'autorisation d'appel déposée</w:t>
            </w:r>
          </w:p>
          <w:p w:rsidR="00A072B4" w:rsidRPr="00BC0F04" w:rsidRDefault="00A072B4" w:rsidP="00A47690">
            <w:pPr>
              <w:jc w:val="both"/>
              <w:rPr>
                <w:rFonts w:eastAsia="Calibri"/>
                <w:sz w:val="20"/>
                <w:lang w:val="fr-CA"/>
              </w:rPr>
            </w:pPr>
          </w:p>
        </w:tc>
      </w:tr>
    </w:tbl>
    <w:p w:rsidR="00642F12" w:rsidRDefault="00642F12" w:rsidP="00642F12">
      <w:pPr>
        <w:rPr>
          <w:sz w:val="20"/>
          <w:szCs w:val="20"/>
        </w:rPr>
      </w:pPr>
    </w:p>
    <w:p w:rsidR="00642F12" w:rsidRDefault="003513AE" w:rsidP="00642F12">
      <w:pPr>
        <w:rPr>
          <w:sz w:val="20"/>
          <w:szCs w:val="20"/>
        </w:rPr>
      </w:pPr>
      <w:r>
        <w:rPr>
          <w:sz w:val="20"/>
          <w:szCs w:val="20"/>
          <w:lang w:val="fr-CA"/>
        </w:rPr>
        <w:pict>
          <v:rect id="_x0000_i1043" style="width:2in;height:1pt" o:hrpct="0" o:hralign="center" o:hrstd="t" o:hrnoshade="t" o:hr="t" fillcolor="black [3213]" stroked="f"/>
        </w:pict>
      </w:r>
    </w:p>
    <w:p w:rsidR="00642F12" w:rsidRDefault="00642F12" w:rsidP="00642F12">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F1E74" w:rsidRPr="003513AE" w:rsidTr="008E2A8E">
        <w:trPr>
          <w:cantSplit/>
        </w:trPr>
        <w:tc>
          <w:tcPr>
            <w:tcW w:w="1458" w:type="dxa"/>
          </w:tcPr>
          <w:p w:rsidR="00EF1E74" w:rsidRPr="00EF1E74" w:rsidRDefault="00EF1E74" w:rsidP="00EF1E74">
            <w:pPr>
              <w:rPr>
                <w:sz w:val="20"/>
              </w:rPr>
            </w:pPr>
            <w:r w:rsidRPr="00EF1E74">
              <w:rPr>
                <w:b/>
                <w:sz w:val="20"/>
                <w:lang w:val="fr-CA"/>
              </w:rPr>
              <w:t>35445</w:t>
            </w:r>
          </w:p>
          <w:p w:rsidR="00EF1E74" w:rsidRPr="00EF1E74" w:rsidRDefault="00EF1E74" w:rsidP="00EF1E74">
            <w:pPr>
              <w:rPr>
                <w:b/>
                <w:sz w:val="20"/>
                <w:lang w:val="fr-CA"/>
              </w:rPr>
            </w:pPr>
          </w:p>
        </w:tc>
        <w:tc>
          <w:tcPr>
            <w:tcW w:w="8118" w:type="dxa"/>
          </w:tcPr>
          <w:p w:rsidR="00EF1E74" w:rsidRPr="00EF1E74" w:rsidRDefault="00EF1E74" w:rsidP="00EF1E74">
            <w:pPr>
              <w:rPr>
                <w:sz w:val="20"/>
                <w:lang w:val="fr-CA"/>
              </w:rPr>
            </w:pPr>
            <w:r w:rsidRPr="00EF1E74">
              <w:rPr>
                <w:b/>
                <w:sz w:val="20"/>
                <w:u w:val="single"/>
                <w:lang w:val="fr-CA"/>
              </w:rPr>
              <w:t>Jocelyn Lortie c. Sa Majesté la Reine</w:t>
            </w:r>
            <w:r w:rsidRPr="00EF1E74">
              <w:rPr>
                <w:sz w:val="20"/>
                <w:lang w:val="fr-CA"/>
              </w:rPr>
              <w:t xml:space="preserve"> (Qc) (Criminelle) (Autorisation)</w:t>
            </w:r>
          </w:p>
          <w:p w:rsidR="00EF1E74" w:rsidRPr="00EF1E74" w:rsidRDefault="00EF1E74" w:rsidP="00EF1E74">
            <w:pPr>
              <w:rPr>
                <w:sz w:val="20"/>
                <w:lang w:val="fr-CA"/>
              </w:rPr>
            </w:pPr>
          </w:p>
        </w:tc>
      </w:tr>
      <w:tr w:rsidR="00EF1E74" w:rsidRPr="003513AE" w:rsidTr="008E2A8E">
        <w:trPr>
          <w:cantSplit/>
        </w:trPr>
        <w:tc>
          <w:tcPr>
            <w:tcW w:w="1458" w:type="dxa"/>
          </w:tcPr>
          <w:p w:rsidR="00EF1E74" w:rsidRPr="00EF1E74" w:rsidRDefault="00EF1E74" w:rsidP="00EF1E74">
            <w:pPr>
              <w:rPr>
                <w:sz w:val="20"/>
              </w:rPr>
            </w:pPr>
            <w:r w:rsidRPr="00EF1E74">
              <w:rPr>
                <w:sz w:val="20"/>
              </w:rPr>
              <w:t>Coram :</w:t>
            </w:r>
          </w:p>
        </w:tc>
        <w:tc>
          <w:tcPr>
            <w:tcW w:w="8118" w:type="dxa"/>
          </w:tcPr>
          <w:p w:rsidR="00EF1E74" w:rsidRPr="00EF1E74" w:rsidRDefault="00EF1E74" w:rsidP="00EF1E74">
            <w:pPr>
              <w:rPr>
                <w:sz w:val="20"/>
                <w:lang w:val="fr-CA"/>
              </w:rPr>
            </w:pPr>
            <w:r w:rsidRPr="00EF1E74">
              <w:rPr>
                <w:sz w:val="20"/>
                <w:u w:val="single"/>
                <w:lang w:val="fr-CA"/>
              </w:rPr>
              <w:t>Les juges LeBel, Karakatsanis et Wagner</w:t>
            </w:r>
          </w:p>
          <w:p w:rsidR="00EF1E74" w:rsidRPr="00EF1E74" w:rsidRDefault="00EF1E74" w:rsidP="00EF1E74">
            <w:pPr>
              <w:rPr>
                <w:sz w:val="20"/>
                <w:u w:val="single"/>
                <w:lang w:val="fr-CA"/>
              </w:rPr>
            </w:pPr>
          </w:p>
        </w:tc>
      </w:tr>
      <w:tr w:rsidR="00EF1E74" w:rsidRPr="00EF1E74" w:rsidTr="008E2A8E">
        <w:trPr>
          <w:cantSplit/>
        </w:trPr>
        <w:tc>
          <w:tcPr>
            <w:tcW w:w="9576" w:type="dxa"/>
            <w:gridSpan w:val="2"/>
          </w:tcPr>
          <w:p w:rsidR="00EF1E74" w:rsidRPr="00EF1E74" w:rsidRDefault="00EF1E74" w:rsidP="00EF1E74">
            <w:pPr>
              <w:ind w:firstLine="720"/>
              <w:jc w:val="both"/>
              <w:rPr>
                <w:sz w:val="20"/>
                <w:lang w:val="fr-CA"/>
              </w:rPr>
            </w:pPr>
            <w:r w:rsidRPr="00EF1E74">
              <w:rPr>
                <w:sz w:val="20"/>
                <w:lang w:val="fr-CA"/>
              </w:rPr>
              <w:t>La requête en prorogation du délai de signification et de dépôt de la demande d’autorisation d’appel est accueillie. La demande d’autorisation d’appel de l’arrêt de la Cour d’appel du Québec (Montréal), numéro 500-10-004531-099, 2012 QCCA 1525, daté du 29 août 2012, est rejetée sans dépens.</w:t>
            </w:r>
          </w:p>
          <w:p w:rsidR="00EF1E74" w:rsidRPr="00EF1E74" w:rsidRDefault="00EF1E74" w:rsidP="00EF1E74">
            <w:pPr>
              <w:jc w:val="both"/>
              <w:rPr>
                <w:sz w:val="20"/>
                <w:lang w:val="fr-CA"/>
              </w:rPr>
            </w:pPr>
          </w:p>
          <w:p w:rsidR="00EF1E74" w:rsidRPr="00EF1E74" w:rsidRDefault="00EF1E74" w:rsidP="00EF1E74">
            <w:pPr>
              <w:ind w:firstLine="720"/>
              <w:jc w:val="both"/>
              <w:rPr>
                <w:sz w:val="20"/>
              </w:rPr>
            </w:pPr>
            <w:r w:rsidRPr="00EF1E74">
              <w:rPr>
                <w:sz w:val="20"/>
              </w:rPr>
              <w:t>The motion for an extension of time to serve and file the application for leave to appeal is granted. The application for leave to appeal from the judgment of the Court of Appeal of Quebec (Montréal), Number 500-10-004531-099, 2012 QCCA 1525, dated August 29, 2012, is dismissed without costs.</w:t>
            </w:r>
          </w:p>
        </w:tc>
      </w:tr>
    </w:tbl>
    <w:p w:rsidR="00642F12" w:rsidRDefault="00642F12" w:rsidP="00642F12">
      <w:pPr>
        <w:rPr>
          <w:sz w:val="20"/>
          <w:szCs w:val="20"/>
        </w:rPr>
      </w:pPr>
    </w:p>
    <w:p w:rsidR="00642F12" w:rsidRPr="001B157C" w:rsidRDefault="00642F12" w:rsidP="00642F12">
      <w:pPr>
        <w:rPr>
          <w:sz w:val="20"/>
          <w:szCs w:val="20"/>
          <w:u w:val="single"/>
        </w:rPr>
      </w:pPr>
      <w:r w:rsidRPr="001B157C">
        <w:rPr>
          <w:sz w:val="20"/>
          <w:szCs w:val="20"/>
          <w:u w:val="single"/>
        </w:rPr>
        <w:t>CASE SUMMARY</w:t>
      </w:r>
    </w:p>
    <w:p w:rsidR="00642F12" w:rsidRDefault="00642F12" w:rsidP="00642F1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72B4" w:rsidRPr="00BC0F04" w:rsidTr="00A47690">
        <w:tc>
          <w:tcPr>
            <w:tcW w:w="5000" w:type="pct"/>
            <w:gridSpan w:val="3"/>
          </w:tcPr>
          <w:p w:rsidR="00A072B4" w:rsidRPr="00BC0F04" w:rsidRDefault="00A072B4" w:rsidP="00A47690">
            <w:pPr>
              <w:jc w:val="both"/>
              <w:rPr>
                <w:rFonts w:eastAsia="Calibri"/>
                <w:sz w:val="20"/>
              </w:rPr>
            </w:pPr>
            <w:r w:rsidRPr="00BC0F04">
              <w:rPr>
                <w:rFonts w:eastAsia="Calibri"/>
                <w:sz w:val="20"/>
              </w:rPr>
              <w:t>Criminal law – Charge to jury – Post</w:t>
            </w:r>
            <w:r w:rsidRPr="00BC0F04">
              <w:rPr>
                <w:rFonts w:eastAsia="Calibri"/>
                <w:sz w:val="20"/>
              </w:rPr>
              <w:noBreakHyphen/>
              <w:t xml:space="preserve">offence conduct – Defences – Intoxication – Whether trial judge erred in his </w:t>
            </w:r>
            <w:r w:rsidRPr="00BC0F04">
              <w:rPr>
                <w:rFonts w:eastAsia="Calibri"/>
                <w:sz w:val="20"/>
              </w:rPr>
              <w:lastRenderedPageBreak/>
              <w:t>charge to jury concerning use of evidence of applicant’s post</w:t>
            </w:r>
            <w:r w:rsidRPr="00BC0F04">
              <w:rPr>
                <w:rFonts w:eastAsia="Calibri"/>
                <w:sz w:val="20"/>
              </w:rPr>
              <w:noBreakHyphen/>
              <w:t xml:space="preserve">offence conduct – Whether trial judge erred in his charge concerning defence of intoxication and its impact on planning and deliberation – Application of </w:t>
            </w:r>
            <w:r w:rsidRPr="00BC0F04">
              <w:rPr>
                <w:rFonts w:eastAsia="Calibri"/>
                <w:i/>
                <w:sz w:val="20"/>
              </w:rPr>
              <w:t>R. v</w:t>
            </w:r>
            <w:r w:rsidRPr="00BC0F04">
              <w:rPr>
                <w:rFonts w:eastAsia="Calibri"/>
                <w:i/>
                <w:iCs/>
                <w:sz w:val="20"/>
              </w:rPr>
              <w:t>.</w:t>
            </w:r>
            <w:r w:rsidRPr="00BC0F04">
              <w:rPr>
                <w:rFonts w:eastAsia="Calibri"/>
                <w:i/>
                <w:sz w:val="20"/>
              </w:rPr>
              <w:t xml:space="preserve"> White</w:t>
            </w:r>
            <w:r w:rsidRPr="00BC0F04">
              <w:rPr>
                <w:rFonts w:eastAsia="Calibri"/>
                <w:sz w:val="20"/>
              </w:rPr>
              <w:t>, 2011 SCC 13, [2011] 1 S.C.R. 433.</w:t>
            </w:r>
          </w:p>
        </w:tc>
      </w:tr>
      <w:tr w:rsidR="00A072B4" w:rsidRPr="00BC0F04" w:rsidTr="00A47690">
        <w:tc>
          <w:tcPr>
            <w:tcW w:w="5000" w:type="pct"/>
            <w:gridSpan w:val="3"/>
          </w:tcPr>
          <w:p w:rsidR="00A072B4" w:rsidRPr="00BC0F04" w:rsidRDefault="00A072B4" w:rsidP="00A47690">
            <w:pPr>
              <w:jc w:val="both"/>
              <w:rPr>
                <w:rFonts w:eastAsia="Calibri"/>
                <w:sz w:val="20"/>
              </w:rPr>
            </w:pPr>
          </w:p>
        </w:tc>
      </w:tr>
      <w:tr w:rsidR="00A072B4" w:rsidRPr="00BC0F04" w:rsidTr="00A47690">
        <w:tc>
          <w:tcPr>
            <w:tcW w:w="5000" w:type="pct"/>
            <w:gridSpan w:val="3"/>
          </w:tcPr>
          <w:p w:rsidR="00A072B4" w:rsidRPr="00BC0F04" w:rsidRDefault="00A072B4" w:rsidP="00A47690">
            <w:pPr>
              <w:jc w:val="both"/>
              <w:rPr>
                <w:rFonts w:eastAsia="Calibri"/>
                <w:sz w:val="20"/>
              </w:rPr>
            </w:pPr>
            <w:r w:rsidRPr="00BC0F04">
              <w:rPr>
                <w:rFonts w:eastAsia="Calibri"/>
                <w:sz w:val="20"/>
              </w:rPr>
              <w:t>The applicant Mr. Lortie was convicted of first degree murder.  While under the influence of cocaine, he had stabbed his spouse before turning the weapon on himself.  At trial, he admitted causing his spouse’s death but denied having the specific intent required for a murder charge given his state of intoxication.  The Crown argued that Mr. Lortie had suspected his spouse of having a lover and had planned his crime.  On appeal, Mr. Lortie raised two grounds of appeal.  First, he criticized the trial judge for not cautioning the jury about the lack of probative value of his post</w:t>
            </w:r>
            <w:r w:rsidRPr="00BC0F04">
              <w:rPr>
                <w:rFonts w:eastAsia="Calibri"/>
                <w:sz w:val="20"/>
              </w:rPr>
              <w:noBreakHyphen/>
              <w:t xml:space="preserve">offence conduct, that is, his suicide attempt, in the determination of his level of culpability.  He also criticized the judge for not instructing the jury that a degree of intoxication not high enough to negate the capacity to form specific intent could still be sufficient to neutralize the evidence of planning and deliberation.  The Court of Appeal dismissed the appeal. </w:t>
            </w:r>
          </w:p>
          <w:p w:rsidR="00A072B4" w:rsidRPr="00BC0F04" w:rsidRDefault="00A072B4" w:rsidP="00A47690">
            <w:pPr>
              <w:jc w:val="both"/>
              <w:rPr>
                <w:rFonts w:eastAsia="Calibri"/>
                <w:sz w:val="20"/>
              </w:rPr>
            </w:pPr>
          </w:p>
        </w:tc>
      </w:tr>
      <w:tr w:rsidR="00A072B4" w:rsidRPr="00BC0F04" w:rsidTr="00A47690">
        <w:tc>
          <w:tcPr>
            <w:tcW w:w="2427" w:type="pct"/>
          </w:tcPr>
          <w:p w:rsidR="00A072B4" w:rsidRPr="00BC0F04" w:rsidRDefault="00A072B4" w:rsidP="00A47690">
            <w:pPr>
              <w:jc w:val="both"/>
              <w:rPr>
                <w:rFonts w:eastAsia="Calibri"/>
                <w:sz w:val="20"/>
              </w:rPr>
            </w:pPr>
            <w:r w:rsidRPr="00BC0F04">
              <w:rPr>
                <w:rFonts w:eastAsia="Calibri"/>
                <w:sz w:val="20"/>
              </w:rPr>
              <w:t>November 11, 2009</w:t>
            </w:r>
          </w:p>
          <w:p w:rsidR="00A072B4" w:rsidRPr="00BC0F04" w:rsidRDefault="00A072B4" w:rsidP="00A47690">
            <w:pPr>
              <w:jc w:val="both"/>
              <w:rPr>
                <w:rFonts w:eastAsia="Calibri"/>
                <w:sz w:val="20"/>
              </w:rPr>
            </w:pPr>
            <w:r w:rsidRPr="00BC0F04">
              <w:rPr>
                <w:rFonts w:eastAsia="Calibri"/>
                <w:sz w:val="20"/>
              </w:rPr>
              <w:t>Quebec Superior Court</w:t>
            </w:r>
          </w:p>
          <w:p w:rsidR="00A072B4" w:rsidRPr="00BC0F04" w:rsidRDefault="00A072B4" w:rsidP="00A47690">
            <w:pPr>
              <w:jc w:val="both"/>
              <w:rPr>
                <w:rFonts w:eastAsia="Calibri"/>
                <w:sz w:val="20"/>
              </w:rPr>
            </w:pPr>
            <w:r w:rsidRPr="00BC0F04">
              <w:rPr>
                <w:rFonts w:eastAsia="Calibri"/>
                <w:sz w:val="20"/>
              </w:rPr>
              <w:t>(Martin J.)</w:t>
            </w:r>
          </w:p>
          <w:p w:rsidR="00A072B4" w:rsidRPr="00BC0F04" w:rsidRDefault="00A072B4" w:rsidP="00A47690">
            <w:pPr>
              <w:jc w:val="both"/>
              <w:rPr>
                <w:rFonts w:eastAsia="Calibri"/>
                <w:sz w:val="20"/>
              </w:rPr>
            </w:pP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rPr>
            </w:pPr>
            <w:r w:rsidRPr="00BC0F04">
              <w:rPr>
                <w:rFonts w:eastAsia="Calibri"/>
                <w:sz w:val="20"/>
              </w:rPr>
              <w:t>Applicant convicted of first degree murder</w:t>
            </w:r>
          </w:p>
          <w:p w:rsidR="00A072B4" w:rsidRPr="00BC0F04" w:rsidRDefault="00A072B4" w:rsidP="00A47690">
            <w:pPr>
              <w:jc w:val="both"/>
              <w:rPr>
                <w:rFonts w:eastAsia="Calibri"/>
                <w:sz w:val="20"/>
              </w:rPr>
            </w:pPr>
          </w:p>
        </w:tc>
      </w:tr>
      <w:tr w:rsidR="00A072B4" w:rsidRPr="00BC0F04" w:rsidTr="00A47690">
        <w:tc>
          <w:tcPr>
            <w:tcW w:w="2427" w:type="pct"/>
          </w:tcPr>
          <w:p w:rsidR="00A072B4" w:rsidRPr="00BC0F04" w:rsidRDefault="00A072B4" w:rsidP="00A47690">
            <w:pPr>
              <w:jc w:val="both"/>
              <w:rPr>
                <w:rFonts w:eastAsia="Calibri"/>
                <w:sz w:val="20"/>
              </w:rPr>
            </w:pPr>
            <w:r w:rsidRPr="00BC0F04">
              <w:rPr>
                <w:rFonts w:eastAsia="Calibri"/>
                <w:sz w:val="20"/>
              </w:rPr>
              <w:t>August 29, 2012</w:t>
            </w:r>
          </w:p>
          <w:p w:rsidR="00A072B4" w:rsidRPr="00BC0F04" w:rsidRDefault="00A072B4" w:rsidP="00A47690">
            <w:pPr>
              <w:jc w:val="both"/>
              <w:rPr>
                <w:rFonts w:eastAsia="Calibri"/>
                <w:sz w:val="20"/>
              </w:rPr>
            </w:pPr>
            <w:r w:rsidRPr="00BC0F04">
              <w:rPr>
                <w:rFonts w:eastAsia="Calibri"/>
                <w:sz w:val="20"/>
              </w:rPr>
              <w:t>Quebec Court of Appeal (Montréal)</w:t>
            </w:r>
          </w:p>
          <w:p w:rsidR="00A072B4" w:rsidRPr="00BC0F04" w:rsidRDefault="00A072B4" w:rsidP="00A47690">
            <w:pPr>
              <w:jc w:val="both"/>
              <w:rPr>
                <w:rFonts w:eastAsia="Calibri"/>
                <w:sz w:val="20"/>
              </w:rPr>
            </w:pPr>
            <w:r w:rsidRPr="00BC0F04">
              <w:rPr>
                <w:rFonts w:eastAsia="Calibri"/>
                <w:sz w:val="20"/>
              </w:rPr>
              <w:t>(Dalphond, Doyon and Bich JJ.A.)</w:t>
            </w:r>
          </w:p>
          <w:p w:rsidR="00A072B4" w:rsidRPr="00BC0F04" w:rsidRDefault="003513AE" w:rsidP="00A47690">
            <w:pPr>
              <w:jc w:val="both"/>
              <w:rPr>
                <w:rFonts w:eastAsia="Calibri"/>
                <w:sz w:val="20"/>
              </w:rPr>
            </w:pPr>
            <w:hyperlink r:id="rId33" w:history="1">
              <w:r w:rsidR="00A072B4" w:rsidRPr="00BC0F04">
                <w:rPr>
                  <w:rFonts w:eastAsia="Calibri"/>
                  <w:color w:val="0000FF"/>
                  <w:sz w:val="20"/>
                  <w:u w:val="single"/>
                </w:rPr>
                <w:t>2012  QCCA 1525</w:t>
              </w:r>
            </w:hyperlink>
          </w:p>
          <w:p w:rsidR="00A072B4" w:rsidRPr="00BC0F04" w:rsidRDefault="00A072B4" w:rsidP="00A47690">
            <w:pPr>
              <w:jc w:val="both"/>
              <w:rPr>
                <w:rFonts w:eastAsia="Calibri"/>
                <w:sz w:val="20"/>
              </w:rPr>
            </w:pP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rPr>
            </w:pPr>
            <w:r w:rsidRPr="00BC0F04">
              <w:rPr>
                <w:rFonts w:eastAsia="Calibri"/>
                <w:sz w:val="20"/>
              </w:rPr>
              <w:t xml:space="preserve">Appeal dismissed </w:t>
            </w:r>
          </w:p>
        </w:tc>
      </w:tr>
      <w:tr w:rsidR="00A072B4" w:rsidRPr="00BC0F04" w:rsidTr="00A47690">
        <w:tc>
          <w:tcPr>
            <w:tcW w:w="2427" w:type="pct"/>
          </w:tcPr>
          <w:p w:rsidR="00A072B4" w:rsidRPr="00BC0F04" w:rsidRDefault="00A072B4" w:rsidP="00A47690">
            <w:pPr>
              <w:jc w:val="both"/>
              <w:rPr>
                <w:rFonts w:eastAsia="Calibri"/>
                <w:sz w:val="20"/>
              </w:rPr>
            </w:pPr>
            <w:r w:rsidRPr="00BC0F04">
              <w:rPr>
                <w:rFonts w:eastAsia="Calibri"/>
                <w:sz w:val="20"/>
              </w:rPr>
              <w:t>July 18, 2013</w:t>
            </w:r>
          </w:p>
          <w:p w:rsidR="00A072B4" w:rsidRPr="00BC0F04" w:rsidRDefault="00A072B4" w:rsidP="00A47690">
            <w:pPr>
              <w:jc w:val="both"/>
              <w:rPr>
                <w:rFonts w:eastAsia="Calibri"/>
                <w:sz w:val="20"/>
              </w:rPr>
            </w:pPr>
            <w:r w:rsidRPr="00BC0F04">
              <w:rPr>
                <w:rFonts w:eastAsia="Calibri"/>
                <w:sz w:val="20"/>
              </w:rPr>
              <w:t>Supreme Court of Canada</w:t>
            </w: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rPr>
            </w:pPr>
            <w:r w:rsidRPr="00BC0F04">
              <w:rPr>
                <w:rFonts w:eastAsia="Calibri"/>
                <w:sz w:val="20"/>
              </w:rPr>
              <w:t>Motion to extend time and application for leave to appeal filed</w:t>
            </w:r>
          </w:p>
        </w:tc>
      </w:tr>
    </w:tbl>
    <w:p w:rsidR="00642F12" w:rsidRDefault="00642F12" w:rsidP="00642F12">
      <w:pPr>
        <w:rPr>
          <w:sz w:val="20"/>
          <w:szCs w:val="20"/>
        </w:rPr>
      </w:pPr>
    </w:p>
    <w:p w:rsidR="00642F12" w:rsidRDefault="003513AE" w:rsidP="00642F12">
      <w:pPr>
        <w:rPr>
          <w:sz w:val="20"/>
          <w:szCs w:val="20"/>
        </w:rPr>
      </w:pPr>
      <w:r>
        <w:rPr>
          <w:sz w:val="20"/>
          <w:szCs w:val="20"/>
          <w:lang w:val="fr-CA"/>
        </w:rPr>
        <w:pict>
          <v:rect id="_x0000_i1044" style="width:2in;height:1pt" o:hrpct="0" o:hralign="center" o:hrstd="t" o:hrnoshade="t" o:hr="t" fillcolor="black [3213]" stroked="f"/>
        </w:pict>
      </w:r>
    </w:p>
    <w:p w:rsidR="00642F12" w:rsidRDefault="00642F12" w:rsidP="00642F12">
      <w:pPr>
        <w:rPr>
          <w:sz w:val="20"/>
          <w:szCs w:val="20"/>
        </w:rPr>
      </w:pPr>
    </w:p>
    <w:p w:rsidR="00642F12" w:rsidRPr="001B157C" w:rsidRDefault="00642F12" w:rsidP="00642F12">
      <w:pPr>
        <w:rPr>
          <w:sz w:val="20"/>
          <w:szCs w:val="20"/>
          <w:u w:val="single"/>
          <w:lang w:val="fr-CA"/>
        </w:rPr>
      </w:pPr>
      <w:r w:rsidRPr="001B157C">
        <w:rPr>
          <w:sz w:val="20"/>
          <w:szCs w:val="20"/>
          <w:u w:val="single"/>
          <w:lang w:val="fr-CA"/>
        </w:rPr>
        <w:t>RÉSUMÉ DE L’AFFAIRE</w:t>
      </w:r>
    </w:p>
    <w:p w:rsidR="00642F12" w:rsidRDefault="00642F12" w:rsidP="00642F1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72B4" w:rsidRPr="003513AE" w:rsidTr="00A47690">
        <w:tc>
          <w:tcPr>
            <w:tcW w:w="5000" w:type="pct"/>
            <w:gridSpan w:val="3"/>
          </w:tcPr>
          <w:p w:rsidR="00A072B4" w:rsidRPr="00BC0F04" w:rsidRDefault="00A072B4" w:rsidP="00A47690">
            <w:pPr>
              <w:jc w:val="both"/>
              <w:rPr>
                <w:rFonts w:eastAsia="Calibri"/>
                <w:sz w:val="20"/>
                <w:lang w:val="fr-CA"/>
              </w:rPr>
            </w:pPr>
            <w:r w:rsidRPr="00BC0F04">
              <w:rPr>
                <w:rFonts w:eastAsia="Calibri"/>
                <w:sz w:val="20"/>
                <w:lang w:val="fr-CA"/>
              </w:rPr>
              <w:t xml:space="preserve">Droit criminel – Exposé au jury – Comportement postérieur à l’infraction – Moyens de défense – Intoxication – Le juge de première instance a-t-il erré dans ses directives au jury sur l’utilisation de la preuve de la conduite du demandeur postérieure à l’infraction? – Le juge de première instance a-t-il erré dans ses directives portant sur la défense d’intoxication et ses effets sur la préméditation et le propos délibéré? – Application de l’affaire </w:t>
            </w:r>
            <w:r w:rsidRPr="00BC0F04">
              <w:rPr>
                <w:rFonts w:eastAsia="Calibri"/>
                <w:i/>
                <w:sz w:val="20"/>
                <w:lang w:val="fr-CA"/>
              </w:rPr>
              <w:t xml:space="preserve">R. </w:t>
            </w:r>
            <w:r w:rsidRPr="00BC0F04">
              <w:rPr>
                <w:rFonts w:eastAsia="Calibri"/>
                <w:i/>
                <w:iCs/>
                <w:sz w:val="20"/>
                <w:lang w:val="fr-CA"/>
              </w:rPr>
              <w:t>c.</w:t>
            </w:r>
            <w:r w:rsidRPr="00BC0F04">
              <w:rPr>
                <w:rFonts w:eastAsia="Calibri"/>
                <w:i/>
                <w:sz w:val="20"/>
                <w:lang w:val="fr-CA"/>
              </w:rPr>
              <w:t xml:space="preserve"> White</w:t>
            </w:r>
            <w:r w:rsidRPr="00BC0F04">
              <w:rPr>
                <w:rFonts w:eastAsia="Calibri"/>
                <w:sz w:val="20"/>
                <w:lang w:val="fr-CA"/>
              </w:rPr>
              <w:t>, 2011 CSC 13, [2011] 1 R.C.S. 433.</w:t>
            </w:r>
          </w:p>
        </w:tc>
      </w:tr>
      <w:tr w:rsidR="00A072B4" w:rsidRPr="003513AE" w:rsidTr="00A47690">
        <w:tc>
          <w:tcPr>
            <w:tcW w:w="5000" w:type="pct"/>
            <w:gridSpan w:val="3"/>
          </w:tcPr>
          <w:p w:rsidR="00A072B4" w:rsidRPr="00BC0F04" w:rsidRDefault="00A072B4" w:rsidP="00A47690">
            <w:pPr>
              <w:jc w:val="both"/>
              <w:rPr>
                <w:rFonts w:eastAsia="Calibri"/>
                <w:sz w:val="20"/>
                <w:lang w:val="fr-CA"/>
              </w:rPr>
            </w:pPr>
          </w:p>
        </w:tc>
      </w:tr>
      <w:tr w:rsidR="00A072B4" w:rsidRPr="00BC0F04" w:rsidTr="00A47690">
        <w:tc>
          <w:tcPr>
            <w:tcW w:w="5000" w:type="pct"/>
            <w:gridSpan w:val="3"/>
          </w:tcPr>
          <w:p w:rsidR="00A072B4" w:rsidRPr="00BC0F04" w:rsidRDefault="00A072B4" w:rsidP="00A47690">
            <w:pPr>
              <w:jc w:val="both"/>
              <w:rPr>
                <w:rFonts w:eastAsia="Calibri"/>
                <w:sz w:val="20"/>
                <w:lang w:val="fr-CA"/>
              </w:rPr>
            </w:pPr>
            <w:r w:rsidRPr="00BC0F04">
              <w:rPr>
                <w:rFonts w:eastAsia="Calibri"/>
                <w:sz w:val="20"/>
                <w:lang w:val="fr-CA"/>
              </w:rPr>
              <w:t xml:space="preserve">Monsieur Lortie, demandeur, a été déclaré coupable de meurtre au premier degré. Alors sous les effets de la cocaïne, il a poignardé son épouse avant de retourner l’arme contre lui-même. Au procès, il a admis avoir causé la mort de son épouse mais il a nié avoir eu l’intention spécifique requise pour une accusation de meurtre, compte tenu de son état d’intoxication. De son côté, le ministère public a soutenu que M. Lortie soupçonnait que son épouse avait un amant et qu’il a planifié son crime. En appel, M. Lortie a fait valoir deux moyens d’appel. D’abord, il a reproché au juge de première instance de ne pas avoir mis le jury en garde sur l’absence de valeur probante de son comportement postérieur à l’infraction, soit sa tentative de suicide, en rapport avec la détermination de son degré de culpabilité. Ensuite, il a reproché au juge de ne pas avoir instruit le jury qu’un degré d’intoxication moindre que celui pouvant entraîner l’incapacité de former l’intention spécifique pouvait néanmoins suffire à neutraliser la preuve de la préméditation et du propos délibéré. La Cour d’appel a rejeté l’appel. </w:t>
            </w:r>
          </w:p>
          <w:p w:rsidR="00A072B4" w:rsidRPr="00BC0F04" w:rsidRDefault="00A072B4" w:rsidP="00A47690">
            <w:pPr>
              <w:jc w:val="both"/>
              <w:rPr>
                <w:rFonts w:eastAsia="Calibri"/>
                <w:sz w:val="20"/>
                <w:lang w:val="fr-CA"/>
              </w:rPr>
            </w:pPr>
          </w:p>
        </w:tc>
      </w:tr>
      <w:tr w:rsidR="00A072B4" w:rsidRPr="003513AE" w:rsidTr="00A47690">
        <w:tc>
          <w:tcPr>
            <w:tcW w:w="2427" w:type="pct"/>
          </w:tcPr>
          <w:p w:rsidR="00A072B4" w:rsidRPr="00BC0F04" w:rsidRDefault="00A072B4" w:rsidP="00A47690">
            <w:pPr>
              <w:jc w:val="both"/>
              <w:rPr>
                <w:rFonts w:eastAsia="Calibri"/>
                <w:sz w:val="20"/>
                <w:lang w:val="fr-CA"/>
              </w:rPr>
            </w:pPr>
            <w:r w:rsidRPr="00BC0F04">
              <w:rPr>
                <w:rFonts w:eastAsia="Calibri"/>
                <w:sz w:val="20"/>
                <w:lang w:val="fr-CA"/>
              </w:rPr>
              <w:lastRenderedPageBreak/>
              <w:t>Le 11 novembre 2009</w:t>
            </w:r>
          </w:p>
          <w:p w:rsidR="00A072B4" w:rsidRPr="00BC0F04" w:rsidRDefault="00A072B4" w:rsidP="00A47690">
            <w:pPr>
              <w:jc w:val="both"/>
              <w:rPr>
                <w:rFonts w:eastAsia="Calibri"/>
                <w:sz w:val="20"/>
                <w:lang w:val="fr-CA"/>
              </w:rPr>
            </w:pPr>
            <w:r w:rsidRPr="00BC0F04">
              <w:rPr>
                <w:rFonts w:eastAsia="Calibri"/>
                <w:sz w:val="20"/>
                <w:lang w:val="fr-CA"/>
              </w:rPr>
              <w:t>Cour supérieure du Québec</w:t>
            </w:r>
          </w:p>
          <w:p w:rsidR="00A072B4" w:rsidRPr="00BC0F04" w:rsidRDefault="00A072B4" w:rsidP="00A47690">
            <w:pPr>
              <w:jc w:val="both"/>
              <w:rPr>
                <w:rFonts w:eastAsia="Calibri"/>
                <w:sz w:val="20"/>
                <w:lang w:val="fr-CA"/>
              </w:rPr>
            </w:pPr>
            <w:r w:rsidRPr="00BC0F04">
              <w:rPr>
                <w:rFonts w:eastAsia="Calibri"/>
                <w:sz w:val="20"/>
                <w:lang w:val="fr-CA"/>
              </w:rPr>
              <w:t>(Le juge Martin)</w:t>
            </w:r>
          </w:p>
          <w:p w:rsidR="00A072B4" w:rsidRPr="00BC0F04" w:rsidRDefault="00A072B4" w:rsidP="00A47690">
            <w:pPr>
              <w:jc w:val="both"/>
              <w:rPr>
                <w:rFonts w:eastAsia="Calibri"/>
                <w:sz w:val="20"/>
              </w:rPr>
            </w:pP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lang w:val="fr-CA"/>
              </w:rPr>
            </w:pPr>
            <w:r w:rsidRPr="00BC0F04">
              <w:rPr>
                <w:rFonts w:eastAsia="Calibri"/>
                <w:sz w:val="20"/>
                <w:lang w:val="fr-CA"/>
              </w:rPr>
              <w:t>Demandeur déclaré coupable de meurtre au premier degré</w:t>
            </w:r>
          </w:p>
          <w:p w:rsidR="00A072B4" w:rsidRPr="00BC0F04" w:rsidRDefault="00A072B4" w:rsidP="00A47690">
            <w:pPr>
              <w:jc w:val="both"/>
              <w:rPr>
                <w:rFonts w:eastAsia="Calibri"/>
                <w:sz w:val="20"/>
                <w:lang w:val="fr-CA"/>
              </w:rPr>
            </w:pPr>
          </w:p>
        </w:tc>
      </w:tr>
      <w:tr w:rsidR="00A072B4" w:rsidRPr="00BC0F04" w:rsidTr="00EF1E74">
        <w:trPr>
          <w:cantSplit/>
        </w:trPr>
        <w:tc>
          <w:tcPr>
            <w:tcW w:w="2427" w:type="pct"/>
          </w:tcPr>
          <w:p w:rsidR="00A072B4" w:rsidRPr="00BC0F04" w:rsidRDefault="00A072B4" w:rsidP="00A47690">
            <w:pPr>
              <w:jc w:val="both"/>
              <w:rPr>
                <w:rFonts w:eastAsia="Calibri"/>
                <w:sz w:val="20"/>
                <w:lang w:val="fr-CA"/>
              </w:rPr>
            </w:pPr>
            <w:r w:rsidRPr="00BC0F04">
              <w:rPr>
                <w:rFonts w:eastAsia="Calibri"/>
                <w:sz w:val="20"/>
                <w:lang w:val="fr-CA"/>
              </w:rPr>
              <w:t>Le 29 août 2012</w:t>
            </w:r>
          </w:p>
          <w:p w:rsidR="00A072B4" w:rsidRPr="00BC0F04" w:rsidRDefault="00A072B4" w:rsidP="00A47690">
            <w:pPr>
              <w:jc w:val="both"/>
              <w:rPr>
                <w:rFonts w:eastAsia="Calibri"/>
                <w:sz w:val="20"/>
                <w:lang w:val="fr-CA"/>
              </w:rPr>
            </w:pPr>
            <w:r w:rsidRPr="00BC0F04">
              <w:rPr>
                <w:rFonts w:eastAsia="Calibri"/>
                <w:sz w:val="20"/>
                <w:lang w:val="fr-CA"/>
              </w:rPr>
              <w:t>Cour d’appel du Québec (Montréal)</w:t>
            </w:r>
          </w:p>
          <w:p w:rsidR="00A072B4" w:rsidRPr="00BC0F04" w:rsidRDefault="00A072B4" w:rsidP="00A47690">
            <w:pPr>
              <w:jc w:val="both"/>
              <w:rPr>
                <w:rFonts w:eastAsia="Calibri"/>
                <w:sz w:val="20"/>
                <w:lang w:val="fr-CA"/>
              </w:rPr>
            </w:pPr>
            <w:r w:rsidRPr="00BC0F04">
              <w:rPr>
                <w:rFonts w:eastAsia="Calibri"/>
                <w:sz w:val="20"/>
                <w:lang w:val="fr-CA"/>
              </w:rPr>
              <w:t>(Les juges Dalphond, Doyon et Bich)</w:t>
            </w:r>
          </w:p>
          <w:p w:rsidR="00A072B4" w:rsidRPr="00BC0F04" w:rsidRDefault="003513AE" w:rsidP="00A47690">
            <w:pPr>
              <w:jc w:val="both"/>
              <w:rPr>
                <w:rFonts w:eastAsia="Calibri"/>
                <w:sz w:val="20"/>
                <w:lang w:val="fr-CA"/>
              </w:rPr>
            </w:pPr>
            <w:hyperlink r:id="rId34" w:history="1">
              <w:r w:rsidR="00A072B4" w:rsidRPr="00BC0F04">
                <w:rPr>
                  <w:rFonts w:eastAsia="Calibri"/>
                  <w:color w:val="0000FF"/>
                  <w:sz w:val="20"/>
                  <w:u w:val="single"/>
                  <w:lang w:val="fr-CA"/>
                </w:rPr>
                <w:t>2012  QCCA 1525</w:t>
              </w:r>
            </w:hyperlink>
          </w:p>
          <w:p w:rsidR="00A072B4" w:rsidRPr="00BC0F04" w:rsidRDefault="00A072B4" w:rsidP="00A47690">
            <w:pPr>
              <w:jc w:val="both"/>
              <w:rPr>
                <w:rFonts w:eastAsia="Calibri"/>
                <w:sz w:val="20"/>
                <w:lang w:val="fr-CA"/>
              </w:rPr>
            </w:pPr>
          </w:p>
        </w:tc>
        <w:tc>
          <w:tcPr>
            <w:tcW w:w="243" w:type="pct"/>
          </w:tcPr>
          <w:p w:rsidR="00A072B4" w:rsidRPr="00BC0F04" w:rsidRDefault="00A072B4" w:rsidP="00A47690">
            <w:pPr>
              <w:jc w:val="both"/>
              <w:rPr>
                <w:rFonts w:eastAsia="Calibri"/>
                <w:sz w:val="20"/>
                <w:lang w:val="fr-CA"/>
              </w:rPr>
            </w:pPr>
          </w:p>
        </w:tc>
        <w:tc>
          <w:tcPr>
            <w:tcW w:w="2330" w:type="pct"/>
          </w:tcPr>
          <w:p w:rsidR="00A072B4" w:rsidRPr="00BC0F04" w:rsidRDefault="00A072B4" w:rsidP="00A47690">
            <w:pPr>
              <w:jc w:val="both"/>
              <w:rPr>
                <w:rFonts w:eastAsia="Calibri"/>
                <w:sz w:val="20"/>
                <w:lang w:val="fr-CA"/>
              </w:rPr>
            </w:pPr>
            <w:r w:rsidRPr="00BC0F04">
              <w:rPr>
                <w:rFonts w:eastAsia="Calibri"/>
                <w:sz w:val="20"/>
                <w:lang w:val="fr-CA"/>
              </w:rPr>
              <w:t xml:space="preserve">Appel rejeté </w:t>
            </w:r>
          </w:p>
        </w:tc>
      </w:tr>
      <w:tr w:rsidR="00A072B4" w:rsidRPr="003513AE" w:rsidTr="00EF1E74">
        <w:trPr>
          <w:cantSplit/>
        </w:trPr>
        <w:tc>
          <w:tcPr>
            <w:tcW w:w="2427" w:type="pct"/>
          </w:tcPr>
          <w:p w:rsidR="00A072B4" w:rsidRPr="00BC0F04" w:rsidRDefault="00A072B4" w:rsidP="00A47690">
            <w:pPr>
              <w:jc w:val="both"/>
              <w:rPr>
                <w:rFonts w:eastAsia="Calibri"/>
                <w:sz w:val="20"/>
                <w:lang w:val="fr-CA"/>
              </w:rPr>
            </w:pPr>
            <w:r w:rsidRPr="00BC0F04">
              <w:rPr>
                <w:rFonts w:eastAsia="Calibri"/>
                <w:sz w:val="20"/>
                <w:lang w:val="fr-CA"/>
              </w:rPr>
              <w:t>Le 18 juillet 2013</w:t>
            </w:r>
          </w:p>
          <w:p w:rsidR="00A072B4" w:rsidRPr="00BC0F04" w:rsidRDefault="00A072B4" w:rsidP="00A47690">
            <w:pPr>
              <w:jc w:val="both"/>
              <w:rPr>
                <w:rFonts w:eastAsia="Calibri"/>
                <w:sz w:val="20"/>
                <w:lang w:val="fr-CA"/>
              </w:rPr>
            </w:pPr>
            <w:r w:rsidRPr="00BC0F04">
              <w:rPr>
                <w:rFonts w:eastAsia="Calibri"/>
                <w:sz w:val="20"/>
                <w:lang w:val="fr-CA"/>
              </w:rPr>
              <w:t>Cour suprême du Canada</w:t>
            </w:r>
          </w:p>
        </w:tc>
        <w:tc>
          <w:tcPr>
            <w:tcW w:w="243" w:type="pct"/>
          </w:tcPr>
          <w:p w:rsidR="00A072B4" w:rsidRPr="00BC0F04" w:rsidRDefault="00A072B4" w:rsidP="00A47690">
            <w:pPr>
              <w:jc w:val="both"/>
              <w:rPr>
                <w:rFonts w:eastAsia="Calibri"/>
                <w:sz w:val="20"/>
                <w:lang w:val="fr-CA"/>
              </w:rPr>
            </w:pPr>
          </w:p>
        </w:tc>
        <w:tc>
          <w:tcPr>
            <w:tcW w:w="2330" w:type="pct"/>
          </w:tcPr>
          <w:p w:rsidR="00A072B4" w:rsidRPr="00BC0F04" w:rsidRDefault="00A072B4" w:rsidP="00A47690">
            <w:pPr>
              <w:jc w:val="both"/>
              <w:rPr>
                <w:rFonts w:eastAsia="Calibri"/>
                <w:sz w:val="20"/>
                <w:lang w:val="fr-CA"/>
              </w:rPr>
            </w:pPr>
            <w:r w:rsidRPr="00BC0F04">
              <w:rPr>
                <w:rFonts w:eastAsia="Calibri"/>
                <w:sz w:val="20"/>
                <w:lang w:val="fr-CA"/>
              </w:rPr>
              <w:t>Requête en prorogation de délai et demande d'autorisation d'appel déposées</w:t>
            </w:r>
          </w:p>
        </w:tc>
      </w:tr>
    </w:tbl>
    <w:p w:rsidR="00642F12" w:rsidRPr="00A072B4" w:rsidRDefault="00642F12" w:rsidP="00642F12">
      <w:pPr>
        <w:rPr>
          <w:sz w:val="20"/>
          <w:szCs w:val="20"/>
          <w:lang w:val="fr-CA"/>
        </w:rPr>
      </w:pPr>
    </w:p>
    <w:p w:rsidR="00642F12" w:rsidRDefault="003513AE" w:rsidP="00642F12">
      <w:pPr>
        <w:rPr>
          <w:sz w:val="20"/>
          <w:szCs w:val="20"/>
        </w:rPr>
      </w:pPr>
      <w:r>
        <w:rPr>
          <w:sz w:val="20"/>
          <w:szCs w:val="20"/>
          <w:lang w:val="fr-CA"/>
        </w:rPr>
        <w:pict>
          <v:rect id="_x0000_i1045" style="width:2in;height:1pt" o:hrpct="0" o:hralign="center" o:hrstd="t" o:hrnoshade="t" o:hr="t" fillcolor="black [3213]" stroked="f"/>
        </w:pict>
      </w:r>
    </w:p>
    <w:p w:rsidR="00642F12" w:rsidRDefault="00642F12" w:rsidP="00642F12">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F1E74" w:rsidRPr="00EF1E74" w:rsidTr="008E2A8E">
        <w:trPr>
          <w:cantSplit/>
        </w:trPr>
        <w:tc>
          <w:tcPr>
            <w:tcW w:w="1458" w:type="dxa"/>
          </w:tcPr>
          <w:p w:rsidR="00EF1E74" w:rsidRPr="00EF1E74" w:rsidRDefault="00EF1E74" w:rsidP="00EF1E74">
            <w:pPr>
              <w:rPr>
                <w:sz w:val="20"/>
              </w:rPr>
            </w:pPr>
            <w:r w:rsidRPr="00EF1E74">
              <w:rPr>
                <w:b/>
                <w:sz w:val="20"/>
                <w:lang w:val="fr-CA"/>
              </w:rPr>
              <w:t>35456</w:t>
            </w:r>
          </w:p>
          <w:p w:rsidR="00EF1E74" w:rsidRPr="00EF1E74" w:rsidRDefault="00EF1E74" w:rsidP="00EF1E74">
            <w:pPr>
              <w:rPr>
                <w:b/>
                <w:sz w:val="20"/>
                <w:lang w:val="fr-CA"/>
              </w:rPr>
            </w:pPr>
          </w:p>
        </w:tc>
        <w:tc>
          <w:tcPr>
            <w:tcW w:w="8118" w:type="dxa"/>
          </w:tcPr>
          <w:p w:rsidR="00EF1E74" w:rsidRPr="00EF1E74" w:rsidRDefault="00EF1E74" w:rsidP="00EF1E74">
            <w:pPr>
              <w:rPr>
                <w:sz w:val="20"/>
              </w:rPr>
            </w:pPr>
            <w:r w:rsidRPr="00EF1E74">
              <w:rPr>
                <w:b/>
                <w:sz w:val="20"/>
                <w:u w:val="single"/>
              </w:rPr>
              <w:t>Prescient Foundation v. Minister of National Revenue</w:t>
            </w:r>
            <w:r w:rsidRPr="00EF1E74">
              <w:rPr>
                <w:sz w:val="20"/>
              </w:rPr>
              <w:t xml:space="preserve"> (F.C.) (Civil) (By Leave)</w:t>
            </w:r>
          </w:p>
          <w:p w:rsidR="00EF1E74" w:rsidRPr="00EF1E74" w:rsidRDefault="00EF1E74" w:rsidP="00EF1E74">
            <w:pPr>
              <w:rPr>
                <w:sz w:val="20"/>
              </w:rPr>
            </w:pPr>
          </w:p>
        </w:tc>
      </w:tr>
      <w:tr w:rsidR="00EF1E74" w:rsidRPr="00EF1E74" w:rsidTr="008E2A8E">
        <w:trPr>
          <w:cantSplit/>
        </w:trPr>
        <w:tc>
          <w:tcPr>
            <w:tcW w:w="1458" w:type="dxa"/>
          </w:tcPr>
          <w:p w:rsidR="00EF1E74" w:rsidRPr="00EF1E74" w:rsidRDefault="00EF1E74" w:rsidP="00EF1E74">
            <w:pPr>
              <w:rPr>
                <w:sz w:val="20"/>
              </w:rPr>
            </w:pPr>
            <w:r w:rsidRPr="00EF1E74">
              <w:rPr>
                <w:sz w:val="20"/>
              </w:rPr>
              <w:t>Coram :</w:t>
            </w:r>
          </w:p>
        </w:tc>
        <w:tc>
          <w:tcPr>
            <w:tcW w:w="8118" w:type="dxa"/>
          </w:tcPr>
          <w:p w:rsidR="00EF1E74" w:rsidRPr="00EF1E74" w:rsidRDefault="00EF1E74" w:rsidP="00EF1E74">
            <w:pPr>
              <w:rPr>
                <w:sz w:val="20"/>
              </w:rPr>
            </w:pPr>
            <w:r w:rsidRPr="00EF1E74">
              <w:rPr>
                <w:sz w:val="20"/>
                <w:u w:val="single"/>
              </w:rPr>
              <w:t>McLachlin C.J. and Cromwell and Wagner JJ.</w:t>
            </w:r>
          </w:p>
          <w:p w:rsidR="00EF1E74" w:rsidRPr="00EF1E74" w:rsidRDefault="00EF1E74" w:rsidP="00EF1E74">
            <w:pPr>
              <w:rPr>
                <w:sz w:val="20"/>
                <w:u w:val="single"/>
              </w:rPr>
            </w:pPr>
          </w:p>
        </w:tc>
      </w:tr>
      <w:tr w:rsidR="00EF1E74" w:rsidRPr="003513AE" w:rsidTr="008E2A8E">
        <w:trPr>
          <w:cantSplit/>
        </w:trPr>
        <w:tc>
          <w:tcPr>
            <w:tcW w:w="9576" w:type="dxa"/>
            <w:gridSpan w:val="2"/>
          </w:tcPr>
          <w:p w:rsidR="00EF1E74" w:rsidRPr="00EF1E74" w:rsidRDefault="00EF1E74" w:rsidP="00EF1E74">
            <w:pPr>
              <w:ind w:firstLine="720"/>
              <w:jc w:val="both"/>
              <w:rPr>
                <w:sz w:val="20"/>
              </w:rPr>
            </w:pPr>
            <w:r w:rsidRPr="00EF1E74">
              <w:rPr>
                <w:sz w:val="20"/>
              </w:rPr>
              <w:t>The application for leave to appeal from the judgment of the Federal Court of Appeal, Number A-310-12, 2013 FCA 120, dated May 1, 2013, is dismissed with costs.</w:t>
            </w:r>
          </w:p>
          <w:p w:rsidR="00EF1E74" w:rsidRPr="00EF1E74" w:rsidRDefault="00EF1E74" w:rsidP="00EF1E74">
            <w:pPr>
              <w:jc w:val="both"/>
              <w:rPr>
                <w:sz w:val="20"/>
              </w:rPr>
            </w:pPr>
          </w:p>
          <w:p w:rsidR="00EF1E74" w:rsidRPr="00EF1E74" w:rsidRDefault="00EF1E74" w:rsidP="00EF1E74">
            <w:pPr>
              <w:ind w:firstLine="720"/>
              <w:jc w:val="both"/>
              <w:rPr>
                <w:sz w:val="20"/>
                <w:lang w:val="fr-CA"/>
              </w:rPr>
            </w:pPr>
            <w:r w:rsidRPr="00EF1E74">
              <w:rPr>
                <w:sz w:val="20"/>
                <w:lang w:val="fr-CA"/>
              </w:rPr>
              <w:t>La demande d’autorisation d’appel de l’arrêt de la Cour d’appel fédérale, numéro A-310-12, 2013 CAF 120, daté du 1</w:t>
            </w:r>
            <w:r w:rsidRPr="00EF1E74">
              <w:rPr>
                <w:sz w:val="20"/>
                <w:vertAlign w:val="superscript"/>
                <w:lang w:val="fr-CA"/>
              </w:rPr>
              <w:t>er</w:t>
            </w:r>
            <w:r w:rsidRPr="00EF1E74">
              <w:rPr>
                <w:sz w:val="20"/>
                <w:lang w:val="fr-CA"/>
              </w:rPr>
              <w:t xml:space="preserve"> mai 2013, est rejetée avec dépens.</w:t>
            </w:r>
          </w:p>
        </w:tc>
      </w:tr>
    </w:tbl>
    <w:p w:rsidR="00642F12" w:rsidRPr="00EF1E74" w:rsidRDefault="00642F12" w:rsidP="00642F12">
      <w:pPr>
        <w:rPr>
          <w:sz w:val="20"/>
          <w:szCs w:val="20"/>
          <w:lang w:val="fr-CA"/>
        </w:rPr>
      </w:pPr>
    </w:p>
    <w:p w:rsidR="00642F12" w:rsidRPr="001B157C" w:rsidRDefault="00642F12" w:rsidP="00642F12">
      <w:pPr>
        <w:rPr>
          <w:sz w:val="20"/>
          <w:szCs w:val="20"/>
          <w:u w:val="single"/>
        </w:rPr>
      </w:pPr>
      <w:r w:rsidRPr="001B157C">
        <w:rPr>
          <w:sz w:val="20"/>
          <w:szCs w:val="20"/>
          <w:u w:val="single"/>
        </w:rPr>
        <w:t>CASE SUMMARY</w:t>
      </w:r>
    </w:p>
    <w:p w:rsidR="00642F12" w:rsidRDefault="00642F12" w:rsidP="00642F1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72B4" w:rsidRPr="00BC0F04" w:rsidTr="00A47690">
        <w:tc>
          <w:tcPr>
            <w:tcW w:w="5000" w:type="pct"/>
            <w:gridSpan w:val="3"/>
          </w:tcPr>
          <w:p w:rsidR="00A072B4" w:rsidRPr="00BC0F04" w:rsidRDefault="00A072B4" w:rsidP="00A47690">
            <w:pPr>
              <w:jc w:val="both"/>
              <w:rPr>
                <w:rFonts w:eastAsia="Calibri"/>
                <w:sz w:val="20"/>
              </w:rPr>
            </w:pPr>
            <w:r w:rsidRPr="00BC0F04">
              <w:rPr>
                <w:rFonts w:eastAsia="Calibri"/>
                <w:sz w:val="20"/>
              </w:rPr>
              <w:t xml:space="preserve">Taxation – Charitable registration – Legislation – Interpretation – Administrative law – Judicial review – Does a charitable foundation breach the requirement that it act exclusively for charitable purposes by participating in a transaction which benefits itself and other charities but decreases the tax payable to the Minister by a third party – Does </w:t>
            </w:r>
            <w:r w:rsidRPr="00BC0F04">
              <w:rPr>
                <w:rFonts w:eastAsia="Calibri"/>
                <w:i/>
                <w:sz w:val="20"/>
              </w:rPr>
              <w:t xml:space="preserve">article XXI(7) </w:t>
            </w:r>
            <w:r w:rsidRPr="00BC0F04">
              <w:rPr>
                <w:rFonts w:eastAsia="Calibri"/>
                <w:sz w:val="20"/>
              </w:rPr>
              <w:t>of the Canada</w:t>
            </w:r>
            <w:r w:rsidRPr="00BC0F04">
              <w:rPr>
                <w:rFonts w:eastAsia="Calibri"/>
                <w:sz w:val="20"/>
              </w:rPr>
              <w:noBreakHyphen/>
              <w:t xml:space="preserve">US Tax Convention as implemented by the </w:t>
            </w:r>
            <w:r w:rsidRPr="00BC0F04">
              <w:rPr>
                <w:rFonts w:eastAsia="Calibri"/>
                <w:i/>
                <w:sz w:val="20"/>
              </w:rPr>
              <w:t>Canada-United States Tax Convention Act</w:t>
            </w:r>
            <w:r w:rsidRPr="00BC0F04">
              <w:rPr>
                <w:rFonts w:eastAsia="Calibri"/>
                <w:sz w:val="20"/>
              </w:rPr>
              <w:t xml:space="preserve">, 1984 require the Minister to treat a Canadian public foundation’s gift to a United States charity as one made to a qualified donee – What is the proper interpretation of the legislative requirement that charities keep “records and books of account in such form as will enable the Minister to determinate whether there are any grounds for the revocation of its registration under this Act” – Can the Minister rely on a legislative provision to revoke a charity’s registration for an alleged failure to disclose information to a Canada Revenue Agency (“CRA”) auditor “voluntarily and promptly”, while also arguing that the audit has uncovered other grounds for revocation – </w:t>
            </w:r>
            <w:r w:rsidRPr="00BC0F04">
              <w:rPr>
                <w:rFonts w:eastAsia="Calibri"/>
                <w:i/>
                <w:sz w:val="20"/>
              </w:rPr>
              <w:t>Income</w:t>
            </w:r>
            <w:r w:rsidRPr="00BC0F04">
              <w:rPr>
                <w:rFonts w:eastAsia="Calibri"/>
                <w:sz w:val="20"/>
              </w:rPr>
              <w:t xml:space="preserve"> </w:t>
            </w:r>
            <w:r w:rsidRPr="00BC0F04">
              <w:rPr>
                <w:rFonts w:eastAsia="Calibri"/>
                <w:i/>
                <w:sz w:val="20"/>
              </w:rPr>
              <w:t>Tax Act</w:t>
            </w:r>
            <w:r w:rsidRPr="00BC0F04">
              <w:rPr>
                <w:rFonts w:eastAsia="Calibri"/>
                <w:sz w:val="20"/>
              </w:rPr>
              <w:t>, R.S.C. 1985, c. 1 (5</w:t>
            </w:r>
            <w:r w:rsidRPr="00BC0F04">
              <w:rPr>
                <w:rFonts w:eastAsia="Calibri"/>
                <w:sz w:val="20"/>
                <w:vertAlign w:val="superscript"/>
              </w:rPr>
              <w:t>th</w:t>
            </w:r>
            <w:r w:rsidRPr="00BC0F04">
              <w:rPr>
                <w:rFonts w:eastAsia="Calibri"/>
                <w:sz w:val="20"/>
              </w:rPr>
              <w:t xml:space="preserve"> Supp.) (the “</w:t>
            </w:r>
            <w:r w:rsidRPr="00BC0F04">
              <w:rPr>
                <w:rFonts w:eastAsia="Calibri"/>
                <w:i/>
                <w:sz w:val="20"/>
              </w:rPr>
              <w:t>Act</w:t>
            </w:r>
            <w:r w:rsidRPr="00BC0F04">
              <w:rPr>
                <w:rFonts w:eastAsia="Calibri"/>
                <w:sz w:val="20"/>
              </w:rPr>
              <w:t>”), sections 168(1) and 230(2)(a).</w:t>
            </w:r>
          </w:p>
        </w:tc>
      </w:tr>
      <w:tr w:rsidR="00A072B4" w:rsidRPr="00BC0F04" w:rsidTr="00A47690">
        <w:tc>
          <w:tcPr>
            <w:tcW w:w="5000" w:type="pct"/>
            <w:gridSpan w:val="3"/>
          </w:tcPr>
          <w:p w:rsidR="00A072B4" w:rsidRPr="00BC0F04" w:rsidRDefault="00A072B4" w:rsidP="00A47690">
            <w:pPr>
              <w:jc w:val="both"/>
              <w:rPr>
                <w:rFonts w:eastAsia="Calibri"/>
                <w:sz w:val="20"/>
              </w:rPr>
            </w:pPr>
          </w:p>
        </w:tc>
      </w:tr>
      <w:tr w:rsidR="00A072B4" w:rsidRPr="00BC0F04" w:rsidTr="00A47690">
        <w:tc>
          <w:tcPr>
            <w:tcW w:w="5000" w:type="pct"/>
            <w:gridSpan w:val="3"/>
          </w:tcPr>
          <w:p w:rsidR="00A072B4" w:rsidRPr="00BC0F04" w:rsidRDefault="00A072B4" w:rsidP="00A47690">
            <w:pPr>
              <w:jc w:val="both"/>
              <w:rPr>
                <w:rFonts w:eastAsia="Calibri"/>
                <w:sz w:val="20"/>
              </w:rPr>
            </w:pPr>
            <w:r w:rsidRPr="00BC0F04">
              <w:rPr>
                <w:rFonts w:eastAsia="Calibri"/>
                <w:sz w:val="20"/>
              </w:rPr>
              <w:t>The applicant was found to qualify as a registered charity under s. 149(1)(f) of the</w:t>
            </w:r>
            <w:r w:rsidRPr="00BC0F04">
              <w:rPr>
                <w:rFonts w:eastAsia="Calibri"/>
                <w:i/>
                <w:sz w:val="20"/>
              </w:rPr>
              <w:t xml:space="preserve"> Act</w:t>
            </w:r>
            <w:r w:rsidRPr="00BC0F04">
              <w:rPr>
                <w:rFonts w:eastAsia="Calibri"/>
                <w:sz w:val="20"/>
              </w:rPr>
              <w:t xml:space="preserve"> and designated a charitable public foundation.  The CRA sent a notice of intention to revoke the applicant’s registration pursuant to s. 168(1) of the </w:t>
            </w:r>
            <w:r w:rsidRPr="00BC0F04">
              <w:rPr>
                <w:rFonts w:eastAsia="Calibri"/>
                <w:i/>
                <w:sz w:val="20"/>
              </w:rPr>
              <w:t>Act</w:t>
            </w:r>
            <w:r w:rsidRPr="00BC0F04">
              <w:rPr>
                <w:rFonts w:eastAsia="Calibri"/>
                <w:sz w:val="20"/>
              </w:rPr>
              <w:t xml:space="preserve">, and a formal confirmation notice was issued by the Minister.  The grounds for the revocation were that the applicant: a) participated in a tax planning arrangement for the private benefit of others; b) transferred an amount of $574,000 for a share purchase that was in fact a non-charitable gift to a non-qualified donee arising from the tax planning arrangement; c) made a gift to a non-qualified donee in the form of a $500,000 transfer to a non-profit </w:t>
            </w:r>
            <w:r w:rsidRPr="00BC0F04">
              <w:rPr>
                <w:rFonts w:eastAsia="Calibri"/>
                <w:sz w:val="20"/>
              </w:rPr>
              <w:lastRenderedPageBreak/>
              <w:t>organization in the United States; and d) failed to maintain adequate books and records.  The Federal Court of Appeal dismissed the applicant’s appeal, finding that the Minister acted reasonably in revoking the applicant’s registration on the basis of grounds a) and d).</w:t>
            </w:r>
          </w:p>
          <w:p w:rsidR="00A072B4" w:rsidRPr="00BC0F04" w:rsidRDefault="00A072B4" w:rsidP="00A47690">
            <w:pPr>
              <w:jc w:val="both"/>
              <w:rPr>
                <w:rFonts w:eastAsia="Calibri"/>
                <w:sz w:val="20"/>
              </w:rPr>
            </w:pPr>
          </w:p>
        </w:tc>
      </w:tr>
      <w:tr w:rsidR="00A072B4" w:rsidRPr="00BC0F04" w:rsidTr="00A47690">
        <w:tc>
          <w:tcPr>
            <w:tcW w:w="2427" w:type="pct"/>
          </w:tcPr>
          <w:p w:rsidR="00A072B4" w:rsidRPr="00BC0F04" w:rsidRDefault="00A072B4" w:rsidP="00A47690">
            <w:pPr>
              <w:jc w:val="both"/>
              <w:rPr>
                <w:rFonts w:eastAsia="Calibri"/>
                <w:sz w:val="20"/>
              </w:rPr>
            </w:pPr>
            <w:r w:rsidRPr="00BC0F04">
              <w:rPr>
                <w:rFonts w:eastAsia="Calibri"/>
                <w:sz w:val="20"/>
              </w:rPr>
              <w:lastRenderedPageBreak/>
              <w:t>May 1, 2013</w:t>
            </w:r>
          </w:p>
          <w:p w:rsidR="00A072B4" w:rsidRPr="00BC0F04" w:rsidRDefault="00A072B4" w:rsidP="00A47690">
            <w:pPr>
              <w:jc w:val="both"/>
              <w:rPr>
                <w:rFonts w:eastAsia="Calibri"/>
                <w:sz w:val="20"/>
              </w:rPr>
            </w:pPr>
            <w:r w:rsidRPr="00BC0F04">
              <w:rPr>
                <w:rFonts w:eastAsia="Calibri"/>
                <w:sz w:val="20"/>
              </w:rPr>
              <w:t>Federal Court of Appeal</w:t>
            </w:r>
          </w:p>
          <w:p w:rsidR="00A072B4" w:rsidRPr="00BC0F04" w:rsidRDefault="00A072B4" w:rsidP="00A47690">
            <w:pPr>
              <w:jc w:val="both"/>
              <w:rPr>
                <w:rFonts w:eastAsia="Calibri"/>
                <w:sz w:val="20"/>
              </w:rPr>
            </w:pPr>
            <w:r w:rsidRPr="00BC0F04">
              <w:rPr>
                <w:rFonts w:eastAsia="Calibri"/>
                <w:sz w:val="20"/>
              </w:rPr>
              <w:t>(Pelletier, Gauthier and Mainville JJ.A.)</w:t>
            </w:r>
          </w:p>
          <w:p w:rsidR="00A072B4" w:rsidRPr="00BC0F04" w:rsidRDefault="003513AE" w:rsidP="00A47690">
            <w:pPr>
              <w:jc w:val="both"/>
              <w:rPr>
                <w:rFonts w:eastAsia="Calibri"/>
                <w:sz w:val="20"/>
              </w:rPr>
            </w:pPr>
            <w:hyperlink r:id="rId35" w:history="1">
              <w:r w:rsidR="00A072B4" w:rsidRPr="00BC0F04">
                <w:rPr>
                  <w:rFonts w:eastAsia="Calibri"/>
                  <w:color w:val="0000FF"/>
                  <w:sz w:val="20"/>
                  <w:u w:val="single"/>
                </w:rPr>
                <w:t>2013 FCA 120</w:t>
              </w:r>
            </w:hyperlink>
          </w:p>
          <w:p w:rsidR="00A072B4" w:rsidRPr="00BC0F04" w:rsidRDefault="00A072B4" w:rsidP="00A47690">
            <w:pPr>
              <w:jc w:val="both"/>
              <w:rPr>
                <w:rFonts w:eastAsia="Calibri"/>
                <w:sz w:val="20"/>
              </w:rPr>
            </w:pP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rPr>
            </w:pPr>
            <w:r w:rsidRPr="00BC0F04">
              <w:rPr>
                <w:rFonts w:eastAsia="Calibri"/>
                <w:sz w:val="20"/>
              </w:rPr>
              <w:t>Appeal from Minister of National Revenue’s confirmation of proposal to revoke the applicant’s registration as a charity, dismissed</w:t>
            </w:r>
          </w:p>
          <w:p w:rsidR="00A072B4" w:rsidRPr="00BC0F04" w:rsidRDefault="00A072B4" w:rsidP="00A47690">
            <w:pPr>
              <w:jc w:val="both"/>
              <w:rPr>
                <w:rFonts w:eastAsia="Calibri"/>
                <w:sz w:val="20"/>
              </w:rPr>
            </w:pPr>
          </w:p>
        </w:tc>
      </w:tr>
      <w:tr w:rsidR="00A072B4" w:rsidRPr="00BC0F04" w:rsidTr="00EF1E74">
        <w:trPr>
          <w:cantSplit/>
        </w:trPr>
        <w:tc>
          <w:tcPr>
            <w:tcW w:w="2427" w:type="pct"/>
          </w:tcPr>
          <w:p w:rsidR="00A072B4" w:rsidRPr="00BC0F04" w:rsidRDefault="00A072B4" w:rsidP="00A47690">
            <w:pPr>
              <w:jc w:val="both"/>
              <w:rPr>
                <w:rFonts w:eastAsia="Calibri"/>
                <w:sz w:val="20"/>
              </w:rPr>
            </w:pPr>
            <w:r w:rsidRPr="00BC0F04">
              <w:rPr>
                <w:rFonts w:eastAsia="Calibri"/>
                <w:sz w:val="20"/>
              </w:rPr>
              <w:t>July 31, 2013</w:t>
            </w:r>
          </w:p>
          <w:p w:rsidR="00A072B4" w:rsidRPr="00BC0F04" w:rsidRDefault="00A072B4" w:rsidP="00A47690">
            <w:pPr>
              <w:jc w:val="both"/>
              <w:rPr>
                <w:rFonts w:eastAsia="Calibri"/>
                <w:sz w:val="20"/>
              </w:rPr>
            </w:pPr>
            <w:r w:rsidRPr="00BC0F04">
              <w:rPr>
                <w:rFonts w:eastAsia="Calibri"/>
                <w:sz w:val="20"/>
              </w:rPr>
              <w:t>Supreme Court of Canada</w:t>
            </w:r>
          </w:p>
        </w:tc>
        <w:tc>
          <w:tcPr>
            <w:tcW w:w="243" w:type="pct"/>
          </w:tcPr>
          <w:p w:rsidR="00A072B4" w:rsidRPr="00BC0F04" w:rsidRDefault="00A072B4" w:rsidP="00A47690">
            <w:pPr>
              <w:jc w:val="both"/>
              <w:rPr>
                <w:rFonts w:eastAsia="Calibri"/>
                <w:sz w:val="20"/>
              </w:rPr>
            </w:pPr>
          </w:p>
        </w:tc>
        <w:tc>
          <w:tcPr>
            <w:tcW w:w="2330" w:type="pct"/>
          </w:tcPr>
          <w:p w:rsidR="00A072B4" w:rsidRPr="00BC0F04" w:rsidRDefault="00A072B4" w:rsidP="00A47690">
            <w:pPr>
              <w:jc w:val="both"/>
              <w:rPr>
                <w:rFonts w:eastAsia="Calibri"/>
                <w:sz w:val="20"/>
              </w:rPr>
            </w:pPr>
            <w:r w:rsidRPr="00BC0F04">
              <w:rPr>
                <w:rFonts w:eastAsia="Calibri"/>
                <w:sz w:val="20"/>
              </w:rPr>
              <w:t>Application for leave to appeal filed</w:t>
            </w:r>
          </w:p>
          <w:p w:rsidR="00A072B4" w:rsidRPr="00BC0F04" w:rsidRDefault="00A072B4" w:rsidP="00A47690">
            <w:pPr>
              <w:jc w:val="both"/>
              <w:rPr>
                <w:rFonts w:eastAsia="Calibri"/>
                <w:sz w:val="20"/>
              </w:rPr>
            </w:pPr>
          </w:p>
        </w:tc>
      </w:tr>
    </w:tbl>
    <w:p w:rsidR="00642F12" w:rsidRDefault="00642F12" w:rsidP="00642F12">
      <w:pPr>
        <w:rPr>
          <w:sz w:val="20"/>
          <w:szCs w:val="20"/>
        </w:rPr>
      </w:pPr>
    </w:p>
    <w:p w:rsidR="00642F12" w:rsidRDefault="003513AE" w:rsidP="00642F12">
      <w:pPr>
        <w:rPr>
          <w:sz w:val="20"/>
          <w:szCs w:val="20"/>
        </w:rPr>
      </w:pPr>
      <w:r>
        <w:rPr>
          <w:sz w:val="20"/>
          <w:szCs w:val="20"/>
          <w:lang w:val="fr-CA"/>
        </w:rPr>
        <w:pict>
          <v:rect id="_x0000_i1046" style="width:2in;height:1pt" o:hrpct="0" o:hralign="center" o:hrstd="t" o:hrnoshade="t" o:hr="t" fillcolor="black [3213]" stroked="f"/>
        </w:pict>
      </w:r>
    </w:p>
    <w:p w:rsidR="00642F12" w:rsidRDefault="00642F12" w:rsidP="00642F12">
      <w:pPr>
        <w:rPr>
          <w:sz w:val="20"/>
          <w:szCs w:val="20"/>
        </w:rPr>
      </w:pPr>
    </w:p>
    <w:p w:rsidR="00642F12" w:rsidRPr="001B157C" w:rsidRDefault="00642F12" w:rsidP="00642F12">
      <w:pPr>
        <w:rPr>
          <w:sz w:val="20"/>
          <w:szCs w:val="20"/>
          <w:u w:val="single"/>
          <w:lang w:val="fr-CA"/>
        </w:rPr>
      </w:pPr>
      <w:r w:rsidRPr="001B157C">
        <w:rPr>
          <w:sz w:val="20"/>
          <w:szCs w:val="20"/>
          <w:u w:val="single"/>
          <w:lang w:val="fr-CA"/>
        </w:rPr>
        <w:t>RÉSUMÉ DE L’AFFAIRE</w:t>
      </w:r>
    </w:p>
    <w:p w:rsidR="00642F12" w:rsidRDefault="00642F12" w:rsidP="00642F1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72B4" w:rsidRPr="00BC0F04" w:rsidTr="00A47690">
        <w:tc>
          <w:tcPr>
            <w:tcW w:w="5000" w:type="pct"/>
            <w:gridSpan w:val="3"/>
          </w:tcPr>
          <w:p w:rsidR="00A072B4" w:rsidRPr="00BC0F04" w:rsidRDefault="00A072B4" w:rsidP="00A47690">
            <w:pPr>
              <w:jc w:val="both"/>
              <w:rPr>
                <w:rFonts w:eastAsia="Calibri"/>
                <w:sz w:val="20"/>
                <w:lang w:val="fr-CA"/>
              </w:rPr>
            </w:pPr>
            <w:r w:rsidRPr="00BC0F04">
              <w:rPr>
                <w:rFonts w:eastAsia="Calibri"/>
                <w:sz w:val="20"/>
                <w:lang w:val="fr-CA"/>
              </w:rPr>
              <w:t>Droit fiscal – Enregistrement comme organisme de bienfaisance – Législation – Interprétation – Droit administratif – Contrôle judiciaire – Une fondation de bienfaisance viole-t-elle l'obligation d'agir exclusivement à des fins de bienfaisance en participant à une opération qui lui profite et qui profite à d’autres organismes de bienfaisance, mais qui réduit l'impôt payable au ministre par un tiers? – L’</w:t>
            </w:r>
            <w:r w:rsidRPr="00BC0F04">
              <w:rPr>
                <w:rFonts w:eastAsia="Calibri"/>
                <w:i/>
                <w:sz w:val="20"/>
                <w:lang w:val="fr-CA"/>
              </w:rPr>
              <w:t>article XXI(7)</w:t>
            </w:r>
            <w:r w:rsidRPr="00BC0F04">
              <w:rPr>
                <w:rFonts w:eastAsia="Calibri"/>
                <w:sz w:val="20"/>
                <w:lang w:val="fr-CA"/>
              </w:rPr>
              <w:t xml:space="preserve"> de la convention fiscale Canada-États-Unis mise en œuvre par la</w:t>
            </w:r>
            <w:r w:rsidRPr="00BC0F04">
              <w:rPr>
                <w:rFonts w:eastAsia="Calibri"/>
                <w:i/>
                <w:sz w:val="20"/>
                <w:lang w:val="fr-CA"/>
              </w:rPr>
              <w:t xml:space="preserve"> Loi de 1984 sur la Convention Canada États-Unis en matière d'impôts</w:t>
            </w:r>
            <w:r w:rsidRPr="00BC0F04">
              <w:rPr>
                <w:rFonts w:eastAsia="Calibri"/>
                <w:sz w:val="20"/>
                <w:lang w:val="fr-CA"/>
              </w:rPr>
              <w:t>, oblige-t-il le ministre à traiter le don d'une fondation publique canadienne à un organisme de bienfaisance des États</w:t>
            </w:r>
            <w:r w:rsidRPr="00BC0F04">
              <w:rPr>
                <w:rFonts w:eastAsia="Calibri"/>
                <w:sz w:val="20"/>
                <w:lang w:val="fr-CA"/>
              </w:rPr>
              <w:noBreakHyphen/>
              <w:t>Unis comme un don fait à un donataire reconnu? – Quelle est la juste interprétation de l'exigence législative qui oblige les organismes de bienfaisance de conserver « des registres et des livres de comptes sous une forme qui permet au ministre de déterminer s’il existe des motifs de révocation de l’enregistrement de l’organisme ou de l’association en vertu de la présente loi »? – Le ministre peut-il s'appuyer sur une disposition législative pour révoquer l'enregistrement d'un organisme de bienfaisance qui aurait censément omis de communiquer des renseignements à un vérificateur de l'Agence de revenu du Canada (« ARC ») [</w:t>
            </w:r>
            <w:r w:rsidRPr="00BC0F04">
              <w:rPr>
                <w:rFonts w:eastAsia="Calibri"/>
                <w:smallCaps/>
                <w:sz w:val="20"/>
                <w:lang w:val="fr-CA"/>
              </w:rPr>
              <w:t>traduction</w:t>
            </w:r>
            <w:r w:rsidRPr="00BC0F04">
              <w:rPr>
                <w:rFonts w:eastAsia="Calibri"/>
                <w:sz w:val="20"/>
                <w:lang w:val="fr-CA"/>
              </w:rPr>
              <w:t>] « volontairement et dans les plus brefs délais », toute en plaidant que la vérification avait révélé d'autres motifs de révocation? –</w:t>
            </w:r>
            <w:r w:rsidRPr="00BC0F04">
              <w:rPr>
                <w:rFonts w:eastAsia="Calibri"/>
                <w:i/>
                <w:sz w:val="20"/>
                <w:lang w:val="fr-CA"/>
              </w:rPr>
              <w:t xml:space="preserve"> Loi de l'impôt sur le revenu</w:t>
            </w:r>
            <w:r w:rsidRPr="00BC0F04">
              <w:rPr>
                <w:rFonts w:eastAsia="Calibri"/>
                <w:sz w:val="20"/>
                <w:lang w:val="fr-CA"/>
              </w:rPr>
              <w:t>, L.R.C. 1985, ch. 1 (5</w:t>
            </w:r>
            <w:r w:rsidRPr="00BC0F04">
              <w:rPr>
                <w:rFonts w:eastAsia="Calibri"/>
                <w:sz w:val="20"/>
                <w:vertAlign w:val="superscript"/>
                <w:lang w:val="fr-CA"/>
              </w:rPr>
              <w:t xml:space="preserve">e </w:t>
            </w:r>
            <w:r w:rsidRPr="00BC0F04">
              <w:rPr>
                <w:rFonts w:eastAsia="Calibri"/>
                <w:sz w:val="20"/>
                <w:lang w:val="fr-CA"/>
              </w:rPr>
              <w:t>suppl.) (la « </w:t>
            </w:r>
            <w:r w:rsidRPr="00BC0F04">
              <w:rPr>
                <w:rFonts w:eastAsia="Calibri"/>
                <w:i/>
                <w:sz w:val="20"/>
                <w:lang w:val="fr-CA"/>
              </w:rPr>
              <w:t>Loi</w:t>
            </w:r>
            <w:r w:rsidRPr="00BC0F04">
              <w:rPr>
                <w:rFonts w:eastAsia="Calibri"/>
                <w:sz w:val="20"/>
                <w:lang w:val="fr-CA"/>
              </w:rPr>
              <w:t> »), art. 168(1) et 230(2)</w:t>
            </w:r>
            <w:r w:rsidRPr="00BC0F04">
              <w:rPr>
                <w:rFonts w:eastAsia="Calibri"/>
                <w:i/>
                <w:sz w:val="20"/>
                <w:lang w:val="fr-CA"/>
              </w:rPr>
              <w:t>a</w:t>
            </w:r>
            <w:r w:rsidRPr="00BC0F04">
              <w:rPr>
                <w:rFonts w:eastAsia="Calibri"/>
                <w:sz w:val="20"/>
                <w:lang w:val="fr-CA"/>
              </w:rPr>
              <w:t>).</w:t>
            </w:r>
          </w:p>
        </w:tc>
      </w:tr>
      <w:tr w:rsidR="00A072B4" w:rsidRPr="00BC0F04" w:rsidTr="00A47690">
        <w:tc>
          <w:tcPr>
            <w:tcW w:w="5000" w:type="pct"/>
            <w:gridSpan w:val="3"/>
          </w:tcPr>
          <w:p w:rsidR="00A072B4" w:rsidRPr="00BC0F04" w:rsidRDefault="00A072B4" w:rsidP="00A47690">
            <w:pPr>
              <w:jc w:val="both"/>
              <w:rPr>
                <w:rFonts w:eastAsia="Calibri"/>
                <w:sz w:val="20"/>
                <w:lang w:val="fr-CA"/>
              </w:rPr>
            </w:pPr>
          </w:p>
        </w:tc>
      </w:tr>
      <w:tr w:rsidR="00A072B4" w:rsidRPr="003513AE" w:rsidTr="00A47690">
        <w:tc>
          <w:tcPr>
            <w:tcW w:w="5000" w:type="pct"/>
            <w:gridSpan w:val="3"/>
          </w:tcPr>
          <w:p w:rsidR="00A072B4" w:rsidRPr="00BC0F04" w:rsidRDefault="00A072B4" w:rsidP="00A47690">
            <w:pPr>
              <w:jc w:val="both"/>
              <w:rPr>
                <w:rFonts w:eastAsia="Calibri"/>
                <w:sz w:val="20"/>
                <w:lang w:val="fr-CA"/>
              </w:rPr>
            </w:pPr>
            <w:r w:rsidRPr="00BC0F04">
              <w:rPr>
                <w:rFonts w:eastAsia="Calibri"/>
                <w:sz w:val="20"/>
                <w:lang w:val="fr-CA"/>
              </w:rPr>
              <w:t>La demanderesse a été reconnue comme organisme de bienfaisance enregistré visé par l’al. 149(1)</w:t>
            </w:r>
            <w:r w:rsidRPr="00BC0F04">
              <w:rPr>
                <w:rFonts w:eastAsia="Calibri"/>
                <w:i/>
                <w:sz w:val="20"/>
                <w:lang w:val="fr-CA"/>
              </w:rPr>
              <w:t>f</w:t>
            </w:r>
            <w:r w:rsidRPr="00BC0F04">
              <w:rPr>
                <w:rFonts w:eastAsia="Calibri"/>
                <w:sz w:val="20"/>
                <w:lang w:val="fr-CA"/>
              </w:rPr>
              <w:t>) de la</w:t>
            </w:r>
            <w:r w:rsidRPr="00BC0F04">
              <w:rPr>
                <w:rFonts w:eastAsia="Calibri"/>
                <w:i/>
                <w:sz w:val="20"/>
                <w:lang w:val="fr-CA"/>
              </w:rPr>
              <w:t xml:space="preserve"> Loi</w:t>
            </w:r>
            <w:r w:rsidRPr="00BC0F04">
              <w:rPr>
                <w:rFonts w:eastAsia="Calibri"/>
                <w:sz w:val="20"/>
                <w:lang w:val="fr-CA"/>
              </w:rPr>
              <w:t xml:space="preserve"> et désignée fondation de bienfaisance publique.  L’ARC a envoyé un avis de son intention de révoquer l'enregistrement de la demanderesse en application du par. 168(1) de </w:t>
            </w:r>
            <w:r w:rsidRPr="00BC0F04">
              <w:rPr>
                <w:rFonts w:eastAsia="Calibri"/>
                <w:i/>
                <w:sz w:val="20"/>
                <w:lang w:val="fr-CA"/>
              </w:rPr>
              <w:t>Loi</w:t>
            </w:r>
            <w:r w:rsidRPr="00BC0F04">
              <w:rPr>
                <w:rFonts w:eastAsia="Calibri"/>
                <w:sz w:val="20"/>
                <w:lang w:val="fr-CA"/>
              </w:rPr>
              <w:t>, et le ministre a émis un avis de confirmation officielle.  Les motifs de révocation étaient les suivants : a) la demanderesse aurait participé à des arrangements de planification fiscale à l'avantage privé de tiers; b) elle aurait transféré la somme de 574 000 $ pour l'acquisition d'actions alors qu’il s’agissait en fait d’un don autre qu'à des fins de bienfaisance à un donataire non reconnu découlant des arrangements de planification fiscale; c) elle aurait fait un don à un donataire non reconnu sous la forme d’un virement de 500 000 $ à un organisme sans but lucratif aux États-Unis; d) elle aurait omis de conserver des registres et des livres de comptes adéquats.  La Cour d'appel fédérale a rejeté l'appel de la demanderesse, concluant que le ministre avait agi raisonnablement en révoquant son enregistrement pour les motifs a) et d).</w:t>
            </w:r>
          </w:p>
          <w:p w:rsidR="00A072B4" w:rsidRPr="00BC0F04" w:rsidRDefault="00A072B4" w:rsidP="00A47690">
            <w:pPr>
              <w:jc w:val="both"/>
              <w:rPr>
                <w:rFonts w:eastAsia="Calibri"/>
                <w:sz w:val="20"/>
                <w:lang w:val="fr-CA"/>
              </w:rPr>
            </w:pPr>
          </w:p>
        </w:tc>
      </w:tr>
      <w:tr w:rsidR="00A072B4" w:rsidRPr="003513AE" w:rsidTr="00A47690">
        <w:tc>
          <w:tcPr>
            <w:tcW w:w="2427" w:type="pct"/>
          </w:tcPr>
          <w:p w:rsidR="00A072B4" w:rsidRPr="00BC0F04" w:rsidRDefault="00A072B4" w:rsidP="00A47690">
            <w:pPr>
              <w:jc w:val="both"/>
              <w:rPr>
                <w:rFonts w:eastAsia="Calibri"/>
                <w:sz w:val="20"/>
                <w:lang w:val="fr-CA"/>
              </w:rPr>
            </w:pPr>
            <w:r w:rsidRPr="00BC0F04">
              <w:rPr>
                <w:rFonts w:eastAsia="Calibri"/>
                <w:sz w:val="20"/>
                <w:lang w:val="fr-CA"/>
              </w:rPr>
              <w:t>1</w:t>
            </w:r>
            <w:r w:rsidRPr="00BC0F04">
              <w:rPr>
                <w:rFonts w:eastAsia="Calibri"/>
                <w:sz w:val="20"/>
                <w:vertAlign w:val="superscript"/>
                <w:lang w:val="fr-CA"/>
              </w:rPr>
              <w:t>er</w:t>
            </w:r>
            <w:r w:rsidRPr="00BC0F04">
              <w:rPr>
                <w:rFonts w:eastAsia="Calibri"/>
                <w:sz w:val="20"/>
                <w:lang w:val="fr-CA"/>
              </w:rPr>
              <w:t xml:space="preserve"> mai 2013</w:t>
            </w:r>
          </w:p>
          <w:p w:rsidR="00A072B4" w:rsidRPr="00BC0F04" w:rsidRDefault="00A072B4" w:rsidP="00A47690">
            <w:pPr>
              <w:jc w:val="both"/>
              <w:rPr>
                <w:rFonts w:eastAsia="Calibri"/>
                <w:sz w:val="20"/>
                <w:lang w:val="fr-CA"/>
              </w:rPr>
            </w:pPr>
            <w:r w:rsidRPr="00BC0F04">
              <w:rPr>
                <w:rFonts w:eastAsia="Calibri"/>
                <w:sz w:val="20"/>
                <w:lang w:val="fr-CA"/>
              </w:rPr>
              <w:t xml:space="preserve">Cour d'appel fédérale </w:t>
            </w:r>
          </w:p>
          <w:p w:rsidR="00A072B4" w:rsidRPr="00BC0F04" w:rsidRDefault="00A072B4" w:rsidP="00A47690">
            <w:pPr>
              <w:jc w:val="both"/>
              <w:rPr>
                <w:rFonts w:eastAsia="Calibri"/>
                <w:sz w:val="20"/>
                <w:lang w:val="fr-CA"/>
              </w:rPr>
            </w:pPr>
            <w:r w:rsidRPr="00BC0F04">
              <w:rPr>
                <w:rFonts w:eastAsia="Calibri"/>
                <w:sz w:val="20"/>
                <w:lang w:val="fr-CA"/>
              </w:rPr>
              <w:t>(Juges Pelletier, Gauthier et Mainville)</w:t>
            </w:r>
          </w:p>
          <w:p w:rsidR="00A072B4" w:rsidRPr="00BC0F04" w:rsidRDefault="003513AE" w:rsidP="00A47690">
            <w:pPr>
              <w:jc w:val="both"/>
              <w:rPr>
                <w:rFonts w:eastAsia="Calibri"/>
                <w:sz w:val="20"/>
                <w:lang w:val="fr-CA"/>
              </w:rPr>
            </w:pPr>
            <w:hyperlink r:id="rId36" w:history="1">
              <w:r w:rsidR="00A072B4" w:rsidRPr="00BC0F04">
                <w:rPr>
                  <w:rFonts w:eastAsia="Calibri"/>
                  <w:color w:val="0000FF"/>
                  <w:sz w:val="20"/>
                  <w:u w:val="single"/>
                  <w:lang w:val="fr-CA"/>
                </w:rPr>
                <w:t>2013 FCA 120</w:t>
              </w:r>
            </w:hyperlink>
          </w:p>
          <w:p w:rsidR="00A072B4" w:rsidRPr="00BC0F04" w:rsidRDefault="00A072B4" w:rsidP="00A47690">
            <w:pPr>
              <w:jc w:val="both"/>
              <w:rPr>
                <w:rFonts w:eastAsia="Calibri"/>
                <w:sz w:val="20"/>
                <w:lang w:val="fr-CA"/>
              </w:rPr>
            </w:pPr>
          </w:p>
        </w:tc>
        <w:tc>
          <w:tcPr>
            <w:tcW w:w="243" w:type="pct"/>
          </w:tcPr>
          <w:p w:rsidR="00A072B4" w:rsidRPr="00BC0F04" w:rsidRDefault="00A072B4" w:rsidP="00A47690">
            <w:pPr>
              <w:jc w:val="both"/>
              <w:rPr>
                <w:rFonts w:eastAsia="Calibri"/>
                <w:sz w:val="20"/>
                <w:lang w:val="fr-CA"/>
              </w:rPr>
            </w:pPr>
          </w:p>
        </w:tc>
        <w:tc>
          <w:tcPr>
            <w:tcW w:w="2330" w:type="pct"/>
          </w:tcPr>
          <w:p w:rsidR="00A072B4" w:rsidRPr="00BC0F04" w:rsidRDefault="00A072B4" w:rsidP="00A47690">
            <w:pPr>
              <w:jc w:val="both"/>
              <w:rPr>
                <w:rFonts w:eastAsia="Calibri"/>
                <w:sz w:val="20"/>
                <w:lang w:val="fr-CA"/>
              </w:rPr>
            </w:pPr>
            <w:r w:rsidRPr="00BC0F04">
              <w:rPr>
                <w:rFonts w:eastAsia="Calibri"/>
                <w:sz w:val="20"/>
                <w:lang w:val="fr-CA"/>
              </w:rPr>
              <w:t>Appel de la confirmation par le ministre du Revenu national d'une proposition de révoquer l'enregistrement de la demanderesse comme organisme de bienfaisance, rejeté</w:t>
            </w:r>
          </w:p>
          <w:p w:rsidR="00A072B4" w:rsidRPr="00BC0F04" w:rsidRDefault="00A072B4" w:rsidP="00A47690">
            <w:pPr>
              <w:jc w:val="both"/>
              <w:rPr>
                <w:rFonts w:eastAsia="Calibri"/>
                <w:sz w:val="20"/>
                <w:lang w:val="fr-CA"/>
              </w:rPr>
            </w:pPr>
          </w:p>
        </w:tc>
      </w:tr>
      <w:tr w:rsidR="00A072B4" w:rsidRPr="00BC0F04" w:rsidTr="00A47690">
        <w:tc>
          <w:tcPr>
            <w:tcW w:w="2427" w:type="pct"/>
          </w:tcPr>
          <w:p w:rsidR="00A072B4" w:rsidRPr="00BC0F04" w:rsidRDefault="00A072B4" w:rsidP="00A47690">
            <w:pPr>
              <w:jc w:val="both"/>
              <w:rPr>
                <w:rFonts w:eastAsia="Calibri"/>
                <w:sz w:val="20"/>
                <w:lang w:val="fr-CA"/>
              </w:rPr>
            </w:pPr>
            <w:r w:rsidRPr="00BC0F04">
              <w:rPr>
                <w:rFonts w:eastAsia="Calibri"/>
                <w:sz w:val="20"/>
                <w:lang w:val="fr-CA"/>
              </w:rPr>
              <w:lastRenderedPageBreak/>
              <w:t>31 juillet 2013</w:t>
            </w:r>
          </w:p>
          <w:p w:rsidR="00A072B4" w:rsidRPr="00BC0F04" w:rsidRDefault="00A072B4" w:rsidP="00A47690">
            <w:pPr>
              <w:jc w:val="both"/>
              <w:rPr>
                <w:rFonts w:eastAsia="Calibri"/>
                <w:sz w:val="20"/>
                <w:lang w:val="fr-CA"/>
              </w:rPr>
            </w:pPr>
            <w:r w:rsidRPr="00BC0F04">
              <w:rPr>
                <w:rFonts w:eastAsia="Calibri"/>
                <w:sz w:val="20"/>
                <w:lang w:val="fr-CA"/>
              </w:rPr>
              <w:t>Cour suprême du Canada</w:t>
            </w:r>
          </w:p>
        </w:tc>
        <w:tc>
          <w:tcPr>
            <w:tcW w:w="243" w:type="pct"/>
          </w:tcPr>
          <w:p w:rsidR="00A072B4" w:rsidRPr="00BC0F04" w:rsidRDefault="00A072B4" w:rsidP="00A47690">
            <w:pPr>
              <w:jc w:val="both"/>
              <w:rPr>
                <w:rFonts w:eastAsia="Calibri"/>
                <w:sz w:val="20"/>
                <w:lang w:val="fr-CA"/>
              </w:rPr>
            </w:pPr>
          </w:p>
        </w:tc>
        <w:tc>
          <w:tcPr>
            <w:tcW w:w="2330" w:type="pct"/>
          </w:tcPr>
          <w:p w:rsidR="00A072B4" w:rsidRPr="00BC0F04" w:rsidRDefault="00A072B4" w:rsidP="00A47690">
            <w:pPr>
              <w:jc w:val="both"/>
              <w:rPr>
                <w:rFonts w:eastAsia="Calibri"/>
                <w:sz w:val="20"/>
                <w:lang w:val="fr-CA"/>
              </w:rPr>
            </w:pPr>
            <w:r w:rsidRPr="00BC0F04">
              <w:rPr>
                <w:rFonts w:eastAsia="Calibri"/>
                <w:sz w:val="20"/>
                <w:lang w:val="fr-CA"/>
              </w:rPr>
              <w:t>Demande d'autorisation d'appel, déposée</w:t>
            </w:r>
          </w:p>
          <w:p w:rsidR="00A072B4" w:rsidRPr="00BC0F04" w:rsidRDefault="00A072B4" w:rsidP="00A47690">
            <w:pPr>
              <w:jc w:val="both"/>
              <w:rPr>
                <w:rFonts w:eastAsia="Calibri"/>
                <w:sz w:val="20"/>
                <w:lang w:val="fr-CA"/>
              </w:rPr>
            </w:pPr>
          </w:p>
        </w:tc>
      </w:tr>
    </w:tbl>
    <w:p w:rsidR="00642F12" w:rsidRDefault="00642F12" w:rsidP="00642F12">
      <w:pPr>
        <w:rPr>
          <w:sz w:val="20"/>
          <w:szCs w:val="20"/>
        </w:rPr>
      </w:pPr>
    </w:p>
    <w:p w:rsidR="00642F12" w:rsidRDefault="003513AE" w:rsidP="00642F12">
      <w:pPr>
        <w:rPr>
          <w:sz w:val="20"/>
          <w:szCs w:val="20"/>
        </w:rPr>
      </w:pPr>
      <w:r>
        <w:rPr>
          <w:sz w:val="20"/>
          <w:szCs w:val="20"/>
          <w:lang w:val="fr-CA"/>
        </w:rPr>
        <w:pict>
          <v:rect id="_x0000_i1047" style="width:2in;height:1pt" o:hrpct="0" o:hralign="center" o:hrstd="t" o:hrnoshade="t" o:hr="t" fillcolor="black [3213]" stroked="f"/>
        </w:pict>
      </w:r>
    </w:p>
    <w:p w:rsidR="00642F12" w:rsidRDefault="00642F12" w:rsidP="00642F12">
      <w:pPr>
        <w:rPr>
          <w:sz w:val="20"/>
          <w:szCs w:val="20"/>
        </w:rPr>
      </w:pPr>
    </w:p>
    <w:p w:rsidR="00642F12" w:rsidRDefault="00642F12" w:rsidP="000E2959">
      <w:pPr>
        <w:rPr>
          <w:sz w:val="20"/>
          <w:szCs w:val="20"/>
        </w:rPr>
      </w:pPr>
    </w:p>
    <w:p w:rsidR="00642F12" w:rsidRDefault="00642F12" w:rsidP="000E2959">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EC1FE7" w:rsidRPr="00EC1FE7" w:rsidRDefault="00EC1FE7" w:rsidP="00EC1FE7">
      <w:pPr>
        <w:tabs>
          <w:tab w:val="left" w:pos="-1440"/>
          <w:tab w:val="left" w:pos="-720"/>
        </w:tabs>
        <w:jc w:val="both"/>
        <w:rPr>
          <w:rFonts w:eastAsia="Times New Roman" w:cs="Times New Roman"/>
          <w:sz w:val="20"/>
          <w:szCs w:val="20"/>
          <w:lang w:eastAsia="en-CA"/>
        </w:rPr>
      </w:pPr>
      <w:r w:rsidRPr="00EC1FE7">
        <w:rPr>
          <w:rFonts w:eastAsia="Times New Roman" w:cs="Times New Roman"/>
          <w:sz w:val="20"/>
          <w:szCs w:val="20"/>
          <w:lang w:eastAsia="en-CA"/>
        </w:rPr>
        <w:t>15.11.2013</w:t>
      </w:r>
    </w:p>
    <w:p w:rsidR="00EC1FE7" w:rsidRPr="00EC1FE7" w:rsidRDefault="00EC1FE7" w:rsidP="00EC1FE7">
      <w:pPr>
        <w:tabs>
          <w:tab w:val="left" w:pos="-1440"/>
          <w:tab w:val="left" w:pos="-720"/>
        </w:tabs>
        <w:jc w:val="both"/>
        <w:rPr>
          <w:rFonts w:eastAsia="Times New Roman" w:cs="Times New Roman"/>
          <w:sz w:val="20"/>
          <w:szCs w:val="20"/>
          <w:lang w:eastAsia="en-CA"/>
        </w:rPr>
      </w:pPr>
    </w:p>
    <w:p w:rsidR="00EC1FE7" w:rsidRPr="00EC1FE7" w:rsidRDefault="00EC1FE7" w:rsidP="00EC1FE7">
      <w:pPr>
        <w:tabs>
          <w:tab w:val="left" w:pos="-1440"/>
          <w:tab w:val="left" w:pos="-720"/>
        </w:tabs>
        <w:jc w:val="both"/>
        <w:rPr>
          <w:rFonts w:eastAsia="Times New Roman" w:cs="Times New Roman"/>
          <w:sz w:val="20"/>
          <w:szCs w:val="20"/>
          <w:lang w:val="fr-CA" w:eastAsia="en-CA"/>
        </w:rPr>
      </w:pPr>
      <w:r w:rsidRPr="00EC1FE7">
        <w:rPr>
          <w:rFonts w:eastAsia="Times New Roman" w:cs="Times New Roman"/>
          <w:sz w:val="20"/>
          <w:szCs w:val="20"/>
          <w:lang w:val="fr-CA" w:eastAsia="en-CA"/>
        </w:rPr>
        <w:t>Before / Devant :   ABELLA J. / LA JUGE ABELLA</w:t>
      </w:r>
    </w:p>
    <w:p w:rsidR="00EC1FE7" w:rsidRPr="00EC1FE7" w:rsidRDefault="00EC1FE7" w:rsidP="00EC1FE7">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EC1FE7" w:rsidRPr="003513AE" w:rsidTr="004C33AB">
        <w:tc>
          <w:tcPr>
            <w:tcW w:w="4338" w:type="dxa"/>
          </w:tcPr>
          <w:p w:rsidR="00EC1FE7" w:rsidRPr="00EC1FE7" w:rsidRDefault="00E704B0" w:rsidP="00EC1FE7">
            <w:pPr>
              <w:tabs>
                <w:tab w:val="left" w:pos="-1440"/>
                <w:tab w:val="left" w:pos="-720"/>
              </w:tabs>
              <w:jc w:val="both"/>
              <w:rPr>
                <w:b/>
              </w:rPr>
            </w:pPr>
            <w:r w:rsidRPr="00EC1FE7">
              <w:rPr>
                <w:szCs w:val="24"/>
                <w:lang w:val="en-US"/>
              </w:rPr>
              <w:fldChar w:fldCharType="begin"/>
            </w:r>
            <w:r w:rsidR="00EC1FE7" w:rsidRPr="00EC1FE7">
              <w:rPr>
                <w:szCs w:val="24"/>
                <w:lang w:val="en-US"/>
              </w:rPr>
              <w:instrText xml:space="preserve"> SEQ CHAPTER \h \r 1</w:instrText>
            </w:r>
            <w:r w:rsidRPr="00EC1FE7">
              <w:rPr>
                <w:szCs w:val="24"/>
                <w:lang w:val="en-US"/>
              </w:rPr>
              <w:fldChar w:fldCharType="end"/>
            </w:r>
            <w:r w:rsidR="00EC1FE7" w:rsidRPr="00EC1FE7">
              <w:rPr>
                <w:b/>
                <w:bCs/>
                <w:lang w:val="en-US"/>
              </w:rPr>
              <w:t xml:space="preserve">Motion </w:t>
            </w:r>
            <w:r w:rsidR="00EC1FE7" w:rsidRPr="00EC1FE7">
              <w:rPr>
                <w:b/>
                <w:bCs/>
                <w:lang w:val="en-GB"/>
              </w:rPr>
              <w:t>to add a party</w:t>
            </w:r>
          </w:p>
        </w:tc>
        <w:tc>
          <w:tcPr>
            <w:tcW w:w="1170" w:type="dxa"/>
          </w:tcPr>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pPr>
          </w:p>
        </w:tc>
        <w:tc>
          <w:tcPr>
            <w:tcW w:w="4327" w:type="dxa"/>
          </w:tcPr>
          <w:p w:rsidR="00EC1FE7" w:rsidRPr="00EC1FE7" w:rsidRDefault="00E704B0" w:rsidP="00EC1FE7">
            <w:pPr>
              <w:tabs>
                <w:tab w:val="left" w:pos="-1440"/>
                <w:tab w:val="left" w:pos="-720"/>
              </w:tabs>
              <w:jc w:val="both"/>
              <w:rPr>
                <w:lang w:val="fr-CA"/>
              </w:rPr>
            </w:pPr>
            <w:r w:rsidRPr="00EC1FE7">
              <w:rPr>
                <w:szCs w:val="24"/>
                <w:lang w:val="en-US"/>
              </w:rPr>
              <w:fldChar w:fldCharType="begin"/>
            </w:r>
            <w:r w:rsidR="00EC1FE7" w:rsidRPr="00EC1FE7">
              <w:rPr>
                <w:szCs w:val="24"/>
                <w:lang w:val="fr-CA"/>
              </w:rPr>
              <w:instrText xml:space="preserve"> SEQ CHAPTER \h \r 1</w:instrText>
            </w:r>
            <w:r w:rsidRPr="00EC1FE7">
              <w:rPr>
                <w:szCs w:val="24"/>
                <w:lang w:val="en-US"/>
              </w:rPr>
              <w:fldChar w:fldCharType="end"/>
            </w:r>
            <w:r w:rsidR="00EC1FE7" w:rsidRPr="00EC1FE7">
              <w:rPr>
                <w:b/>
                <w:bCs/>
                <w:lang w:val="fr-CA"/>
              </w:rPr>
              <w:t>Requête en vue d’ajouter une partie</w:t>
            </w:r>
            <w:r w:rsidR="00EC1FE7" w:rsidRPr="00EC1FE7">
              <w:rPr>
                <w:szCs w:val="24"/>
                <w:lang w:val="fr-CA"/>
              </w:rPr>
              <w:t xml:space="preserve"> </w:t>
            </w:r>
            <w:r w:rsidRPr="00EC1FE7">
              <w:rPr>
                <w:szCs w:val="24"/>
                <w:lang w:val="en-US"/>
              </w:rPr>
              <w:fldChar w:fldCharType="begin"/>
            </w:r>
            <w:r w:rsidR="00EC1FE7" w:rsidRPr="00EC1FE7">
              <w:rPr>
                <w:szCs w:val="24"/>
                <w:lang w:val="fr-CA"/>
              </w:rPr>
              <w:instrText xml:space="preserve"> SEQ CHAPTER \h \r 1</w:instrText>
            </w:r>
            <w:r w:rsidRPr="00EC1FE7">
              <w:rPr>
                <w:szCs w:val="24"/>
                <w:lang w:val="en-US"/>
              </w:rPr>
              <w:fldChar w:fldCharType="end"/>
            </w:r>
            <w:r w:rsidRPr="00EC1FE7">
              <w:rPr>
                <w:szCs w:val="24"/>
                <w:lang w:val="en-US"/>
              </w:rPr>
              <w:fldChar w:fldCharType="begin"/>
            </w:r>
            <w:r w:rsidR="00EC1FE7" w:rsidRPr="00EC1FE7">
              <w:rPr>
                <w:szCs w:val="24"/>
                <w:lang w:val="fr-CA"/>
              </w:rPr>
              <w:instrText xml:space="preserve"> SEQ CHAPTER \h \r 1</w:instrText>
            </w:r>
            <w:r w:rsidRPr="00EC1FE7">
              <w:rPr>
                <w:szCs w:val="24"/>
                <w:lang w:val="en-US"/>
              </w:rPr>
              <w:fldChar w:fldCharType="end"/>
            </w:r>
          </w:p>
        </w:tc>
      </w:tr>
      <w:tr w:rsidR="00EC1FE7" w:rsidRPr="00EC1FE7" w:rsidTr="004C33AB">
        <w:tc>
          <w:tcPr>
            <w:tcW w:w="4338" w:type="dxa"/>
          </w:tcPr>
          <w:p w:rsidR="00EC1FE7" w:rsidRPr="00EC1FE7" w:rsidRDefault="00EC1FE7" w:rsidP="00EC1FE7">
            <w:pPr>
              <w:tabs>
                <w:tab w:val="left" w:pos="-1440"/>
                <w:tab w:val="left" w:pos="-720"/>
              </w:tabs>
              <w:jc w:val="both"/>
            </w:pPr>
            <w:r w:rsidRPr="00EC1FE7">
              <w:t>Her Majesty the Queen</w:t>
            </w:r>
          </w:p>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pPr>
            <w:r w:rsidRPr="00EC1FE7">
              <w:tab/>
              <w:t>v. (35390)</w:t>
            </w:r>
          </w:p>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rPr>
                <w:lang w:val="fr-CA"/>
              </w:rPr>
            </w:pPr>
            <w:r w:rsidRPr="00EC1FE7">
              <w:rPr>
                <w:lang w:val="fr-CA"/>
              </w:rPr>
              <w:t>Vincent Quesnelle (Crim.) (Ont.)</w:t>
            </w:r>
          </w:p>
        </w:tc>
        <w:tc>
          <w:tcPr>
            <w:tcW w:w="1170" w:type="dxa"/>
          </w:tcPr>
          <w:p w:rsidR="00EC1FE7" w:rsidRPr="00EC1FE7" w:rsidRDefault="00EC1FE7" w:rsidP="00EC1FE7">
            <w:pPr>
              <w:tabs>
                <w:tab w:val="left" w:pos="-1440"/>
                <w:tab w:val="left" w:pos="-720"/>
              </w:tabs>
              <w:jc w:val="both"/>
              <w:rPr>
                <w:lang w:val="fr-CA"/>
              </w:rPr>
            </w:pPr>
          </w:p>
        </w:tc>
        <w:tc>
          <w:tcPr>
            <w:tcW w:w="4327" w:type="dxa"/>
          </w:tcPr>
          <w:p w:rsidR="00EC1FE7" w:rsidRPr="00EC1FE7" w:rsidRDefault="00EC1FE7" w:rsidP="00EC1FE7">
            <w:pPr>
              <w:tabs>
                <w:tab w:val="left" w:pos="-1440"/>
                <w:tab w:val="left" w:pos="-720"/>
              </w:tabs>
              <w:jc w:val="both"/>
              <w:rPr>
                <w:lang w:val="fr-CA"/>
              </w:rPr>
            </w:pPr>
          </w:p>
        </w:tc>
      </w:tr>
    </w:tbl>
    <w:p w:rsidR="00EC1FE7" w:rsidRPr="00EC1FE7" w:rsidRDefault="00EC1FE7" w:rsidP="00EC1FE7">
      <w:pPr>
        <w:tabs>
          <w:tab w:val="left" w:pos="-1440"/>
          <w:tab w:val="left" w:pos="-720"/>
        </w:tabs>
        <w:jc w:val="both"/>
        <w:rPr>
          <w:rFonts w:eastAsia="Times New Roman" w:cs="Times New Roman"/>
          <w:sz w:val="20"/>
          <w:szCs w:val="20"/>
          <w:lang w:val="fr-CA" w:eastAsia="en-CA"/>
        </w:rPr>
      </w:pPr>
    </w:p>
    <w:p w:rsidR="00EC1FE7" w:rsidRPr="00EC1FE7" w:rsidRDefault="00EC1FE7" w:rsidP="00EC1FE7">
      <w:pPr>
        <w:tabs>
          <w:tab w:val="left" w:pos="-1440"/>
          <w:tab w:val="left" w:pos="-720"/>
        </w:tabs>
        <w:jc w:val="both"/>
        <w:rPr>
          <w:rFonts w:eastAsia="Times New Roman" w:cs="Times New Roman"/>
          <w:b/>
          <w:sz w:val="20"/>
          <w:szCs w:val="20"/>
          <w:lang w:val="fr-CA" w:eastAsia="en-CA"/>
        </w:rPr>
      </w:pPr>
      <w:r w:rsidRPr="00EC1FE7">
        <w:rPr>
          <w:rFonts w:eastAsia="Times New Roman" w:cs="Times New Roman"/>
          <w:b/>
          <w:sz w:val="20"/>
          <w:szCs w:val="20"/>
          <w:lang w:val="fr-CA" w:eastAsia="en-CA"/>
        </w:rPr>
        <w:t>DISMISSED / REJETÉE</w:t>
      </w:r>
    </w:p>
    <w:p w:rsidR="00EC1FE7" w:rsidRPr="00EC1FE7" w:rsidRDefault="00EC1FE7" w:rsidP="00EC1FE7">
      <w:pPr>
        <w:tabs>
          <w:tab w:val="left" w:pos="-1440"/>
          <w:tab w:val="left" w:pos="-720"/>
        </w:tabs>
        <w:jc w:val="both"/>
        <w:rPr>
          <w:rFonts w:eastAsia="Times New Roman" w:cs="Times New Roman"/>
          <w:sz w:val="20"/>
          <w:szCs w:val="20"/>
          <w:lang w:val="fr-CA" w:eastAsia="en-CA"/>
        </w:rPr>
      </w:pPr>
    </w:p>
    <w:p w:rsidR="00EC1FE7" w:rsidRPr="00EC1FE7" w:rsidRDefault="00EC1FE7" w:rsidP="00EC1FE7">
      <w:pPr>
        <w:spacing w:line="233" w:lineRule="auto"/>
        <w:jc w:val="both"/>
        <w:rPr>
          <w:rFonts w:eastAsia="Times New Roman" w:cs="Times New Roman"/>
          <w:sz w:val="20"/>
          <w:szCs w:val="20"/>
          <w:lang w:eastAsia="en-CA"/>
        </w:rPr>
      </w:pPr>
      <w:r w:rsidRPr="00EC1FE7">
        <w:rPr>
          <w:rFonts w:eastAsia="Times New Roman" w:cs="Times New Roman"/>
          <w:b/>
          <w:bCs/>
          <w:sz w:val="20"/>
          <w:szCs w:val="20"/>
          <w:lang w:val="en-US" w:eastAsia="en-CA"/>
        </w:rPr>
        <w:t xml:space="preserve">UPON APPLICATION </w:t>
      </w:r>
      <w:r w:rsidRPr="00EC1FE7">
        <w:rPr>
          <w:rFonts w:eastAsia="Times New Roman" w:cs="Times New Roman"/>
          <w:sz w:val="20"/>
          <w:szCs w:val="20"/>
          <w:lang w:val="en-US" w:eastAsia="en-CA"/>
        </w:rPr>
        <w:t xml:space="preserve">by </w:t>
      </w:r>
      <w:r w:rsidRPr="00EC1FE7">
        <w:rPr>
          <w:rFonts w:eastAsia="Times New Roman" w:cs="Times New Roman"/>
          <w:sz w:val="20"/>
          <w:szCs w:val="20"/>
          <w:lang w:eastAsia="en-CA"/>
        </w:rPr>
        <w:t xml:space="preserve">T.R. for an order to be added as a respondent to </w:t>
      </w:r>
      <w:r w:rsidRPr="00EC1FE7">
        <w:rPr>
          <w:rFonts w:eastAsia="Times New Roman" w:cs="Times New Roman"/>
          <w:sz w:val="20"/>
          <w:szCs w:val="20"/>
          <w:lang w:val="en-US" w:eastAsia="en-CA"/>
        </w:rPr>
        <w:t>the above appeal;</w:t>
      </w:r>
    </w:p>
    <w:p w:rsidR="00EC1FE7" w:rsidRPr="00EC1FE7" w:rsidRDefault="00EC1FE7" w:rsidP="00EC1FE7">
      <w:pPr>
        <w:spacing w:line="233" w:lineRule="auto"/>
        <w:jc w:val="both"/>
        <w:rPr>
          <w:rFonts w:eastAsia="Times New Roman" w:cs="Times New Roman"/>
          <w:sz w:val="20"/>
          <w:szCs w:val="20"/>
          <w:lang w:eastAsia="en-CA"/>
        </w:rPr>
      </w:pPr>
    </w:p>
    <w:p w:rsidR="00EC1FE7" w:rsidRPr="00EC1FE7" w:rsidRDefault="00EC1FE7" w:rsidP="00EC1FE7">
      <w:pPr>
        <w:spacing w:line="233" w:lineRule="auto"/>
        <w:jc w:val="both"/>
        <w:rPr>
          <w:rFonts w:eastAsia="Times New Roman" w:cs="Times New Roman"/>
          <w:sz w:val="20"/>
          <w:szCs w:val="20"/>
          <w:lang w:val="en-US" w:eastAsia="en-CA"/>
        </w:rPr>
      </w:pPr>
      <w:r w:rsidRPr="00EC1FE7">
        <w:rPr>
          <w:rFonts w:eastAsia="Times New Roman" w:cs="Times New Roman"/>
          <w:b/>
          <w:bCs/>
          <w:sz w:val="20"/>
          <w:szCs w:val="20"/>
          <w:lang w:val="en-US" w:eastAsia="en-CA"/>
        </w:rPr>
        <w:t>AND THE MATERIAL FILED</w:t>
      </w:r>
      <w:r w:rsidRPr="00EC1FE7">
        <w:rPr>
          <w:rFonts w:eastAsia="Times New Roman" w:cs="Times New Roman"/>
          <w:sz w:val="20"/>
          <w:szCs w:val="20"/>
          <w:lang w:val="en-US" w:eastAsia="en-CA"/>
        </w:rPr>
        <w:t xml:space="preserve"> having been read;</w:t>
      </w:r>
    </w:p>
    <w:p w:rsidR="00EC1FE7" w:rsidRPr="00EC1FE7" w:rsidRDefault="00EC1FE7" w:rsidP="00EC1FE7">
      <w:pPr>
        <w:spacing w:line="233" w:lineRule="auto"/>
        <w:jc w:val="both"/>
        <w:rPr>
          <w:rFonts w:eastAsia="Times New Roman" w:cs="Times New Roman"/>
          <w:sz w:val="20"/>
          <w:szCs w:val="20"/>
          <w:lang w:val="en-US" w:eastAsia="en-CA"/>
        </w:rPr>
      </w:pPr>
    </w:p>
    <w:p w:rsidR="00EC1FE7" w:rsidRPr="00EC1FE7" w:rsidRDefault="00EC1FE7" w:rsidP="00EC1FE7">
      <w:pPr>
        <w:spacing w:line="233" w:lineRule="auto"/>
        <w:jc w:val="both"/>
        <w:rPr>
          <w:rFonts w:eastAsia="Times New Roman" w:cs="Times New Roman"/>
          <w:sz w:val="20"/>
          <w:szCs w:val="20"/>
          <w:lang w:val="en-US" w:eastAsia="en-CA"/>
        </w:rPr>
      </w:pPr>
      <w:r w:rsidRPr="00EC1FE7">
        <w:rPr>
          <w:rFonts w:eastAsia="Times New Roman" w:cs="Times New Roman"/>
          <w:b/>
          <w:bCs/>
          <w:sz w:val="20"/>
          <w:szCs w:val="20"/>
          <w:lang w:val="en-US" w:eastAsia="en-CA"/>
        </w:rPr>
        <w:t>IT IS HEREBY ORDERED THAT:</w:t>
      </w:r>
    </w:p>
    <w:p w:rsidR="00EC1FE7" w:rsidRPr="00EC1FE7" w:rsidRDefault="00EC1FE7" w:rsidP="00EC1FE7">
      <w:pPr>
        <w:spacing w:line="233" w:lineRule="auto"/>
        <w:jc w:val="both"/>
        <w:rPr>
          <w:rFonts w:eastAsia="Times New Roman" w:cs="Times New Roman"/>
          <w:sz w:val="20"/>
          <w:szCs w:val="20"/>
          <w:lang w:val="en-US" w:eastAsia="en-CA"/>
        </w:rPr>
      </w:pPr>
    </w:p>
    <w:p w:rsidR="00EC1FE7" w:rsidRPr="00EC1FE7" w:rsidRDefault="00EC1FE7" w:rsidP="00EC1FE7">
      <w:pPr>
        <w:spacing w:line="233" w:lineRule="auto"/>
        <w:jc w:val="both"/>
        <w:rPr>
          <w:rFonts w:eastAsia="Times New Roman" w:cs="Times New Roman"/>
          <w:sz w:val="20"/>
          <w:szCs w:val="20"/>
          <w:lang w:val="en-US" w:eastAsia="en-CA"/>
        </w:rPr>
      </w:pPr>
      <w:r w:rsidRPr="00EC1FE7">
        <w:rPr>
          <w:rFonts w:eastAsia="Times New Roman" w:cs="Times New Roman"/>
          <w:sz w:val="20"/>
          <w:szCs w:val="20"/>
          <w:lang w:val="en-US" w:eastAsia="en-CA"/>
        </w:rPr>
        <w:t>The motion of T.R. to be added as a respondent is dismissed.</w:t>
      </w:r>
    </w:p>
    <w:p w:rsidR="00EC1FE7" w:rsidRPr="00EC1FE7" w:rsidRDefault="00EC1FE7" w:rsidP="00EC1FE7">
      <w:pPr>
        <w:spacing w:line="233" w:lineRule="auto"/>
        <w:jc w:val="both"/>
        <w:rPr>
          <w:rFonts w:eastAsia="Times New Roman" w:cs="Times New Roman"/>
          <w:sz w:val="20"/>
          <w:szCs w:val="20"/>
          <w:lang w:val="en-US" w:eastAsia="en-CA"/>
        </w:rPr>
      </w:pPr>
    </w:p>
    <w:p w:rsidR="00EC1FE7" w:rsidRPr="00EC1FE7" w:rsidRDefault="00EC1FE7" w:rsidP="00EC1FE7">
      <w:pPr>
        <w:spacing w:line="233" w:lineRule="auto"/>
        <w:jc w:val="both"/>
        <w:rPr>
          <w:rFonts w:eastAsia="Times New Roman" w:cs="Times New Roman"/>
          <w:sz w:val="20"/>
          <w:szCs w:val="20"/>
          <w:lang w:val="en-US" w:eastAsia="en-CA"/>
        </w:rPr>
      </w:pPr>
    </w:p>
    <w:p w:rsidR="00EC1FE7" w:rsidRPr="00EC1FE7" w:rsidRDefault="00EC1FE7" w:rsidP="00EC1FE7">
      <w:pPr>
        <w:spacing w:line="233" w:lineRule="auto"/>
        <w:jc w:val="both"/>
        <w:rPr>
          <w:rFonts w:eastAsia="Times New Roman" w:cs="Times New Roman"/>
          <w:sz w:val="20"/>
          <w:szCs w:val="20"/>
          <w:lang w:val="en-US" w:eastAsia="en-CA"/>
        </w:rPr>
      </w:pPr>
    </w:p>
    <w:p w:rsidR="00EC1FE7" w:rsidRPr="00EC1FE7" w:rsidRDefault="00EC1FE7" w:rsidP="00EC1FE7">
      <w:pPr>
        <w:spacing w:line="233" w:lineRule="auto"/>
        <w:jc w:val="both"/>
        <w:rPr>
          <w:rFonts w:eastAsia="Times New Roman" w:cs="Times New Roman"/>
          <w:sz w:val="20"/>
          <w:szCs w:val="20"/>
          <w:lang w:val="fr-CA" w:eastAsia="en-CA"/>
        </w:rPr>
      </w:pPr>
      <w:r w:rsidRPr="00EC1FE7">
        <w:rPr>
          <w:rFonts w:eastAsia="Times New Roman" w:cs="Times New Roman"/>
          <w:b/>
          <w:sz w:val="20"/>
          <w:szCs w:val="20"/>
          <w:lang w:val="fr-CA" w:eastAsia="en-CA"/>
        </w:rPr>
        <w:t>À LA SUITE DE LA DEMANDE</w:t>
      </w:r>
      <w:r w:rsidRPr="00EC1FE7">
        <w:rPr>
          <w:rFonts w:eastAsia="Times New Roman" w:cs="Times New Roman"/>
          <w:sz w:val="20"/>
          <w:szCs w:val="20"/>
          <w:lang w:val="fr-CA" w:eastAsia="en-CA"/>
        </w:rPr>
        <w:t xml:space="preserve"> présentée par T.R. pour être ajouté(e) à titre d’intimé(e) dans le présent appel;</w:t>
      </w:r>
    </w:p>
    <w:p w:rsidR="00EC1FE7" w:rsidRPr="00EC1FE7" w:rsidRDefault="00EC1FE7" w:rsidP="00EC1FE7">
      <w:pPr>
        <w:spacing w:line="233" w:lineRule="auto"/>
        <w:jc w:val="both"/>
        <w:rPr>
          <w:rFonts w:eastAsia="Times New Roman" w:cs="Times New Roman"/>
          <w:sz w:val="20"/>
          <w:szCs w:val="20"/>
          <w:lang w:val="fr-CA" w:eastAsia="en-CA"/>
        </w:rPr>
      </w:pPr>
    </w:p>
    <w:p w:rsidR="00EC1FE7" w:rsidRPr="00EC1FE7" w:rsidRDefault="00EC1FE7" w:rsidP="00EC1FE7">
      <w:pPr>
        <w:spacing w:line="233" w:lineRule="auto"/>
        <w:jc w:val="both"/>
        <w:rPr>
          <w:rFonts w:eastAsia="Times New Roman" w:cs="Times New Roman"/>
          <w:sz w:val="20"/>
          <w:szCs w:val="20"/>
          <w:lang w:val="fr-CA" w:eastAsia="en-CA"/>
        </w:rPr>
      </w:pPr>
      <w:r w:rsidRPr="00EC1FE7">
        <w:rPr>
          <w:rFonts w:eastAsia="Times New Roman" w:cs="Times New Roman"/>
          <w:b/>
          <w:sz w:val="20"/>
          <w:szCs w:val="20"/>
          <w:lang w:val="fr-CA" w:eastAsia="en-CA"/>
        </w:rPr>
        <w:t>ET APRÈS EXAMEN</w:t>
      </w:r>
      <w:r w:rsidRPr="00EC1FE7">
        <w:rPr>
          <w:rFonts w:eastAsia="Times New Roman" w:cs="Times New Roman"/>
          <w:sz w:val="20"/>
          <w:szCs w:val="20"/>
          <w:lang w:val="fr-CA" w:eastAsia="en-CA"/>
        </w:rPr>
        <w:t xml:space="preserve"> des documents déposés;</w:t>
      </w:r>
    </w:p>
    <w:p w:rsidR="00EC1FE7" w:rsidRPr="00EC1FE7" w:rsidRDefault="00EC1FE7" w:rsidP="00EC1FE7">
      <w:pPr>
        <w:spacing w:line="233" w:lineRule="auto"/>
        <w:jc w:val="both"/>
        <w:rPr>
          <w:rFonts w:eastAsia="Times New Roman" w:cs="Times New Roman"/>
          <w:sz w:val="20"/>
          <w:szCs w:val="20"/>
          <w:lang w:val="fr-CA" w:eastAsia="en-CA"/>
        </w:rPr>
      </w:pPr>
    </w:p>
    <w:p w:rsidR="00EC1FE7" w:rsidRPr="00EC1FE7" w:rsidRDefault="00EC1FE7" w:rsidP="00EC1FE7">
      <w:pPr>
        <w:spacing w:line="233" w:lineRule="auto"/>
        <w:jc w:val="both"/>
        <w:rPr>
          <w:rFonts w:eastAsia="Times New Roman" w:cs="Times New Roman"/>
          <w:b/>
          <w:sz w:val="20"/>
          <w:szCs w:val="20"/>
          <w:lang w:val="fr-CA" w:eastAsia="en-CA"/>
        </w:rPr>
      </w:pPr>
      <w:r w:rsidRPr="00EC1FE7">
        <w:rPr>
          <w:rFonts w:eastAsia="Times New Roman" w:cs="Times New Roman"/>
          <w:b/>
          <w:sz w:val="20"/>
          <w:szCs w:val="20"/>
          <w:lang w:val="fr-CA" w:eastAsia="en-CA"/>
        </w:rPr>
        <w:t>IL EST ORDONNÉ CE QUI SUIT :</w:t>
      </w:r>
    </w:p>
    <w:p w:rsidR="00EC1FE7" w:rsidRPr="00EC1FE7" w:rsidRDefault="00EC1FE7" w:rsidP="00EC1FE7">
      <w:pPr>
        <w:spacing w:line="233" w:lineRule="auto"/>
        <w:jc w:val="both"/>
        <w:rPr>
          <w:rFonts w:eastAsia="Times New Roman" w:cs="Times New Roman"/>
          <w:sz w:val="20"/>
          <w:szCs w:val="20"/>
          <w:lang w:val="fr-CA" w:eastAsia="en-CA"/>
        </w:rPr>
      </w:pPr>
    </w:p>
    <w:p w:rsidR="00EC1FE7" w:rsidRPr="00EC1FE7" w:rsidRDefault="00EC1FE7" w:rsidP="00EC1FE7">
      <w:pPr>
        <w:spacing w:line="233" w:lineRule="auto"/>
        <w:jc w:val="both"/>
        <w:rPr>
          <w:rFonts w:eastAsia="Times New Roman" w:cs="Times New Roman"/>
          <w:sz w:val="20"/>
          <w:szCs w:val="20"/>
          <w:lang w:val="fr-CA" w:eastAsia="en-CA"/>
        </w:rPr>
      </w:pPr>
      <w:r w:rsidRPr="00EC1FE7">
        <w:rPr>
          <w:rFonts w:eastAsia="Times New Roman" w:cs="Times New Roman"/>
          <w:sz w:val="20"/>
          <w:szCs w:val="20"/>
          <w:lang w:val="fr-CA" w:eastAsia="en-CA"/>
        </w:rPr>
        <w:t>La requête de T.R. pour être ajouté(e) à titre d’intimé(e) est rejetée.</w:t>
      </w:r>
    </w:p>
    <w:p w:rsidR="00EC1FE7" w:rsidRPr="00EC1FE7" w:rsidRDefault="00EC1FE7" w:rsidP="00EC1FE7">
      <w:pPr>
        <w:tabs>
          <w:tab w:val="left" w:pos="-1440"/>
          <w:tab w:val="left" w:pos="-720"/>
        </w:tabs>
        <w:jc w:val="both"/>
        <w:rPr>
          <w:rFonts w:eastAsia="Times New Roman" w:cs="Times New Roman"/>
          <w:sz w:val="20"/>
          <w:szCs w:val="20"/>
          <w:lang w:val="fr-CA" w:eastAsia="en-CA"/>
        </w:rPr>
      </w:pPr>
    </w:p>
    <w:p w:rsidR="00EC1FE7" w:rsidRPr="00EC1FE7" w:rsidRDefault="003513AE" w:rsidP="00EC1FE7">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EC1FE7" w:rsidRPr="00EC1FE7" w:rsidRDefault="00EC1FE7" w:rsidP="00EC1FE7">
      <w:pPr>
        <w:tabs>
          <w:tab w:val="left" w:pos="-1440"/>
          <w:tab w:val="left" w:pos="-720"/>
        </w:tabs>
        <w:jc w:val="both"/>
        <w:rPr>
          <w:rFonts w:eastAsia="Times New Roman" w:cs="Times New Roman"/>
          <w:sz w:val="20"/>
          <w:szCs w:val="20"/>
          <w:lang w:val="en-US" w:eastAsia="en-CA"/>
        </w:rPr>
      </w:pPr>
    </w:p>
    <w:p w:rsidR="00EC1FE7" w:rsidRPr="00EC1FE7" w:rsidRDefault="00EC1FE7" w:rsidP="00EC1FE7">
      <w:pPr>
        <w:tabs>
          <w:tab w:val="left" w:pos="-1440"/>
          <w:tab w:val="left" w:pos="-720"/>
        </w:tabs>
        <w:jc w:val="both"/>
        <w:rPr>
          <w:rFonts w:eastAsia="Times New Roman" w:cs="Times New Roman"/>
          <w:sz w:val="20"/>
          <w:szCs w:val="20"/>
          <w:lang w:val="fr-CA" w:eastAsia="en-CA"/>
        </w:rPr>
      </w:pPr>
      <w:r w:rsidRPr="00EC1FE7">
        <w:rPr>
          <w:rFonts w:eastAsia="Times New Roman" w:cs="Times New Roman"/>
          <w:sz w:val="20"/>
          <w:szCs w:val="20"/>
          <w:lang w:val="fr-CA" w:eastAsia="en-CA"/>
        </w:rPr>
        <w:t>15.11.2013</w:t>
      </w:r>
    </w:p>
    <w:p w:rsidR="00EC1FE7" w:rsidRPr="00EC1FE7" w:rsidRDefault="00EC1FE7" w:rsidP="00EC1FE7">
      <w:pPr>
        <w:tabs>
          <w:tab w:val="left" w:pos="-1440"/>
          <w:tab w:val="left" w:pos="-720"/>
        </w:tabs>
        <w:jc w:val="both"/>
        <w:rPr>
          <w:rFonts w:eastAsia="Times New Roman" w:cs="Times New Roman"/>
          <w:sz w:val="20"/>
          <w:szCs w:val="20"/>
          <w:lang w:val="fr-CA" w:eastAsia="en-CA"/>
        </w:rPr>
      </w:pPr>
    </w:p>
    <w:p w:rsidR="00EC1FE7" w:rsidRPr="00EC1FE7" w:rsidRDefault="00EC1FE7" w:rsidP="00EC1FE7">
      <w:pPr>
        <w:tabs>
          <w:tab w:val="left" w:pos="-1440"/>
          <w:tab w:val="left" w:pos="-720"/>
        </w:tabs>
        <w:jc w:val="both"/>
        <w:rPr>
          <w:rFonts w:eastAsia="Times New Roman" w:cs="Times New Roman"/>
          <w:sz w:val="20"/>
          <w:szCs w:val="20"/>
          <w:lang w:val="fr-CA" w:eastAsia="en-CA"/>
        </w:rPr>
      </w:pPr>
      <w:r w:rsidRPr="00EC1FE7">
        <w:rPr>
          <w:rFonts w:eastAsia="Times New Roman" w:cs="Times New Roman"/>
          <w:sz w:val="20"/>
          <w:szCs w:val="20"/>
          <w:lang w:val="fr-CA" w:eastAsia="en-CA"/>
        </w:rPr>
        <w:t>Before / Devant :   THE CHIEF JUSTICE / LA JUGE EN CHEF</w:t>
      </w:r>
    </w:p>
    <w:p w:rsidR="00EC1FE7" w:rsidRPr="00EC1FE7" w:rsidRDefault="00EC1FE7" w:rsidP="00EC1FE7">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EC1FE7" w:rsidRPr="003513AE" w:rsidTr="004C33AB">
        <w:tc>
          <w:tcPr>
            <w:tcW w:w="4338" w:type="dxa"/>
          </w:tcPr>
          <w:p w:rsidR="00EC1FE7" w:rsidRPr="00EC1FE7" w:rsidRDefault="00E704B0" w:rsidP="00EC1FE7">
            <w:pPr>
              <w:tabs>
                <w:tab w:val="left" w:pos="-1440"/>
                <w:tab w:val="left" w:pos="-720"/>
              </w:tabs>
              <w:jc w:val="both"/>
              <w:rPr>
                <w:b/>
              </w:rPr>
            </w:pPr>
            <w:r w:rsidRPr="00EC1FE7">
              <w:rPr>
                <w:lang w:val="en-US"/>
              </w:rPr>
              <w:fldChar w:fldCharType="begin"/>
            </w:r>
            <w:r w:rsidR="00EC1FE7" w:rsidRPr="00EC1FE7">
              <w:rPr>
                <w:lang w:val="en-US"/>
              </w:rPr>
              <w:instrText xml:space="preserve"> SEQ CHAPTER \h \r 1</w:instrText>
            </w:r>
            <w:r w:rsidRPr="00EC1FE7">
              <w:rPr>
                <w:lang w:val="en-US"/>
              </w:rPr>
              <w:fldChar w:fldCharType="end"/>
            </w:r>
            <w:r w:rsidR="00EC1FE7" w:rsidRPr="00EC1FE7">
              <w:rPr>
                <w:b/>
                <w:bCs/>
                <w:lang w:val="en-US"/>
              </w:rPr>
              <w:t>Motion to state constitutional questions</w:t>
            </w:r>
          </w:p>
        </w:tc>
        <w:tc>
          <w:tcPr>
            <w:tcW w:w="1170" w:type="dxa"/>
          </w:tcPr>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pPr>
          </w:p>
        </w:tc>
        <w:tc>
          <w:tcPr>
            <w:tcW w:w="4327" w:type="dxa"/>
          </w:tcPr>
          <w:p w:rsidR="00EC1FE7" w:rsidRPr="00EC1FE7" w:rsidRDefault="00E704B0" w:rsidP="00EC1FE7">
            <w:pPr>
              <w:tabs>
                <w:tab w:val="left" w:pos="-1440"/>
                <w:tab w:val="left" w:pos="-720"/>
              </w:tabs>
              <w:jc w:val="both"/>
              <w:rPr>
                <w:lang w:val="fr-CA"/>
              </w:rPr>
            </w:pPr>
            <w:r w:rsidRPr="00EC1FE7">
              <w:rPr>
                <w:lang w:val="en-US"/>
              </w:rPr>
              <w:fldChar w:fldCharType="begin"/>
            </w:r>
            <w:r w:rsidR="00EC1FE7" w:rsidRPr="00EC1FE7">
              <w:rPr>
                <w:lang w:val="fr-CA"/>
              </w:rPr>
              <w:instrText xml:space="preserve"> SEQ CHAPTER \h \r 1</w:instrText>
            </w:r>
            <w:r w:rsidRPr="00EC1FE7">
              <w:rPr>
                <w:lang w:val="en-US"/>
              </w:rPr>
              <w:fldChar w:fldCharType="end"/>
            </w:r>
            <w:r w:rsidR="00EC1FE7" w:rsidRPr="00EC1FE7">
              <w:rPr>
                <w:b/>
                <w:bCs/>
                <w:lang w:val="fr-CA"/>
              </w:rPr>
              <w:t>Requête en formulation de questions constitutionnelles</w:t>
            </w:r>
            <w:r w:rsidRPr="00EC1FE7">
              <w:rPr>
                <w:lang w:val="en-US"/>
              </w:rPr>
              <w:fldChar w:fldCharType="begin"/>
            </w:r>
            <w:r w:rsidR="00EC1FE7" w:rsidRPr="00EC1FE7">
              <w:rPr>
                <w:lang w:val="fr-CA"/>
              </w:rPr>
              <w:instrText xml:space="preserve"> SEQ CHAPTER \h \r 1</w:instrText>
            </w:r>
            <w:r w:rsidRPr="00EC1FE7">
              <w:rPr>
                <w:lang w:val="en-US"/>
              </w:rPr>
              <w:fldChar w:fldCharType="end"/>
            </w:r>
            <w:r w:rsidRPr="00EC1FE7">
              <w:rPr>
                <w:lang w:val="en-US"/>
              </w:rPr>
              <w:fldChar w:fldCharType="begin"/>
            </w:r>
            <w:r w:rsidR="00EC1FE7" w:rsidRPr="00EC1FE7">
              <w:rPr>
                <w:lang w:val="fr-CA"/>
              </w:rPr>
              <w:instrText xml:space="preserve"> SEQ CHAPTER \h \r 1</w:instrText>
            </w:r>
            <w:r w:rsidRPr="00EC1FE7">
              <w:rPr>
                <w:lang w:val="en-US"/>
              </w:rPr>
              <w:fldChar w:fldCharType="end"/>
            </w:r>
            <w:r w:rsidRPr="00EC1FE7">
              <w:rPr>
                <w:lang w:val="en-US"/>
              </w:rPr>
              <w:fldChar w:fldCharType="begin"/>
            </w:r>
            <w:r w:rsidR="00EC1FE7" w:rsidRPr="00EC1FE7">
              <w:rPr>
                <w:lang w:val="fr-CA"/>
              </w:rPr>
              <w:instrText xml:space="preserve"> SEQ CHAPTER \h \r 1</w:instrText>
            </w:r>
            <w:r w:rsidRPr="00EC1FE7">
              <w:rPr>
                <w:lang w:val="en-US"/>
              </w:rPr>
              <w:fldChar w:fldCharType="end"/>
            </w:r>
          </w:p>
        </w:tc>
      </w:tr>
      <w:tr w:rsidR="00EC1FE7" w:rsidRPr="00EC1FE7" w:rsidTr="004C33AB">
        <w:tc>
          <w:tcPr>
            <w:tcW w:w="4338" w:type="dxa"/>
          </w:tcPr>
          <w:p w:rsidR="00EC1FE7" w:rsidRPr="00EC1FE7" w:rsidRDefault="00EC1FE7" w:rsidP="00EC1FE7">
            <w:pPr>
              <w:tabs>
                <w:tab w:val="left" w:pos="-1440"/>
                <w:tab w:val="left" w:pos="-720"/>
              </w:tabs>
              <w:jc w:val="both"/>
            </w:pPr>
            <w:r w:rsidRPr="00EC1FE7">
              <w:t>Trial Lawyers Association of British Columbia et al.</w:t>
            </w:r>
          </w:p>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pPr>
            <w:r w:rsidRPr="00EC1FE7">
              <w:tab/>
              <w:t>v. (35315)</w:t>
            </w:r>
          </w:p>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pPr>
            <w:r w:rsidRPr="00EC1FE7">
              <w:t>Attorney General of British Columbia (B.C.)</w:t>
            </w:r>
          </w:p>
        </w:tc>
        <w:tc>
          <w:tcPr>
            <w:tcW w:w="1170" w:type="dxa"/>
          </w:tcPr>
          <w:p w:rsidR="00EC1FE7" w:rsidRPr="00EC1FE7" w:rsidRDefault="00EC1FE7" w:rsidP="00EC1FE7">
            <w:pPr>
              <w:tabs>
                <w:tab w:val="left" w:pos="-1440"/>
                <w:tab w:val="left" w:pos="-720"/>
              </w:tabs>
              <w:jc w:val="both"/>
            </w:pPr>
          </w:p>
        </w:tc>
        <w:tc>
          <w:tcPr>
            <w:tcW w:w="4327" w:type="dxa"/>
          </w:tcPr>
          <w:p w:rsidR="00EC1FE7" w:rsidRPr="00EC1FE7" w:rsidRDefault="00EC1FE7" w:rsidP="00EC1FE7">
            <w:pPr>
              <w:tabs>
                <w:tab w:val="left" w:pos="-1440"/>
                <w:tab w:val="left" w:pos="-720"/>
              </w:tabs>
              <w:jc w:val="both"/>
            </w:pPr>
          </w:p>
        </w:tc>
      </w:tr>
    </w:tbl>
    <w:p w:rsidR="00EC1FE7" w:rsidRPr="00EC1FE7" w:rsidRDefault="00EC1FE7" w:rsidP="00EC1FE7">
      <w:pPr>
        <w:tabs>
          <w:tab w:val="left" w:pos="-1440"/>
          <w:tab w:val="left" w:pos="-720"/>
        </w:tabs>
        <w:jc w:val="both"/>
        <w:rPr>
          <w:rFonts w:eastAsia="Times New Roman" w:cs="Times New Roman"/>
          <w:sz w:val="20"/>
          <w:szCs w:val="20"/>
          <w:lang w:eastAsia="en-CA"/>
        </w:rPr>
      </w:pPr>
    </w:p>
    <w:p w:rsidR="00EC1FE7" w:rsidRPr="00EC1FE7" w:rsidRDefault="00EC1FE7" w:rsidP="00EC1FE7">
      <w:pPr>
        <w:tabs>
          <w:tab w:val="left" w:pos="-1440"/>
          <w:tab w:val="left" w:pos="-720"/>
        </w:tabs>
        <w:jc w:val="both"/>
        <w:rPr>
          <w:rFonts w:eastAsia="Times New Roman" w:cs="Times New Roman"/>
          <w:sz w:val="20"/>
          <w:szCs w:val="20"/>
          <w:lang w:eastAsia="en-CA"/>
        </w:rPr>
      </w:pPr>
      <w:r w:rsidRPr="00EC1FE7">
        <w:rPr>
          <w:rFonts w:eastAsia="Times New Roman" w:cs="Times New Roman"/>
          <w:b/>
          <w:sz w:val="20"/>
          <w:szCs w:val="20"/>
          <w:lang w:eastAsia="en-CA"/>
        </w:rPr>
        <w:t>GRANTED / ACCORDÉE</w:t>
      </w:r>
    </w:p>
    <w:p w:rsidR="00EC1FE7" w:rsidRPr="00EC1FE7" w:rsidRDefault="00EC1FE7" w:rsidP="00EC1FE7">
      <w:pPr>
        <w:tabs>
          <w:tab w:val="left" w:pos="-1440"/>
          <w:tab w:val="left" w:pos="-720"/>
        </w:tabs>
        <w:jc w:val="both"/>
        <w:rPr>
          <w:rFonts w:eastAsia="Times New Roman" w:cs="Times New Roman"/>
          <w:sz w:val="20"/>
          <w:szCs w:val="20"/>
          <w:lang w:eastAsia="en-CA"/>
        </w:rPr>
      </w:pPr>
    </w:p>
    <w:p w:rsidR="00EC1FE7" w:rsidRDefault="00EC1FE7" w:rsidP="00EC1FE7">
      <w:pPr>
        <w:jc w:val="both"/>
        <w:rPr>
          <w:rFonts w:eastAsia="Times New Roman" w:cs="Times New Roman"/>
          <w:sz w:val="20"/>
          <w:szCs w:val="20"/>
          <w:lang w:eastAsia="en-CA"/>
        </w:rPr>
      </w:pPr>
      <w:r w:rsidRPr="00EC1FE7">
        <w:rPr>
          <w:rFonts w:eastAsia="Times New Roman" w:cs="Times New Roman"/>
          <w:b/>
          <w:bCs/>
          <w:sz w:val="20"/>
          <w:szCs w:val="20"/>
          <w:lang w:val="en-US" w:eastAsia="en-CA"/>
        </w:rPr>
        <w:t>UPON APPLICATION</w:t>
      </w:r>
      <w:r w:rsidRPr="00EC1FE7">
        <w:rPr>
          <w:rFonts w:eastAsia="Times New Roman" w:cs="Times New Roman"/>
          <w:sz w:val="20"/>
          <w:szCs w:val="20"/>
          <w:lang w:val="en-US" w:eastAsia="en-CA"/>
        </w:rPr>
        <w:t xml:space="preserve"> by the</w:t>
      </w:r>
      <w:r w:rsidRPr="00EC1FE7">
        <w:rPr>
          <w:rFonts w:eastAsia="Times New Roman" w:cs="Times New Roman"/>
          <w:sz w:val="20"/>
          <w:szCs w:val="20"/>
          <w:lang w:eastAsia="en-CA"/>
        </w:rPr>
        <w:t xml:space="preserve"> appellant, Trial Lawyers Association of British Columbia, for an order stating constitutional questions in the above appeal;</w:t>
      </w:r>
    </w:p>
    <w:p w:rsidR="00EC1FE7" w:rsidRPr="00EC1FE7" w:rsidRDefault="00EC1FE7" w:rsidP="00EC1FE7">
      <w:pPr>
        <w:jc w:val="both"/>
        <w:rPr>
          <w:rFonts w:eastAsia="Times New Roman" w:cs="Times New Roman"/>
          <w:sz w:val="20"/>
          <w:szCs w:val="20"/>
          <w:lang w:eastAsia="en-CA"/>
        </w:rPr>
      </w:pPr>
    </w:p>
    <w:p w:rsidR="00EC1FE7" w:rsidRDefault="00EC1FE7">
      <w:pPr>
        <w:rPr>
          <w:rFonts w:eastAsia="Times New Roman" w:cs="Times New Roman"/>
          <w:b/>
          <w:bCs/>
          <w:sz w:val="20"/>
          <w:szCs w:val="20"/>
          <w:lang w:val="en-US" w:eastAsia="en-CA"/>
        </w:rPr>
      </w:pPr>
      <w:r>
        <w:rPr>
          <w:rFonts w:eastAsia="Times New Roman" w:cs="Times New Roman"/>
          <w:b/>
          <w:bCs/>
          <w:sz w:val="20"/>
          <w:szCs w:val="20"/>
          <w:lang w:val="en-US" w:eastAsia="en-CA"/>
        </w:rPr>
        <w:br w:type="page"/>
      </w:r>
    </w:p>
    <w:p w:rsidR="00EC1FE7" w:rsidRPr="00EC1FE7" w:rsidRDefault="00EC1FE7" w:rsidP="00EC1FE7">
      <w:pPr>
        <w:jc w:val="both"/>
        <w:rPr>
          <w:rFonts w:eastAsia="Times New Roman" w:cs="Times New Roman"/>
          <w:sz w:val="20"/>
          <w:szCs w:val="20"/>
          <w:lang w:val="en-US" w:eastAsia="en-CA"/>
        </w:rPr>
      </w:pPr>
      <w:r w:rsidRPr="00EC1FE7">
        <w:rPr>
          <w:rFonts w:eastAsia="Times New Roman" w:cs="Times New Roman"/>
          <w:b/>
          <w:bCs/>
          <w:sz w:val="20"/>
          <w:szCs w:val="20"/>
          <w:lang w:val="en-US" w:eastAsia="en-CA"/>
        </w:rPr>
        <w:lastRenderedPageBreak/>
        <w:t>AND THE MATERIAL FILED</w:t>
      </w:r>
      <w:r w:rsidRPr="00EC1FE7">
        <w:rPr>
          <w:rFonts w:eastAsia="Times New Roman" w:cs="Times New Roman"/>
          <w:sz w:val="20"/>
          <w:szCs w:val="20"/>
          <w:lang w:val="en-US" w:eastAsia="en-CA"/>
        </w:rPr>
        <w:t xml:space="preserve"> having been read;</w:t>
      </w:r>
    </w:p>
    <w:p w:rsidR="00EC1FE7" w:rsidRPr="00EC1FE7" w:rsidRDefault="00EC1FE7" w:rsidP="00EC1FE7">
      <w:pPr>
        <w:jc w:val="both"/>
        <w:rPr>
          <w:rFonts w:eastAsia="Times New Roman" w:cs="Times New Roman"/>
          <w:sz w:val="20"/>
          <w:szCs w:val="20"/>
          <w:lang w:val="en-US" w:eastAsia="en-CA"/>
        </w:rPr>
      </w:pPr>
    </w:p>
    <w:p w:rsidR="00EC1FE7" w:rsidRPr="00EC1FE7" w:rsidRDefault="00EC1FE7" w:rsidP="00EC1FE7">
      <w:pPr>
        <w:jc w:val="both"/>
        <w:rPr>
          <w:rFonts w:eastAsia="Times New Roman" w:cs="Times New Roman"/>
          <w:b/>
          <w:bCs/>
          <w:sz w:val="20"/>
          <w:szCs w:val="20"/>
          <w:lang w:val="en-US" w:eastAsia="en-CA"/>
        </w:rPr>
      </w:pPr>
      <w:r w:rsidRPr="00EC1FE7">
        <w:rPr>
          <w:rFonts w:eastAsia="Times New Roman" w:cs="Times New Roman"/>
          <w:b/>
          <w:bCs/>
          <w:sz w:val="20"/>
          <w:szCs w:val="20"/>
          <w:lang w:val="en-US" w:eastAsia="en-CA"/>
        </w:rPr>
        <w:t>IT IS HEREBY ORDERED THAT THE CONSTITUTIONAL QUESTIONS BE STATED AS FOLLOWS:</w:t>
      </w:r>
    </w:p>
    <w:p w:rsidR="00EC1FE7" w:rsidRPr="00EC1FE7" w:rsidRDefault="00EC1FE7" w:rsidP="00EC1FE7">
      <w:pPr>
        <w:jc w:val="both"/>
        <w:rPr>
          <w:rFonts w:eastAsia="Times New Roman" w:cs="Times New Roman"/>
          <w:sz w:val="20"/>
          <w:szCs w:val="20"/>
          <w:lang w:val="en-US" w:eastAsia="en-CA"/>
        </w:rPr>
      </w:pPr>
    </w:p>
    <w:p w:rsidR="00EC1FE7" w:rsidRPr="00EC1FE7" w:rsidRDefault="00EC1FE7" w:rsidP="00EC1FE7">
      <w:pPr>
        <w:numPr>
          <w:ilvl w:val="0"/>
          <w:numId w:val="7"/>
        </w:numPr>
        <w:autoSpaceDE w:val="0"/>
        <w:autoSpaceDN w:val="0"/>
        <w:jc w:val="both"/>
        <w:rPr>
          <w:rFonts w:cs="Times New Roman"/>
          <w:color w:val="000000"/>
          <w:sz w:val="20"/>
          <w:szCs w:val="20"/>
          <w:lang w:val="en-US" w:eastAsia="fr-FR"/>
        </w:rPr>
      </w:pPr>
      <w:r w:rsidRPr="00EC1FE7">
        <w:rPr>
          <w:rFonts w:cs="Times New Roman"/>
          <w:color w:val="000000"/>
          <w:sz w:val="20"/>
          <w:szCs w:val="20"/>
          <w:lang w:val="en-US" w:eastAsia="fr-FR"/>
        </w:rPr>
        <w:t xml:space="preserve">Are the hearing fees set out in paragraph 14 of Appendix C, Schedule 1 (B.C. Reg. 10/96, as amended) and the hearing fees set out in paragraphs 9 and 10 of Appendix C, Schedule 1 (B.C.Reg. 168/2009, as amended), unconstitutional on the basis that they infringe a right of access to justice and thereby offend the rule of law? </w:t>
      </w:r>
    </w:p>
    <w:p w:rsidR="00EC1FE7" w:rsidRPr="00EC1FE7" w:rsidRDefault="00EC1FE7" w:rsidP="00EC1FE7">
      <w:pPr>
        <w:jc w:val="both"/>
        <w:rPr>
          <w:rFonts w:eastAsia="Times New Roman" w:cs="Times New Roman"/>
          <w:sz w:val="20"/>
          <w:szCs w:val="20"/>
          <w:lang w:val="en-US" w:eastAsia="en-CA"/>
        </w:rPr>
      </w:pPr>
    </w:p>
    <w:p w:rsidR="00EC1FE7" w:rsidRPr="00EC1FE7" w:rsidRDefault="00EC1FE7" w:rsidP="00EC1FE7">
      <w:pPr>
        <w:jc w:val="both"/>
        <w:rPr>
          <w:rFonts w:eastAsia="Times New Roman" w:cs="Times New Roman"/>
          <w:sz w:val="20"/>
          <w:szCs w:val="20"/>
          <w:lang w:val="en-US" w:eastAsia="en-CA"/>
        </w:rPr>
      </w:pPr>
      <w:r w:rsidRPr="00EC1FE7">
        <w:rPr>
          <w:rFonts w:eastAsia="Times New Roman" w:cs="Times New Roman"/>
          <w:sz w:val="20"/>
          <w:szCs w:val="20"/>
          <w:lang w:val="en-US" w:eastAsia="en-CA"/>
        </w:rPr>
        <w:t xml:space="preserve">Any attorney general who intervenes pursuant to par. 61(4) of the </w:t>
      </w:r>
      <w:r w:rsidRPr="00EC1FE7">
        <w:rPr>
          <w:rFonts w:eastAsia="Times New Roman" w:cs="Times New Roman"/>
          <w:i/>
          <w:sz w:val="20"/>
          <w:szCs w:val="20"/>
          <w:lang w:val="en-US" w:eastAsia="en-CA"/>
        </w:rPr>
        <w:t>Rules of the Supreme Court of Canada</w:t>
      </w:r>
      <w:r w:rsidRPr="00EC1FE7">
        <w:rPr>
          <w:rFonts w:eastAsia="Times New Roman" w:cs="Times New Roman"/>
          <w:sz w:val="20"/>
          <w:szCs w:val="20"/>
          <w:lang w:val="en-US" w:eastAsia="en-CA"/>
        </w:rPr>
        <w:t xml:space="preserve"> shall pay the appellants and respondent the costs of any additional disbursements they incur as a result of the intervention.</w:t>
      </w:r>
    </w:p>
    <w:p w:rsidR="00EC1FE7" w:rsidRPr="00EC1FE7" w:rsidRDefault="00EC1FE7" w:rsidP="00EC1FE7">
      <w:pPr>
        <w:jc w:val="both"/>
        <w:rPr>
          <w:rFonts w:eastAsia="Times New Roman" w:cs="Times New Roman"/>
          <w:sz w:val="20"/>
          <w:szCs w:val="20"/>
          <w:lang w:val="en-US" w:eastAsia="en-CA"/>
        </w:rPr>
      </w:pPr>
    </w:p>
    <w:p w:rsidR="00EC1FE7" w:rsidRPr="00EC1FE7" w:rsidRDefault="00EC1FE7" w:rsidP="00EC1FE7">
      <w:pPr>
        <w:jc w:val="both"/>
        <w:rPr>
          <w:rFonts w:eastAsia="Times New Roman" w:cs="Times New Roman"/>
          <w:b/>
          <w:bCs/>
          <w:sz w:val="20"/>
          <w:szCs w:val="20"/>
          <w:lang w:val="en-US" w:eastAsia="en-CA"/>
        </w:rPr>
      </w:pPr>
      <w:r w:rsidRPr="00EC1FE7">
        <w:rPr>
          <w:rFonts w:eastAsia="Times New Roman" w:cs="Times New Roman"/>
          <w:b/>
          <w:bCs/>
          <w:sz w:val="20"/>
          <w:szCs w:val="20"/>
          <w:lang w:val="en-US" w:eastAsia="en-CA"/>
        </w:rPr>
        <w:t xml:space="preserve">IT IS HEREBY FURTHER ORDERED THAT: </w:t>
      </w:r>
    </w:p>
    <w:p w:rsidR="00EC1FE7" w:rsidRPr="00EC1FE7" w:rsidRDefault="00EC1FE7" w:rsidP="00EC1FE7">
      <w:pPr>
        <w:jc w:val="both"/>
        <w:rPr>
          <w:rFonts w:eastAsia="Times New Roman" w:cs="Times New Roman"/>
          <w:bCs/>
          <w:sz w:val="20"/>
          <w:szCs w:val="20"/>
          <w:lang w:val="en-US" w:eastAsia="en-CA"/>
        </w:rPr>
      </w:pPr>
    </w:p>
    <w:p w:rsidR="00EC1FE7" w:rsidRPr="00EC1FE7" w:rsidRDefault="00EC1FE7" w:rsidP="00EC1FE7">
      <w:pPr>
        <w:numPr>
          <w:ilvl w:val="0"/>
          <w:numId w:val="8"/>
        </w:numPr>
        <w:autoSpaceDE w:val="0"/>
        <w:autoSpaceDN w:val="0"/>
        <w:adjustRightInd w:val="0"/>
        <w:contextualSpacing/>
        <w:jc w:val="both"/>
        <w:rPr>
          <w:rFonts w:cs="Times New Roman"/>
          <w:bCs/>
          <w:sz w:val="20"/>
          <w:szCs w:val="20"/>
        </w:rPr>
      </w:pPr>
      <w:r w:rsidRPr="00EC1FE7">
        <w:rPr>
          <w:rFonts w:cs="Times New Roman"/>
          <w:sz w:val="20"/>
          <w:szCs w:val="20"/>
        </w:rPr>
        <w:t>The appellants’ records, factums and books of authorities shall be served and filed on or before February 11, 2014.</w:t>
      </w:r>
    </w:p>
    <w:p w:rsidR="00EC1FE7" w:rsidRPr="00EC1FE7" w:rsidRDefault="00EC1FE7" w:rsidP="00EC1FE7">
      <w:pPr>
        <w:ind w:left="720"/>
        <w:contextualSpacing/>
        <w:jc w:val="both"/>
        <w:rPr>
          <w:rFonts w:cs="Times New Roman"/>
          <w:bCs/>
          <w:sz w:val="20"/>
          <w:szCs w:val="20"/>
        </w:rPr>
      </w:pPr>
    </w:p>
    <w:p w:rsidR="00EC1FE7" w:rsidRPr="00EC1FE7" w:rsidRDefault="00EC1FE7" w:rsidP="00EC1FE7">
      <w:pPr>
        <w:numPr>
          <w:ilvl w:val="0"/>
          <w:numId w:val="8"/>
        </w:numPr>
        <w:autoSpaceDE w:val="0"/>
        <w:autoSpaceDN w:val="0"/>
        <w:adjustRightInd w:val="0"/>
        <w:contextualSpacing/>
        <w:jc w:val="both"/>
        <w:rPr>
          <w:rFonts w:cs="Times New Roman"/>
          <w:bCs/>
          <w:sz w:val="20"/>
          <w:szCs w:val="20"/>
        </w:rPr>
      </w:pPr>
      <w:r w:rsidRPr="00EC1FE7">
        <w:rPr>
          <w:rFonts w:cs="Times New Roman"/>
          <w:bCs/>
          <w:sz w:val="20"/>
          <w:szCs w:val="20"/>
        </w:rPr>
        <w:t xml:space="preserve">Any person wishing to intervene in this appeal under Rule 55 of the </w:t>
      </w:r>
      <w:r w:rsidRPr="00EC1FE7">
        <w:rPr>
          <w:rFonts w:cs="Times New Roman"/>
          <w:bCs/>
          <w:i/>
          <w:sz w:val="20"/>
          <w:szCs w:val="20"/>
        </w:rPr>
        <w:t>Rules of the Supreme Court of Canada</w:t>
      </w:r>
      <w:r w:rsidRPr="00EC1FE7">
        <w:rPr>
          <w:rFonts w:cs="Times New Roman"/>
          <w:bCs/>
          <w:sz w:val="20"/>
          <w:szCs w:val="20"/>
        </w:rPr>
        <w:t xml:space="preserve"> shall serve and file a motion for leave to intervene on or before February 25, 2014. </w:t>
      </w:r>
    </w:p>
    <w:p w:rsidR="00EC1FE7" w:rsidRPr="00EC1FE7" w:rsidRDefault="00EC1FE7" w:rsidP="00EC1FE7">
      <w:pPr>
        <w:ind w:left="720"/>
        <w:contextualSpacing/>
        <w:jc w:val="both"/>
        <w:rPr>
          <w:rFonts w:cs="Times New Roman"/>
          <w:bCs/>
          <w:sz w:val="20"/>
          <w:szCs w:val="20"/>
        </w:rPr>
      </w:pPr>
    </w:p>
    <w:p w:rsidR="00EC1FE7" w:rsidRPr="00EC1FE7" w:rsidRDefault="00EC1FE7" w:rsidP="00EC1FE7">
      <w:pPr>
        <w:numPr>
          <w:ilvl w:val="0"/>
          <w:numId w:val="8"/>
        </w:numPr>
        <w:autoSpaceDE w:val="0"/>
        <w:autoSpaceDN w:val="0"/>
        <w:adjustRightInd w:val="0"/>
        <w:contextualSpacing/>
        <w:jc w:val="both"/>
        <w:rPr>
          <w:rFonts w:cs="Times New Roman"/>
          <w:bCs/>
          <w:sz w:val="20"/>
          <w:szCs w:val="20"/>
        </w:rPr>
      </w:pPr>
      <w:r w:rsidRPr="00EC1FE7">
        <w:rPr>
          <w:rFonts w:cs="Times New Roman"/>
          <w:bCs/>
          <w:sz w:val="20"/>
          <w:szCs w:val="20"/>
        </w:rPr>
        <w:t>The appellants and respondent shall serve and file their responses, if any, to the motions for leave to intervene on or before February 28, 2014.</w:t>
      </w:r>
    </w:p>
    <w:p w:rsidR="00EC1FE7" w:rsidRPr="00EC1FE7" w:rsidRDefault="00EC1FE7" w:rsidP="00EC1FE7">
      <w:pPr>
        <w:ind w:left="720"/>
        <w:contextualSpacing/>
        <w:jc w:val="both"/>
        <w:rPr>
          <w:rFonts w:cs="Times New Roman"/>
          <w:bCs/>
          <w:sz w:val="20"/>
          <w:szCs w:val="20"/>
        </w:rPr>
      </w:pPr>
    </w:p>
    <w:p w:rsidR="00EC1FE7" w:rsidRPr="00EC1FE7" w:rsidRDefault="00EC1FE7" w:rsidP="00EC1FE7">
      <w:pPr>
        <w:numPr>
          <w:ilvl w:val="0"/>
          <w:numId w:val="8"/>
        </w:numPr>
        <w:autoSpaceDE w:val="0"/>
        <w:autoSpaceDN w:val="0"/>
        <w:adjustRightInd w:val="0"/>
        <w:contextualSpacing/>
        <w:jc w:val="both"/>
        <w:rPr>
          <w:rFonts w:cs="Times New Roman"/>
          <w:bCs/>
          <w:sz w:val="20"/>
          <w:szCs w:val="20"/>
        </w:rPr>
      </w:pPr>
      <w:r w:rsidRPr="00EC1FE7">
        <w:rPr>
          <w:rFonts w:cs="Times New Roman"/>
          <w:bCs/>
          <w:sz w:val="20"/>
          <w:szCs w:val="20"/>
        </w:rPr>
        <w:t xml:space="preserve">Replies to the responses, if any, to the motions for leave to intervene shall be served and filed on or before March 3, 2014. </w:t>
      </w:r>
    </w:p>
    <w:p w:rsidR="00EC1FE7" w:rsidRPr="00EC1FE7" w:rsidRDefault="00EC1FE7" w:rsidP="00EC1FE7">
      <w:pPr>
        <w:ind w:left="720"/>
        <w:contextualSpacing/>
        <w:jc w:val="both"/>
        <w:rPr>
          <w:rFonts w:cs="Times New Roman"/>
          <w:bCs/>
          <w:sz w:val="20"/>
          <w:szCs w:val="20"/>
        </w:rPr>
      </w:pPr>
    </w:p>
    <w:p w:rsidR="00EC1FE7" w:rsidRPr="00EC1FE7" w:rsidRDefault="00EC1FE7" w:rsidP="00EC1FE7">
      <w:pPr>
        <w:numPr>
          <w:ilvl w:val="0"/>
          <w:numId w:val="8"/>
        </w:numPr>
        <w:autoSpaceDE w:val="0"/>
        <w:autoSpaceDN w:val="0"/>
        <w:adjustRightInd w:val="0"/>
        <w:contextualSpacing/>
        <w:jc w:val="both"/>
        <w:rPr>
          <w:rFonts w:cs="Times New Roman"/>
          <w:bCs/>
          <w:sz w:val="20"/>
          <w:szCs w:val="20"/>
        </w:rPr>
      </w:pPr>
      <w:r w:rsidRPr="00EC1FE7">
        <w:rPr>
          <w:rFonts w:cs="Times New Roman"/>
          <w:sz w:val="20"/>
          <w:szCs w:val="20"/>
        </w:rPr>
        <w:t>The respondent’s record, factum and book of authorities shall be served and filed on or before March 31, 2014.</w:t>
      </w:r>
    </w:p>
    <w:p w:rsidR="00EC1FE7" w:rsidRPr="00EC1FE7" w:rsidRDefault="00EC1FE7" w:rsidP="00EC1FE7">
      <w:pPr>
        <w:ind w:left="990" w:hanging="270"/>
        <w:jc w:val="both"/>
        <w:rPr>
          <w:rFonts w:eastAsia="Times New Roman" w:cs="Times New Roman"/>
          <w:bCs/>
          <w:sz w:val="20"/>
          <w:szCs w:val="20"/>
          <w:lang w:val="en-US" w:eastAsia="en-CA"/>
        </w:rPr>
      </w:pPr>
    </w:p>
    <w:p w:rsidR="00EC1FE7" w:rsidRPr="00EC1FE7" w:rsidRDefault="00EC1FE7" w:rsidP="00EC1FE7">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b/>
          <w:bCs/>
          <w:sz w:val="20"/>
          <w:szCs w:val="20"/>
        </w:rPr>
      </w:pPr>
      <w:r w:rsidRPr="00EC1FE7">
        <w:rPr>
          <w:rFonts w:cs="Times New Roman"/>
          <w:sz w:val="20"/>
          <w:szCs w:val="20"/>
        </w:rPr>
        <w:t xml:space="preserve">Any attorney general wishing to intervene pursuant to par. 61(4) of the </w:t>
      </w:r>
      <w:r w:rsidRPr="00EC1FE7">
        <w:rPr>
          <w:rFonts w:cs="Times New Roman"/>
          <w:i/>
          <w:sz w:val="20"/>
          <w:szCs w:val="20"/>
        </w:rPr>
        <w:t>Rules of the Supreme Court of Canada</w:t>
      </w:r>
      <w:r w:rsidRPr="00EC1FE7">
        <w:rPr>
          <w:rFonts w:cs="Times New Roman"/>
          <w:sz w:val="20"/>
          <w:szCs w:val="20"/>
        </w:rPr>
        <w:t xml:space="preserve"> shall serve and file their factum and book of authorities no later than March 31, 2014.</w:t>
      </w:r>
    </w:p>
    <w:p w:rsidR="00EC1FE7" w:rsidRPr="00EC1FE7" w:rsidRDefault="00EC1FE7" w:rsidP="00EC1FE7">
      <w:pPr>
        <w:tabs>
          <w:tab w:val="left" w:pos="-1440"/>
          <w:tab w:val="left" w:pos="-720"/>
        </w:tabs>
        <w:jc w:val="both"/>
        <w:rPr>
          <w:rFonts w:eastAsia="Times New Roman" w:cs="Times New Roman"/>
          <w:sz w:val="20"/>
          <w:szCs w:val="20"/>
          <w:lang w:eastAsia="en-CA"/>
        </w:rPr>
      </w:pPr>
    </w:p>
    <w:p w:rsidR="00EC1FE7" w:rsidRPr="00EC1FE7" w:rsidRDefault="00EC1FE7" w:rsidP="00EC1FE7">
      <w:pPr>
        <w:tabs>
          <w:tab w:val="left" w:pos="-1440"/>
          <w:tab w:val="left" w:pos="-720"/>
        </w:tabs>
        <w:jc w:val="both"/>
        <w:rPr>
          <w:rFonts w:eastAsia="Times New Roman" w:cs="Times New Roman"/>
          <w:sz w:val="20"/>
          <w:szCs w:val="20"/>
          <w:lang w:eastAsia="en-CA"/>
        </w:rPr>
      </w:pPr>
    </w:p>
    <w:p w:rsidR="00EC1FE7" w:rsidRPr="00EC1FE7" w:rsidRDefault="00EC1FE7" w:rsidP="00EC1FE7">
      <w:pPr>
        <w:tabs>
          <w:tab w:val="left" w:pos="-1440"/>
          <w:tab w:val="left" w:pos="-720"/>
        </w:tabs>
        <w:jc w:val="both"/>
        <w:rPr>
          <w:rFonts w:eastAsia="Times New Roman" w:cs="Times New Roman"/>
          <w:sz w:val="20"/>
          <w:szCs w:val="20"/>
          <w:lang w:eastAsia="en-CA"/>
        </w:rPr>
      </w:pPr>
    </w:p>
    <w:p w:rsidR="00EC1FE7" w:rsidRPr="00EC1FE7" w:rsidRDefault="00EC1FE7" w:rsidP="00EC1FE7">
      <w:pPr>
        <w:jc w:val="both"/>
        <w:rPr>
          <w:rFonts w:eastAsia="Times New Roman" w:cs="Times New Roman"/>
          <w:sz w:val="20"/>
          <w:szCs w:val="20"/>
          <w:lang w:val="fr-CA" w:eastAsia="en-CA"/>
        </w:rPr>
      </w:pPr>
      <w:r w:rsidRPr="00EC1FE7">
        <w:rPr>
          <w:rFonts w:eastAsia="Times New Roman" w:cs="Times New Roman"/>
          <w:b/>
          <w:bCs/>
          <w:sz w:val="20"/>
          <w:szCs w:val="20"/>
          <w:lang w:val="fr-CA" w:eastAsia="en-CA"/>
        </w:rPr>
        <w:t>À LA SUITE DE LA DEMANDE</w:t>
      </w:r>
      <w:r w:rsidRPr="00EC1FE7">
        <w:rPr>
          <w:rFonts w:eastAsia="Times New Roman" w:cs="Times New Roman"/>
          <w:sz w:val="20"/>
          <w:szCs w:val="20"/>
          <w:lang w:val="fr-CA" w:eastAsia="en-CA"/>
        </w:rPr>
        <w:t xml:space="preserve"> de l’appelante, Trial Lawyers Association of British Columbia, visant à obtenir la formulation de questions constitutionnelles dans l’appel susmentionné;</w:t>
      </w:r>
    </w:p>
    <w:p w:rsidR="00EC1FE7" w:rsidRPr="00EC1FE7" w:rsidRDefault="00EC1FE7" w:rsidP="00EC1FE7">
      <w:pPr>
        <w:jc w:val="both"/>
        <w:rPr>
          <w:rFonts w:eastAsia="Times New Roman" w:cs="Times New Roman"/>
          <w:sz w:val="20"/>
          <w:szCs w:val="20"/>
          <w:lang w:val="fr-CA" w:eastAsia="en-CA"/>
        </w:rPr>
      </w:pPr>
    </w:p>
    <w:p w:rsidR="00EC1FE7" w:rsidRPr="00EC1FE7" w:rsidRDefault="00EC1FE7" w:rsidP="00EC1FE7">
      <w:pPr>
        <w:jc w:val="both"/>
        <w:rPr>
          <w:rFonts w:eastAsia="Times New Roman" w:cs="Times New Roman"/>
          <w:sz w:val="20"/>
          <w:szCs w:val="20"/>
          <w:lang w:val="fr-CA" w:eastAsia="en-CA"/>
        </w:rPr>
      </w:pPr>
      <w:r w:rsidRPr="00EC1FE7">
        <w:rPr>
          <w:rFonts w:eastAsia="Times New Roman" w:cs="Times New Roman"/>
          <w:b/>
          <w:bCs/>
          <w:sz w:val="20"/>
          <w:szCs w:val="20"/>
          <w:lang w:val="fr-CA" w:eastAsia="en-CA"/>
        </w:rPr>
        <w:t>ET APRÈS AVOIR LU</w:t>
      </w:r>
      <w:r w:rsidRPr="00EC1FE7">
        <w:rPr>
          <w:rFonts w:eastAsia="Times New Roman" w:cs="Times New Roman"/>
          <w:sz w:val="20"/>
          <w:szCs w:val="20"/>
          <w:lang w:val="fr-CA" w:eastAsia="en-CA"/>
        </w:rPr>
        <w:t xml:space="preserve"> la documentation déposée;</w:t>
      </w:r>
    </w:p>
    <w:p w:rsidR="00EC1FE7" w:rsidRPr="00EC1FE7" w:rsidRDefault="00EC1FE7" w:rsidP="00EC1FE7">
      <w:pPr>
        <w:jc w:val="both"/>
        <w:rPr>
          <w:rFonts w:eastAsia="Times New Roman" w:cs="Times New Roman"/>
          <w:sz w:val="20"/>
          <w:szCs w:val="20"/>
          <w:lang w:val="fr-CA" w:eastAsia="en-CA"/>
        </w:rPr>
      </w:pPr>
    </w:p>
    <w:p w:rsidR="00EC1FE7" w:rsidRPr="00EC1FE7" w:rsidRDefault="00EC1FE7" w:rsidP="00EC1FE7">
      <w:pPr>
        <w:jc w:val="both"/>
        <w:rPr>
          <w:rFonts w:eastAsia="Times New Roman" w:cs="Times New Roman"/>
          <w:sz w:val="20"/>
          <w:szCs w:val="20"/>
          <w:lang w:val="fr-CA" w:eastAsia="en-CA"/>
        </w:rPr>
      </w:pPr>
      <w:r w:rsidRPr="00EC1FE7">
        <w:rPr>
          <w:rFonts w:eastAsia="Times New Roman" w:cs="Times New Roman"/>
          <w:b/>
          <w:bCs/>
          <w:sz w:val="20"/>
          <w:szCs w:val="20"/>
          <w:lang w:val="fr-CA" w:eastAsia="en-CA"/>
        </w:rPr>
        <w:t>LES QUESTIONS CONSTITUTIONNELLES SUIVANTES SONT FORMULÉES :</w:t>
      </w:r>
    </w:p>
    <w:p w:rsidR="00EC1FE7" w:rsidRPr="00EC1FE7" w:rsidRDefault="00EC1FE7" w:rsidP="00EC1FE7">
      <w:pPr>
        <w:jc w:val="both"/>
        <w:rPr>
          <w:rFonts w:eastAsia="Times New Roman" w:cs="Times New Roman"/>
          <w:b/>
          <w:bCs/>
          <w:sz w:val="20"/>
          <w:szCs w:val="20"/>
          <w:lang w:val="fr-FR" w:eastAsia="en-CA"/>
        </w:rPr>
      </w:pPr>
    </w:p>
    <w:p w:rsidR="00EC1FE7" w:rsidRPr="00EC1FE7" w:rsidRDefault="00EC1FE7" w:rsidP="00EC1FE7">
      <w:pPr>
        <w:numPr>
          <w:ilvl w:val="0"/>
          <w:numId w:val="9"/>
        </w:numPr>
        <w:autoSpaceDE w:val="0"/>
        <w:autoSpaceDN w:val="0"/>
        <w:ind w:left="1080"/>
        <w:jc w:val="both"/>
        <w:rPr>
          <w:rFonts w:cs="Times New Roman"/>
          <w:color w:val="000000"/>
          <w:sz w:val="20"/>
          <w:szCs w:val="20"/>
          <w:lang w:val="fr-FR" w:eastAsia="fr-FR"/>
        </w:rPr>
      </w:pPr>
      <w:r w:rsidRPr="00EC1FE7">
        <w:rPr>
          <w:rFonts w:cs="Times New Roman"/>
          <w:color w:val="000000"/>
          <w:sz w:val="20"/>
          <w:szCs w:val="20"/>
          <w:lang w:val="fr-FR" w:eastAsia="fr-FR"/>
        </w:rPr>
        <w:t>Est-ce que les frais d’audience prévus à l’article 14 de l’Appendix C, Schedule 1 (B.C. Reg. 10/96, et ses modifications) et ceux prévus aux articles 9 et 10 de l’Appendix C, Schedule 1 (B.C.Reg. 168/2009, et ses modifications) sont inconstitutionnels pour le motif qu’ils violeraient le droit d’accès à la justice et, de ce fait, porteraient atteinte à la primauté du droit?</w:t>
      </w:r>
    </w:p>
    <w:p w:rsidR="00EC1FE7" w:rsidRPr="00EC1FE7" w:rsidRDefault="00EC1FE7" w:rsidP="00EC1FE7">
      <w:pPr>
        <w:jc w:val="both"/>
        <w:rPr>
          <w:rFonts w:eastAsia="Times New Roman" w:cs="Times New Roman"/>
          <w:color w:val="000000" w:themeColor="text1"/>
          <w:sz w:val="20"/>
          <w:szCs w:val="20"/>
          <w:lang w:val="fr-FR" w:eastAsia="en-CA"/>
        </w:rPr>
      </w:pPr>
    </w:p>
    <w:p w:rsidR="00EC1FE7" w:rsidRPr="00EC1FE7" w:rsidRDefault="00EC1FE7" w:rsidP="00EC1FE7">
      <w:pPr>
        <w:jc w:val="both"/>
        <w:rPr>
          <w:rFonts w:eastAsia="Times New Roman" w:cs="Times New Roman"/>
          <w:sz w:val="20"/>
          <w:szCs w:val="20"/>
          <w:lang w:val="fr-FR" w:eastAsia="en-CA"/>
        </w:rPr>
      </w:pPr>
      <w:r w:rsidRPr="00EC1FE7">
        <w:rPr>
          <w:rFonts w:eastAsia="Times New Roman" w:cs="Times New Roman"/>
          <w:sz w:val="20"/>
          <w:szCs w:val="20"/>
          <w:lang w:val="fr-CA" w:eastAsia="en-CA"/>
        </w:rPr>
        <w:t>T</w:t>
      </w:r>
      <w:r w:rsidRPr="00EC1FE7">
        <w:rPr>
          <w:rFonts w:eastAsia="Times New Roman" w:cs="Times New Roman"/>
          <w:sz w:val="20"/>
          <w:szCs w:val="20"/>
          <w:lang w:val="fr-FR" w:eastAsia="en-CA"/>
        </w:rPr>
        <w:t xml:space="preserve">out procureur général qui interviendra en vertu du par. 61(4) des </w:t>
      </w:r>
      <w:r w:rsidRPr="00EC1FE7">
        <w:rPr>
          <w:rFonts w:eastAsia="Times New Roman" w:cs="Times New Roman"/>
          <w:i/>
          <w:iCs/>
          <w:sz w:val="20"/>
          <w:szCs w:val="20"/>
          <w:lang w:val="fr-FR" w:eastAsia="en-CA"/>
        </w:rPr>
        <w:t>Règles de la Cour suprême du Canada</w:t>
      </w:r>
      <w:r w:rsidRPr="00EC1FE7">
        <w:rPr>
          <w:rFonts w:eastAsia="Times New Roman" w:cs="Times New Roman"/>
          <w:sz w:val="20"/>
          <w:szCs w:val="20"/>
          <w:lang w:val="fr-FR" w:eastAsia="en-CA"/>
        </w:rPr>
        <w:t xml:space="preserve"> sera tenu de payer aux appelantes et à l’intimé les dépens supplémentaires résultant de son intervention.</w:t>
      </w:r>
    </w:p>
    <w:p w:rsidR="00EC1FE7" w:rsidRPr="00EC1FE7" w:rsidRDefault="00EC1FE7" w:rsidP="00EC1FE7">
      <w:pPr>
        <w:contextualSpacing/>
        <w:jc w:val="both"/>
        <w:rPr>
          <w:rFonts w:cs="Times New Roman"/>
          <w:sz w:val="20"/>
          <w:szCs w:val="20"/>
          <w:lang w:val="fr-FR"/>
        </w:rPr>
      </w:pPr>
    </w:p>
    <w:p w:rsidR="00EC1FE7" w:rsidRPr="00EC1FE7" w:rsidRDefault="00EC1FE7" w:rsidP="00EC1FE7">
      <w:pPr>
        <w:rPr>
          <w:rFonts w:eastAsia="Times New Roman" w:cs="Times New Roman"/>
          <w:sz w:val="20"/>
          <w:szCs w:val="20"/>
          <w:lang w:val="fr-CA" w:eastAsia="en-CA"/>
        </w:rPr>
      </w:pPr>
      <w:r w:rsidRPr="00EC1FE7">
        <w:rPr>
          <w:rFonts w:eastAsia="Times New Roman" w:cs="Times New Roman"/>
          <w:b/>
          <w:sz w:val="20"/>
          <w:szCs w:val="20"/>
          <w:lang w:val="fr-CA" w:eastAsia="en-CA"/>
        </w:rPr>
        <w:t>IL EST EN OUTRE ORDONNÉ CE QUI SUIT :</w:t>
      </w:r>
    </w:p>
    <w:p w:rsidR="00EC1FE7" w:rsidRPr="00EC1FE7" w:rsidRDefault="00EC1FE7" w:rsidP="00EC1FE7">
      <w:pPr>
        <w:rPr>
          <w:rFonts w:eastAsia="Times New Roman" w:cs="Times New Roman"/>
          <w:sz w:val="20"/>
          <w:szCs w:val="20"/>
          <w:lang w:val="fr-CA" w:eastAsia="en-CA"/>
        </w:rPr>
      </w:pPr>
    </w:p>
    <w:p w:rsidR="00EC1FE7" w:rsidRPr="00EC1FE7" w:rsidRDefault="00EC1FE7" w:rsidP="00EC1FE7">
      <w:pPr>
        <w:numPr>
          <w:ilvl w:val="0"/>
          <w:numId w:val="10"/>
        </w:numPr>
        <w:ind w:left="1080" w:right="-11"/>
        <w:contextualSpacing/>
        <w:jc w:val="both"/>
        <w:rPr>
          <w:rFonts w:cs="Times New Roman"/>
          <w:sz w:val="20"/>
          <w:szCs w:val="20"/>
          <w:lang w:val="fr-CA"/>
        </w:rPr>
      </w:pPr>
      <w:r w:rsidRPr="00EC1FE7">
        <w:rPr>
          <w:rFonts w:cs="Times New Roman"/>
          <w:sz w:val="20"/>
          <w:szCs w:val="20"/>
          <w:lang w:val="fr-CA"/>
        </w:rPr>
        <w:t>Les dossiers, mémoires et recueils de sources des appelantes doivent être signifiés et déposés au plus tard le 11 février 2014.</w:t>
      </w:r>
    </w:p>
    <w:p w:rsidR="00EC1FE7" w:rsidRPr="00EC1FE7" w:rsidRDefault="00EC1FE7" w:rsidP="00EC1FE7">
      <w:pPr>
        <w:ind w:left="1080" w:right="-11" w:hanging="360"/>
        <w:contextualSpacing/>
        <w:jc w:val="both"/>
        <w:rPr>
          <w:rFonts w:cs="Times New Roman"/>
          <w:sz w:val="20"/>
          <w:szCs w:val="20"/>
          <w:lang w:val="fr-CA"/>
        </w:rPr>
      </w:pPr>
    </w:p>
    <w:p w:rsidR="00EC1FE7" w:rsidRPr="00EC1FE7" w:rsidRDefault="00EC1FE7" w:rsidP="00EC1FE7">
      <w:pPr>
        <w:widowControl w:val="0"/>
        <w:numPr>
          <w:ilvl w:val="0"/>
          <w:numId w:val="10"/>
        </w:numPr>
        <w:tabs>
          <w:tab w:val="left" w:pos="-1440"/>
        </w:tabs>
        <w:autoSpaceDE w:val="0"/>
        <w:autoSpaceDN w:val="0"/>
        <w:adjustRightInd w:val="0"/>
        <w:ind w:left="1080" w:right="-11"/>
        <w:jc w:val="both"/>
        <w:outlineLvl w:val="0"/>
        <w:rPr>
          <w:rFonts w:eastAsia="Times New Roman" w:cs="Times New Roman"/>
          <w:sz w:val="20"/>
          <w:szCs w:val="20"/>
          <w:lang w:val="fr-FR" w:eastAsia="en-CA"/>
        </w:rPr>
      </w:pPr>
      <w:r w:rsidRPr="00EC1FE7">
        <w:rPr>
          <w:rFonts w:eastAsia="Times New Roman" w:cs="Times New Roman"/>
          <w:sz w:val="20"/>
          <w:szCs w:val="20"/>
          <w:lang w:val="fr-FR" w:eastAsia="en-CA"/>
        </w:rPr>
        <w:t xml:space="preserve">Toute personne qui souhaite intervenir dans le présent appel en vertu de la règle 55 des </w:t>
      </w:r>
      <w:r w:rsidRPr="00EC1FE7">
        <w:rPr>
          <w:rFonts w:eastAsia="Times New Roman" w:cs="Times New Roman"/>
          <w:i/>
          <w:sz w:val="20"/>
          <w:szCs w:val="20"/>
          <w:lang w:val="fr-FR" w:eastAsia="en-CA"/>
        </w:rPr>
        <w:t xml:space="preserve">Règles de la Cour </w:t>
      </w:r>
      <w:r w:rsidRPr="00EC1FE7">
        <w:rPr>
          <w:rFonts w:eastAsia="Times New Roman" w:cs="Times New Roman"/>
          <w:i/>
          <w:sz w:val="20"/>
          <w:szCs w:val="20"/>
          <w:lang w:val="fr-FR" w:eastAsia="en-CA"/>
        </w:rPr>
        <w:lastRenderedPageBreak/>
        <w:t xml:space="preserve">suprême du Canada </w:t>
      </w:r>
      <w:r w:rsidRPr="00EC1FE7">
        <w:rPr>
          <w:rFonts w:eastAsia="Times New Roman" w:cs="Times New Roman"/>
          <w:sz w:val="20"/>
          <w:szCs w:val="20"/>
          <w:lang w:val="fr-FR" w:eastAsia="en-CA"/>
        </w:rPr>
        <w:t xml:space="preserve">signifiera et déposera une requête en autorisation d’intervenir au plus tard le 25 février 2014. </w:t>
      </w:r>
    </w:p>
    <w:p w:rsidR="00EC1FE7" w:rsidRPr="00EC1FE7" w:rsidRDefault="00EC1FE7" w:rsidP="00EC1FE7">
      <w:pPr>
        <w:widowControl w:val="0"/>
        <w:tabs>
          <w:tab w:val="left" w:pos="-1440"/>
        </w:tabs>
        <w:ind w:left="1080" w:right="-11" w:hanging="360"/>
        <w:jc w:val="both"/>
        <w:outlineLvl w:val="0"/>
        <w:rPr>
          <w:rFonts w:eastAsia="Times New Roman" w:cs="Times New Roman"/>
          <w:sz w:val="20"/>
          <w:szCs w:val="20"/>
          <w:lang w:val="fr-FR" w:eastAsia="en-CA"/>
        </w:rPr>
      </w:pPr>
    </w:p>
    <w:p w:rsidR="00EC1FE7" w:rsidRPr="00EC1FE7" w:rsidRDefault="00EC1FE7" w:rsidP="00EC1FE7">
      <w:pPr>
        <w:widowControl w:val="0"/>
        <w:numPr>
          <w:ilvl w:val="0"/>
          <w:numId w:val="10"/>
        </w:numPr>
        <w:tabs>
          <w:tab w:val="left" w:pos="-1440"/>
        </w:tabs>
        <w:autoSpaceDE w:val="0"/>
        <w:autoSpaceDN w:val="0"/>
        <w:adjustRightInd w:val="0"/>
        <w:ind w:left="1080" w:right="-11"/>
        <w:jc w:val="both"/>
        <w:outlineLvl w:val="0"/>
        <w:rPr>
          <w:rFonts w:eastAsia="Times New Roman" w:cs="Times New Roman"/>
          <w:sz w:val="20"/>
          <w:szCs w:val="20"/>
          <w:lang w:val="fr-FR" w:eastAsia="en-CA"/>
        </w:rPr>
      </w:pPr>
      <w:r w:rsidRPr="00EC1FE7">
        <w:rPr>
          <w:rFonts w:eastAsia="Times New Roman" w:cs="Times New Roman"/>
          <w:sz w:val="20"/>
          <w:szCs w:val="20"/>
          <w:lang w:val="fr-FR" w:eastAsia="en-CA"/>
        </w:rPr>
        <w:t xml:space="preserve">Les appelantes et les intimés signifieront et déposeront leurs réponses aux demandes d’autorisation d’intervenir, le cas échéant, au plus tard le 28 février 2014. </w:t>
      </w:r>
    </w:p>
    <w:p w:rsidR="00EC1FE7" w:rsidRPr="00EC1FE7" w:rsidRDefault="00EC1FE7" w:rsidP="00EC1FE7">
      <w:pPr>
        <w:widowControl w:val="0"/>
        <w:tabs>
          <w:tab w:val="left" w:pos="-1440"/>
        </w:tabs>
        <w:ind w:left="1080" w:right="-11" w:hanging="360"/>
        <w:jc w:val="both"/>
        <w:outlineLvl w:val="0"/>
        <w:rPr>
          <w:rFonts w:eastAsia="Times New Roman" w:cs="Times New Roman"/>
          <w:sz w:val="20"/>
          <w:szCs w:val="20"/>
          <w:lang w:val="fr-FR" w:eastAsia="en-CA"/>
        </w:rPr>
      </w:pPr>
    </w:p>
    <w:p w:rsidR="00EC1FE7" w:rsidRPr="00EC1FE7" w:rsidRDefault="00EC1FE7" w:rsidP="00EC1FE7">
      <w:pPr>
        <w:numPr>
          <w:ilvl w:val="0"/>
          <w:numId w:val="10"/>
        </w:numPr>
        <w:spacing w:after="200"/>
        <w:ind w:left="1080" w:right="-11"/>
        <w:contextualSpacing/>
        <w:jc w:val="both"/>
        <w:rPr>
          <w:rFonts w:cs="Times New Roman"/>
          <w:sz w:val="20"/>
          <w:szCs w:val="20"/>
          <w:lang w:val="fr-CA"/>
        </w:rPr>
      </w:pPr>
      <w:r w:rsidRPr="00EC1FE7">
        <w:rPr>
          <w:rFonts w:cs="Times New Roman"/>
          <w:sz w:val="20"/>
          <w:szCs w:val="20"/>
          <w:lang w:val="fr-FR"/>
        </w:rPr>
        <w:t xml:space="preserve">Les répliques, le cas échéant, aux réponses aux demandes d’autorisation d’intervenir seront signifiées et déposées au plus tard le 3 mars 2014. </w:t>
      </w:r>
    </w:p>
    <w:p w:rsidR="00EC1FE7" w:rsidRPr="00EC1FE7" w:rsidRDefault="00EC1FE7" w:rsidP="00EC1FE7">
      <w:pPr>
        <w:ind w:left="1080" w:right="-11" w:hanging="360"/>
        <w:contextualSpacing/>
        <w:jc w:val="both"/>
        <w:rPr>
          <w:rFonts w:cs="Times New Roman"/>
          <w:sz w:val="20"/>
          <w:szCs w:val="20"/>
          <w:lang w:val="fr-CA"/>
        </w:rPr>
      </w:pPr>
    </w:p>
    <w:p w:rsidR="00EC1FE7" w:rsidRPr="00EC1FE7" w:rsidRDefault="00EC1FE7" w:rsidP="00EC1FE7">
      <w:pPr>
        <w:numPr>
          <w:ilvl w:val="0"/>
          <w:numId w:val="10"/>
        </w:numPr>
        <w:spacing w:after="200"/>
        <w:ind w:left="1080" w:right="-11"/>
        <w:contextualSpacing/>
        <w:jc w:val="both"/>
        <w:rPr>
          <w:rFonts w:cs="Times New Roman"/>
          <w:sz w:val="20"/>
          <w:szCs w:val="20"/>
          <w:lang w:val="fr-CA"/>
        </w:rPr>
      </w:pPr>
      <w:r w:rsidRPr="00EC1FE7">
        <w:rPr>
          <w:rFonts w:cs="Times New Roman"/>
          <w:sz w:val="20"/>
          <w:szCs w:val="20"/>
          <w:lang w:val="fr-CA"/>
        </w:rPr>
        <w:t>Les dossier, mémoire et recueil de sources de l’intimé doivent être signifiés et déposés au plus tard le 31 mars 2014.</w:t>
      </w:r>
    </w:p>
    <w:p w:rsidR="00EC1FE7" w:rsidRPr="00EC1FE7" w:rsidRDefault="00EC1FE7" w:rsidP="00EC1FE7">
      <w:pPr>
        <w:ind w:left="1080" w:right="-11" w:hanging="360"/>
        <w:contextualSpacing/>
        <w:jc w:val="both"/>
        <w:rPr>
          <w:rFonts w:cs="Times New Roman"/>
          <w:sz w:val="20"/>
          <w:szCs w:val="20"/>
          <w:lang w:val="fr-CA"/>
        </w:rPr>
      </w:pPr>
    </w:p>
    <w:p w:rsidR="00EC1FE7" w:rsidRPr="00EC1FE7" w:rsidRDefault="00EC1FE7" w:rsidP="00EC1FE7">
      <w:pPr>
        <w:numPr>
          <w:ilvl w:val="0"/>
          <w:numId w:val="10"/>
        </w:numPr>
        <w:ind w:left="1080" w:right="-11"/>
        <w:jc w:val="both"/>
        <w:rPr>
          <w:rFonts w:cs="Times New Roman"/>
          <w:sz w:val="20"/>
          <w:szCs w:val="20"/>
          <w:lang w:val="fr-CA"/>
        </w:rPr>
      </w:pPr>
      <w:r w:rsidRPr="00EC1FE7">
        <w:rPr>
          <w:rFonts w:cs="Times New Roman"/>
          <w:sz w:val="20"/>
          <w:szCs w:val="20"/>
          <w:lang w:val="fr-CA"/>
        </w:rPr>
        <w:t xml:space="preserve">Tout procureur général qui interviendra en vertu du par. 61(4) des </w:t>
      </w:r>
      <w:r w:rsidRPr="00EC1FE7">
        <w:rPr>
          <w:rFonts w:cs="Times New Roman"/>
          <w:i/>
          <w:sz w:val="20"/>
          <w:szCs w:val="20"/>
          <w:lang w:val="fr-CA"/>
        </w:rPr>
        <w:t>Règles de la Cour suprême du Canada</w:t>
      </w:r>
      <w:r w:rsidRPr="00EC1FE7">
        <w:rPr>
          <w:rFonts w:cs="Times New Roman"/>
          <w:sz w:val="20"/>
          <w:szCs w:val="20"/>
          <w:lang w:val="fr-CA"/>
        </w:rPr>
        <w:t xml:space="preserve"> devra signifier et déposer son mémoire et son recueil de sources au plus tard le 31 mars 2014.</w:t>
      </w:r>
    </w:p>
    <w:p w:rsidR="00EC1FE7" w:rsidRPr="00EC1FE7" w:rsidRDefault="00EC1FE7" w:rsidP="00EC1FE7">
      <w:pPr>
        <w:tabs>
          <w:tab w:val="left" w:pos="-1440"/>
          <w:tab w:val="left" w:pos="-720"/>
        </w:tabs>
        <w:jc w:val="both"/>
        <w:rPr>
          <w:rFonts w:eastAsia="Times New Roman" w:cs="Times New Roman"/>
          <w:sz w:val="20"/>
          <w:szCs w:val="20"/>
          <w:lang w:val="fr-CA" w:eastAsia="en-CA"/>
        </w:rPr>
      </w:pPr>
    </w:p>
    <w:p w:rsidR="00EC1FE7" w:rsidRPr="00EC1FE7" w:rsidRDefault="003513AE" w:rsidP="00EC1FE7">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EC1FE7" w:rsidRPr="00EC1FE7" w:rsidRDefault="00EC1FE7" w:rsidP="00EC1FE7">
      <w:pPr>
        <w:tabs>
          <w:tab w:val="left" w:pos="-1440"/>
          <w:tab w:val="left" w:pos="-720"/>
        </w:tabs>
        <w:jc w:val="both"/>
        <w:rPr>
          <w:rFonts w:eastAsia="Times New Roman" w:cs="Times New Roman"/>
          <w:sz w:val="20"/>
          <w:szCs w:val="20"/>
          <w:lang w:val="fr-CA" w:eastAsia="en-CA"/>
        </w:rPr>
      </w:pPr>
    </w:p>
    <w:p w:rsidR="00EC1FE7" w:rsidRPr="00EC1FE7" w:rsidRDefault="00EC1FE7" w:rsidP="00EC1FE7">
      <w:pPr>
        <w:tabs>
          <w:tab w:val="left" w:pos="-1440"/>
          <w:tab w:val="left" w:pos="-720"/>
        </w:tabs>
        <w:jc w:val="both"/>
        <w:rPr>
          <w:rFonts w:eastAsia="Times New Roman" w:cs="Times New Roman"/>
          <w:sz w:val="20"/>
          <w:szCs w:val="20"/>
          <w:lang w:val="fr-CA" w:eastAsia="en-CA"/>
        </w:rPr>
      </w:pPr>
      <w:r w:rsidRPr="00EC1FE7">
        <w:rPr>
          <w:rFonts w:eastAsia="Times New Roman" w:cs="Times New Roman"/>
          <w:sz w:val="20"/>
          <w:szCs w:val="20"/>
          <w:lang w:val="fr-CA" w:eastAsia="en-CA"/>
        </w:rPr>
        <w:t>19.11.2013</w:t>
      </w:r>
    </w:p>
    <w:p w:rsidR="00EC1FE7" w:rsidRPr="00EC1FE7" w:rsidRDefault="00EC1FE7" w:rsidP="00EC1FE7">
      <w:pPr>
        <w:tabs>
          <w:tab w:val="left" w:pos="-1440"/>
          <w:tab w:val="left" w:pos="-720"/>
        </w:tabs>
        <w:jc w:val="both"/>
        <w:rPr>
          <w:rFonts w:eastAsia="Times New Roman" w:cs="Times New Roman"/>
          <w:sz w:val="20"/>
          <w:szCs w:val="20"/>
          <w:lang w:val="fr-CA" w:eastAsia="en-CA"/>
        </w:rPr>
      </w:pPr>
    </w:p>
    <w:p w:rsidR="00EC1FE7" w:rsidRPr="00EC1FE7" w:rsidRDefault="00EC1FE7" w:rsidP="00EC1FE7">
      <w:pPr>
        <w:tabs>
          <w:tab w:val="left" w:pos="-1440"/>
          <w:tab w:val="left" w:pos="-720"/>
        </w:tabs>
        <w:jc w:val="both"/>
        <w:rPr>
          <w:rFonts w:eastAsia="Times New Roman" w:cs="Times New Roman"/>
          <w:sz w:val="20"/>
          <w:szCs w:val="20"/>
          <w:lang w:val="fr-CA" w:eastAsia="en-CA"/>
        </w:rPr>
      </w:pPr>
      <w:r w:rsidRPr="00EC1FE7">
        <w:rPr>
          <w:rFonts w:eastAsia="Times New Roman" w:cs="Times New Roman"/>
          <w:sz w:val="20"/>
          <w:szCs w:val="20"/>
          <w:lang w:val="fr-CA" w:eastAsia="en-CA"/>
        </w:rPr>
        <w:t>Before / Devant :   LEBEL J. / LE JUGE LEBEL</w:t>
      </w:r>
    </w:p>
    <w:p w:rsidR="00EC1FE7" w:rsidRPr="00EC1FE7" w:rsidRDefault="00EC1FE7" w:rsidP="00EC1FE7">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EC1FE7" w:rsidRPr="003513AE" w:rsidTr="004C33AB">
        <w:tc>
          <w:tcPr>
            <w:tcW w:w="4338" w:type="dxa"/>
            <w:gridSpan w:val="2"/>
          </w:tcPr>
          <w:p w:rsidR="00EC1FE7" w:rsidRPr="00EC1FE7" w:rsidRDefault="00EC1FE7" w:rsidP="00EC1FE7">
            <w:pPr>
              <w:jc w:val="both"/>
              <w:rPr>
                <w:b/>
              </w:rPr>
            </w:pPr>
            <w:r w:rsidRPr="00EC1FE7">
              <w:rPr>
                <w:b/>
                <w:lang w:val="en-US"/>
              </w:rPr>
              <w:t xml:space="preserve">Order on interventions with respect to oral argument </w:t>
            </w:r>
            <w:r w:rsidR="00E704B0" w:rsidRPr="00EC1FE7">
              <w:rPr>
                <w:b/>
                <w:lang w:val="en-US"/>
              </w:rPr>
              <w:fldChar w:fldCharType="begin"/>
            </w:r>
            <w:r w:rsidRPr="00EC1FE7">
              <w:rPr>
                <w:b/>
              </w:rPr>
              <w:instrText xml:space="preserve"> SEQ CHAPTER \h \r 1</w:instrText>
            </w:r>
            <w:r w:rsidR="00E704B0" w:rsidRPr="00EC1FE7">
              <w:rPr>
                <w:b/>
                <w:lang w:val="en-US"/>
              </w:rPr>
              <w:fldChar w:fldCharType="end"/>
            </w:r>
          </w:p>
        </w:tc>
        <w:tc>
          <w:tcPr>
            <w:tcW w:w="1170" w:type="dxa"/>
          </w:tcPr>
          <w:p w:rsidR="00EC1FE7" w:rsidRPr="00EC1FE7" w:rsidRDefault="00EC1FE7" w:rsidP="00EC1FE7"/>
          <w:p w:rsidR="00EC1FE7" w:rsidRPr="00EC1FE7" w:rsidRDefault="00EC1FE7" w:rsidP="00EC1FE7"/>
          <w:p w:rsidR="00EC1FE7" w:rsidRPr="00EC1FE7" w:rsidRDefault="00EC1FE7" w:rsidP="00EC1FE7"/>
        </w:tc>
        <w:tc>
          <w:tcPr>
            <w:tcW w:w="4327" w:type="dxa"/>
          </w:tcPr>
          <w:p w:rsidR="00EC1FE7" w:rsidRPr="00EC1FE7" w:rsidRDefault="00EC1FE7" w:rsidP="00EC1FE7">
            <w:pPr>
              <w:jc w:val="both"/>
              <w:rPr>
                <w:b/>
                <w:lang w:val="fr-CA"/>
              </w:rPr>
            </w:pPr>
            <w:r w:rsidRPr="00EC1FE7">
              <w:rPr>
                <w:b/>
                <w:lang w:val="fr-CA"/>
              </w:rPr>
              <w:t>Ordonnance relative à la présentation d’une plaidoirie orale par les intervenants</w:t>
            </w:r>
            <w:r w:rsidR="00E704B0" w:rsidRPr="00EC1FE7">
              <w:rPr>
                <w:b/>
                <w:lang w:val="en-US"/>
              </w:rPr>
              <w:fldChar w:fldCharType="begin"/>
            </w:r>
            <w:r w:rsidRPr="00EC1FE7">
              <w:rPr>
                <w:b/>
                <w:lang w:val="fr-CA"/>
              </w:rPr>
              <w:instrText xml:space="preserve"> SEQ CHAPTER \h \r 1</w:instrText>
            </w:r>
            <w:r w:rsidR="00E704B0" w:rsidRPr="00EC1FE7">
              <w:rPr>
                <w:b/>
                <w:lang w:val="en-US"/>
              </w:rPr>
              <w:fldChar w:fldCharType="end"/>
            </w:r>
          </w:p>
        </w:tc>
      </w:tr>
      <w:tr w:rsidR="00EC1FE7" w:rsidRPr="00EC1FE7" w:rsidTr="004C33AB">
        <w:tc>
          <w:tcPr>
            <w:tcW w:w="1368" w:type="dxa"/>
          </w:tcPr>
          <w:p w:rsidR="00EC1FE7" w:rsidRPr="00EC1FE7" w:rsidRDefault="00EC1FE7" w:rsidP="00EC1FE7">
            <w:r w:rsidRPr="00EC1FE7">
              <w:t>RE:</w:t>
            </w:r>
          </w:p>
        </w:tc>
        <w:tc>
          <w:tcPr>
            <w:tcW w:w="2970" w:type="dxa"/>
          </w:tcPr>
          <w:p w:rsidR="00EC1FE7" w:rsidRPr="00EC1FE7" w:rsidRDefault="00EC1FE7" w:rsidP="00EC1FE7">
            <w:r w:rsidRPr="00EC1FE7">
              <w:rPr>
                <w:lang w:val="en-US"/>
              </w:rPr>
              <w:t>Attorney General of British Columbia;</w:t>
            </w:r>
          </w:p>
        </w:tc>
        <w:tc>
          <w:tcPr>
            <w:tcW w:w="1170" w:type="dxa"/>
          </w:tcPr>
          <w:p w:rsidR="00EC1FE7" w:rsidRPr="00EC1FE7" w:rsidRDefault="00EC1FE7" w:rsidP="00EC1FE7"/>
        </w:tc>
        <w:tc>
          <w:tcPr>
            <w:tcW w:w="4327" w:type="dxa"/>
          </w:tcPr>
          <w:p w:rsidR="00EC1FE7" w:rsidRPr="00EC1FE7" w:rsidRDefault="00EC1FE7" w:rsidP="00EC1FE7"/>
        </w:tc>
      </w:tr>
      <w:tr w:rsidR="00EC1FE7" w:rsidRPr="00EC1FE7" w:rsidTr="004C33AB">
        <w:tc>
          <w:tcPr>
            <w:tcW w:w="1368" w:type="dxa"/>
          </w:tcPr>
          <w:p w:rsidR="00EC1FE7" w:rsidRPr="00EC1FE7" w:rsidRDefault="00EC1FE7" w:rsidP="00EC1FE7"/>
        </w:tc>
        <w:tc>
          <w:tcPr>
            <w:tcW w:w="2970" w:type="dxa"/>
          </w:tcPr>
          <w:p w:rsidR="00EC1FE7" w:rsidRPr="00EC1FE7" w:rsidRDefault="00EC1FE7" w:rsidP="00EC1FE7">
            <w:r w:rsidRPr="00EC1FE7">
              <w:rPr>
                <w:lang w:val="en-US"/>
              </w:rPr>
              <w:t>Arbitration Place Inc.</w:t>
            </w:r>
          </w:p>
        </w:tc>
        <w:tc>
          <w:tcPr>
            <w:tcW w:w="1170" w:type="dxa"/>
          </w:tcPr>
          <w:p w:rsidR="00EC1FE7" w:rsidRPr="00EC1FE7" w:rsidRDefault="00EC1FE7" w:rsidP="00EC1FE7"/>
        </w:tc>
        <w:tc>
          <w:tcPr>
            <w:tcW w:w="4327" w:type="dxa"/>
          </w:tcPr>
          <w:p w:rsidR="00EC1FE7" w:rsidRPr="00EC1FE7" w:rsidRDefault="00EC1FE7" w:rsidP="00EC1FE7"/>
        </w:tc>
      </w:tr>
      <w:tr w:rsidR="00EC1FE7" w:rsidRPr="00EC1FE7" w:rsidTr="004C33AB">
        <w:tc>
          <w:tcPr>
            <w:tcW w:w="1368" w:type="dxa"/>
          </w:tcPr>
          <w:p w:rsidR="00EC1FE7" w:rsidRPr="00EC1FE7" w:rsidRDefault="00EC1FE7" w:rsidP="00EC1FE7"/>
        </w:tc>
        <w:tc>
          <w:tcPr>
            <w:tcW w:w="2970" w:type="dxa"/>
          </w:tcPr>
          <w:p w:rsidR="00EC1FE7" w:rsidRPr="00EC1FE7" w:rsidRDefault="00EC1FE7" w:rsidP="00EC1FE7"/>
        </w:tc>
        <w:tc>
          <w:tcPr>
            <w:tcW w:w="1170" w:type="dxa"/>
          </w:tcPr>
          <w:p w:rsidR="00EC1FE7" w:rsidRPr="00EC1FE7" w:rsidRDefault="00EC1FE7" w:rsidP="00EC1FE7"/>
        </w:tc>
        <w:tc>
          <w:tcPr>
            <w:tcW w:w="4327" w:type="dxa"/>
          </w:tcPr>
          <w:p w:rsidR="00EC1FE7" w:rsidRPr="00EC1FE7" w:rsidRDefault="00EC1FE7" w:rsidP="00EC1FE7"/>
        </w:tc>
      </w:tr>
      <w:tr w:rsidR="00EC1FE7" w:rsidRPr="003513AE" w:rsidTr="004C33AB">
        <w:tc>
          <w:tcPr>
            <w:tcW w:w="1368" w:type="dxa"/>
          </w:tcPr>
          <w:p w:rsidR="00EC1FE7" w:rsidRPr="00EC1FE7" w:rsidRDefault="00EC1FE7" w:rsidP="00EC1FE7">
            <w:r w:rsidRPr="00EC1FE7">
              <w:t>IN / DANS :</w:t>
            </w:r>
          </w:p>
        </w:tc>
        <w:tc>
          <w:tcPr>
            <w:tcW w:w="2970" w:type="dxa"/>
          </w:tcPr>
          <w:p w:rsidR="00EC1FE7" w:rsidRPr="00EC1FE7" w:rsidRDefault="00EC1FE7" w:rsidP="00EC1FE7">
            <w:pPr>
              <w:rPr>
                <w:lang w:val="fr-CA"/>
              </w:rPr>
            </w:pPr>
            <w:r w:rsidRPr="00EC1FE7">
              <w:rPr>
                <w:lang w:val="fr-CA"/>
              </w:rPr>
              <w:t>Union Carbide Canada Inc. et autre</w:t>
            </w:r>
          </w:p>
          <w:p w:rsidR="00EC1FE7" w:rsidRPr="00EC1FE7" w:rsidRDefault="00EC1FE7" w:rsidP="00EC1FE7">
            <w:pPr>
              <w:rPr>
                <w:lang w:val="fr-CA"/>
              </w:rPr>
            </w:pPr>
          </w:p>
          <w:p w:rsidR="00EC1FE7" w:rsidRPr="00EC1FE7" w:rsidRDefault="00EC1FE7" w:rsidP="00EC1FE7">
            <w:pPr>
              <w:rPr>
                <w:lang w:val="fr-CA"/>
              </w:rPr>
            </w:pPr>
            <w:r w:rsidRPr="00EC1FE7">
              <w:rPr>
                <w:lang w:val="fr-CA"/>
              </w:rPr>
              <w:tab/>
              <w:t>c. (35008)</w:t>
            </w:r>
          </w:p>
          <w:p w:rsidR="00EC1FE7" w:rsidRPr="00EC1FE7" w:rsidRDefault="00EC1FE7" w:rsidP="00EC1FE7">
            <w:pPr>
              <w:rPr>
                <w:lang w:val="fr-CA"/>
              </w:rPr>
            </w:pPr>
          </w:p>
          <w:p w:rsidR="00EC1FE7" w:rsidRPr="00EC1FE7" w:rsidRDefault="00EC1FE7" w:rsidP="00EC1FE7">
            <w:pPr>
              <w:rPr>
                <w:lang w:val="fr-CA"/>
              </w:rPr>
            </w:pPr>
            <w:r w:rsidRPr="00EC1FE7">
              <w:rPr>
                <w:lang w:val="fr-CA"/>
              </w:rPr>
              <w:t>Bombardier inc. et autre (Qc)</w:t>
            </w:r>
          </w:p>
        </w:tc>
        <w:tc>
          <w:tcPr>
            <w:tcW w:w="1170" w:type="dxa"/>
          </w:tcPr>
          <w:p w:rsidR="00EC1FE7" w:rsidRPr="00EC1FE7" w:rsidRDefault="00EC1FE7" w:rsidP="00EC1FE7">
            <w:pPr>
              <w:rPr>
                <w:lang w:val="fr-CA"/>
              </w:rPr>
            </w:pPr>
          </w:p>
        </w:tc>
        <w:tc>
          <w:tcPr>
            <w:tcW w:w="4327" w:type="dxa"/>
          </w:tcPr>
          <w:p w:rsidR="00EC1FE7" w:rsidRPr="00EC1FE7" w:rsidRDefault="00EC1FE7" w:rsidP="00EC1FE7">
            <w:pPr>
              <w:rPr>
                <w:lang w:val="fr-CA"/>
              </w:rPr>
            </w:pPr>
          </w:p>
        </w:tc>
      </w:tr>
    </w:tbl>
    <w:p w:rsidR="00EC1FE7" w:rsidRPr="00EC1FE7" w:rsidRDefault="00EC1FE7" w:rsidP="00EC1FE7">
      <w:pPr>
        <w:tabs>
          <w:tab w:val="left" w:pos="-1440"/>
          <w:tab w:val="left" w:pos="-720"/>
        </w:tabs>
        <w:jc w:val="both"/>
        <w:rPr>
          <w:rFonts w:eastAsia="Times New Roman" w:cs="Times New Roman"/>
          <w:sz w:val="20"/>
          <w:szCs w:val="20"/>
          <w:lang w:val="fr-CA" w:eastAsia="en-CA"/>
        </w:rPr>
      </w:pPr>
    </w:p>
    <w:p w:rsidR="00EC1FE7" w:rsidRPr="00EC1FE7" w:rsidRDefault="00EC1FE7" w:rsidP="00EC1FE7">
      <w:pPr>
        <w:spacing w:line="233" w:lineRule="auto"/>
        <w:jc w:val="both"/>
        <w:rPr>
          <w:rFonts w:eastAsia="Times New Roman" w:cs="Times New Roman"/>
          <w:sz w:val="20"/>
          <w:szCs w:val="20"/>
          <w:lang w:val="en-US" w:eastAsia="en-CA"/>
        </w:rPr>
      </w:pPr>
      <w:r w:rsidRPr="00EC1FE7">
        <w:rPr>
          <w:rFonts w:eastAsia="Times New Roman" w:cs="Times New Roman"/>
          <w:b/>
          <w:sz w:val="20"/>
          <w:szCs w:val="20"/>
          <w:lang w:val="en-US" w:eastAsia="en-CA"/>
        </w:rPr>
        <w:t xml:space="preserve">FURTHER TO THE ORDER </w:t>
      </w:r>
      <w:r w:rsidRPr="00EC1FE7">
        <w:rPr>
          <w:rFonts w:eastAsia="Times New Roman" w:cs="Times New Roman"/>
          <w:sz w:val="20"/>
          <w:szCs w:val="20"/>
          <w:lang w:val="en-US" w:eastAsia="en-CA"/>
        </w:rPr>
        <w:t>dated September 16, 2013,</w:t>
      </w:r>
      <w:r w:rsidRPr="00EC1FE7">
        <w:rPr>
          <w:rFonts w:eastAsia="Times New Roman" w:cs="Times New Roman"/>
          <w:b/>
          <w:sz w:val="20"/>
          <w:szCs w:val="20"/>
          <w:lang w:val="en-US" w:eastAsia="en-CA"/>
        </w:rPr>
        <w:t xml:space="preserve"> </w:t>
      </w:r>
      <w:r w:rsidRPr="00EC1FE7">
        <w:rPr>
          <w:rFonts w:eastAsia="Times New Roman" w:cs="Times New Roman"/>
          <w:sz w:val="20"/>
          <w:szCs w:val="20"/>
          <w:lang w:val="en-US" w:eastAsia="en-CA"/>
        </w:rPr>
        <w:t>granting leave to intervene to the Attorney General of British Columbia and the Arbitration Place Inc.;</w:t>
      </w:r>
    </w:p>
    <w:p w:rsidR="00EC1FE7" w:rsidRPr="00EC1FE7" w:rsidRDefault="00EC1FE7" w:rsidP="00EC1FE7">
      <w:pPr>
        <w:spacing w:line="233" w:lineRule="auto"/>
        <w:jc w:val="both"/>
        <w:rPr>
          <w:rFonts w:eastAsia="Times New Roman" w:cs="Times New Roman"/>
          <w:sz w:val="20"/>
          <w:szCs w:val="20"/>
          <w:lang w:val="en-US" w:eastAsia="en-CA"/>
        </w:rPr>
      </w:pPr>
    </w:p>
    <w:p w:rsidR="00EC1FE7" w:rsidRPr="00EC1FE7" w:rsidRDefault="00EC1FE7" w:rsidP="00EC1FE7">
      <w:pPr>
        <w:spacing w:line="233" w:lineRule="auto"/>
        <w:jc w:val="both"/>
        <w:rPr>
          <w:rFonts w:eastAsia="Times New Roman" w:cs="Times New Roman"/>
          <w:sz w:val="20"/>
          <w:szCs w:val="20"/>
          <w:lang w:val="en-US" w:eastAsia="en-CA"/>
        </w:rPr>
      </w:pPr>
      <w:r w:rsidRPr="00EC1FE7">
        <w:rPr>
          <w:rFonts w:eastAsia="Times New Roman" w:cs="Times New Roman"/>
          <w:b/>
          <w:bCs/>
          <w:sz w:val="20"/>
          <w:szCs w:val="20"/>
          <w:lang w:val="en-US" w:eastAsia="en-CA"/>
        </w:rPr>
        <w:t>IT IS HEREBY FURTHER ORDERED THAT</w:t>
      </w:r>
      <w:r w:rsidRPr="00EC1FE7">
        <w:rPr>
          <w:rFonts w:eastAsia="Times New Roman" w:cs="Times New Roman"/>
          <w:bCs/>
          <w:sz w:val="20"/>
          <w:szCs w:val="20"/>
          <w:lang w:val="en-US" w:eastAsia="en-CA"/>
        </w:rPr>
        <w:t xml:space="preserve"> the said interveners are each granted permission to present oral argument not exceeding ten (10) minutes at the hearing of the appeal.</w:t>
      </w:r>
    </w:p>
    <w:p w:rsidR="00EC1FE7" w:rsidRPr="00EC1FE7" w:rsidRDefault="00EC1FE7" w:rsidP="00EC1FE7">
      <w:pPr>
        <w:spacing w:line="233" w:lineRule="auto"/>
        <w:jc w:val="both"/>
        <w:rPr>
          <w:rFonts w:eastAsia="Times New Roman" w:cs="Times New Roman"/>
          <w:sz w:val="20"/>
          <w:szCs w:val="20"/>
          <w:lang w:val="en-US" w:eastAsia="en-CA"/>
        </w:rPr>
      </w:pPr>
    </w:p>
    <w:p w:rsidR="00EC1FE7" w:rsidRPr="00EC1FE7" w:rsidRDefault="00EC1FE7" w:rsidP="00EC1FE7">
      <w:pPr>
        <w:spacing w:line="233" w:lineRule="auto"/>
        <w:jc w:val="both"/>
        <w:rPr>
          <w:rFonts w:eastAsia="Times New Roman" w:cs="Times New Roman"/>
          <w:sz w:val="20"/>
          <w:szCs w:val="20"/>
          <w:lang w:val="en-US" w:eastAsia="en-CA"/>
        </w:rPr>
      </w:pPr>
    </w:p>
    <w:p w:rsidR="00EC1FE7" w:rsidRPr="00EC1FE7" w:rsidRDefault="00EC1FE7" w:rsidP="00EC1FE7">
      <w:pPr>
        <w:spacing w:line="233" w:lineRule="auto"/>
        <w:jc w:val="both"/>
        <w:rPr>
          <w:rFonts w:eastAsia="Times New Roman" w:cs="Times New Roman"/>
          <w:sz w:val="20"/>
          <w:szCs w:val="20"/>
          <w:lang w:val="en-US" w:eastAsia="en-CA"/>
        </w:rPr>
      </w:pPr>
    </w:p>
    <w:p w:rsidR="00EC1FE7" w:rsidRPr="00EC1FE7" w:rsidRDefault="00EC1FE7" w:rsidP="00EC1FE7">
      <w:pPr>
        <w:spacing w:line="233" w:lineRule="auto"/>
        <w:jc w:val="both"/>
        <w:rPr>
          <w:rFonts w:eastAsia="Times New Roman" w:cs="Times New Roman"/>
          <w:sz w:val="20"/>
          <w:szCs w:val="20"/>
          <w:lang w:val="fr-CA" w:eastAsia="en-CA"/>
        </w:rPr>
      </w:pPr>
      <w:r w:rsidRPr="00EC1FE7">
        <w:rPr>
          <w:rFonts w:eastAsia="Times New Roman" w:cs="Times New Roman"/>
          <w:b/>
          <w:bCs/>
          <w:sz w:val="20"/>
          <w:szCs w:val="20"/>
          <w:lang w:val="fr-CA" w:eastAsia="en-CA"/>
        </w:rPr>
        <w:t xml:space="preserve">À LA SUITE DE L’ORDONNANCE </w:t>
      </w:r>
      <w:r w:rsidRPr="00EC1FE7">
        <w:rPr>
          <w:rFonts w:eastAsia="Times New Roman" w:cs="Times New Roman"/>
          <w:bCs/>
          <w:sz w:val="20"/>
          <w:szCs w:val="20"/>
          <w:lang w:val="fr-CA" w:eastAsia="en-CA"/>
        </w:rPr>
        <w:t>datée du 16 septembre 2013 autorisant</w:t>
      </w:r>
      <w:r w:rsidRPr="00EC1FE7">
        <w:rPr>
          <w:rFonts w:eastAsia="Times New Roman" w:cs="Times New Roman"/>
          <w:sz w:val="20"/>
          <w:szCs w:val="20"/>
          <w:lang w:val="fr-CA" w:eastAsia="en-CA"/>
        </w:rPr>
        <w:t xml:space="preserve"> le procureur général de la Colombie-Britannique et l’Arbitration Place Inc. à intervenir;</w:t>
      </w:r>
    </w:p>
    <w:p w:rsidR="00EC1FE7" w:rsidRPr="00EC1FE7" w:rsidRDefault="00EC1FE7" w:rsidP="00EC1FE7">
      <w:pPr>
        <w:spacing w:line="233" w:lineRule="auto"/>
        <w:jc w:val="both"/>
        <w:rPr>
          <w:rFonts w:eastAsia="Times New Roman" w:cs="Times New Roman"/>
          <w:sz w:val="20"/>
          <w:szCs w:val="20"/>
          <w:lang w:val="fr-CA" w:eastAsia="en-CA"/>
        </w:rPr>
      </w:pPr>
    </w:p>
    <w:p w:rsidR="00EC1FE7" w:rsidRPr="00EC1FE7" w:rsidRDefault="00EC1FE7" w:rsidP="00EC1FE7">
      <w:pPr>
        <w:spacing w:line="233" w:lineRule="auto"/>
        <w:jc w:val="both"/>
        <w:rPr>
          <w:rFonts w:eastAsia="Times New Roman" w:cs="Times New Roman"/>
          <w:sz w:val="20"/>
          <w:szCs w:val="20"/>
          <w:lang w:val="fr-CA" w:eastAsia="en-CA"/>
        </w:rPr>
      </w:pPr>
      <w:r w:rsidRPr="00EC1FE7">
        <w:rPr>
          <w:rFonts w:eastAsia="Times New Roman" w:cs="Times New Roman"/>
          <w:b/>
          <w:bCs/>
          <w:sz w:val="20"/>
          <w:szCs w:val="20"/>
          <w:lang w:val="fr-CA" w:eastAsia="en-CA"/>
        </w:rPr>
        <w:t>IL EST EN OUTRE ORDONNÉ CE QUI SUIT </w:t>
      </w:r>
      <w:r w:rsidRPr="00EC1FE7">
        <w:rPr>
          <w:rFonts w:eastAsia="Times New Roman" w:cs="Times New Roman"/>
          <w:bCs/>
          <w:sz w:val="20"/>
          <w:szCs w:val="20"/>
          <w:lang w:val="fr-CA" w:eastAsia="en-CA"/>
        </w:rPr>
        <w:t>:</w:t>
      </w:r>
      <w:r w:rsidRPr="00EC1FE7">
        <w:rPr>
          <w:rFonts w:eastAsia="Times New Roman" w:cs="Times New Roman"/>
          <w:b/>
          <w:bCs/>
          <w:sz w:val="20"/>
          <w:szCs w:val="20"/>
          <w:lang w:val="fr-CA" w:eastAsia="en-CA"/>
        </w:rPr>
        <w:t xml:space="preserve"> </w:t>
      </w:r>
      <w:r w:rsidRPr="00EC1FE7">
        <w:rPr>
          <w:rFonts w:eastAsia="Times New Roman" w:cs="Times New Roman"/>
          <w:bCs/>
          <w:sz w:val="20"/>
          <w:szCs w:val="20"/>
          <w:lang w:val="fr-CA" w:eastAsia="en-CA"/>
        </w:rPr>
        <w:t>chaque intervenant est autorisé à présenter une plaidoirie orale d’au plus dix (10) minutes lors de l’audition de l’appel.</w:t>
      </w:r>
    </w:p>
    <w:p w:rsidR="00EC1FE7" w:rsidRPr="00EC1FE7" w:rsidRDefault="00EC1FE7" w:rsidP="00EC1FE7">
      <w:pPr>
        <w:tabs>
          <w:tab w:val="left" w:pos="-1440"/>
          <w:tab w:val="left" w:pos="-720"/>
        </w:tabs>
        <w:jc w:val="both"/>
        <w:rPr>
          <w:rFonts w:eastAsia="Times New Roman" w:cs="Times New Roman"/>
          <w:sz w:val="20"/>
          <w:szCs w:val="20"/>
          <w:lang w:val="fr-CA" w:eastAsia="en-CA"/>
        </w:rPr>
      </w:pPr>
    </w:p>
    <w:p w:rsidR="00EC1FE7" w:rsidRPr="00EC1FE7" w:rsidRDefault="003513AE" w:rsidP="00EC1FE7">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2" style="width:2in;height:1pt" o:hrpct="0" o:hralign="center" o:hrstd="t" o:hrnoshade="t" o:hr="t" fillcolor="black [3213]" stroked="f"/>
        </w:pict>
      </w:r>
    </w:p>
    <w:p w:rsidR="00EC1FE7" w:rsidRPr="00EC1FE7" w:rsidRDefault="00EC1FE7" w:rsidP="00EC1FE7">
      <w:pPr>
        <w:tabs>
          <w:tab w:val="left" w:pos="-1440"/>
          <w:tab w:val="left" w:pos="-720"/>
        </w:tabs>
        <w:jc w:val="both"/>
        <w:rPr>
          <w:rFonts w:eastAsia="Times New Roman" w:cs="Times New Roman"/>
          <w:sz w:val="20"/>
          <w:szCs w:val="20"/>
          <w:lang w:val="fr-CA" w:eastAsia="en-CA"/>
        </w:rPr>
      </w:pPr>
    </w:p>
    <w:p w:rsidR="00EC1FE7" w:rsidRDefault="00EC1FE7">
      <w:pPr>
        <w:rPr>
          <w:rFonts w:eastAsia="Times New Roman" w:cs="Times New Roman"/>
          <w:sz w:val="20"/>
          <w:szCs w:val="20"/>
          <w:lang w:val="fr-CA" w:eastAsia="en-CA"/>
        </w:rPr>
      </w:pPr>
      <w:r>
        <w:rPr>
          <w:rFonts w:eastAsia="Times New Roman" w:cs="Times New Roman"/>
          <w:sz w:val="20"/>
          <w:szCs w:val="20"/>
          <w:lang w:val="fr-CA" w:eastAsia="en-CA"/>
        </w:rPr>
        <w:br w:type="page"/>
      </w:r>
    </w:p>
    <w:p w:rsidR="00EC1FE7" w:rsidRPr="00EC1FE7" w:rsidRDefault="00EC1FE7" w:rsidP="00EC1FE7">
      <w:pPr>
        <w:tabs>
          <w:tab w:val="left" w:pos="-1440"/>
          <w:tab w:val="left" w:pos="-720"/>
        </w:tabs>
        <w:jc w:val="both"/>
        <w:rPr>
          <w:rFonts w:eastAsia="Times New Roman" w:cs="Times New Roman"/>
          <w:sz w:val="20"/>
          <w:szCs w:val="20"/>
          <w:lang w:val="fr-CA" w:eastAsia="en-CA"/>
        </w:rPr>
      </w:pPr>
      <w:r w:rsidRPr="00EC1FE7">
        <w:rPr>
          <w:rFonts w:eastAsia="Times New Roman" w:cs="Times New Roman"/>
          <w:sz w:val="20"/>
          <w:szCs w:val="20"/>
          <w:lang w:val="fr-CA" w:eastAsia="en-CA"/>
        </w:rPr>
        <w:lastRenderedPageBreak/>
        <w:t>20.11.2013</w:t>
      </w:r>
    </w:p>
    <w:p w:rsidR="00EC1FE7" w:rsidRPr="00EC1FE7" w:rsidRDefault="00EC1FE7" w:rsidP="00EC1FE7">
      <w:pPr>
        <w:tabs>
          <w:tab w:val="left" w:pos="-1440"/>
          <w:tab w:val="left" w:pos="-720"/>
        </w:tabs>
        <w:jc w:val="both"/>
        <w:rPr>
          <w:rFonts w:eastAsia="Times New Roman" w:cs="Times New Roman"/>
          <w:sz w:val="20"/>
          <w:szCs w:val="20"/>
          <w:lang w:val="fr-CA" w:eastAsia="en-CA"/>
        </w:rPr>
      </w:pPr>
    </w:p>
    <w:p w:rsidR="00EC1FE7" w:rsidRPr="00EC1FE7" w:rsidRDefault="00EC1FE7" w:rsidP="00EC1FE7">
      <w:pPr>
        <w:tabs>
          <w:tab w:val="left" w:pos="-1440"/>
          <w:tab w:val="left" w:pos="-720"/>
        </w:tabs>
        <w:jc w:val="both"/>
        <w:rPr>
          <w:rFonts w:eastAsia="Times New Roman" w:cs="Times New Roman"/>
          <w:sz w:val="20"/>
          <w:szCs w:val="20"/>
          <w:lang w:val="fr-CA" w:eastAsia="en-CA"/>
        </w:rPr>
      </w:pPr>
      <w:r w:rsidRPr="00EC1FE7">
        <w:rPr>
          <w:rFonts w:eastAsia="Times New Roman" w:cs="Times New Roman"/>
          <w:sz w:val="20"/>
          <w:szCs w:val="20"/>
          <w:lang w:val="fr-CA" w:eastAsia="en-CA"/>
        </w:rPr>
        <w:t>Before / Devant :   THE CHIEF JUSTICE / LA JUGE EN CHEF</w:t>
      </w:r>
    </w:p>
    <w:p w:rsidR="00EC1FE7" w:rsidRPr="00EC1FE7" w:rsidRDefault="00EC1FE7" w:rsidP="00EC1FE7">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EC1FE7" w:rsidRPr="00EC1FE7" w:rsidTr="004C33AB">
        <w:tc>
          <w:tcPr>
            <w:tcW w:w="4338" w:type="dxa"/>
          </w:tcPr>
          <w:p w:rsidR="00EC1FE7" w:rsidRPr="00EC1FE7" w:rsidRDefault="00E704B0" w:rsidP="00EC1FE7">
            <w:pPr>
              <w:tabs>
                <w:tab w:val="left" w:pos="-1440"/>
                <w:tab w:val="left" w:pos="-720"/>
              </w:tabs>
              <w:jc w:val="both"/>
              <w:rPr>
                <w:b/>
              </w:rPr>
            </w:pPr>
            <w:r w:rsidRPr="00EC1FE7">
              <w:rPr>
                <w:lang w:val="en-US"/>
              </w:rPr>
              <w:fldChar w:fldCharType="begin"/>
            </w:r>
            <w:r w:rsidR="00EC1FE7" w:rsidRPr="00EC1FE7">
              <w:rPr>
                <w:lang w:val="fr-CA"/>
              </w:rPr>
              <w:instrText xml:space="preserve"> SEQ CHAPTER \h \r 1</w:instrText>
            </w:r>
            <w:r w:rsidRPr="00EC1FE7">
              <w:rPr>
                <w:lang w:val="en-US"/>
              </w:rPr>
              <w:fldChar w:fldCharType="end"/>
            </w:r>
            <w:r w:rsidR="00EC1FE7" w:rsidRPr="00EC1FE7">
              <w:rPr>
                <w:b/>
                <w:bCs/>
                <w:lang w:val="fr-CA"/>
              </w:rPr>
              <w:t xml:space="preserve">Order </w:t>
            </w:r>
          </w:p>
        </w:tc>
        <w:tc>
          <w:tcPr>
            <w:tcW w:w="1170" w:type="dxa"/>
          </w:tcPr>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pPr>
          </w:p>
        </w:tc>
        <w:tc>
          <w:tcPr>
            <w:tcW w:w="4327" w:type="dxa"/>
          </w:tcPr>
          <w:p w:rsidR="00EC1FE7" w:rsidRPr="00EC1FE7" w:rsidRDefault="00EC1FE7" w:rsidP="00EC1FE7">
            <w:pPr>
              <w:tabs>
                <w:tab w:val="left" w:pos="-1440"/>
                <w:tab w:val="left" w:pos="-720"/>
              </w:tabs>
              <w:jc w:val="both"/>
              <w:rPr>
                <w:lang w:val="fr-CA"/>
              </w:rPr>
            </w:pPr>
            <w:r w:rsidRPr="00EC1FE7">
              <w:rPr>
                <w:b/>
                <w:bCs/>
                <w:lang w:val="fr-CA"/>
              </w:rPr>
              <w:t xml:space="preserve">Ordonnance </w:t>
            </w:r>
            <w:r w:rsidR="00E704B0" w:rsidRPr="00EC1FE7">
              <w:rPr>
                <w:szCs w:val="24"/>
                <w:lang w:val="en-US"/>
              </w:rPr>
              <w:fldChar w:fldCharType="begin"/>
            </w:r>
            <w:r w:rsidRPr="00EC1FE7">
              <w:rPr>
                <w:szCs w:val="24"/>
                <w:lang w:val="fr-CA"/>
              </w:rPr>
              <w:instrText xml:space="preserve"> SEQ CHAPTER \h \r 1</w:instrText>
            </w:r>
            <w:r w:rsidR="00E704B0" w:rsidRPr="00EC1FE7">
              <w:rPr>
                <w:szCs w:val="24"/>
                <w:lang w:val="en-US"/>
              </w:rPr>
              <w:fldChar w:fldCharType="end"/>
            </w:r>
          </w:p>
        </w:tc>
      </w:tr>
      <w:tr w:rsidR="00EC1FE7" w:rsidRPr="00EC1FE7" w:rsidTr="004C33AB">
        <w:tc>
          <w:tcPr>
            <w:tcW w:w="4338" w:type="dxa"/>
          </w:tcPr>
          <w:p w:rsidR="00EC1FE7" w:rsidRPr="00EC1FE7" w:rsidRDefault="00EC1FE7" w:rsidP="00EC1FE7">
            <w:pPr>
              <w:tabs>
                <w:tab w:val="left" w:pos="-1440"/>
                <w:tab w:val="left" w:pos="-720"/>
              </w:tabs>
              <w:jc w:val="both"/>
            </w:pPr>
            <w:r w:rsidRPr="00EC1FE7">
              <w:t>Director of Civil Forfeiture</w:t>
            </w:r>
          </w:p>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pPr>
            <w:r w:rsidRPr="00EC1FE7">
              <w:tab/>
              <w:t>v. (35134)</w:t>
            </w:r>
          </w:p>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rPr>
                <w:lang w:val="fr-CA"/>
              </w:rPr>
            </w:pPr>
            <w:r w:rsidRPr="00EC1FE7">
              <w:rPr>
                <w:lang w:val="fr-CA"/>
              </w:rPr>
              <w:t>Hells Angels Motorcycle Corporation et al. (Crim.) (B.C.)</w:t>
            </w:r>
          </w:p>
        </w:tc>
        <w:tc>
          <w:tcPr>
            <w:tcW w:w="1170" w:type="dxa"/>
          </w:tcPr>
          <w:p w:rsidR="00EC1FE7" w:rsidRPr="00EC1FE7" w:rsidRDefault="00EC1FE7" w:rsidP="00EC1FE7">
            <w:pPr>
              <w:tabs>
                <w:tab w:val="left" w:pos="-1440"/>
                <w:tab w:val="left" w:pos="-720"/>
              </w:tabs>
              <w:jc w:val="both"/>
              <w:rPr>
                <w:lang w:val="fr-CA"/>
              </w:rPr>
            </w:pPr>
          </w:p>
        </w:tc>
        <w:tc>
          <w:tcPr>
            <w:tcW w:w="4327" w:type="dxa"/>
          </w:tcPr>
          <w:p w:rsidR="00EC1FE7" w:rsidRPr="00EC1FE7" w:rsidRDefault="00EC1FE7" w:rsidP="00EC1FE7">
            <w:pPr>
              <w:tabs>
                <w:tab w:val="left" w:pos="-1440"/>
                <w:tab w:val="left" w:pos="-720"/>
              </w:tabs>
              <w:jc w:val="both"/>
              <w:rPr>
                <w:lang w:val="fr-CA"/>
              </w:rPr>
            </w:pPr>
          </w:p>
        </w:tc>
      </w:tr>
    </w:tbl>
    <w:p w:rsidR="00EC1FE7" w:rsidRPr="00EC1FE7" w:rsidRDefault="00EC1FE7" w:rsidP="00EC1FE7">
      <w:pPr>
        <w:tabs>
          <w:tab w:val="left" w:pos="-1440"/>
          <w:tab w:val="left" w:pos="-720"/>
        </w:tabs>
        <w:jc w:val="both"/>
        <w:rPr>
          <w:rFonts w:eastAsia="Times New Roman" w:cs="Times New Roman"/>
          <w:sz w:val="20"/>
          <w:szCs w:val="20"/>
          <w:lang w:val="fr-CA" w:eastAsia="en-CA"/>
        </w:rPr>
      </w:pPr>
    </w:p>
    <w:p w:rsidR="00EC1FE7" w:rsidRPr="00EC1FE7" w:rsidRDefault="00EC1FE7" w:rsidP="00EC1FE7">
      <w:pPr>
        <w:spacing w:line="215" w:lineRule="auto"/>
        <w:jc w:val="both"/>
        <w:rPr>
          <w:rFonts w:eastAsia="Times New Roman" w:cs="Times New Roman"/>
          <w:sz w:val="20"/>
          <w:szCs w:val="20"/>
          <w:lang w:val="en-US" w:eastAsia="en-CA"/>
        </w:rPr>
      </w:pPr>
      <w:r w:rsidRPr="00EC1FE7">
        <w:rPr>
          <w:rFonts w:eastAsia="Times New Roman" w:cs="Times New Roman"/>
          <w:b/>
          <w:bCs/>
          <w:sz w:val="20"/>
          <w:szCs w:val="20"/>
          <w:lang w:val="en-US" w:eastAsia="en-CA"/>
        </w:rPr>
        <w:t>IT IS HEREBY ORDERED THAT:</w:t>
      </w:r>
    </w:p>
    <w:p w:rsidR="00EC1FE7" w:rsidRPr="00EC1FE7" w:rsidRDefault="00EC1FE7" w:rsidP="00EC1FE7">
      <w:pPr>
        <w:spacing w:line="215" w:lineRule="auto"/>
        <w:jc w:val="both"/>
        <w:rPr>
          <w:rFonts w:eastAsia="Times New Roman" w:cs="Times New Roman"/>
          <w:sz w:val="20"/>
          <w:szCs w:val="20"/>
          <w:lang w:val="en-US" w:eastAsia="en-CA"/>
        </w:rPr>
      </w:pPr>
    </w:p>
    <w:p w:rsidR="00EC1FE7" w:rsidRPr="00EC1FE7" w:rsidRDefault="00EC1FE7" w:rsidP="00EC1FE7">
      <w:pPr>
        <w:spacing w:line="215" w:lineRule="auto"/>
        <w:ind w:right="-360"/>
        <w:jc w:val="both"/>
        <w:rPr>
          <w:rFonts w:eastAsia="Times New Roman" w:cs="Times New Roman"/>
          <w:sz w:val="20"/>
          <w:szCs w:val="20"/>
          <w:lang w:val="en-US" w:eastAsia="en-CA"/>
        </w:rPr>
      </w:pPr>
      <w:r w:rsidRPr="00EC1FE7">
        <w:rPr>
          <w:rFonts w:eastAsia="Times New Roman" w:cs="Times New Roman"/>
          <w:sz w:val="20"/>
          <w:szCs w:val="20"/>
          <w:lang w:val="en-US" w:eastAsia="en-CA"/>
        </w:rPr>
        <w:t xml:space="preserve">The appeal is adjourned </w:t>
      </w:r>
      <w:r w:rsidRPr="00EC1FE7">
        <w:rPr>
          <w:rFonts w:eastAsia="Times New Roman" w:cs="Times New Roman"/>
          <w:i/>
          <w:sz w:val="20"/>
          <w:szCs w:val="20"/>
          <w:lang w:val="en-US" w:eastAsia="en-CA"/>
        </w:rPr>
        <w:t>sine die</w:t>
      </w:r>
      <w:r w:rsidRPr="00EC1FE7">
        <w:rPr>
          <w:rFonts w:eastAsia="Times New Roman" w:cs="Times New Roman"/>
          <w:sz w:val="20"/>
          <w:szCs w:val="20"/>
          <w:lang w:val="en-US" w:eastAsia="en-CA"/>
        </w:rPr>
        <w:t xml:space="preserve"> pending a decision of the Court of Appeal for British Columbia.  </w:t>
      </w:r>
    </w:p>
    <w:p w:rsidR="00EC1FE7" w:rsidRPr="00EC1FE7" w:rsidRDefault="00EC1FE7" w:rsidP="00EC1FE7">
      <w:pPr>
        <w:spacing w:line="215" w:lineRule="auto"/>
        <w:jc w:val="both"/>
        <w:rPr>
          <w:rFonts w:eastAsia="Times New Roman" w:cs="Times New Roman"/>
          <w:sz w:val="20"/>
          <w:szCs w:val="20"/>
          <w:lang w:val="en-US" w:eastAsia="en-CA"/>
        </w:rPr>
      </w:pPr>
    </w:p>
    <w:p w:rsidR="00EC1FE7" w:rsidRPr="00EC1FE7" w:rsidRDefault="00EC1FE7" w:rsidP="00EC1FE7">
      <w:pPr>
        <w:spacing w:line="215" w:lineRule="auto"/>
        <w:jc w:val="both"/>
        <w:rPr>
          <w:rFonts w:eastAsia="Times New Roman" w:cs="Times New Roman"/>
          <w:sz w:val="20"/>
          <w:szCs w:val="20"/>
          <w:lang w:val="en-US" w:eastAsia="en-CA"/>
        </w:rPr>
      </w:pPr>
    </w:p>
    <w:p w:rsidR="00EC1FE7" w:rsidRPr="00EC1FE7" w:rsidRDefault="00EC1FE7" w:rsidP="00EC1FE7">
      <w:pPr>
        <w:spacing w:line="215" w:lineRule="auto"/>
        <w:jc w:val="both"/>
        <w:rPr>
          <w:rFonts w:eastAsia="Times New Roman" w:cs="Times New Roman"/>
          <w:sz w:val="20"/>
          <w:szCs w:val="20"/>
          <w:lang w:val="en-US" w:eastAsia="en-CA"/>
        </w:rPr>
      </w:pPr>
    </w:p>
    <w:p w:rsidR="00EC1FE7" w:rsidRPr="00EC1FE7" w:rsidRDefault="00EC1FE7" w:rsidP="00EC1FE7">
      <w:pPr>
        <w:spacing w:line="215" w:lineRule="auto"/>
        <w:jc w:val="both"/>
        <w:rPr>
          <w:rFonts w:eastAsia="Times New Roman" w:cs="Times New Roman"/>
          <w:b/>
          <w:sz w:val="20"/>
          <w:szCs w:val="20"/>
          <w:lang w:val="fr-CA" w:eastAsia="en-CA"/>
        </w:rPr>
      </w:pPr>
      <w:r w:rsidRPr="00EC1FE7">
        <w:rPr>
          <w:rFonts w:eastAsia="Times New Roman" w:cs="Times New Roman"/>
          <w:b/>
          <w:sz w:val="20"/>
          <w:szCs w:val="20"/>
          <w:lang w:val="fr-CA" w:eastAsia="en-CA"/>
        </w:rPr>
        <w:t>IL EST ORDONNÉ CE QUI SUIT :</w:t>
      </w:r>
    </w:p>
    <w:p w:rsidR="00EC1FE7" w:rsidRPr="00EC1FE7" w:rsidRDefault="00EC1FE7" w:rsidP="00EC1FE7">
      <w:pPr>
        <w:tabs>
          <w:tab w:val="left" w:pos="-1440"/>
        </w:tabs>
        <w:spacing w:line="216" w:lineRule="auto"/>
        <w:ind w:left="720" w:hanging="720"/>
        <w:jc w:val="both"/>
        <w:rPr>
          <w:rFonts w:eastAsia="Times New Roman" w:cs="Times New Roman"/>
          <w:sz w:val="20"/>
          <w:szCs w:val="20"/>
          <w:lang w:val="fr-CA" w:eastAsia="en-CA"/>
        </w:rPr>
      </w:pPr>
    </w:p>
    <w:p w:rsidR="00EC1FE7" w:rsidRPr="00EC1FE7" w:rsidRDefault="00EC1FE7" w:rsidP="00EC1FE7">
      <w:pPr>
        <w:spacing w:line="233" w:lineRule="auto"/>
        <w:ind w:right="-360"/>
        <w:jc w:val="both"/>
        <w:rPr>
          <w:rFonts w:eastAsia="Times New Roman" w:cs="Times New Roman"/>
          <w:sz w:val="20"/>
          <w:szCs w:val="20"/>
          <w:lang w:val="fr-CA" w:eastAsia="en-CA"/>
        </w:rPr>
      </w:pPr>
      <w:r w:rsidRPr="00EC1FE7">
        <w:rPr>
          <w:rFonts w:eastAsia="Times New Roman" w:cs="Times New Roman"/>
          <w:sz w:val="20"/>
          <w:szCs w:val="20"/>
          <w:lang w:val="fr-CA" w:eastAsia="en-CA"/>
        </w:rPr>
        <w:t xml:space="preserve">L’appel est ajourné </w:t>
      </w:r>
      <w:r w:rsidRPr="00EC1FE7">
        <w:rPr>
          <w:rFonts w:eastAsia="Times New Roman" w:cs="Times New Roman"/>
          <w:i/>
          <w:sz w:val="20"/>
          <w:szCs w:val="20"/>
          <w:lang w:val="fr-CA" w:eastAsia="en-CA"/>
        </w:rPr>
        <w:t>sine die</w:t>
      </w:r>
      <w:r w:rsidRPr="00EC1FE7">
        <w:rPr>
          <w:rFonts w:eastAsia="Times New Roman" w:cs="Times New Roman"/>
          <w:sz w:val="20"/>
          <w:szCs w:val="20"/>
          <w:lang w:val="fr-CA" w:eastAsia="en-CA"/>
        </w:rPr>
        <w:t xml:space="preserve"> en attendant une décision de la Cour d’appel de la Colombie-Britannique.</w:t>
      </w:r>
    </w:p>
    <w:p w:rsidR="00EC1FE7" w:rsidRPr="00EC1FE7" w:rsidRDefault="00EC1FE7" w:rsidP="00EC1FE7">
      <w:pPr>
        <w:tabs>
          <w:tab w:val="left" w:pos="-1440"/>
          <w:tab w:val="left" w:pos="-720"/>
        </w:tabs>
        <w:jc w:val="both"/>
        <w:rPr>
          <w:rFonts w:eastAsia="Times New Roman" w:cs="Times New Roman"/>
          <w:sz w:val="20"/>
          <w:szCs w:val="20"/>
          <w:lang w:val="fr-CA" w:eastAsia="en-CA"/>
        </w:rPr>
      </w:pPr>
    </w:p>
    <w:p w:rsidR="00EC1FE7" w:rsidRPr="00EC1FE7" w:rsidRDefault="003513AE" w:rsidP="00EC1FE7">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EC1FE7" w:rsidRPr="00EC1FE7" w:rsidRDefault="00EC1FE7" w:rsidP="00EC1FE7">
      <w:pPr>
        <w:tabs>
          <w:tab w:val="left" w:pos="-1440"/>
          <w:tab w:val="left" w:pos="-720"/>
        </w:tabs>
        <w:jc w:val="both"/>
        <w:rPr>
          <w:rFonts w:eastAsia="Times New Roman" w:cs="Times New Roman"/>
          <w:sz w:val="20"/>
          <w:szCs w:val="20"/>
          <w:lang w:eastAsia="en-CA"/>
        </w:rPr>
      </w:pPr>
    </w:p>
    <w:p w:rsidR="00EC1FE7" w:rsidRPr="00EC1FE7" w:rsidRDefault="00EC1FE7" w:rsidP="00EC1FE7">
      <w:pPr>
        <w:tabs>
          <w:tab w:val="left" w:pos="-1440"/>
          <w:tab w:val="left" w:pos="-720"/>
        </w:tabs>
        <w:jc w:val="both"/>
        <w:rPr>
          <w:rFonts w:eastAsia="Times New Roman" w:cs="Times New Roman"/>
          <w:sz w:val="20"/>
          <w:szCs w:val="20"/>
          <w:lang w:eastAsia="en-CA"/>
        </w:rPr>
      </w:pPr>
      <w:r w:rsidRPr="00EC1FE7">
        <w:rPr>
          <w:rFonts w:eastAsia="Times New Roman" w:cs="Times New Roman"/>
          <w:sz w:val="20"/>
          <w:szCs w:val="20"/>
          <w:lang w:eastAsia="en-CA"/>
        </w:rPr>
        <w:t>20.11.2013</w:t>
      </w:r>
    </w:p>
    <w:p w:rsidR="00EC1FE7" w:rsidRPr="00EC1FE7" w:rsidRDefault="00EC1FE7" w:rsidP="00EC1FE7">
      <w:pPr>
        <w:tabs>
          <w:tab w:val="left" w:pos="-1440"/>
          <w:tab w:val="left" w:pos="-720"/>
        </w:tabs>
        <w:jc w:val="both"/>
        <w:rPr>
          <w:rFonts w:eastAsia="Times New Roman" w:cs="Times New Roman"/>
          <w:sz w:val="20"/>
          <w:szCs w:val="20"/>
          <w:lang w:eastAsia="en-CA"/>
        </w:rPr>
      </w:pPr>
    </w:p>
    <w:p w:rsidR="00EC1FE7" w:rsidRPr="00EC1FE7" w:rsidRDefault="00EC1FE7" w:rsidP="00EC1FE7">
      <w:pPr>
        <w:jc w:val="both"/>
        <w:rPr>
          <w:rFonts w:eastAsia="Times New Roman" w:cs="Times New Roman"/>
          <w:sz w:val="20"/>
          <w:szCs w:val="20"/>
          <w:lang w:val="fr-CA" w:eastAsia="en-CA"/>
        </w:rPr>
      </w:pPr>
      <w:r w:rsidRPr="00EC1FE7">
        <w:rPr>
          <w:rFonts w:eastAsia="Times New Roman" w:cs="Times New Roman"/>
          <w:sz w:val="20"/>
          <w:szCs w:val="20"/>
          <w:lang w:val="fr-CA" w:eastAsia="en-CA"/>
        </w:rPr>
        <w:t>Before / Devant:   THE REGISTRAR / LE REGISTRAIRE</w:t>
      </w:r>
    </w:p>
    <w:p w:rsidR="00EC1FE7" w:rsidRPr="00EC1FE7" w:rsidRDefault="00EC1FE7" w:rsidP="00EC1FE7">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EC1FE7" w:rsidRPr="003513AE" w:rsidTr="004C33AB">
        <w:tc>
          <w:tcPr>
            <w:tcW w:w="4338" w:type="dxa"/>
          </w:tcPr>
          <w:p w:rsidR="00EC1FE7" w:rsidRPr="00EC1FE7" w:rsidRDefault="00E704B0" w:rsidP="00EC1FE7">
            <w:pPr>
              <w:tabs>
                <w:tab w:val="left" w:pos="-1440"/>
                <w:tab w:val="left" w:pos="-720"/>
              </w:tabs>
              <w:jc w:val="both"/>
            </w:pPr>
            <w:r w:rsidRPr="00EC1FE7">
              <w:rPr>
                <w:szCs w:val="24"/>
                <w:lang w:val="en-US"/>
              </w:rPr>
              <w:fldChar w:fldCharType="begin"/>
            </w:r>
            <w:r w:rsidR="00EC1FE7" w:rsidRPr="00EC1FE7">
              <w:rPr>
                <w:szCs w:val="24"/>
                <w:lang w:val="en-US"/>
              </w:rPr>
              <w:instrText xml:space="preserve"> SEQ CHAPTER \h \r 1</w:instrText>
            </w:r>
            <w:r w:rsidRPr="00EC1FE7">
              <w:rPr>
                <w:szCs w:val="24"/>
                <w:lang w:val="en-US"/>
              </w:rPr>
              <w:fldChar w:fldCharType="end"/>
            </w:r>
            <w:r w:rsidR="00EC1FE7" w:rsidRPr="00EC1FE7">
              <w:rPr>
                <w:b/>
                <w:bCs/>
                <w:color w:val="000000"/>
                <w:lang w:val="en-GB"/>
              </w:rPr>
              <w:t>Motion to extend the time to serve and file the appellant's factum, record and book of authorities to November 12, 2013</w:t>
            </w:r>
            <w:r w:rsidR="00EC1FE7" w:rsidRPr="00EC1FE7">
              <w:rPr>
                <w:b/>
                <w:bCs/>
                <w:lang w:val="en-US"/>
              </w:rPr>
              <w:t xml:space="preserve"> </w:t>
            </w:r>
          </w:p>
        </w:tc>
        <w:tc>
          <w:tcPr>
            <w:tcW w:w="1170" w:type="dxa"/>
          </w:tcPr>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pPr>
          </w:p>
        </w:tc>
        <w:tc>
          <w:tcPr>
            <w:tcW w:w="4327" w:type="dxa"/>
          </w:tcPr>
          <w:p w:rsidR="00EC1FE7" w:rsidRPr="00EC1FE7" w:rsidRDefault="00EC1FE7" w:rsidP="00EC1FE7">
            <w:pPr>
              <w:tabs>
                <w:tab w:val="left" w:pos="-1440"/>
                <w:tab w:val="left" w:pos="-720"/>
              </w:tabs>
              <w:jc w:val="both"/>
              <w:rPr>
                <w:lang w:val="fr-CA"/>
              </w:rPr>
            </w:pPr>
            <w:r w:rsidRPr="00EC1FE7">
              <w:rPr>
                <w:b/>
                <w:bCs/>
                <w:color w:val="000000"/>
                <w:lang w:val="fr-CA"/>
              </w:rPr>
              <w:t>Requête en prorogation de délai de signification et de dépôt des mémoire, dossier et recueil de sources de l’appelant jusqu’au 12 novembre 2013</w:t>
            </w:r>
          </w:p>
        </w:tc>
      </w:tr>
      <w:tr w:rsidR="00EC1FE7" w:rsidRPr="00EC1FE7" w:rsidTr="004C33AB">
        <w:tc>
          <w:tcPr>
            <w:tcW w:w="4338" w:type="dxa"/>
          </w:tcPr>
          <w:p w:rsidR="00EC1FE7" w:rsidRPr="00EC1FE7" w:rsidRDefault="00EC1FE7" w:rsidP="00EC1FE7">
            <w:pPr>
              <w:tabs>
                <w:tab w:val="left" w:pos="-1440"/>
                <w:tab w:val="left" w:pos="-720"/>
              </w:tabs>
              <w:jc w:val="both"/>
            </w:pPr>
            <w:r w:rsidRPr="00EC1FE7">
              <w:t>Vittorio Thomas Flaviano</w:t>
            </w:r>
          </w:p>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pPr>
            <w:r w:rsidRPr="00EC1FE7">
              <w:tab/>
              <w:t>v. (35488)</w:t>
            </w:r>
          </w:p>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rPr>
                <w:lang w:val="fr-CA"/>
              </w:rPr>
            </w:pPr>
            <w:r w:rsidRPr="00EC1FE7">
              <w:t xml:space="preserve">Her Majesty the Queen (Crim.) </w:t>
            </w:r>
            <w:r w:rsidRPr="00EC1FE7">
              <w:rPr>
                <w:lang w:val="fr-CA"/>
              </w:rPr>
              <w:t>(Alta.)</w:t>
            </w:r>
          </w:p>
        </w:tc>
        <w:tc>
          <w:tcPr>
            <w:tcW w:w="1170" w:type="dxa"/>
          </w:tcPr>
          <w:p w:rsidR="00EC1FE7" w:rsidRPr="00EC1FE7" w:rsidRDefault="00EC1FE7" w:rsidP="00EC1FE7">
            <w:pPr>
              <w:tabs>
                <w:tab w:val="left" w:pos="-1440"/>
                <w:tab w:val="left" w:pos="-720"/>
              </w:tabs>
              <w:jc w:val="both"/>
              <w:rPr>
                <w:lang w:val="fr-CA"/>
              </w:rPr>
            </w:pPr>
          </w:p>
        </w:tc>
        <w:tc>
          <w:tcPr>
            <w:tcW w:w="4327" w:type="dxa"/>
          </w:tcPr>
          <w:p w:rsidR="00EC1FE7" w:rsidRPr="00EC1FE7" w:rsidRDefault="00EC1FE7" w:rsidP="00EC1FE7">
            <w:pPr>
              <w:tabs>
                <w:tab w:val="left" w:pos="-1440"/>
                <w:tab w:val="left" w:pos="-720"/>
              </w:tabs>
              <w:jc w:val="both"/>
              <w:rPr>
                <w:lang w:val="fr-CA"/>
              </w:rPr>
            </w:pPr>
          </w:p>
        </w:tc>
      </w:tr>
    </w:tbl>
    <w:p w:rsidR="00EC1FE7" w:rsidRPr="00EC1FE7" w:rsidRDefault="00EC1FE7" w:rsidP="00EC1FE7">
      <w:pPr>
        <w:tabs>
          <w:tab w:val="left" w:pos="-1440"/>
          <w:tab w:val="left" w:pos="-720"/>
        </w:tabs>
        <w:jc w:val="both"/>
        <w:rPr>
          <w:rFonts w:eastAsia="Times New Roman" w:cs="Times New Roman"/>
          <w:b/>
          <w:sz w:val="20"/>
          <w:szCs w:val="20"/>
          <w:lang w:val="fr-CA" w:eastAsia="en-CA"/>
        </w:rPr>
      </w:pPr>
    </w:p>
    <w:p w:rsidR="00EC1FE7" w:rsidRPr="00EC1FE7" w:rsidRDefault="00EC1FE7" w:rsidP="00EC1FE7">
      <w:pPr>
        <w:tabs>
          <w:tab w:val="left" w:pos="-1440"/>
          <w:tab w:val="left" w:pos="-720"/>
        </w:tabs>
        <w:jc w:val="both"/>
        <w:rPr>
          <w:rFonts w:eastAsia="Times New Roman" w:cs="Times New Roman"/>
          <w:sz w:val="20"/>
          <w:szCs w:val="20"/>
          <w:lang w:eastAsia="en-CA"/>
        </w:rPr>
      </w:pPr>
      <w:r w:rsidRPr="00EC1FE7">
        <w:rPr>
          <w:rFonts w:eastAsia="Times New Roman" w:cs="Times New Roman"/>
          <w:b/>
          <w:sz w:val="20"/>
          <w:szCs w:val="20"/>
          <w:lang w:eastAsia="en-CA"/>
        </w:rPr>
        <w:t>GRANTED / ACCORDÉE</w:t>
      </w:r>
    </w:p>
    <w:p w:rsidR="00EC1FE7" w:rsidRPr="00EC1FE7" w:rsidRDefault="00EC1FE7" w:rsidP="00EC1FE7">
      <w:pPr>
        <w:tabs>
          <w:tab w:val="left" w:pos="-1440"/>
          <w:tab w:val="left" w:pos="-720"/>
        </w:tabs>
        <w:jc w:val="both"/>
        <w:rPr>
          <w:rFonts w:eastAsia="Times New Roman" w:cs="Times New Roman"/>
          <w:sz w:val="20"/>
          <w:szCs w:val="20"/>
          <w:lang w:eastAsia="en-CA"/>
        </w:rPr>
      </w:pPr>
    </w:p>
    <w:p w:rsidR="00EC1FE7" w:rsidRPr="00EC1FE7" w:rsidRDefault="003513AE" w:rsidP="00EC1FE7">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EC1FE7" w:rsidRPr="00EC1FE7" w:rsidRDefault="00EC1FE7" w:rsidP="00EC1FE7">
      <w:pPr>
        <w:tabs>
          <w:tab w:val="left" w:pos="-1440"/>
          <w:tab w:val="left" w:pos="-720"/>
        </w:tabs>
        <w:jc w:val="both"/>
        <w:rPr>
          <w:rFonts w:eastAsia="Times New Roman" w:cs="Times New Roman"/>
          <w:sz w:val="20"/>
          <w:szCs w:val="20"/>
          <w:lang w:val="fr-CA" w:eastAsia="en-CA"/>
        </w:rPr>
      </w:pPr>
    </w:p>
    <w:p w:rsidR="00EC1FE7" w:rsidRDefault="00EC1FE7">
      <w:pPr>
        <w:rPr>
          <w:rFonts w:eastAsia="Times New Roman" w:cs="Times New Roman"/>
          <w:sz w:val="20"/>
          <w:szCs w:val="20"/>
          <w:lang w:eastAsia="en-CA"/>
        </w:rPr>
      </w:pPr>
      <w:r>
        <w:rPr>
          <w:rFonts w:eastAsia="Times New Roman" w:cs="Times New Roman"/>
          <w:sz w:val="20"/>
          <w:szCs w:val="20"/>
          <w:lang w:eastAsia="en-CA"/>
        </w:rPr>
        <w:br w:type="page"/>
      </w:r>
    </w:p>
    <w:p w:rsidR="00EC1FE7" w:rsidRPr="00EC1FE7" w:rsidRDefault="00EC1FE7" w:rsidP="00EC1FE7">
      <w:pPr>
        <w:tabs>
          <w:tab w:val="left" w:pos="-1440"/>
          <w:tab w:val="left" w:pos="-720"/>
        </w:tabs>
        <w:jc w:val="both"/>
        <w:rPr>
          <w:rFonts w:eastAsia="Times New Roman" w:cs="Times New Roman"/>
          <w:sz w:val="20"/>
          <w:szCs w:val="20"/>
          <w:lang w:eastAsia="en-CA"/>
        </w:rPr>
      </w:pPr>
      <w:r w:rsidRPr="00EC1FE7">
        <w:rPr>
          <w:rFonts w:eastAsia="Times New Roman" w:cs="Times New Roman"/>
          <w:sz w:val="20"/>
          <w:szCs w:val="20"/>
          <w:lang w:eastAsia="en-CA"/>
        </w:rPr>
        <w:lastRenderedPageBreak/>
        <w:t>21.11.2013</w:t>
      </w:r>
    </w:p>
    <w:p w:rsidR="00EC1FE7" w:rsidRPr="00EC1FE7" w:rsidRDefault="00EC1FE7" w:rsidP="00EC1FE7">
      <w:pPr>
        <w:tabs>
          <w:tab w:val="left" w:pos="-1440"/>
          <w:tab w:val="left" w:pos="-720"/>
        </w:tabs>
        <w:jc w:val="both"/>
        <w:rPr>
          <w:rFonts w:eastAsia="Times New Roman" w:cs="Times New Roman"/>
          <w:sz w:val="20"/>
          <w:szCs w:val="20"/>
          <w:lang w:eastAsia="en-CA"/>
        </w:rPr>
      </w:pPr>
    </w:p>
    <w:p w:rsidR="00EC1FE7" w:rsidRPr="00EC1FE7" w:rsidRDefault="00EC1FE7" w:rsidP="00EC1FE7">
      <w:pPr>
        <w:tabs>
          <w:tab w:val="left" w:pos="-1440"/>
          <w:tab w:val="left" w:pos="-720"/>
        </w:tabs>
        <w:jc w:val="both"/>
        <w:rPr>
          <w:rFonts w:eastAsia="Times New Roman" w:cs="Times New Roman"/>
          <w:sz w:val="20"/>
          <w:szCs w:val="20"/>
          <w:lang w:eastAsia="en-CA"/>
        </w:rPr>
      </w:pPr>
      <w:r w:rsidRPr="00EC1FE7">
        <w:rPr>
          <w:rFonts w:eastAsia="Times New Roman" w:cs="Times New Roman"/>
          <w:sz w:val="20"/>
          <w:szCs w:val="20"/>
          <w:lang w:eastAsia="en-CA"/>
        </w:rPr>
        <w:t>Before / Devant :   THE REGISTRAR / LE REGISTRAIRE</w:t>
      </w:r>
    </w:p>
    <w:p w:rsidR="00EC1FE7" w:rsidRPr="00EC1FE7" w:rsidRDefault="00EC1FE7" w:rsidP="00EC1FE7">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EC1FE7" w:rsidRPr="003513AE" w:rsidTr="004C33AB">
        <w:tc>
          <w:tcPr>
            <w:tcW w:w="4338" w:type="dxa"/>
          </w:tcPr>
          <w:p w:rsidR="00EC1FE7" w:rsidRPr="00EC1FE7" w:rsidRDefault="00EC1FE7" w:rsidP="00EC1FE7">
            <w:pPr>
              <w:tabs>
                <w:tab w:val="left" w:pos="-1440"/>
                <w:tab w:val="left" w:pos="-720"/>
              </w:tabs>
              <w:jc w:val="both"/>
            </w:pPr>
            <w:r w:rsidRPr="00EC1FE7">
              <w:rPr>
                <w:b/>
                <w:bCs/>
                <w:lang w:val="en-GB"/>
              </w:rPr>
              <w:t>Motion to extend the time to serve and file the respondent’s response to November 15, 2013</w:t>
            </w:r>
          </w:p>
        </w:tc>
        <w:tc>
          <w:tcPr>
            <w:tcW w:w="1170" w:type="dxa"/>
          </w:tcPr>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pPr>
          </w:p>
          <w:p w:rsidR="00EC1FE7" w:rsidRPr="00EC1FE7" w:rsidRDefault="00EC1FE7" w:rsidP="00EC1FE7">
            <w:pPr>
              <w:tabs>
                <w:tab w:val="left" w:pos="-1440"/>
                <w:tab w:val="left" w:pos="-720"/>
              </w:tabs>
              <w:jc w:val="both"/>
            </w:pPr>
          </w:p>
        </w:tc>
        <w:tc>
          <w:tcPr>
            <w:tcW w:w="4327" w:type="dxa"/>
          </w:tcPr>
          <w:p w:rsidR="00EC1FE7" w:rsidRPr="00EC1FE7" w:rsidRDefault="00EC1FE7" w:rsidP="00EC1FE7">
            <w:pPr>
              <w:tabs>
                <w:tab w:val="left" w:pos="-1440"/>
                <w:tab w:val="left" w:pos="-720"/>
              </w:tabs>
              <w:jc w:val="both"/>
              <w:rPr>
                <w:lang w:val="fr-CA"/>
              </w:rPr>
            </w:pPr>
            <w:r w:rsidRPr="00EC1FE7">
              <w:rPr>
                <w:b/>
                <w:bCs/>
                <w:color w:val="000000"/>
                <w:lang w:val="fr-CA"/>
              </w:rPr>
              <w:t>Requête en prorogation du délai de signification et de dépôt de la réponse de l’intimée jusqu’au 15 novembre 2013</w:t>
            </w:r>
          </w:p>
        </w:tc>
      </w:tr>
      <w:tr w:rsidR="00EC1FE7" w:rsidRPr="003513AE" w:rsidTr="004C33AB">
        <w:tc>
          <w:tcPr>
            <w:tcW w:w="4338" w:type="dxa"/>
          </w:tcPr>
          <w:p w:rsidR="00EC1FE7" w:rsidRPr="00EC1FE7" w:rsidRDefault="00EC1FE7" w:rsidP="00EC1FE7">
            <w:pPr>
              <w:tabs>
                <w:tab w:val="left" w:pos="-1440"/>
                <w:tab w:val="left" w:pos="-720"/>
              </w:tabs>
              <w:jc w:val="both"/>
              <w:rPr>
                <w:lang w:val="fr-CA"/>
              </w:rPr>
            </w:pPr>
            <w:r w:rsidRPr="00EC1FE7">
              <w:rPr>
                <w:lang w:val="fr-CA"/>
              </w:rPr>
              <w:t>Florian Costache</w:t>
            </w:r>
          </w:p>
          <w:p w:rsidR="00EC1FE7" w:rsidRPr="00EC1FE7" w:rsidRDefault="00EC1FE7" w:rsidP="00EC1FE7">
            <w:pPr>
              <w:tabs>
                <w:tab w:val="left" w:pos="-1440"/>
                <w:tab w:val="left" w:pos="-720"/>
              </w:tabs>
              <w:jc w:val="both"/>
              <w:rPr>
                <w:lang w:val="fr-CA"/>
              </w:rPr>
            </w:pPr>
          </w:p>
          <w:p w:rsidR="00EC1FE7" w:rsidRPr="00EC1FE7" w:rsidRDefault="00EC1FE7" w:rsidP="00EC1FE7">
            <w:pPr>
              <w:tabs>
                <w:tab w:val="left" w:pos="-1440"/>
                <w:tab w:val="left" w:pos="-720"/>
              </w:tabs>
              <w:jc w:val="both"/>
              <w:rPr>
                <w:lang w:val="fr-CA"/>
              </w:rPr>
            </w:pPr>
            <w:r w:rsidRPr="00EC1FE7">
              <w:rPr>
                <w:lang w:val="fr-CA"/>
              </w:rPr>
              <w:tab/>
              <w:t>c. (35578)</w:t>
            </w:r>
          </w:p>
          <w:p w:rsidR="00EC1FE7" w:rsidRPr="00EC1FE7" w:rsidRDefault="00EC1FE7" w:rsidP="00EC1FE7">
            <w:pPr>
              <w:tabs>
                <w:tab w:val="left" w:pos="-1440"/>
                <w:tab w:val="left" w:pos="-720"/>
              </w:tabs>
              <w:jc w:val="both"/>
              <w:rPr>
                <w:lang w:val="fr-CA"/>
              </w:rPr>
            </w:pPr>
          </w:p>
          <w:p w:rsidR="00EC1FE7" w:rsidRPr="00EC1FE7" w:rsidRDefault="00EC1FE7" w:rsidP="00EC1FE7">
            <w:pPr>
              <w:tabs>
                <w:tab w:val="left" w:pos="-1440"/>
                <w:tab w:val="left" w:pos="-720"/>
              </w:tabs>
              <w:jc w:val="both"/>
              <w:rPr>
                <w:lang w:val="fr-CA"/>
              </w:rPr>
            </w:pPr>
            <w:r w:rsidRPr="00EC1FE7">
              <w:rPr>
                <w:lang w:val="fr-CA"/>
              </w:rPr>
              <w:t>Société de l’assurance automobile du Québec et autre (Qc.)</w:t>
            </w:r>
          </w:p>
        </w:tc>
        <w:tc>
          <w:tcPr>
            <w:tcW w:w="1170" w:type="dxa"/>
          </w:tcPr>
          <w:p w:rsidR="00EC1FE7" w:rsidRPr="00EC1FE7" w:rsidRDefault="00EC1FE7" w:rsidP="00EC1FE7">
            <w:pPr>
              <w:tabs>
                <w:tab w:val="left" w:pos="-1440"/>
                <w:tab w:val="left" w:pos="-720"/>
              </w:tabs>
              <w:jc w:val="both"/>
              <w:rPr>
                <w:lang w:val="fr-CA"/>
              </w:rPr>
            </w:pPr>
          </w:p>
        </w:tc>
        <w:tc>
          <w:tcPr>
            <w:tcW w:w="4327" w:type="dxa"/>
          </w:tcPr>
          <w:p w:rsidR="00EC1FE7" w:rsidRPr="00EC1FE7" w:rsidRDefault="00EC1FE7" w:rsidP="00EC1FE7">
            <w:pPr>
              <w:tabs>
                <w:tab w:val="left" w:pos="-1440"/>
                <w:tab w:val="left" w:pos="-720"/>
              </w:tabs>
              <w:jc w:val="both"/>
              <w:rPr>
                <w:lang w:val="fr-CA"/>
              </w:rPr>
            </w:pPr>
          </w:p>
        </w:tc>
      </w:tr>
    </w:tbl>
    <w:p w:rsidR="00EC1FE7" w:rsidRPr="00EC1FE7" w:rsidRDefault="00EC1FE7" w:rsidP="00EC1FE7">
      <w:pPr>
        <w:tabs>
          <w:tab w:val="left" w:pos="-1440"/>
          <w:tab w:val="left" w:pos="-720"/>
        </w:tabs>
        <w:jc w:val="both"/>
        <w:rPr>
          <w:rFonts w:eastAsia="Times New Roman" w:cs="Times New Roman"/>
          <w:b/>
          <w:sz w:val="20"/>
          <w:szCs w:val="20"/>
          <w:lang w:val="fr-CA" w:eastAsia="en-CA"/>
        </w:rPr>
      </w:pPr>
    </w:p>
    <w:p w:rsidR="00EC1FE7" w:rsidRPr="00EC1FE7" w:rsidRDefault="00EC1FE7" w:rsidP="00EC1FE7">
      <w:pPr>
        <w:tabs>
          <w:tab w:val="left" w:pos="-1440"/>
          <w:tab w:val="left" w:pos="-720"/>
        </w:tabs>
        <w:jc w:val="both"/>
        <w:rPr>
          <w:rFonts w:eastAsia="Times New Roman" w:cs="Times New Roman"/>
          <w:sz w:val="20"/>
          <w:szCs w:val="20"/>
          <w:lang w:eastAsia="en-CA"/>
        </w:rPr>
      </w:pPr>
      <w:r w:rsidRPr="00EC1FE7">
        <w:rPr>
          <w:rFonts w:eastAsia="Times New Roman" w:cs="Times New Roman"/>
          <w:b/>
          <w:sz w:val="20"/>
          <w:szCs w:val="20"/>
          <w:lang w:eastAsia="en-CA"/>
        </w:rPr>
        <w:t>GRANTED / ACCORDÉE</w:t>
      </w:r>
    </w:p>
    <w:p w:rsidR="00EC1FE7" w:rsidRPr="00EC1FE7" w:rsidRDefault="00EC1FE7" w:rsidP="00EC1FE7">
      <w:pPr>
        <w:tabs>
          <w:tab w:val="left" w:pos="-1440"/>
          <w:tab w:val="left" w:pos="-720"/>
        </w:tabs>
        <w:jc w:val="both"/>
        <w:rPr>
          <w:rFonts w:eastAsia="Times New Roman" w:cs="Times New Roman"/>
          <w:sz w:val="20"/>
          <w:szCs w:val="20"/>
          <w:lang w:eastAsia="en-CA"/>
        </w:rPr>
      </w:pPr>
    </w:p>
    <w:p w:rsidR="00EC1FE7" w:rsidRPr="00EC1FE7" w:rsidRDefault="003513AE" w:rsidP="00EC1FE7">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EC1FE7" w:rsidRPr="00EC1FE7" w:rsidRDefault="00EC1FE7" w:rsidP="00EC1FE7">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3513AE"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212369" w:rsidP="003B3977">
            <w:pPr>
              <w:rPr>
                <w:sz w:val="20"/>
                <w:szCs w:val="20"/>
              </w:rPr>
            </w:pPr>
            <w:r>
              <w:rPr>
                <w:sz w:val="20"/>
                <w:szCs w:val="20"/>
              </w:rPr>
              <w:t>18</w:t>
            </w:r>
            <w:r w:rsidR="0010587F" w:rsidRPr="003B3977">
              <w:rPr>
                <w:sz w:val="20"/>
                <w:szCs w:val="20"/>
              </w:rPr>
              <w:t>.1</w:t>
            </w:r>
            <w:r>
              <w:rPr>
                <w:sz w:val="20"/>
                <w:szCs w:val="20"/>
              </w:rPr>
              <w:t>1</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D</w:t>
            </w:r>
            <w:r w:rsidR="00212369">
              <w:rPr>
                <w:b/>
                <w:sz w:val="20"/>
                <w:szCs w:val="20"/>
              </w:rPr>
              <w:t xml:space="preserve">ouglas </w:t>
            </w:r>
            <w:r w:rsidRPr="003B3977">
              <w:rPr>
                <w:b/>
                <w:sz w:val="20"/>
                <w:szCs w:val="20"/>
              </w:rPr>
              <w:t>Ja</w:t>
            </w:r>
            <w:r w:rsidR="00212369">
              <w:rPr>
                <w:b/>
                <w:sz w:val="20"/>
                <w:szCs w:val="20"/>
              </w:rPr>
              <w:t>ck</w:t>
            </w:r>
            <w:r w:rsidRPr="003B3977">
              <w:rPr>
                <w:b/>
                <w:sz w:val="20"/>
                <w:szCs w:val="20"/>
              </w:rPr>
              <w:t>son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212369">
              <w:rPr>
                <w:b/>
                <w:sz w:val="20"/>
                <w:szCs w:val="20"/>
              </w:rPr>
              <w:t>5622</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w:t>
            </w:r>
            <w:r w:rsidR="00212369">
              <w:rPr>
                <w:b/>
                <w:sz w:val="20"/>
                <w:szCs w:val="20"/>
              </w:rPr>
              <w:t>On</w:t>
            </w:r>
            <w:r w:rsidRPr="003B3977">
              <w:rPr>
                <w:b/>
                <w:sz w:val="20"/>
                <w:szCs w:val="20"/>
              </w:rPr>
              <w:t>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3513AE" w:rsidP="003B3977">
            <w:pPr>
              <w:rPr>
                <w:sz w:val="20"/>
                <w:szCs w:val="20"/>
                <w:lang w:val="fr-CA"/>
              </w:rPr>
            </w:pPr>
            <w:r>
              <w:rPr>
                <w:sz w:val="20"/>
                <w:szCs w:val="20"/>
                <w:lang w:val="fr-CA"/>
              </w:rPr>
              <w:pict>
                <v:rect id="_x0000_i1058"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6D7808" w:rsidP="003B3977">
            <w:pPr>
              <w:rPr>
                <w:sz w:val="20"/>
                <w:szCs w:val="20"/>
              </w:rPr>
            </w:pPr>
            <w:r>
              <w:rPr>
                <w:sz w:val="20"/>
                <w:szCs w:val="20"/>
              </w:rPr>
              <w:t>21</w:t>
            </w:r>
            <w:r w:rsidR="0010587F" w:rsidRPr="003B3977">
              <w:rPr>
                <w:sz w:val="20"/>
                <w:szCs w:val="20"/>
              </w:rPr>
              <w:t>.1</w:t>
            </w:r>
            <w:r>
              <w:rPr>
                <w:sz w:val="20"/>
                <w:szCs w:val="20"/>
              </w:rPr>
              <w:t>1</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6D7808" w:rsidP="003B3977">
            <w:pPr>
              <w:rPr>
                <w:b/>
                <w:sz w:val="20"/>
                <w:szCs w:val="20"/>
              </w:rPr>
            </w:pPr>
            <w:r>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6D7808">
              <w:rPr>
                <w:b/>
                <w:sz w:val="20"/>
                <w:szCs w:val="20"/>
              </w:rPr>
              <w:t>5475</w:t>
            </w:r>
            <w:r w:rsidRPr="003B3977">
              <w:rPr>
                <w:b/>
                <w:sz w:val="20"/>
                <w:szCs w:val="20"/>
              </w:rPr>
              <w:t>)</w:t>
            </w:r>
          </w:p>
          <w:p w:rsidR="0010587F" w:rsidRPr="003B3977" w:rsidRDefault="0010587F" w:rsidP="003B3977">
            <w:pPr>
              <w:rPr>
                <w:b/>
                <w:sz w:val="20"/>
                <w:szCs w:val="20"/>
              </w:rPr>
            </w:pPr>
          </w:p>
          <w:p w:rsidR="0010587F" w:rsidRPr="006D7808" w:rsidRDefault="006D7808" w:rsidP="003B3977">
            <w:pPr>
              <w:rPr>
                <w:b/>
                <w:sz w:val="20"/>
                <w:szCs w:val="20"/>
              </w:rPr>
            </w:pPr>
            <w:r>
              <w:rPr>
                <w:b/>
                <w:sz w:val="20"/>
                <w:szCs w:val="20"/>
              </w:rPr>
              <w:t xml:space="preserve">Clifford Kokopenace </w:t>
            </w:r>
            <w:r w:rsidR="0010587F" w:rsidRPr="006D7808">
              <w:rPr>
                <w:b/>
                <w:sz w:val="20"/>
                <w:szCs w:val="20"/>
              </w:rPr>
              <w:t>(Ont.)</w:t>
            </w:r>
          </w:p>
          <w:p w:rsidR="0010587F" w:rsidRPr="006D7808" w:rsidRDefault="0010587F" w:rsidP="003B3977">
            <w:pPr>
              <w:rPr>
                <w:sz w:val="20"/>
                <w:szCs w:val="20"/>
              </w:rPr>
            </w:pPr>
          </w:p>
          <w:p w:rsidR="00212369" w:rsidRPr="003B3977" w:rsidRDefault="00212369" w:rsidP="00212369">
            <w:pPr>
              <w:rPr>
                <w:sz w:val="20"/>
                <w:szCs w:val="20"/>
              </w:rPr>
            </w:pPr>
            <w:r w:rsidRPr="003B3977">
              <w:rPr>
                <w:sz w:val="20"/>
                <w:szCs w:val="20"/>
              </w:rPr>
              <w:t>(By Leave)</w:t>
            </w:r>
          </w:p>
          <w:p w:rsidR="0010587F" w:rsidRPr="003B3977" w:rsidRDefault="0010587F" w:rsidP="003B3977">
            <w:pPr>
              <w:rPr>
                <w:sz w:val="20"/>
                <w:szCs w:val="20"/>
              </w:rPr>
            </w:pPr>
          </w:p>
          <w:p w:rsidR="0010587F" w:rsidRPr="003B3977" w:rsidRDefault="003513AE" w:rsidP="003B3977">
            <w:pPr>
              <w:rPr>
                <w:sz w:val="20"/>
                <w:szCs w:val="20"/>
              </w:rPr>
            </w:pPr>
            <w:r>
              <w:rPr>
                <w:sz w:val="20"/>
                <w:szCs w:val="20"/>
                <w:lang w:val="fr-CA"/>
              </w:rPr>
              <w:pict>
                <v:rect id="_x0000_i1059"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3513AE"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914CB9" w:rsidRDefault="00A77130" w:rsidP="00AF1715">
      <w:pPr>
        <w:rPr>
          <w:b/>
          <w:sz w:val="20"/>
          <w:szCs w:val="20"/>
          <w:lang w:val="fr-CA"/>
        </w:rPr>
      </w:pPr>
      <w:r w:rsidRPr="00914CB9">
        <w:rPr>
          <w:b/>
          <w:sz w:val="20"/>
          <w:szCs w:val="20"/>
          <w:lang w:val="fr-CA"/>
        </w:rPr>
        <w:t>N</w:t>
      </w:r>
      <w:r w:rsidR="00AF1715" w:rsidRPr="00914CB9">
        <w:rPr>
          <w:b/>
          <w:sz w:val="20"/>
          <w:szCs w:val="20"/>
          <w:lang w:val="fr-CA"/>
        </w:rPr>
        <w:t>O</w:t>
      </w:r>
      <w:r w:rsidRPr="00914CB9">
        <w:rPr>
          <w:b/>
          <w:sz w:val="20"/>
          <w:szCs w:val="20"/>
          <w:lang w:val="fr-CA"/>
        </w:rPr>
        <w:t>VEM</w:t>
      </w:r>
      <w:r w:rsidR="00AF1715" w:rsidRPr="00914CB9">
        <w:rPr>
          <w:b/>
          <w:sz w:val="20"/>
          <w:szCs w:val="20"/>
          <w:lang w:val="fr-CA"/>
        </w:rPr>
        <w:t xml:space="preserve">BER </w:t>
      </w:r>
      <w:r w:rsidR="004E1E0A" w:rsidRPr="00914CB9">
        <w:rPr>
          <w:b/>
          <w:sz w:val="20"/>
          <w:szCs w:val="20"/>
          <w:lang w:val="fr-CA"/>
        </w:rPr>
        <w:t>2</w:t>
      </w:r>
      <w:r w:rsidRPr="00914CB9">
        <w:rPr>
          <w:b/>
          <w:sz w:val="20"/>
          <w:szCs w:val="20"/>
          <w:lang w:val="fr-CA"/>
        </w:rPr>
        <w:t>8</w:t>
      </w:r>
      <w:r w:rsidR="00AF1715" w:rsidRPr="00914CB9">
        <w:rPr>
          <w:b/>
          <w:sz w:val="20"/>
          <w:szCs w:val="20"/>
          <w:lang w:val="fr-CA"/>
        </w:rPr>
        <w:t>, 201</w:t>
      </w:r>
      <w:r w:rsidRPr="00914CB9">
        <w:rPr>
          <w:b/>
          <w:sz w:val="20"/>
          <w:szCs w:val="20"/>
          <w:lang w:val="fr-CA"/>
        </w:rPr>
        <w:t>3</w:t>
      </w:r>
      <w:r w:rsidR="00AF1715" w:rsidRPr="00914CB9">
        <w:rPr>
          <w:b/>
          <w:sz w:val="20"/>
          <w:szCs w:val="20"/>
          <w:lang w:val="fr-CA"/>
        </w:rPr>
        <w:t xml:space="preserve"> / LE </w:t>
      </w:r>
      <w:r w:rsidR="004E1E0A" w:rsidRPr="00914CB9">
        <w:rPr>
          <w:b/>
          <w:sz w:val="20"/>
          <w:szCs w:val="20"/>
          <w:lang w:val="fr-CA"/>
        </w:rPr>
        <w:t>2</w:t>
      </w:r>
      <w:r w:rsidRPr="00914CB9">
        <w:rPr>
          <w:b/>
          <w:sz w:val="20"/>
          <w:szCs w:val="20"/>
          <w:lang w:val="fr-CA"/>
        </w:rPr>
        <w:t>8</w:t>
      </w:r>
      <w:r w:rsidR="00AF1715" w:rsidRPr="00914CB9">
        <w:rPr>
          <w:b/>
          <w:sz w:val="20"/>
          <w:szCs w:val="20"/>
          <w:lang w:val="fr-CA"/>
        </w:rPr>
        <w:t xml:space="preserve"> </w:t>
      </w:r>
      <w:r w:rsidRPr="00914CB9">
        <w:rPr>
          <w:b/>
          <w:sz w:val="20"/>
          <w:szCs w:val="20"/>
          <w:lang w:val="fr-CA"/>
        </w:rPr>
        <w:t>N</w:t>
      </w:r>
      <w:r w:rsidR="00AF1715" w:rsidRPr="00914CB9">
        <w:rPr>
          <w:b/>
          <w:sz w:val="20"/>
          <w:szCs w:val="20"/>
          <w:lang w:val="fr-CA"/>
        </w:rPr>
        <w:t>O</w:t>
      </w:r>
      <w:r w:rsidRPr="00914CB9">
        <w:rPr>
          <w:b/>
          <w:sz w:val="20"/>
          <w:szCs w:val="20"/>
          <w:lang w:val="fr-CA"/>
        </w:rPr>
        <w:t>VEM</w:t>
      </w:r>
      <w:r w:rsidR="00AF1715" w:rsidRPr="00914CB9">
        <w:rPr>
          <w:b/>
          <w:sz w:val="20"/>
          <w:szCs w:val="20"/>
          <w:lang w:val="fr-CA"/>
        </w:rPr>
        <w:t>BRE 201</w:t>
      </w:r>
      <w:r w:rsidRPr="00914CB9">
        <w:rPr>
          <w:b/>
          <w:sz w:val="20"/>
          <w:szCs w:val="20"/>
          <w:lang w:val="fr-CA"/>
        </w:rPr>
        <w:t>3</w:t>
      </w:r>
    </w:p>
    <w:p w:rsidR="00AF1715" w:rsidRPr="00914CB9" w:rsidRDefault="00AF1715" w:rsidP="00AF1715">
      <w:pPr>
        <w:rPr>
          <w:sz w:val="20"/>
          <w:szCs w:val="20"/>
          <w:lang w:val="fr-CA"/>
        </w:rPr>
      </w:pPr>
    </w:p>
    <w:p w:rsidR="006303E4" w:rsidRPr="003C4D0D" w:rsidRDefault="00E704B0" w:rsidP="006303E4">
      <w:pPr>
        <w:ind w:left="1440" w:hanging="1440"/>
        <w:jc w:val="both"/>
        <w:rPr>
          <w:sz w:val="20"/>
          <w:szCs w:val="20"/>
          <w:lang w:val="fr-CA"/>
        </w:rPr>
      </w:pPr>
      <w:r w:rsidRPr="003C4D0D">
        <w:rPr>
          <w:b/>
          <w:sz w:val="20"/>
          <w:szCs w:val="20"/>
        </w:rPr>
        <w:fldChar w:fldCharType="begin"/>
      </w:r>
      <w:r w:rsidR="006303E4" w:rsidRPr="003C4D0D">
        <w:rPr>
          <w:b/>
          <w:sz w:val="20"/>
          <w:szCs w:val="20"/>
          <w:lang w:val="fr-CA"/>
        </w:rPr>
        <w:instrText xml:space="preserve"> SEQ CHAPTER \h \r 1</w:instrText>
      </w:r>
      <w:r w:rsidRPr="003C4D0D">
        <w:rPr>
          <w:b/>
          <w:sz w:val="20"/>
          <w:szCs w:val="20"/>
        </w:rPr>
        <w:fldChar w:fldCharType="end"/>
      </w:r>
      <w:r w:rsidR="006303E4" w:rsidRPr="003C4D0D">
        <w:rPr>
          <w:b/>
          <w:sz w:val="20"/>
          <w:szCs w:val="20"/>
          <w:lang w:val="fr-CA"/>
        </w:rPr>
        <w:t>34235</w:t>
      </w:r>
      <w:r w:rsidR="006303E4" w:rsidRPr="003C4D0D">
        <w:rPr>
          <w:sz w:val="20"/>
          <w:szCs w:val="20"/>
          <w:lang w:val="fr-CA"/>
        </w:rPr>
        <w:tab/>
      </w:r>
      <w:r w:rsidR="006303E4" w:rsidRPr="003C4D0D">
        <w:rPr>
          <w:b/>
          <w:sz w:val="20"/>
          <w:szCs w:val="20"/>
          <w:u w:val="single"/>
          <w:lang w:val="fr-CA"/>
        </w:rPr>
        <w:t>Agence du Revenu du Québec (anciennement le Sous-ministre du Revenu du Québec) c. Services Environnementaux AES inc. et Centre Technologique AES inc. – et – Procureur général du Canada</w:t>
      </w:r>
      <w:r w:rsidR="006303E4" w:rsidRPr="003C4D0D">
        <w:rPr>
          <w:b/>
          <w:sz w:val="20"/>
          <w:szCs w:val="20"/>
          <w:lang w:val="fr-CA"/>
        </w:rPr>
        <w:t xml:space="preserve"> </w:t>
      </w:r>
      <w:r w:rsidR="006303E4" w:rsidRPr="003C4D0D">
        <w:rPr>
          <w:iCs/>
          <w:sz w:val="20"/>
          <w:szCs w:val="20"/>
          <w:lang w:val="fr-CA"/>
        </w:rPr>
        <w:t>(Qc)</w:t>
      </w:r>
    </w:p>
    <w:p w:rsidR="006303E4" w:rsidRPr="003C4D0D" w:rsidRDefault="006303E4" w:rsidP="006303E4">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3C4D0D">
        <w:rPr>
          <w:b/>
          <w:sz w:val="20"/>
          <w:szCs w:val="20"/>
          <w:lang w:val="fr-CA"/>
        </w:rPr>
        <w:t>2013 SCC 65 / 2013 CSC 65</w:t>
      </w:r>
    </w:p>
    <w:p w:rsidR="006303E4" w:rsidRPr="003C4D0D" w:rsidRDefault="006303E4" w:rsidP="006303E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6303E4" w:rsidRPr="003C4D0D" w:rsidRDefault="006303E4" w:rsidP="006303E4">
      <w:pPr>
        <w:ind w:left="1440" w:hanging="1440"/>
        <w:rPr>
          <w:sz w:val="20"/>
          <w:szCs w:val="20"/>
          <w:u w:val="single"/>
          <w:lang w:val="fr-CA"/>
        </w:rPr>
      </w:pPr>
      <w:r w:rsidRPr="003C4D0D">
        <w:rPr>
          <w:sz w:val="20"/>
          <w:szCs w:val="20"/>
          <w:lang w:val="fr-CA"/>
        </w:rPr>
        <w:t>Coram:</w:t>
      </w:r>
      <w:r w:rsidRPr="003C4D0D">
        <w:rPr>
          <w:sz w:val="20"/>
          <w:szCs w:val="20"/>
          <w:lang w:val="fr-CA"/>
        </w:rPr>
        <w:tab/>
      </w:r>
      <w:r w:rsidRPr="003C4D0D">
        <w:rPr>
          <w:sz w:val="20"/>
          <w:szCs w:val="20"/>
          <w:u w:val="single"/>
          <w:lang w:val="fr-CA"/>
        </w:rPr>
        <w:t xml:space="preserve">La juge en chef McLachlin et les juges LeBel, Fish, Abella, Rothstein, Cromwell et Karakatsanis </w:t>
      </w:r>
    </w:p>
    <w:p w:rsidR="006303E4" w:rsidRPr="003C4D0D" w:rsidRDefault="006303E4" w:rsidP="006303E4">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szCs w:val="20"/>
          <w:u w:val="single"/>
          <w:lang w:val="fr-CA"/>
        </w:rPr>
      </w:pPr>
    </w:p>
    <w:p w:rsidR="006303E4" w:rsidRPr="003C4D0D" w:rsidRDefault="006303E4" w:rsidP="006303E4">
      <w:pPr>
        <w:jc w:val="both"/>
        <w:rPr>
          <w:rFonts w:eastAsia="Calibri"/>
          <w:sz w:val="20"/>
          <w:szCs w:val="20"/>
          <w:lang w:val="fr-CA"/>
        </w:rPr>
      </w:pPr>
      <w:r w:rsidRPr="003C4D0D">
        <w:rPr>
          <w:rFonts w:eastAsia="Calibri"/>
          <w:sz w:val="20"/>
          <w:szCs w:val="20"/>
          <w:lang w:val="fr-CA"/>
        </w:rPr>
        <w:t>L’appel interjeté contre l’arrêt de la Cour d’appel du Québec (Montréal), numéro 500-09-019557-099, 2011 QCCA 394, en date du 4 mars 2011, entendu le 8 novembre 2012, est rejeté avec dépens devant toutes les cours.</w:t>
      </w:r>
    </w:p>
    <w:p w:rsidR="006303E4" w:rsidRPr="003C4D0D" w:rsidRDefault="006303E4" w:rsidP="006303E4">
      <w:pPr>
        <w:jc w:val="both"/>
        <w:rPr>
          <w:rFonts w:eastAsia="Calibri"/>
          <w:sz w:val="20"/>
          <w:szCs w:val="20"/>
          <w:lang w:val="fr-CA"/>
        </w:rPr>
      </w:pPr>
    </w:p>
    <w:p w:rsidR="006303E4" w:rsidRPr="003C4D0D" w:rsidRDefault="006303E4" w:rsidP="006303E4">
      <w:pPr>
        <w:jc w:val="both"/>
        <w:rPr>
          <w:sz w:val="20"/>
          <w:szCs w:val="20"/>
        </w:rPr>
      </w:pPr>
      <w:r w:rsidRPr="003C4D0D">
        <w:rPr>
          <w:rFonts w:eastAsia="Calibri"/>
          <w:sz w:val="20"/>
          <w:szCs w:val="20"/>
        </w:rPr>
        <w:t xml:space="preserve">The appeal from the judgment </w:t>
      </w:r>
      <w:bookmarkStart w:id="2" w:name="BM_1_"/>
      <w:bookmarkEnd w:id="2"/>
      <w:r w:rsidRPr="003C4D0D">
        <w:rPr>
          <w:rFonts w:eastAsia="Calibri"/>
          <w:sz w:val="20"/>
          <w:szCs w:val="20"/>
        </w:rPr>
        <w:t>of the Court of Appeal of Quebec (Montréal), Number 500-09-019557-099, 2011 QCCA 394, dated March 4, 2011, heard on November 8, 2012, is dismissed with costs throughout.</w:t>
      </w:r>
    </w:p>
    <w:p w:rsidR="00AF1715" w:rsidRPr="006303E4" w:rsidRDefault="00AF1715" w:rsidP="00AF1715">
      <w:pPr>
        <w:rPr>
          <w:sz w:val="20"/>
          <w:szCs w:val="20"/>
        </w:rPr>
      </w:pPr>
    </w:p>
    <w:p w:rsidR="00AF1715" w:rsidRPr="003B3977" w:rsidRDefault="003513AE" w:rsidP="00AF1715">
      <w:pPr>
        <w:spacing w:line="0" w:lineRule="atLeast"/>
        <w:rPr>
          <w:sz w:val="20"/>
          <w:szCs w:val="20"/>
        </w:rPr>
      </w:pPr>
      <w:r>
        <w:rPr>
          <w:b/>
          <w:sz w:val="20"/>
          <w:szCs w:val="20"/>
        </w:rPr>
        <w:pict>
          <v:rect id="_x0000_i1062"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6303E4" w:rsidRPr="003C4D0D" w:rsidRDefault="00E704B0" w:rsidP="006303E4">
      <w:pPr>
        <w:ind w:left="1440" w:hanging="1440"/>
        <w:jc w:val="both"/>
        <w:rPr>
          <w:sz w:val="20"/>
          <w:szCs w:val="20"/>
          <w:lang w:val="fr-CA"/>
        </w:rPr>
      </w:pPr>
      <w:r w:rsidRPr="003C4D0D">
        <w:rPr>
          <w:b/>
          <w:sz w:val="20"/>
          <w:szCs w:val="20"/>
        </w:rPr>
        <w:fldChar w:fldCharType="begin"/>
      </w:r>
      <w:r w:rsidR="006303E4" w:rsidRPr="003C4D0D">
        <w:rPr>
          <w:b/>
          <w:sz w:val="20"/>
          <w:szCs w:val="20"/>
          <w:lang w:val="fr-CA"/>
        </w:rPr>
        <w:instrText xml:space="preserve"> SEQ CHAPTER \h \r 1</w:instrText>
      </w:r>
      <w:r w:rsidRPr="003C4D0D">
        <w:rPr>
          <w:b/>
          <w:sz w:val="20"/>
          <w:szCs w:val="20"/>
        </w:rPr>
        <w:fldChar w:fldCharType="end"/>
      </w:r>
      <w:r w:rsidR="006303E4" w:rsidRPr="003C4D0D">
        <w:rPr>
          <w:b/>
          <w:sz w:val="20"/>
          <w:szCs w:val="20"/>
          <w:lang w:val="fr-CA"/>
        </w:rPr>
        <w:t>34393</w:t>
      </w:r>
      <w:r w:rsidR="006303E4" w:rsidRPr="003C4D0D">
        <w:rPr>
          <w:sz w:val="20"/>
          <w:szCs w:val="20"/>
          <w:lang w:val="fr-CA"/>
        </w:rPr>
        <w:tab/>
      </w:r>
      <w:r w:rsidR="006303E4" w:rsidRPr="003C4D0D">
        <w:rPr>
          <w:b/>
          <w:sz w:val="20"/>
          <w:szCs w:val="20"/>
          <w:u w:val="single"/>
          <w:lang w:val="fr-CA"/>
        </w:rPr>
        <w:t>Agence du Revenu du Québec (anciennement le Sous-ministre du Revenu du Québec) c. Jean Riopel, Christiane Archambault et Entreprise J.P.F. Riopel inc. – et – Procureur général du Canada</w:t>
      </w:r>
      <w:r w:rsidR="006303E4" w:rsidRPr="003C4D0D">
        <w:rPr>
          <w:b/>
          <w:sz w:val="20"/>
          <w:szCs w:val="20"/>
          <w:lang w:val="fr-CA"/>
        </w:rPr>
        <w:t xml:space="preserve"> </w:t>
      </w:r>
      <w:r w:rsidR="006303E4" w:rsidRPr="003C4D0D">
        <w:rPr>
          <w:iCs/>
          <w:sz w:val="20"/>
          <w:szCs w:val="20"/>
          <w:lang w:val="fr-CA"/>
        </w:rPr>
        <w:t>(Qc)</w:t>
      </w:r>
    </w:p>
    <w:p w:rsidR="006303E4" w:rsidRPr="003C4D0D" w:rsidRDefault="006303E4" w:rsidP="006303E4">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3C4D0D">
        <w:rPr>
          <w:b/>
          <w:sz w:val="20"/>
          <w:szCs w:val="20"/>
          <w:lang w:val="fr-CA"/>
        </w:rPr>
        <w:t>2013 SCC 65 / 2013 CSC 65</w:t>
      </w:r>
    </w:p>
    <w:p w:rsidR="006303E4" w:rsidRPr="003C4D0D" w:rsidRDefault="006303E4" w:rsidP="006303E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6303E4" w:rsidRPr="003C4D0D" w:rsidRDefault="006303E4" w:rsidP="006303E4">
      <w:pPr>
        <w:ind w:left="1440" w:hanging="1440"/>
        <w:rPr>
          <w:sz w:val="20"/>
          <w:szCs w:val="20"/>
          <w:u w:val="single"/>
          <w:lang w:val="fr-CA"/>
        </w:rPr>
      </w:pPr>
      <w:r w:rsidRPr="003C4D0D">
        <w:rPr>
          <w:sz w:val="20"/>
          <w:szCs w:val="20"/>
          <w:lang w:val="fr-CA"/>
        </w:rPr>
        <w:t>Coram:</w:t>
      </w:r>
      <w:r w:rsidRPr="003C4D0D">
        <w:rPr>
          <w:sz w:val="20"/>
          <w:szCs w:val="20"/>
          <w:lang w:val="fr-CA"/>
        </w:rPr>
        <w:tab/>
      </w:r>
      <w:r w:rsidRPr="003C4D0D">
        <w:rPr>
          <w:sz w:val="20"/>
          <w:szCs w:val="20"/>
          <w:u w:val="single"/>
          <w:lang w:val="fr-CA"/>
        </w:rPr>
        <w:t xml:space="preserve">La juge en chef McLachlin et les juges LeBel, Fish, Abella, Rothstein, Cromwell et Karakatsanis </w:t>
      </w:r>
    </w:p>
    <w:p w:rsidR="006303E4" w:rsidRPr="003C4D0D" w:rsidRDefault="006303E4" w:rsidP="006303E4">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szCs w:val="20"/>
          <w:u w:val="single"/>
          <w:lang w:val="fr-CA"/>
        </w:rPr>
      </w:pPr>
    </w:p>
    <w:p w:rsidR="006303E4" w:rsidRPr="003C4D0D" w:rsidRDefault="006303E4" w:rsidP="006303E4">
      <w:pPr>
        <w:jc w:val="both"/>
        <w:rPr>
          <w:rFonts w:eastAsia="Calibri"/>
          <w:sz w:val="20"/>
          <w:szCs w:val="20"/>
          <w:lang w:val="fr-CA"/>
        </w:rPr>
      </w:pPr>
      <w:r w:rsidRPr="003C4D0D">
        <w:rPr>
          <w:rFonts w:eastAsia="Calibri"/>
          <w:sz w:val="20"/>
          <w:szCs w:val="20"/>
          <w:lang w:val="fr-CA"/>
        </w:rPr>
        <w:t>L’appel interjeté contre l’arrêt de la Cour d’appel du Québec (Montréal), numéro 500-09-020651-105, 2011 QCCA 954, en date du 20 mai 2011, entendu le 8 novembre 2012, est rejeté avec dépens devant toutes les cours.</w:t>
      </w:r>
    </w:p>
    <w:p w:rsidR="006303E4" w:rsidRPr="003C4D0D" w:rsidRDefault="006303E4" w:rsidP="006303E4">
      <w:pPr>
        <w:jc w:val="both"/>
        <w:rPr>
          <w:rFonts w:eastAsia="Calibri"/>
          <w:sz w:val="20"/>
          <w:szCs w:val="20"/>
          <w:lang w:val="fr-CA"/>
        </w:rPr>
      </w:pPr>
    </w:p>
    <w:p w:rsidR="006303E4" w:rsidRPr="003C4D0D" w:rsidRDefault="006303E4" w:rsidP="006303E4">
      <w:pPr>
        <w:jc w:val="both"/>
        <w:rPr>
          <w:rFonts w:eastAsia="Calibri"/>
          <w:sz w:val="20"/>
          <w:szCs w:val="20"/>
        </w:rPr>
      </w:pPr>
      <w:r w:rsidRPr="003C4D0D">
        <w:rPr>
          <w:rFonts w:eastAsia="Calibri"/>
          <w:sz w:val="20"/>
          <w:szCs w:val="20"/>
        </w:rPr>
        <w:t>The appeal from the judgment of the Court of Appeal of Quebec (Montréal), Number 500-09-020651-105, 2011 QCCA 954, dated May 20, 2011, heard on November 8, 2012, is dismissed with costs throughout.</w:t>
      </w:r>
    </w:p>
    <w:p w:rsidR="00AF1715" w:rsidRPr="006303E4" w:rsidRDefault="00AF1715" w:rsidP="00AF1715">
      <w:pPr>
        <w:spacing w:line="0" w:lineRule="atLeast"/>
        <w:rPr>
          <w:rFonts w:cs="Times New Roman"/>
          <w:sz w:val="20"/>
          <w:szCs w:val="20"/>
        </w:rPr>
      </w:pPr>
    </w:p>
    <w:p w:rsidR="00AF1715" w:rsidRPr="006C5F7A" w:rsidRDefault="003513AE" w:rsidP="00AF1715">
      <w:pPr>
        <w:spacing w:line="0" w:lineRule="atLeast"/>
        <w:rPr>
          <w:rFonts w:cs="Times New Roman"/>
          <w:b/>
          <w:sz w:val="20"/>
          <w:szCs w:val="20"/>
        </w:rPr>
      </w:pPr>
      <w:r>
        <w:rPr>
          <w:rFonts w:cs="Times New Roman"/>
          <w:b/>
          <w:sz w:val="20"/>
          <w:szCs w:val="20"/>
        </w:rPr>
        <w:pict>
          <v:rect id="_x0000_i1063" style="width:144.3pt;height:1pt" o:hrpct="300" o:hralign="center" o:hrstd="t" o:hrnoshade="t" o:hr="t" fillcolor="black [3213]" stroked="f"/>
        </w:pict>
      </w:r>
    </w:p>
    <w:p w:rsidR="00AF1715" w:rsidRPr="006C5F7A" w:rsidRDefault="00AF1715" w:rsidP="00AF1715">
      <w:pPr>
        <w:spacing w:line="0" w:lineRule="atLeast"/>
        <w:rPr>
          <w:rFonts w:cs="Times New Roman"/>
          <w:b/>
          <w:sz w:val="20"/>
          <w:szCs w:val="20"/>
        </w:rPr>
      </w:pPr>
    </w:p>
    <w:p w:rsidR="00A77130" w:rsidRPr="003513AE" w:rsidRDefault="00A77130" w:rsidP="00A77130">
      <w:pPr>
        <w:rPr>
          <w:b/>
          <w:sz w:val="20"/>
          <w:szCs w:val="20"/>
          <w:lang w:val="en-US"/>
        </w:rPr>
      </w:pPr>
      <w:r w:rsidRPr="003513AE">
        <w:rPr>
          <w:b/>
          <w:sz w:val="20"/>
          <w:szCs w:val="20"/>
          <w:lang w:val="en-US"/>
        </w:rPr>
        <w:t>NOVEMBER 29, 2013 / LE 29 NOVEMBRE 2013</w:t>
      </w:r>
    </w:p>
    <w:p w:rsidR="00D004FC" w:rsidRPr="003513AE" w:rsidRDefault="00D004FC" w:rsidP="00D004FC">
      <w:pPr>
        <w:spacing w:line="0" w:lineRule="atLeast"/>
        <w:rPr>
          <w:rFonts w:cs="Times New Roman"/>
          <w:sz w:val="20"/>
          <w:szCs w:val="20"/>
          <w:lang w:val="en-US"/>
        </w:rPr>
      </w:pPr>
    </w:p>
    <w:p w:rsidR="00D004FC" w:rsidRPr="007B6CDE" w:rsidRDefault="00E704B0" w:rsidP="00D004FC">
      <w:pPr>
        <w:tabs>
          <w:tab w:val="left" w:pos="0"/>
          <w:tab w:val="left" w:pos="1440"/>
        </w:tabs>
        <w:ind w:left="1440" w:hanging="1440"/>
        <w:jc w:val="both"/>
        <w:rPr>
          <w:sz w:val="20"/>
          <w:szCs w:val="20"/>
        </w:rPr>
      </w:pPr>
      <w:r w:rsidRPr="007B6CDE">
        <w:rPr>
          <w:b/>
          <w:sz w:val="20"/>
          <w:szCs w:val="20"/>
        </w:rPr>
        <w:fldChar w:fldCharType="begin"/>
      </w:r>
      <w:r w:rsidR="00D004FC" w:rsidRPr="007B6CDE">
        <w:rPr>
          <w:b/>
          <w:sz w:val="20"/>
          <w:szCs w:val="20"/>
        </w:rPr>
        <w:instrText xml:space="preserve"> SEQ CHAPTER \h \r 1</w:instrText>
      </w:r>
      <w:r w:rsidRPr="007B6CDE">
        <w:rPr>
          <w:b/>
          <w:sz w:val="20"/>
          <w:szCs w:val="20"/>
        </w:rPr>
        <w:fldChar w:fldCharType="end"/>
      </w:r>
      <w:r w:rsidR="00D004FC" w:rsidRPr="007B6CDE">
        <w:rPr>
          <w:b/>
          <w:sz w:val="20"/>
          <w:szCs w:val="20"/>
        </w:rPr>
        <w:t>34</w:t>
      </w:r>
      <w:r w:rsidR="007B6CDE" w:rsidRPr="007B6CDE">
        <w:rPr>
          <w:b/>
          <w:sz w:val="20"/>
          <w:szCs w:val="20"/>
        </w:rPr>
        <w:t>501</w:t>
      </w:r>
      <w:r w:rsidR="00D004FC" w:rsidRPr="007B6CDE">
        <w:rPr>
          <w:b/>
          <w:sz w:val="20"/>
          <w:szCs w:val="20"/>
        </w:rPr>
        <w:tab/>
      </w:r>
      <w:r w:rsidR="007B6CDE" w:rsidRPr="007B6CDE">
        <w:rPr>
          <w:b/>
          <w:sz w:val="20"/>
          <w:szCs w:val="20"/>
          <w:u w:val="single"/>
        </w:rPr>
        <w:t xml:space="preserve">Tissa Amaratunga v. Northwest Atlantic Fisheries Organization, a body corporate – </w:t>
      </w:r>
      <w:r w:rsidR="007B6CDE">
        <w:rPr>
          <w:b/>
          <w:sz w:val="20"/>
          <w:szCs w:val="20"/>
          <w:u w:val="single"/>
        </w:rPr>
        <w:t>and</w:t>
      </w:r>
      <w:r w:rsidR="007B6CDE" w:rsidRPr="007B6CDE">
        <w:rPr>
          <w:b/>
          <w:sz w:val="20"/>
          <w:szCs w:val="20"/>
          <w:u w:val="single"/>
        </w:rPr>
        <w:t xml:space="preserve"> – Canadian Civil Liberties Association</w:t>
      </w:r>
      <w:r w:rsidR="00D004FC" w:rsidRPr="007B6CDE">
        <w:rPr>
          <w:b/>
          <w:sz w:val="20"/>
          <w:szCs w:val="20"/>
        </w:rPr>
        <w:t xml:space="preserve"> </w:t>
      </w:r>
      <w:r w:rsidR="00D004FC" w:rsidRPr="007B6CDE">
        <w:rPr>
          <w:iCs/>
          <w:sz w:val="20"/>
          <w:szCs w:val="20"/>
        </w:rPr>
        <w:t>(</w:t>
      </w:r>
      <w:r w:rsidR="007B6CDE" w:rsidRPr="007B6CDE">
        <w:rPr>
          <w:iCs/>
          <w:sz w:val="20"/>
          <w:szCs w:val="20"/>
        </w:rPr>
        <w:t>N.S.</w:t>
      </w:r>
      <w:r w:rsidR="00D004FC" w:rsidRPr="007B6CDE">
        <w:rPr>
          <w:iCs/>
          <w:sz w:val="20"/>
          <w:szCs w:val="20"/>
        </w:rPr>
        <w:t>)</w:t>
      </w:r>
    </w:p>
    <w:p w:rsidR="00D004FC" w:rsidRPr="00CE5905" w:rsidRDefault="00D004FC" w:rsidP="00D004F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CE5905">
        <w:rPr>
          <w:b/>
          <w:sz w:val="20"/>
          <w:szCs w:val="20"/>
        </w:rPr>
        <w:t xml:space="preserve">2013 SCC </w:t>
      </w:r>
      <w:r w:rsidR="007B6CDE">
        <w:rPr>
          <w:b/>
          <w:sz w:val="20"/>
          <w:szCs w:val="20"/>
        </w:rPr>
        <w:t>66</w:t>
      </w:r>
      <w:r w:rsidRPr="00CE5905">
        <w:rPr>
          <w:b/>
          <w:sz w:val="20"/>
          <w:szCs w:val="20"/>
        </w:rPr>
        <w:t xml:space="preserve"> / 2013 CSC </w:t>
      </w:r>
      <w:r w:rsidR="007B6CDE">
        <w:rPr>
          <w:b/>
          <w:sz w:val="20"/>
          <w:szCs w:val="20"/>
        </w:rPr>
        <w:t>66</w:t>
      </w:r>
    </w:p>
    <w:p w:rsidR="00D004FC" w:rsidRDefault="00D004FC" w:rsidP="00D004FC">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szCs w:val="20"/>
          <w:u w:val="single"/>
        </w:rPr>
      </w:pPr>
    </w:p>
    <w:p w:rsidR="00CE5905" w:rsidRDefault="00CE5905" w:rsidP="00CE5905">
      <w:pPr>
        <w:ind w:left="1440" w:hanging="1440"/>
        <w:jc w:val="both"/>
        <w:rPr>
          <w:sz w:val="20"/>
          <w:szCs w:val="20"/>
          <w:u w:val="single"/>
        </w:rPr>
      </w:pPr>
      <w:r w:rsidRPr="00097CDF">
        <w:rPr>
          <w:sz w:val="20"/>
          <w:szCs w:val="20"/>
        </w:rPr>
        <w:t>Coram:</w:t>
      </w:r>
      <w:r>
        <w:rPr>
          <w:sz w:val="20"/>
          <w:szCs w:val="20"/>
        </w:rPr>
        <w:tab/>
      </w:r>
      <w:r w:rsidRPr="00CE5905">
        <w:rPr>
          <w:sz w:val="20"/>
          <w:szCs w:val="20"/>
          <w:u w:val="single"/>
        </w:rPr>
        <w:t>McLachlin C.J. and LeBel, Fish, Abella, Rothstein, Cromwell, Moldaver, Karakatsanis and Wagner JJ.</w:t>
      </w:r>
    </w:p>
    <w:p w:rsidR="007B6CDE" w:rsidRPr="00CE5905" w:rsidRDefault="007B6CDE" w:rsidP="00CE5905">
      <w:pPr>
        <w:ind w:left="1440" w:hanging="1440"/>
        <w:jc w:val="both"/>
        <w:rPr>
          <w:sz w:val="20"/>
          <w:szCs w:val="20"/>
          <w:u w:val="single"/>
        </w:rPr>
      </w:pPr>
    </w:p>
    <w:p w:rsidR="00CE5905" w:rsidRPr="00097CDF" w:rsidRDefault="00CE5905" w:rsidP="00CE5905">
      <w:pPr>
        <w:jc w:val="both"/>
        <w:rPr>
          <w:sz w:val="20"/>
          <w:szCs w:val="20"/>
        </w:rPr>
      </w:pPr>
      <w:r w:rsidRPr="00097CDF">
        <w:rPr>
          <w:sz w:val="20"/>
          <w:szCs w:val="20"/>
        </w:rPr>
        <w:t>The appeal from the judgment of the Nova Scotia Court of Appeal, Number CA 343395, 2011 NSCA 73, dated August 23, 2011, heard on March 28, 2013, is allowed</w:t>
      </w:r>
      <w:r w:rsidRPr="00097CDF">
        <w:rPr>
          <w:rFonts w:cs="Times New Roman"/>
          <w:sz w:val="20"/>
          <w:szCs w:val="20"/>
        </w:rPr>
        <w:t xml:space="preserve"> in part, with costs to the appellant.  The matter is remanded to the Nova Scotia Supreme Court for adjudication of the claim concerning the separation indemnity</w:t>
      </w:r>
      <w:r w:rsidRPr="00097CDF">
        <w:rPr>
          <w:sz w:val="20"/>
          <w:szCs w:val="20"/>
        </w:rPr>
        <w:t>.</w:t>
      </w:r>
    </w:p>
    <w:p w:rsidR="00CE5905" w:rsidRDefault="00CE5905" w:rsidP="00D004FC">
      <w:pPr>
        <w:spacing w:line="0" w:lineRule="atLeast"/>
        <w:rPr>
          <w:rFonts w:cs="Times New Roman"/>
          <w:sz w:val="20"/>
          <w:szCs w:val="20"/>
        </w:rPr>
      </w:pPr>
    </w:p>
    <w:p w:rsidR="00CE5905" w:rsidRPr="00097CDF" w:rsidRDefault="00CE5905" w:rsidP="00CE5905">
      <w:pPr>
        <w:jc w:val="both"/>
        <w:rPr>
          <w:sz w:val="20"/>
          <w:szCs w:val="20"/>
          <w:lang w:val="fr-CA"/>
        </w:rPr>
      </w:pPr>
      <w:r w:rsidRPr="00097CDF">
        <w:rPr>
          <w:sz w:val="20"/>
          <w:szCs w:val="20"/>
          <w:lang w:val="fr-CA"/>
        </w:rPr>
        <w:t>L’appel interjeté contre l’arrêt de la Cour d’appel de la Nouvelle-Écosse, numéro CA 343395, 2011 NSCA 73, en date du 23 août 2011, entendu le 28 mars 2013, est accueilli en partie, avec dépens en faveur de l’appelant. L’affaire est renvoyée à la Cour suprême de la Nouvelle-Écosse pour que celle-ci statue sur la réclamation relative à l’indemnité de cessation d’emploi.</w:t>
      </w:r>
    </w:p>
    <w:p w:rsidR="00CE5905" w:rsidRPr="00CE5905" w:rsidRDefault="00CE5905" w:rsidP="00D004FC">
      <w:pPr>
        <w:spacing w:line="0" w:lineRule="atLeast"/>
        <w:rPr>
          <w:rFonts w:cs="Times New Roman"/>
          <w:sz w:val="20"/>
          <w:szCs w:val="20"/>
          <w:lang w:val="fr-CA"/>
        </w:rPr>
      </w:pPr>
    </w:p>
    <w:p w:rsidR="00732DB7" w:rsidRPr="00C50A5C" w:rsidRDefault="003513AE" w:rsidP="007B6CDE">
      <w:pPr>
        <w:jc w:val="center"/>
        <w:rPr>
          <w:sz w:val="20"/>
          <w:szCs w:val="20"/>
        </w:rPr>
      </w:pPr>
      <w:r>
        <w:rPr>
          <w:rFonts w:cs="Times New Roman"/>
          <w:b/>
          <w:sz w:val="20"/>
          <w:szCs w:val="20"/>
        </w:rPr>
        <w:pict>
          <v:rect id="_x0000_i1064" style="width:144.3pt;height:1pt" o:hrpct="300" o:hralign="center" o:hrstd="t" o:hrnoshade="t" o:hr="t" fillcolor="black [3213]" stroked="f"/>
        </w:pict>
      </w:r>
    </w:p>
    <w:p w:rsidR="00697C62" w:rsidRPr="00C50A5C" w:rsidRDefault="00697C62" w:rsidP="00732DB7">
      <w:pPr>
        <w:widowControl w:val="0"/>
        <w:rPr>
          <w:sz w:val="20"/>
          <w:szCs w:val="20"/>
        </w:rPr>
        <w:sectPr w:rsidR="00697C62" w:rsidRPr="00C50A5C" w:rsidSect="00782AE4">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9127CA" w:rsidRPr="00BB17D9" w:rsidRDefault="009127CA" w:rsidP="009127CA">
      <w:pPr>
        <w:pStyle w:val="SCCLsocParty"/>
        <w:rPr>
          <w:i w:val="0"/>
          <w:sz w:val="20"/>
          <w:szCs w:val="20"/>
        </w:rPr>
      </w:pPr>
      <w:r w:rsidRPr="00BB17D9">
        <w:rPr>
          <w:sz w:val="20"/>
          <w:szCs w:val="20"/>
        </w:rPr>
        <w:t>Agence du Revenu du Québec (anciennement le Sous-ministre du Revenu du Québec) c. Services Environnementaux AES Inc. et autre</w:t>
      </w:r>
      <w:r w:rsidRPr="00BB17D9">
        <w:rPr>
          <w:i w:val="0"/>
          <w:sz w:val="20"/>
          <w:szCs w:val="20"/>
        </w:rPr>
        <w:t xml:space="preserve"> (Qc) (</w:t>
      </w:r>
      <w:hyperlink r:id="rId61" w:history="1">
        <w:r w:rsidRPr="00BB17D9">
          <w:rPr>
            <w:rStyle w:val="Hyperlink"/>
            <w:i w:val="0"/>
            <w:sz w:val="20"/>
            <w:szCs w:val="20"/>
          </w:rPr>
          <w:t>34235</w:t>
        </w:r>
      </w:hyperlink>
      <w:r w:rsidRPr="00BB17D9">
        <w:rPr>
          <w:i w:val="0"/>
          <w:sz w:val="20"/>
          <w:szCs w:val="20"/>
        </w:rPr>
        <w:t>)</w:t>
      </w:r>
    </w:p>
    <w:p w:rsidR="009127CA" w:rsidRPr="00BB17D9" w:rsidRDefault="009127CA" w:rsidP="009127CA">
      <w:pPr>
        <w:pStyle w:val="SCCLsocParty"/>
        <w:rPr>
          <w:b/>
          <w:i w:val="0"/>
          <w:sz w:val="20"/>
          <w:szCs w:val="20"/>
        </w:rPr>
      </w:pPr>
      <w:r w:rsidRPr="00BB17D9">
        <w:rPr>
          <w:sz w:val="20"/>
          <w:szCs w:val="20"/>
        </w:rPr>
        <w:t>Agence du Revenu du Québec c. Jean Riopel et autres</w:t>
      </w:r>
      <w:r w:rsidRPr="00BB17D9">
        <w:rPr>
          <w:i w:val="0"/>
          <w:sz w:val="20"/>
          <w:szCs w:val="20"/>
        </w:rPr>
        <w:t xml:space="preserve"> (Qc) (</w:t>
      </w:r>
      <w:hyperlink r:id="rId62" w:history="1">
        <w:r w:rsidRPr="00BB17D9">
          <w:rPr>
            <w:rStyle w:val="Hyperlink"/>
            <w:i w:val="0"/>
            <w:sz w:val="20"/>
            <w:szCs w:val="20"/>
          </w:rPr>
          <w:t>34393</w:t>
        </w:r>
      </w:hyperlink>
      <w:r w:rsidRPr="00BB17D9">
        <w:rPr>
          <w:i w:val="0"/>
          <w:sz w:val="20"/>
          <w:szCs w:val="20"/>
        </w:rPr>
        <w:t>)</w:t>
      </w:r>
    </w:p>
    <w:p w:rsidR="004C33AB" w:rsidRPr="00221BDB" w:rsidRDefault="004C33AB" w:rsidP="004C33AB">
      <w:pPr>
        <w:jc w:val="both"/>
        <w:rPr>
          <w:b/>
          <w:sz w:val="20"/>
          <w:szCs w:val="20"/>
          <w:lang w:val="fr-CA"/>
        </w:rPr>
      </w:pPr>
      <w:r w:rsidRPr="00221BDB">
        <w:rPr>
          <w:b/>
          <w:sz w:val="20"/>
          <w:szCs w:val="20"/>
          <w:lang w:val="fr-CA"/>
        </w:rPr>
        <w:t xml:space="preserve">Indexed as:  </w:t>
      </w:r>
      <w:r w:rsidRPr="00221BDB">
        <w:rPr>
          <w:rStyle w:val="SCCAppellantForIndexChar"/>
          <w:rFonts w:eastAsiaTheme="minorHAnsi"/>
          <w:sz w:val="20"/>
        </w:rPr>
        <w:t xml:space="preserve">Quebec (Agence du Revenu) </w:t>
      </w:r>
      <w:r w:rsidRPr="00221BDB">
        <w:rPr>
          <w:b/>
          <w:i/>
          <w:sz w:val="20"/>
          <w:szCs w:val="20"/>
          <w:lang w:val="fr-CA"/>
        </w:rPr>
        <w:t>v.</w:t>
      </w:r>
      <w:r w:rsidRPr="00221BDB">
        <w:rPr>
          <w:b/>
          <w:sz w:val="20"/>
          <w:szCs w:val="20"/>
          <w:lang w:val="fr-CA"/>
        </w:rPr>
        <w:t xml:space="preserve"> </w:t>
      </w:r>
      <w:r w:rsidRPr="00221BDB">
        <w:rPr>
          <w:rStyle w:val="SCCRespondentForIndexChar"/>
          <w:rFonts w:eastAsiaTheme="minorHAnsi"/>
          <w:sz w:val="20"/>
          <w:lang w:val="fr-CA"/>
        </w:rPr>
        <w:t>Services Environnementaux AES inc.</w:t>
      </w:r>
      <w:r>
        <w:rPr>
          <w:rStyle w:val="SCCRespondentForIndexChar"/>
          <w:rFonts w:eastAsiaTheme="minorHAnsi"/>
          <w:sz w:val="20"/>
          <w:lang w:val="fr-CA"/>
        </w:rPr>
        <w:t xml:space="preserve"> /</w:t>
      </w:r>
    </w:p>
    <w:p w:rsidR="004C33AB" w:rsidRPr="00501113" w:rsidRDefault="004C33AB" w:rsidP="004C33AB">
      <w:pPr>
        <w:jc w:val="both"/>
        <w:rPr>
          <w:b/>
          <w:sz w:val="20"/>
          <w:szCs w:val="20"/>
          <w:lang w:val="fr-CA"/>
        </w:rPr>
      </w:pPr>
      <w:r w:rsidRPr="00501113">
        <w:rPr>
          <w:b/>
          <w:sz w:val="20"/>
          <w:szCs w:val="20"/>
          <w:lang w:val="fr-CA"/>
        </w:rPr>
        <w:t>Répertorié : Québec (Agence du</w:t>
      </w:r>
      <w:r w:rsidRPr="00501113">
        <w:rPr>
          <w:sz w:val="20"/>
          <w:szCs w:val="20"/>
          <w:lang w:val="fr-CA"/>
        </w:rPr>
        <w:t xml:space="preserve"> </w:t>
      </w:r>
      <w:r w:rsidRPr="00501113">
        <w:rPr>
          <w:b/>
          <w:sz w:val="20"/>
          <w:szCs w:val="20"/>
          <w:lang w:val="fr-CA"/>
        </w:rPr>
        <w:t xml:space="preserve">Revenu) </w:t>
      </w:r>
      <w:r w:rsidRPr="00501113">
        <w:rPr>
          <w:b/>
          <w:i/>
          <w:sz w:val="20"/>
          <w:szCs w:val="20"/>
          <w:lang w:val="fr-CA"/>
        </w:rPr>
        <w:t>c.</w:t>
      </w:r>
      <w:r w:rsidRPr="00501113">
        <w:rPr>
          <w:b/>
          <w:sz w:val="20"/>
          <w:szCs w:val="20"/>
          <w:lang w:val="fr-CA"/>
        </w:rPr>
        <w:t xml:space="preserve"> Services Environnementaux AES inc.</w:t>
      </w:r>
      <w:r>
        <w:rPr>
          <w:b/>
          <w:sz w:val="20"/>
          <w:szCs w:val="20"/>
          <w:lang w:val="fr-CA"/>
        </w:rPr>
        <w:t xml:space="preserve"> /</w:t>
      </w:r>
    </w:p>
    <w:p w:rsidR="005C6840" w:rsidRPr="003B3977" w:rsidRDefault="005C6840" w:rsidP="005C6840">
      <w:pPr>
        <w:pStyle w:val="SCCSystemYear"/>
        <w:jc w:val="both"/>
        <w:rPr>
          <w:sz w:val="20"/>
        </w:rPr>
      </w:pPr>
      <w:r w:rsidRPr="003B3977">
        <w:rPr>
          <w:sz w:val="20"/>
        </w:rPr>
        <w:t>Neutral citation:  201</w:t>
      </w:r>
      <w:r w:rsidR="00F761A3">
        <w:rPr>
          <w:sz w:val="20"/>
        </w:rPr>
        <w:t>3</w:t>
      </w:r>
      <w:r w:rsidRPr="003B3977">
        <w:rPr>
          <w:sz w:val="20"/>
        </w:rPr>
        <w:t xml:space="preserve"> SCC </w:t>
      </w:r>
      <w:r w:rsidR="009127CA">
        <w:rPr>
          <w:sz w:val="20"/>
        </w:rPr>
        <w:t>6</w:t>
      </w:r>
      <w:r w:rsidR="008E2A8E">
        <w:rPr>
          <w:sz w:val="20"/>
        </w:rPr>
        <w:t>5</w:t>
      </w:r>
      <w:r w:rsidRPr="003B3977">
        <w:rPr>
          <w:sz w:val="20"/>
        </w:rPr>
        <w:t xml:space="preserve"> / Référence neutre : 201</w:t>
      </w:r>
      <w:r w:rsidR="00F761A3">
        <w:rPr>
          <w:sz w:val="20"/>
        </w:rPr>
        <w:t>3</w:t>
      </w:r>
      <w:r w:rsidRPr="003B3977">
        <w:rPr>
          <w:sz w:val="20"/>
        </w:rPr>
        <w:t xml:space="preserve"> CSC </w:t>
      </w:r>
      <w:r w:rsidR="009127CA">
        <w:rPr>
          <w:sz w:val="20"/>
        </w:rPr>
        <w:t>6</w:t>
      </w:r>
      <w:r w:rsidR="008E2A8E">
        <w:rPr>
          <w:sz w:val="20"/>
        </w:rPr>
        <w:t>5</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4C33AB">
        <w:rPr>
          <w:rFonts w:cs="Times New Roman"/>
          <w:sz w:val="20"/>
          <w:szCs w:val="20"/>
          <w:lang w:val="fr-CA"/>
        </w:rPr>
        <w:t>Novem</w:t>
      </w:r>
      <w:r w:rsidRPr="003B3977">
        <w:rPr>
          <w:rFonts w:cs="Times New Roman"/>
          <w:sz w:val="20"/>
          <w:szCs w:val="20"/>
          <w:lang w:val="fr-CA"/>
        </w:rPr>
        <w:t>ber 8, 201</w:t>
      </w:r>
      <w:r w:rsidR="004C33AB">
        <w:rPr>
          <w:rFonts w:cs="Times New Roman"/>
          <w:sz w:val="20"/>
          <w:szCs w:val="20"/>
          <w:lang w:val="fr-CA"/>
        </w:rPr>
        <w:t>2</w:t>
      </w:r>
      <w:r w:rsidRPr="003B3977">
        <w:rPr>
          <w:rFonts w:cs="Times New Roman"/>
          <w:sz w:val="20"/>
          <w:szCs w:val="20"/>
          <w:lang w:val="fr-CA"/>
        </w:rPr>
        <w:t xml:space="preserve"> / Judgment:  </w:t>
      </w:r>
      <w:r w:rsidR="009127CA">
        <w:rPr>
          <w:rFonts w:cs="Times New Roman"/>
          <w:sz w:val="20"/>
          <w:szCs w:val="20"/>
          <w:lang w:val="fr-CA"/>
        </w:rPr>
        <w:t>Novem</w:t>
      </w:r>
      <w:r w:rsidRPr="003B3977">
        <w:rPr>
          <w:rFonts w:cs="Times New Roman"/>
          <w:sz w:val="20"/>
          <w:szCs w:val="20"/>
          <w:lang w:val="fr-CA"/>
        </w:rPr>
        <w:t xml:space="preserve">ber </w:t>
      </w:r>
      <w:r w:rsidR="009127CA">
        <w:rPr>
          <w:rFonts w:cs="Times New Roman"/>
          <w:sz w:val="20"/>
          <w:szCs w:val="20"/>
          <w:lang w:val="fr-CA"/>
        </w:rPr>
        <w:t>28</w:t>
      </w:r>
      <w:r w:rsidRPr="003B3977">
        <w:rPr>
          <w:rFonts w:cs="Times New Roman"/>
          <w:sz w:val="20"/>
          <w:szCs w:val="20"/>
          <w:lang w:val="fr-CA"/>
        </w:rPr>
        <w:t>, 201</w:t>
      </w:r>
      <w:r w:rsidR="009127CA">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8 </w:t>
      </w:r>
      <w:r w:rsidR="004C33AB">
        <w:rPr>
          <w:rFonts w:cs="Times New Roman"/>
          <w:sz w:val="20"/>
          <w:szCs w:val="20"/>
          <w:lang w:val="fr-CA"/>
        </w:rPr>
        <w:t>n</w:t>
      </w:r>
      <w:r w:rsidRPr="003B3977">
        <w:rPr>
          <w:rFonts w:cs="Times New Roman"/>
          <w:sz w:val="20"/>
          <w:szCs w:val="20"/>
          <w:lang w:val="fr-CA"/>
        </w:rPr>
        <w:t>o</w:t>
      </w:r>
      <w:r w:rsidR="004C33AB">
        <w:rPr>
          <w:rFonts w:cs="Times New Roman"/>
          <w:sz w:val="20"/>
          <w:szCs w:val="20"/>
          <w:lang w:val="fr-CA"/>
        </w:rPr>
        <w:t>vem</w:t>
      </w:r>
      <w:r w:rsidRPr="003B3977">
        <w:rPr>
          <w:rFonts w:cs="Times New Roman"/>
          <w:sz w:val="20"/>
          <w:szCs w:val="20"/>
          <w:lang w:val="fr-CA"/>
        </w:rPr>
        <w:t>bre 201</w:t>
      </w:r>
      <w:r w:rsidR="004C33AB">
        <w:rPr>
          <w:rFonts w:cs="Times New Roman"/>
          <w:sz w:val="20"/>
          <w:szCs w:val="20"/>
          <w:lang w:val="fr-CA"/>
        </w:rPr>
        <w:t>2</w:t>
      </w:r>
      <w:r w:rsidRPr="003B3977">
        <w:rPr>
          <w:rFonts w:cs="Times New Roman"/>
          <w:sz w:val="20"/>
          <w:szCs w:val="20"/>
          <w:lang w:val="fr-CA"/>
        </w:rPr>
        <w:t xml:space="preserve"> / Jugement : Le 2</w:t>
      </w:r>
      <w:r w:rsidR="009127CA">
        <w:rPr>
          <w:rFonts w:cs="Times New Roman"/>
          <w:sz w:val="20"/>
          <w:szCs w:val="20"/>
          <w:lang w:val="fr-CA"/>
        </w:rPr>
        <w:t>8</w:t>
      </w:r>
      <w:r w:rsidRPr="003B3977">
        <w:rPr>
          <w:rFonts w:cs="Times New Roman"/>
          <w:sz w:val="20"/>
          <w:szCs w:val="20"/>
          <w:lang w:val="fr-CA"/>
        </w:rPr>
        <w:t xml:space="preserve"> </w:t>
      </w:r>
      <w:r w:rsidR="009127CA">
        <w:rPr>
          <w:rFonts w:cs="Times New Roman"/>
          <w:sz w:val="20"/>
          <w:szCs w:val="20"/>
          <w:lang w:val="fr-CA"/>
        </w:rPr>
        <w:t>n</w:t>
      </w:r>
      <w:r w:rsidRPr="003B3977">
        <w:rPr>
          <w:rFonts w:cs="Times New Roman"/>
          <w:sz w:val="20"/>
          <w:szCs w:val="20"/>
          <w:lang w:val="fr-CA"/>
        </w:rPr>
        <w:t>o</w:t>
      </w:r>
      <w:r w:rsidR="009127CA">
        <w:rPr>
          <w:rFonts w:cs="Times New Roman"/>
          <w:sz w:val="20"/>
          <w:szCs w:val="20"/>
          <w:lang w:val="fr-CA"/>
        </w:rPr>
        <w:t>vem</w:t>
      </w:r>
      <w:r w:rsidRPr="003B3977">
        <w:rPr>
          <w:rFonts w:cs="Times New Roman"/>
          <w:sz w:val="20"/>
          <w:szCs w:val="20"/>
          <w:lang w:val="fr-CA"/>
        </w:rPr>
        <w:t>bre 201</w:t>
      </w:r>
      <w:r w:rsidR="009127CA">
        <w:rPr>
          <w:rFonts w:cs="Times New Roman"/>
          <w:sz w:val="20"/>
          <w:szCs w:val="20"/>
          <w:lang w:val="fr-CA"/>
        </w:rPr>
        <w:t>3</w:t>
      </w:r>
    </w:p>
    <w:p w:rsidR="005C6840" w:rsidRPr="003B3977" w:rsidRDefault="003513AE" w:rsidP="005C6840">
      <w:pPr>
        <w:rPr>
          <w:rFonts w:cs="Times New Roman"/>
          <w:sz w:val="20"/>
          <w:szCs w:val="20"/>
          <w:lang w:val="fr-CA"/>
        </w:rPr>
      </w:pPr>
      <w:r>
        <w:rPr>
          <w:rFonts w:cs="Times New Roman"/>
          <w:i/>
          <w:sz w:val="20"/>
          <w:szCs w:val="20"/>
        </w:rPr>
        <w:pict>
          <v:rect id="_x0000_i1067"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4C33AB" w:rsidRPr="00501113" w:rsidRDefault="004C33AB" w:rsidP="004C33AB">
      <w:pPr>
        <w:jc w:val="both"/>
        <w:rPr>
          <w:sz w:val="20"/>
          <w:szCs w:val="20"/>
          <w:lang w:val="fr-CA"/>
        </w:rPr>
      </w:pPr>
      <w:r w:rsidRPr="00501113">
        <w:rPr>
          <w:sz w:val="20"/>
          <w:szCs w:val="20"/>
          <w:lang w:val="fr-CA"/>
        </w:rPr>
        <w:t>Présents : La juge en chef McLachlin et les juges LeBel, Fish, Abella, Rothstein, Cromwell et Karakatsanis.</w:t>
      </w:r>
    </w:p>
    <w:p w:rsidR="004C33AB" w:rsidRDefault="004C33AB" w:rsidP="004C33AB">
      <w:pPr>
        <w:pStyle w:val="SCCNormalDoubleSpacing"/>
        <w:spacing w:line="240" w:lineRule="auto"/>
        <w:rPr>
          <w:i/>
          <w:sz w:val="20"/>
          <w:lang w:val="fr-CA"/>
        </w:rPr>
      </w:pPr>
    </w:p>
    <w:p w:rsidR="004C33AB" w:rsidRPr="00501113" w:rsidRDefault="004C33AB" w:rsidP="004C33AB">
      <w:pPr>
        <w:pStyle w:val="SCCNormalDoubleSpacing"/>
        <w:spacing w:line="240" w:lineRule="auto"/>
        <w:rPr>
          <w:i/>
          <w:sz w:val="20"/>
          <w:lang w:val="fr-CA"/>
        </w:rPr>
      </w:pPr>
      <w:r w:rsidRPr="00501113">
        <w:rPr>
          <w:i/>
          <w:sz w:val="20"/>
          <w:lang w:val="fr-CA"/>
        </w:rPr>
        <w:tab/>
        <w:t>Contrats — Interprétation — Intention des parties — Volonté déclarée dans des documents relatifs à des transactions ne reflétant pas la commune intention des parties en raison d’erreurs commises par des professionnels — Transactions entraînant des impacts fiscaux non prévus — Les tribunaux peuvent</w:t>
      </w:r>
      <w:r w:rsidRPr="00501113">
        <w:rPr>
          <w:i/>
          <w:sz w:val="20"/>
          <w:lang w:val="fr-CA"/>
        </w:rPr>
        <w:noBreakHyphen/>
        <w:t>ils intervenir pour constater la légitimité et la nécessité des modifications apportées par les parties aux documents afférents aux transactions? — Code civil du Québec, L.Q. 1991, ch. 64, art. 1425.</w:t>
      </w:r>
    </w:p>
    <w:p w:rsidR="004C33AB" w:rsidRDefault="004C33AB" w:rsidP="004C33AB">
      <w:pPr>
        <w:pStyle w:val="SCCNormalDoubleSpacing"/>
        <w:spacing w:line="240" w:lineRule="auto"/>
        <w:rPr>
          <w:sz w:val="20"/>
          <w:lang w:val="fr-CA"/>
        </w:rPr>
      </w:pPr>
    </w:p>
    <w:p w:rsidR="004C33AB" w:rsidRPr="00501113" w:rsidRDefault="004C33AB" w:rsidP="004C33AB">
      <w:pPr>
        <w:pStyle w:val="SCCNormalDoubleSpacing"/>
        <w:spacing w:line="240" w:lineRule="auto"/>
        <w:rPr>
          <w:sz w:val="20"/>
          <w:lang w:val="fr-CA"/>
        </w:rPr>
      </w:pPr>
      <w:r w:rsidRPr="00501113">
        <w:rPr>
          <w:sz w:val="20"/>
          <w:lang w:val="fr-CA"/>
        </w:rPr>
        <w:tab/>
        <w:t xml:space="preserve">Des actionnaires de sociétés commerciales ont effectué des transactions pour procéder à la restructuration de ces sociétés sans incidences fiscales.  À la suite d’erreurs commises par leurs conseillers fiscaux, le fisc a établi des avis de cotisation réclamant des impôts imprévus par les contribuables.  Dans l’affaire </w:t>
      </w:r>
      <w:r w:rsidRPr="00501113">
        <w:rPr>
          <w:i/>
          <w:sz w:val="20"/>
          <w:lang w:val="fr-CA"/>
        </w:rPr>
        <w:t>AES</w:t>
      </w:r>
      <w:r w:rsidRPr="00501113">
        <w:rPr>
          <w:sz w:val="20"/>
          <w:lang w:val="fr-CA"/>
        </w:rPr>
        <w:t xml:space="preserve">, les parties s’étaient entendues sur des transferts d’actions qui comportaient une opération de roulement, conformément aux modalités prévues par les lois fiscales pertinentes, sur la base d’un calcul du prix de base rajusté (« PBR ») des actions transférées.  Un aspect de la contrepartie versée pour la cession des actions consistait dans l’émission et la remise d’un billet égal au montant de leur PBR.  Cette entente, qui devait avoir pour effet de reporter l’impôt payable, a été viciée par une erreur commise dans le calcul du PBR des actions.  Au lieu de demander l’annulation du contrat, les parties ont convenu de corriger l’erreur en modifiant les documents qui constataient et exécutaient leur entente, y compris les formulaires fiscaux nécessaires, puis se sont adressées à la Cour supérieure au moyen d’une requête en rectification.  Dans l’affaire </w:t>
      </w:r>
      <w:r w:rsidRPr="00501113">
        <w:rPr>
          <w:i/>
          <w:sz w:val="20"/>
          <w:lang w:val="fr-CA"/>
        </w:rPr>
        <w:t>Riopel</w:t>
      </w:r>
      <w:r w:rsidRPr="00501113">
        <w:rPr>
          <w:sz w:val="20"/>
          <w:lang w:val="fr-CA"/>
        </w:rPr>
        <w:t>, les parties se sont entendues verbalement pour réaliser une planification fiscale détaillée, dont les modalités essentielles leur avaient été recommandées par leurs conseillers.  L’entente prévoyait un ensemble d’opérations et d’actes à accomplir, selon un échéancier précis, pour réaliser des cessions d’actions et une fusion de sociétés, et ce, d’une manière propre à assurer le report des obligations fiscales afférentes à ces transactions en utilisant des procédures prévues par les lois fiscales.  Les conseillers des parties ont interverti l’ordre de la fusion des sociétés commerciales et de la cession d’actions.  Comme cette erreur empêchait le report des impôts, ils ont tenté de la corriger en modifiant les actes originaux et les faisant signer par leurs clients, sans leur expliquer la nature des changements effectués.  Après l’établissement des avis de cotisation par le fisc et la découverte des erreurs commises dans la rédaction des écrits relatifs à la transaction, les parties ont convenu de donner effet à leur entente originale, en modifiant les actes défectueux.</w:t>
      </w:r>
    </w:p>
    <w:p w:rsidR="004C33AB" w:rsidRDefault="004C33AB" w:rsidP="004C33AB">
      <w:pPr>
        <w:pStyle w:val="SCCNormalDoubleSpacing"/>
        <w:spacing w:line="240" w:lineRule="auto"/>
        <w:rPr>
          <w:sz w:val="20"/>
          <w:lang w:val="fr-CA"/>
        </w:rPr>
      </w:pPr>
    </w:p>
    <w:p w:rsidR="004C33AB" w:rsidRPr="00501113" w:rsidRDefault="004C33AB" w:rsidP="004C33AB">
      <w:pPr>
        <w:pStyle w:val="SCCNormalDoubleSpacing"/>
        <w:spacing w:line="240" w:lineRule="auto"/>
        <w:rPr>
          <w:sz w:val="20"/>
          <w:lang w:val="fr-CA"/>
        </w:rPr>
      </w:pPr>
      <w:r w:rsidRPr="00501113">
        <w:rPr>
          <w:sz w:val="20"/>
          <w:lang w:val="fr-CA"/>
        </w:rPr>
        <w:tab/>
        <w:t xml:space="preserve">La Cour supérieure a accordé la demande de rectification dans l’affaire </w:t>
      </w:r>
      <w:r w:rsidRPr="00501113">
        <w:rPr>
          <w:i/>
          <w:sz w:val="20"/>
          <w:lang w:val="fr-CA"/>
        </w:rPr>
        <w:t>AES</w:t>
      </w:r>
      <w:r w:rsidRPr="00501113">
        <w:rPr>
          <w:sz w:val="20"/>
          <w:lang w:val="fr-CA"/>
        </w:rPr>
        <w:t xml:space="preserve"> mais l’a refusée dans l’affaire </w:t>
      </w:r>
      <w:r w:rsidRPr="00501113">
        <w:rPr>
          <w:i/>
          <w:sz w:val="20"/>
          <w:lang w:val="fr-CA"/>
        </w:rPr>
        <w:t>Riopel</w:t>
      </w:r>
      <w:r w:rsidRPr="00501113">
        <w:rPr>
          <w:sz w:val="20"/>
          <w:lang w:val="fr-CA"/>
        </w:rPr>
        <w:t xml:space="preserve">. La Cour d’appel du Québec a fait droit dans les deux cas aux demandes de rectification, concluant que l’art. 1425 </w:t>
      </w:r>
      <w:r w:rsidRPr="00501113">
        <w:rPr>
          <w:i/>
          <w:sz w:val="20"/>
          <w:lang w:val="fr-CA"/>
        </w:rPr>
        <w:t>C.c.Q.</w:t>
      </w:r>
      <w:r w:rsidRPr="00501113">
        <w:rPr>
          <w:sz w:val="20"/>
          <w:lang w:val="fr-CA"/>
        </w:rPr>
        <w:t xml:space="preserve"> permettait de corriger l’écart entre l’intention commune des parties et l’intention déclarée dans les actes, car les demandes étaient légitimes et la correction ne portait pas atteinte aux droits des tiers.</w:t>
      </w:r>
    </w:p>
    <w:p w:rsidR="004C33AB" w:rsidRDefault="004C33AB" w:rsidP="004C33AB">
      <w:pPr>
        <w:pStyle w:val="SCCNormalDoubleSpacing"/>
        <w:spacing w:line="240" w:lineRule="auto"/>
        <w:rPr>
          <w:sz w:val="20"/>
          <w:lang w:val="fr-CA"/>
        </w:rPr>
      </w:pPr>
    </w:p>
    <w:p w:rsidR="004C33AB" w:rsidRPr="00501113" w:rsidRDefault="004C33AB" w:rsidP="004C33AB">
      <w:pPr>
        <w:pStyle w:val="SCCNormalDoubleSpacing"/>
        <w:spacing w:line="240" w:lineRule="auto"/>
        <w:rPr>
          <w:sz w:val="20"/>
          <w:lang w:val="fr-CA"/>
        </w:rPr>
      </w:pPr>
      <w:r w:rsidRPr="00501113">
        <w:rPr>
          <w:sz w:val="20"/>
          <w:lang w:val="fr-CA"/>
        </w:rPr>
        <w:tab/>
      </w:r>
      <w:r w:rsidRPr="00501113">
        <w:rPr>
          <w:i/>
          <w:sz w:val="20"/>
          <w:lang w:val="fr-CA"/>
        </w:rPr>
        <w:t>Arrêt</w:t>
      </w:r>
      <w:r w:rsidRPr="00501113">
        <w:rPr>
          <w:sz w:val="20"/>
          <w:lang w:val="fr-CA"/>
        </w:rPr>
        <w:t> : Les pourvois sont rejetés.</w:t>
      </w:r>
    </w:p>
    <w:p w:rsidR="004C33AB" w:rsidRDefault="004C33AB" w:rsidP="004C33AB">
      <w:pPr>
        <w:pStyle w:val="SCCNormalDoubleSpacing"/>
        <w:spacing w:line="240" w:lineRule="auto"/>
        <w:rPr>
          <w:sz w:val="20"/>
          <w:lang w:val="fr-CA"/>
        </w:rPr>
      </w:pPr>
    </w:p>
    <w:p w:rsidR="004C33AB" w:rsidRPr="00501113" w:rsidRDefault="004C33AB" w:rsidP="004C33AB">
      <w:pPr>
        <w:pStyle w:val="SCCNormalDoubleSpacing"/>
        <w:spacing w:line="240" w:lineRule="auto"/>
        <w:rPr>
          <w:sz w:val="20"/>
          <w:lang w:val="fr-CA"/>
        </w:rPr>
      </w:pPr>
      <w:r w:rsidRPr="00501113">
        <w:rPr>
          <w:sz w:val="20"/>
          <w:lang w:val="fr-CA"/>
        </w:rPr>
        <w:tab/>
        <w:t xml:space="preserve">L’interaction du droit civil et du droit fiscal limite le champ d’intervention des tribunaux.  Les règles de la common law et du droit civil déterminent en principe la nature et les conséquences juridiques des opérations visées par le droit fiscal, mais les tribunaux saisis d’une contestation relative à des aspects civils d’une transaction ayant des implications fiscales ne peuvent statuer sur les avis de cotisation et les avis d’opposition établis ou déposés à l’égard de cette transaction.  Il appartiendra plutôt aux juridictions déclarées compétentes en la matière de se prononcer sur la </w:t>
      </w:r>
      <w:r w:rsidRPr="00501113">
        <w:rPr>
          <w:sz w:val="20"/>
          <w:lang w:val="fr-CA"/>
        </w:rPr>
        <w:lastRenderedPageBreak/>
        <w:t>validité et les effets de ces avis, s’il y a lieu de le faire, et d’évaluer les conséquences des jugements rendus par les cours civiles au sujet des opérations à l’origine des avis de cotisation.</w:t>
      </w:r>
    </w:p>
    <w:p w:rsidR="004C33AB" w:rsidRDefault="004C33AB" w:rsidP="004C33AB">
      <w:pPr>
        <w:pStyle w:val="SCCNormalDoubleSpacing"/>
        <w:spacing w:line="240" w:lineRule="auto"/>
        <w:rPr>
          <w:sz w:val="20"/>
          <w:lang w:val="fr-CA"/>
        </w:rPr>
      </w:pPr>
    </w:p>
    <w:p w:rsidR="004C33AB" w:rsidRPr="00501113" w:rsidRDefault="004C33AB" w:rsidP="004C33AB">
      <w:pPr>
        <w:pStyle w:val="SCCNormalDoubleSpacing"/>
        <w:spacing w:line="240" w:lineRule="auto"/>
        <w:rPr>
          <w:sz w:val="20"/>
          <w:lang w:val="fr-CA"/>
        </w:rPr>
      </w:pPr>
      <w:r w:rsidRPr="00501113">
        <w:rPr>
          <w:sz w:val="20"/>
          <w:lang w:val="fr-CA"/>
        </w:rPr>
        <w:tab/>
        <w:t xml:space="preserve">Le droit civil des contrats repose sur le principe du consensualisme et retient la distinction fondamentale entre l’échange des consentements et son expression écrite.  Le contrat appartient aux parties.  Entre elles, mais sous réserve des droits qui ont pu être acquis par des tiers, les parties sont libres de modifier ou d’annuler le contrat et les documents qui le constatent.  Rien ne les empêche de reconnaître l’existence d’une erreur commune et de convenir de la corriger de consentement mutuel.  La recherche de l’intention ou volonté commune des parties par les tribunaux représente une véritable opération d’interprétation, et l’art. 1425 </w:t>
      </w:r>
      <w:r w:rsidRPr="00501113">
        <w:rPr>
          <w:i/>
          <w:sz w:val="20"/>
          <w:lang w:val="fr-CA"/>
        </w:rPr>
        <w:t>C.c.Q.</w:t>
      </w:r>
      <w:r w:rsidRPr="00501113">
        <w:rPr>
          <w:sz w:val="20"/>
          <w:lang w:val="fr-CA"/>
        </w:rPr>
        <w:t xml:space="preserve"> leur permet d’intervenir à cette fin.  Si l’acte sous seing privé est entaché d’erreur, une fois cette erreur établie conformément aux règles de la preuve civile, le tribunal doit la constater et faire en sorte qu’on y remédie.  En droit civil, le fisc ne possède pas de droit acquis au bénéfice d’une erreur que les parties à un contrat auraient commise, puis corrigée de consentement mutuel. </w:t>
      </w:r>
    </w:p>
    <w:p w:rsidR="004C33AB" w:rsidRDefault="004C33AB" w:rsidP="004C33AB">
      <w:pPr>
        <w:pStyle w:val="SCCNormalDoubleSpacing"/>
        <w:spacing w:line="240" w:lineRule="auto"/>
        <w:rPr>
          <w:sz w:val="20"/>
          <w:lang w:val="fr-CA"/>
        </w:rPr>
      </w:pPr>
    </w:p>
    <w:p w:rsidR="004C33AB" w:rsidRDefault="004C33AB" w:rsidP="004C33AB">
      <w:pPr>
        <w:pStyle w:val="SCCNormalDoubleSpacing"/>
        <w:spacing w:line="240" w:lineRule="auto"/>
        <w:rPr>
          <w:sz w:val="20"/>
          <w:lang w:val="fr-CA"/>
        </w:rPr>
      </w:pPr>
      <w:r w:rsidRPr="00501113">
        <w:rPr>
          <w:sz w:val="20"/>
          <w:lang w:val="fr-CA"/>
        </w:rPr>
        <w:tab/>
        <w:t xml:space="preserve">En l’espèce, l’ensemble des écrits préparés pour réaliser les planifications fiscales dont ont convenu les parties représentait une expression erronée de leur volonté commune.  Les tribunaux pouvaient intervenir pour constater la légitimité et la nécessité des modifications apportées par les parties aux actes en litige.  Le droit substantiel justifiait leur intervention, et la procédure civile québécoise n’y faisait pas obstacle.  Le débat relevait du domaine du contradictoire.  Le fisc avait été appelé en cause, comme il devait l’être, et la requête en rectification était la voie normale pour saisir la Cour supérieure et lui demander d’intervenir à des fins d’abord et avant tout déclaratoires. </w:t>
      </w:r>
    </w:p>
    <w:p w:rsidR="004C33AB" w:rsidRDefault="004C33AB" w:rsidP="004C33AB">
      <w:pPr>
        <w:pStyle w:val="SCCNormalDoubleSpacing"/>
        <w:spacing w:line="240" w:lineRule="auto"/>
        <w:rPr>
          <w:sz w:val="20"/>
          <w:lang w:val="fr-CA"/>
        </w:rPr>
      </w:pPr>
    </w:p>
    <w:p w:rsidR="004C33AB" w:rsidRPr="00501113" w:rsidRDefault="004C33AB" w:rsidP="004C33AB">
      <w:pPr>
        <w:pStyle w:val="SCCNormalDoubleSpacing"/>
        <w:spacing w:line="240" w:lineRule="auto"/>
        <w:rPr>
          <w:sz w:val="20"/>
          <w:lang w:val="fr-CA"/>
        </w:rPr>
      </w:pPr>
      <w:r w:rsidRPr="00501113">
        <w:rPr>
          <w:sz w:val="20"/>
          <w:lang w:val="fr-CA"/>
        </w:rPr>
        <w:tab/>
        <w:t>POURVOI contre un arrêt de la Cour d’appel du Québec (les juges Chamberland, Morissette et Kasirer), 2011 QCCA 394, 2011 D.T.C. 5045, [2011] J.Q. n</w:t>
      </w:r>
      <w:r w:rsidRPr="00501113">
        <w:rPr>
          <w:sz w:val="20"/>
          <w:vertAlign w:val="superscript"/>
          <w:lang w:val="fr-CA"/>
        </w:rPr>
        <w:t>o</w:t>
      </w:r>
      <w:r w:rsidRPr="00501113">
        <w:rPr>
          <w:sz w:val="20"/>
          <w:lang w:val="fr-CA"/>
        </w:rPr>
        <w:t> 1911 (QL), 2011 CarswellQue 1079, SOQUIJ AZ</w:t>
      </w:r>
      <w:r w:rsidRPr="00501113">
        <w:rPr>
          <w:sz w:val="20"/>
          <w:lang w:val="fr-CA"/>
        </w:rPr>
        <w:noBreakHyphen/>
        <w:t>50727855, qui a confirmé une décision de la juge Borenstein, 2009 QCCS 790 (CanLII), [2009] J.Q. n</w:t>
      </w:r>
      <w:r w:rsidRPr="00501113">
        <w:rPr>
          <w:sz w:val="20"/>
          <w:vertAlign w:val="superscript"/>
          <w:lang w:val="fr-CA"/>
        </w:rPr>
        <w:t>o </w:t>
      </w:r>
      <w:r w:rsidRPr="00501113">
        <w:rPr>
          <w:sz w:val="20"/>
          <w:lang w:val="fr-CA"/>
        </w:rPr>
        <w:t>1554 (QL), 2009 CarswellQue 1643, SOQUIJ AZ</w:t>
      </w:r>
      <w:r w:rsidRPr="00501113">
        <w:rPr>
          <w:sz w:val="20"/>
          <w:lang w:val="fr-CA"/>
        </w:rPr>
        <w:noBreakHyphen/>
        <w:t>50541289.  Pourvoi rejeté.</w:t>
      </w:r>
    </w:p>
    <w:p w:rsidR="004C33AB" w:rsidRDefault="004C33AB" w:rsidP="004C33AB">
      <w:pPr>
        <w:pStyle w:val="SCCNormalDoubleSpacing"/>
        <w:spacing w:line="240" w:lineRule="auto"/>
        <w:rPr>
          <w:sz w:val="20"/>
          <w:lang w:val="fr-CA"/>
        </w:rPr>
      </w:pPr>
    </w:p>
    <w:p w:rsidR="004C33AB" w:rsidRPr="00501113" w:rsidRDefault="004C33AB" w:rsidP="004C33AB">
      <w:pPr>
        <w:pStyle w:val="SCCNormalDoubleSpacing"/>
        <w:spacing w:line="240" w:lineRule="auto"/>
        <w:rPr>
          <w:sz w:val="20"/>
          <w:lang w:val="fr-CA"/>
        </w:rPr>
      </w:pPr>
      <w:r w:rsidRPr="00501113">
        <w:rPr>
          <w:sz w:val="20"/>
          <w:lang w:val="fr-CA"/>
        </w:rPr>
        <w:tab/>
        <w:t>POURVOI contre un arrêt de la Cour d’appel du Québec (les juges Bich, Kasirer et Wagner), 2011 QCCA 954 (CanLII), [2011] J.Q. n</w:t>
      </w:r>
      <w:r w:rsidRPr="00501113">
        <w:rPr>
          <w:sz w:val="20"/>
          <w:vertAlign w:val="superscript"/>
          <w:lang w:val="fr-CA"/>
        </w:rPr>
        <w:t>o</w:t>
      </w:r>
      <w:r w:rsidRPr="00501113">
        <w:rPr>
          <w:sz w:val="20"/>
          <w:lang w:val="fr-CA"/>
        </w:rPr>
        <w:t> 5720 (QL), 2011 CarswellQue 5360, SOQUIJ AZ</w:t>
      </w:r>
      <w:r w:rsidRPr="00501113">
        <w:rPr>
          <w:sz w:val="20"/>
          <w:lang w:val="fr-CA"/>
        </w:rPr>
        <w:noBreakHyphen/>
        <w:t>50755104, qui a annulé une décision de la juge Nantel, 2010 QCCS 1576 (CanLII), [2010] J.Q. n</w:t>
      </w:r>
      <w:r w:rsidRPr="00501113">
        <w:rPr>
          <w:sz w:val="20"/>
          <w:vertAlign w:val="superscript"/>
          <w:lang w:val="fr-CA"/>
        </w:rPr>
        <w:t>o</w:t>
      </w:r>
      <w:r w:rsidRPr="00501113">
        <w:rPr>
          <w:sz w:val="20"/>
          <w:lang w:val="fr-CA"/>
        </w:rPr>
        <w:t> 3418 (QL), 2010 CarswellQue 3545, SOQUIJ AZ</w:t>
      </w:r>
      <w:r w:rsidRPr="00501113">
        <w:rPr>
          <w:sz w:val="20"/>
          <w:lang w:val="fr-CA"/>
        </w:rPr>
        <w:noBreakHyphen/>
        <w:t>50628627.  Pourvoi rejeté.</w:t>
      </w:r>
    </w:p>
    <w:p w:rsidR="004C33AB" w:rsidRDefault="004C33AB" w:rsidP="004C33AB">
      <w:pPr>
        <w:pStyle w:val="SCCNormalDoubleSpacing"/>
        <w:spacing w:line="240" w:lineRule="auto"/>
        <w:rPr>
          <w:i/>
          <w:sz w:val="20"/>
          <w:lang w:val="fr-CA"/>
        </w:rPr>
      </w:pPr>
    </w:p>
    <w:p w:rsidR="004C33AB" w:rsidRPr="00501113" w:rsidRDefault="004C33AB" w:rsidP="004C33AB">
      <w:pPr>
        <w:pStyle w:val="SCCNormalDoubleSpacing"/>
        <w:spacing w:line="240" w:lineRule="auto"/>
        <w:rPr>
          <w:sz w:val="20"/>
          <w:lang w:val="fr-CA"/>
        </w:rPr>
      </w:pPr>
      <w:r w:rsidRPr="00501113">
        <w:rPr>
          <w:i/>
          <w:sz w:val="20"/>
          <w:lang w:val="fr-CA"/>
        </w:rPr>
        <w:tab/>
        <w:t>Pierre Zemaitis, Christian Boutin</w:t>
      </w:r>
      <w:r w:rsidRPr="00501113">
        <w:rPr>
          <w:sz w:val="20"/>
          <w:lang w:val="fr-CA"/>
        </w:rPr>
        <w:t xml:space="preserve"> et </w:t>
      </w:r>
      <w:r w:rsidRPr="00501113">
        <w:rPr>
          <w:i/>
          <w:sz w:val="20"/>
          <w:lang w:val="fr-CA"/>
        </w:rPr>
        <w:t>Khashayar Haghgouyan</w:t>
      </w:r>
      <w:r w:rsidRPr="00501113">
        <w:rPr>
          <w:sz w:val="20"/>
          <w:lang w:val="fr-CA"/>
        </w:rPr>
        <w:t>, pour l’appelante.</w:t>
      </w:r>
    </w:p>
    <w:p w:rsidR="004C33AB" w:rsidRDefault="004C33AB" w:rsidP="004C33AB">
      <w:pPr>
        <w:pStyle w:val="SCCNormalDoubleSpacing"/>
        <w:spacing w:line="240" w:lineRule="auto"/>
        <w:rPr>
          <w:i/>
          <w:sz w:val="20"/>
          <w:lang w:val="fr-CA"/>
        </w:rPr>
      </w:pPr>
    </w:p>
    <w:p w:rsidR="004C33AB" w:rsidRPr="00501113" w:rsidRDefault="004C33AB" w:rsidP="004C33AB">
      <w:pPr>
        <w:pStyle w:val="SCCNormalDoubleSpacing"/>
        <w:spacing w:line="240" w:lineRule="auto"/>
        <w:rPr>
          <w:sz w:val="20"/>
          <w:lang w:val="fr-CA"/>
        </w:rPr>
      </w:pPr>
      <w:r w:rsidRPr="00501113">
        <w:rPr>
          <w:i/>
          <w:sz w:val="20"/>
          <w:lang w:val="fr-CA"/>
        </w:rPr>
        <w:tab/>
        <w:t>Dominic C. Belley</w:t>
      </w:r>
      <w:r w:rsidRPr="00501113">
        <w:rPr>
          <w:sz w:val="20"/>
          <w:lang w:val="fr-CA"/>
        </w:rPr>
        <w:t>, pour les intimées Services Environnementaux AES inc. et Centre Technologique AES inc.</w:t>
      </w:r>
    </w:p>
    <w:p w:rsidR="004C33AB" w:rsidRDefault="004C33AB" w:rsidP="004C33AB">
      <w:pPr>
        <w:pStyle w:val="SCCNormalDoubleSpacing"/>
        <w:spacing w:line="240" w:lineRule="auto"/>
        <w:rPr>
          <w:i/>
          <w:sz w:val="20"/>
          <w:lang w:val="fr-CA"/>
        </w:rPr>
      </w:pPr>
    </w:p>
    <w:p w:rsidR="004C33AB" w:rsidRPr="00501113" w:rsidRDefault="004C33AB" w:rsidP="004C33AB">
      <w:pPr>
        <w:pStyle w:val="SCCNormalDoubleSpacing"/>
        <w:spacing w:line="240" w:lineRule="auto"/>
        <w:rPr>
          <w:sz w:val="20"/>
          <w:lang w:val="fr-CA"/>
        </w:rPr>
      </w:pPr>
      <w:r w:rsidRPr="00501113">
        <w:rPr>
          <w:i/>
          <w:sz w:val="20"/>
          <w:lang w:val="fr-CA"/>
        </w:rPr>
        <w:tab/>
        <w:t>Bruno Racine et Marc</w:t>
      </w:r>
      <w:r w:rsidRPr="00501113">
        <w:rPr>
          <w:i/>
          <w:sz w:val="20"/>
          <w:lang w:val="fr-CA"/>
        </w:rPr>
        <w:noBreakHyphen/>
        <w:t>Antoine St</w:t>
      </w:r>
      <w:r w:rsidRPr="00501113">
        <w:rPr>
          <w:i/>
          <w:sz w:val="20"/>
          <w:lang w:val="fr-CA"/>
        </w:rPr>
        <w:noBreakHyphen/>
        <w:t>Pierre</w:t>
      </w:r>
      <w:r w:rsidRPr="00501113">
        <w:rPr>
          <w:sz w:val="20"/>
          <w:lang w:val="fr-CA"/>
        </w:rPr>
        <w:t>, pour les intimés Jean Riopel, Christiane Archambault et Entreprise J.P.F. Riopel inc.</w:t>
      </w:r>
    </w:p>
    <w:p w:rsidR="004C33AB" w:rsidRDefault="004C33AB" w:rsidP="004C33AB">
      <w:pPr>
        <w:pStyle w:val="SCCNormalDoubleSpacing"/>
        <w:spacing w:line="240" w:lineRule="auto"/>
        <w:rPr>
          <w:i/>
          <w:sz w:val="20"/>
          <w:lang w:val="fr-CA"/>
        </w:rPr>
      </w:pPr>
    </w:p>
    <w:p w:rsidR="004C33AB" w:rsidRPr="00501113" w:rsidRDefault="004C33AB" w:rsidP="004C33AB">
      <w:pPr>
        <w:pStyle w:val="SCCNormalDoubleSpacing"/>
        <w:spacing w:line="240" w:lineRule="auto"/>
        <w:rPr>
          <w:sz w:val="20"/>
          <w:lang w:val="fr-CA"/>
        </w:rPr>
      </w:pPr>
      <w:r w:rsidRPr="00501113">
        <w:rPr>
          <w:i/>
          <w:sz w:val="20"/>
          <w:lang w:val="fr-CA"/>
        </w:rPr>
        <w:tab/>
        <w:t>Pierre Cossette</w:t>
      </w:r>
      <w:r w:rsidRPr="00501113">
        <w:rPr>
          <w:sz w:val="20"/>
          <w:lang w:val="fr-CA"/>
        </w:rPr>
        <w:t xml:space="preserve"> et </w:t>
      </w:r>
      <w:r w:rsidRPr="00501113">
        <w:rPr>
          <w:i/>
          <w:sz w:val="20"/>
          <w:lang w:val="fr-CA"/>
        </w:rPr>
        <w:t>Susan Shaughnessy</w:t>
      </w:r>
      <w:r w:rsidRPr="00501113">
        <w:rPr>
          <w:sz w:val="20"/>
          <w:lang w:val="fr-CA"/>
        </w:rPr>
        <w:t>, pour l’intervenant.</w:t>
      </w:r>
    </w:p>
    <w:p w:rsidR="004C33AB" w:rsidRDefault="004C33AB" w:rsidP="004C33AB">
      <w:pPr>
        <w:pStyle w:val="SCCLawFirm"/>
        <w:spacing w:line="240" w:lineRule="auto"/>
        <w:rPr>
          <w:sz w:val="20"/>
          <w:lang w:val="fr-CA"/>
        </w:rPr>
      </w:pPr>
    </w:p>
    <w:p w:rsidR="004C33AB" w:rsidRPr="00501113" w:rsidRDefault="004C33AB" w:rsidP="004C33AB">
      <w:pPr>
        <w:pStyle w:val="SCCLawFirm"/>
        <w:spacing w:line="240" w:lineRule="auto"/>
        <w:rPr>
          <w:sz w:val="20"/>
          <w:lang w:val="fr-CA"/>
        </w:rPr>
      </w:pPr>
      <w:r w:rsidRPr="00501113">
        <w:rPr>
          <w:sz w:val="20"/>
          <w:lang w:val="fr-CA"/>
        </w:rPr>
        <w:tab/>
        <w:t>Procureurs de l’appelante : Larivière Meunier, Montréal, Sainte</w:t>
      </w:r>
      <w:r w:rsidRPr="00501113">
        <w:rPr>
          <w:sz w:val="20"/>
          <w:lang w:val="fr-CA"/>
        </w:rPr>
        <w:noBreakHyphen/>
        <w:t>Foy; Khashayar Haghgouyan, Montréal.</w:t>
      </w:r>
    </w:p>
    <w:p w:rsidR="004C33AB" w:rsidRDefault="004C33AB" w:rsidP="004C33AB">
      <w:pPr>
        <w:pStyle w:val="SCCLawFirm"/>
        <w:spacing w:line="240" w:lineRule="auto"/>
        <w:rPr>
          <w:sz w:val="20"/>
          <w:lang w:val="fr-CA"/>
        </w:rPr>
      </w:pPr>
    </w:p>
    <w:p w:rsidR="004C33AB" w:rsidRPr="00501113" w:rsidRDefault="004C33AB" w:rsidP="004C33AB">
      <w:pPr>
        <w:pStyle w:val="SCCLawFirm"/>
        <w:spacing w:line="240" w:lineRule="auto"/>
        <w:rPr>
          <w:sz w:val="20"/>
          <w:lang w:val="fr-CA"/>
        </w:rPr>
      </w:pPr>
      <w:r w:rsidRPr="00501113">
        <w:rPr>
          <w:sz w:val="20"/>
          <w:lang w:val="fr-CA"/>
        </w:rPr>
        <w:tab/>
        <w:t>Procureurs des intimées Services Environnementaux AES inc. et Centre Technologique AES inc. : Norton Rose Fulbright Canada, Montréal.</w:t>
      </w:r>
    </w:p>
    <w:p w:rsidR="004C33AB" w:rsidRDefault="004C33AB" w:rsidP="004C33AB">
      <w:pPr>
        <w:pStyle w:val="SCCLawFirm"/>
        <w:spacing w:line="240" w:lineRule="auto"/>
        <w:rPr>
          <w:sz w:val="20"/>
          <w:lang w:val="fr-CA"/>
        </w:rPr>
      </w:pPr>
    </w:p>
    <w:p w:rsidR="004C33AB" w:rsidRPr="00501113" w:rsidRDefault="004C33AB" w:rsidP="004C33AB">
      <w:pPr>
        <w:pStyle w:val="SCCLawFirm"/>
        <w:spacing w:line="240" w:lineRule="auto"/>
        <w:rPr>
          <w:sz w:val="20"/>
          <w:lang w:val="fr-CA"/>
        </w:rPr>
      </w:pPr>
      <w:r w:rsidRPr="00501113">
        <w:rPr>
          <w:sz w:val="20"/>
          <w:lang w:val="fr-CA"/>
        </w:rPr>
        <w:tab/>
        <w:t>Procureurs des intimés Jean Riopel, Christiane Archambault et Entreprise J.P.F. Riopel inc. : Séguin Racine Avocats Ltée, Montréal.</w:t>
      </w:r>
    </w:p>
    <w:p w:rsidR="004C33AB" w:rsidRDefault="004C33AB" w:rsidP="004C33AB">
      <w:pPr>
        <w:pStyle w:val="SCCLawFirm"/>
        <w:spacing w:line="240" w:lineRule="auto"/>
        <w:rPr>
          <w:sz w:val="20"/>
          <w:lang w:val="fr-CA"/>
        </w:rPr>
      </w:pPr>
    </w:p>
    <w:p w:rsidR="004C33AB" w:rsidRDefault="004C33AB" w:rsidP="004C33AB">
      <w:pPr>
        <w:pStyle w:val="SCCLawFirm"/>
        <w:spacing w:line="240" w:lineRule="auto"/>
        <w:rPr>
          <w:sz w:val="20"/>
          <w:lang w:val="fr-CA"/>
        </w:rPr>
      </w:pPr>
      <w:r w:rsidRPr="00501113">
        <w:rPr>
          <w:sz w:val="20"/>
          <w:lang w:val="fr-CA"/>
        </w:rPr>
        <w:tab/>
        <w:t>Procureur de l’intervenant : Procureur général du Canada, Montréal.</w:t>
      </w:r>
    </w:p>
    <w:p w:rsidR="00DD0B49" w:rsidRPr="004C33AB" w:rsidRDefault="00DD0B49" w:rsidP="00DD0B49">
      <w:pPr>
        <w:rPr>
          <w:rFonts w:cs="Times New Roman"/>
          <w:sz w:val="20"/>
          <w:szCs w:val="20"/>
        </w:rPr>
      </w:pPr>
      <w:r w:rsidRPr="004C33AB">
        <w:rPr>
          <w:rFonts w:cs="Times New Roman"/>
          <w:sz w:val="20"/>
          <w:szCs w:val="20"/>
        </w:rPr>
        <w:t>________________________</w:t>
      </w:r>
    </w:p>
    <w:p w:rsidR="00DD0B49" w:rsidRPr="004C33AB" w:rsidRDefault="00DD0B49" w:rsidP="00DD0B49">
      <w:pPr>
        <w:rPr>
          <w:rFonts w:cs="Times New Roman"/>
          <w:sz w:val="20"/>
          <w:szCs w:val="20"/>
        </w:rPr>
      </w:pPr>
    </w:p>
    <w:p w:rsidR="004C33AB" w:rsidRPr="00221BDB" w:rsidRDefault="004C33AB" w:rsidP="004C33AB">
      <w:pPr>
        <w:jc w:val="both"/>
        <w:rPr>
          <w:sz w:val="20"/>
          <w:szCs w:val="20"/>
        </w:rPr>
      </w:pPr>
      <w:r w:rsidRPr="00221BDB">
        <w:rPr>
          <w:sz w:val="20"/>
          <w:szCs w:val="20"/>
        </w:rPr>
        <w:t>Present:  McLachlin C.J. and LeBel, Fish, Abella, Rothstein, Cromwell and Karakatsanis JJ.</w:t>
      </w:r>
    </w:p>
    <w:p w:rsidR="004C33AB" w:rsidRDefault="004C33AB" w:rsidP="004C33AB">
      <w:pPr>
        <w:pStyle w:val="SCCNormalDoubleSpacing"/>
        <w:spacing w:line="240" w:lineRule="auto"/>
        <w:rPr>
          <w:i/>
          <w:sz w:val="20"/>
        </w:rPr>
      </w:pPr>
    </w:p>
    <w:p w:rsidR="004C33AB" w:rsidRPr="00221BDB" w:rsidRDefault="004C33AB" w:rsidP="004C33AB">
      <w:pPr>
        <w:pStyle w:val="SCCNormalDoubleSpacing"/>
        <w:spacing w:line="240" w:lineRule="auto"/>
        <w:rPr>
          <w:i/>
          <w:sz w:val="20"/>
        </w:rPr>
      </w:pPr>
      <w:r w:rsidRPr="00221BDB">
        <w:rPr>
          <w:i/>
          <w:sz w:val="20"/>
        </w:rPr>
        <w:tab/>
        <w:t xml:space="preserve">Contracts — Interpretation — Intention of parties — Intention declared in documents relating to transactions not reflecting common intention of parties because of errors made by professional advisors — Transactions having unforeseen tax consequences — Whether it is open to courts to intervene to find that amendments made by parties to </w:t>
      </w:r>
      <w:r w:rsidRPr="00221BDB">
        <w:rPr>
          <w:i/>
          <w:sz w:val="20"/>
        </w:rPr>
        <w:lastRenderedPageBreak/>
        <w:t>documents associated with transactions were legitimate and necessary — Civil Code of Québec, S.Q. 1991, c. 64, art. 1425.</w:t>
      </w:r>
    </w:p>
    <w:p w:rsidR="004C33AB" w:rsidRDefault="004C33AB" w:rsidP="004C33AB">
      <w:pPr>
        <w:pStyle w:val="SCCNormalDoubleSpacing"/>
        <w:spacing w:line="240" w:lineRule="auto"/>
        <w:rPr>
          <w:sz w:val="20"/>
        </w:rPr>
      </w:pPr>
    </w:p>
    <w:p w:rsidR="004C33AB" w:rsidRPr="00221BDB" w:rsidRDefault="004C33AB" w:rsidP="004C33AB">
      <w:pPr>
        <w:pStyle w:val="SCCNormalDoubleSpacing"/>
        <w:spacing w:line="240" w:lineRule="auto"/>
        <w:rPr>
          <w:sz w:val="20"/>
        </w:rPr>
      </w:pPr>
      <w:r w:rsidRPr="00221BDB">
        <w:rPr>
          <w:sz w:val="20"/>
        </w:rPr>
        <w:tab/>
        <w:t>S</w:t>
      </w:r>
      <w:r w:rsidRPr="00221BDB">
        <w:rPr>
          <w:sz w:val="20"/>
          <w:lang w:bidi="en-US"/>
        </w:rPr>
        <w:t>hareholders of corporations engaged in transactions to reorganize the corporations without tax consequences.  As a result of errors made by the shareholders’ tax advisors, the tax authorities issued notices of assessment in which they claimed tax amounts these taxpayers had not expected to pay</w:t>
      </w:r>
      <w:r w:rsidRPr="00221BDB">
        <w:rPr>
          <w:sz w:val="20"/>
        </w:rPr>
        <w:t xml:space="preserve">.  In the </w:t>
      </w:r>
      <w:r w:rsidRPr="00221BDB">
        <w:rPr>
          <w:i/>
          <w:sz w:val="20"/>
        </w:rPr>
        <w:t>AES</w:t>
      </w:r>
      <w:r w:rsidRPr="00221BDB">
        <w:rPr>
          <w:sz w:val="20"/>
        </w:rPr>
        <w:t xml:space="preserve"> case, the parties had agreed on share transfers involving a rollover transaction that would be conducted in accordance with the procedures provided for in the relevant tax legislation and was based on a calculation of the adjusted cost base (“ACB”) of the transferred shares.  One aspect of the consideration paid for the transferred shares was the issuance and delivery of a note for an amount equal to that of their ACB.  The agreement, the intended effect of which was to defer the tax payable, was vitiated by an error made in calculating the ACB of the shares.  Rather than seeking to annul the contract, </w:t>
      </w:r>
      <w:r w:rsidRPr="00221BDB">
        <w:rPr>
          <w:sz w:val="20"/>
          <w:lang w:bidi="en-US"/>
        </w:rPr>
        <w:t>the parties agreed to correct the error by amending the documents that recorded and implemented their agreement, including the necessary tax forms</w:t>
      </w:r>
      <w:r w:rsidRPr="00221BDB">
        <w:rPr>
          <w:sz w:val="20"/>
        </w:rPr>
        <w:t xml:space="preserve">, after which they took their case to the Superior Court by means of a motion for rectification.  In the </w:t>
      </w:r>
      <w:r w:rsidRPr="00221BDB">
        <w:rPr>
          <w:i/>
          <w:sz w:val="20"/>
        </w:rPr>
        <w:t>Riopel</w:t>
      </w:r>
      <w:r w:rsidRPr="00221BDB">
        <w:rPr>
          <w:sz w:val="20"/>
        </w:rPr>
        <w:t xml:space="preserve"> case, the parties had reached a verbal agreement to carry out a detailed tax plan, the essential terms of which had been recommended to them by their advisors.  The agreement provided for a series of operations and acts to be completed, with precise timelines, </w:t>
      </w:r>
      <w:r w:rsidRPr="00221BDB">
        <w:rPr>
          <w:sz w:val="20"/>
          <w:lang w:bidi="en-US"/>
        </w:rPr>
        <w:t>to carry out share transfers and a corporate amalgamation in such a way as to defer the tax liability associated with those transactions by following procedures provided for in tax legislation</w:t>
      </w:r>
      <w:r w:rsidRPr="00221BDB">
        <w:rPr>
          <w:sz w:val="20"/>
        </w:rPr>
        <w:t xml:space="preserve">.  </w:t>
      </w:r>
      <w:r w:rsidRPr="00221BDB">
        <w:rPr>
          <w:sz w:val="20"/>
          <w:lang w:bidi="en-US"/>
        </w:rPr>
        <w:t>The parties’ advisors reversed the order of the corporate amalgamation and the share transfer.  Because that error prevented the deferral of tax, they tried to correct it by amending the original acts and having their clients sign the amended acts without explaining the nature of the amendments to them</w:t>
      </w:r>
      <w:r w:rsidRPr="00221BDB">
        <w:rPr>
          <w:sz w:val="20"/>
        </w:rPr>
        <w:t xml:space="preserve">.  </w:t>
      </w:r>
      <w:r w:rsidRPr="00221BDB">
        <w:rPr>
          <w:sz w:val="20"/>
          <w:lang w:bidi="en-US"/>
        </w:rPr>
        <w:t>After the tax authorities issued the notices of assessment and the errors made in drafting the writings associated with the transaction were discovered, the parties agreed to give effect to their original agreement by amending the defective acts</w:t>
      </w:r>
      <w:r w:rsidRPr="00221BDB">
        <w:rPr>
          <w:sz w:val="20"/>
        </w:rPr>
        <w:t>.</w:t>
      </w:r>
    </w:p>
    <w:p w:rsidR="004C33AB" w:rsidRDefault="004C33AB" w:rsidP="004C33AB">
      <w:pPr>
        <w:pStyle w:val="SCCNormalDoubleSpacing"/>
        <w:spacing w:line="240" w:lineRule="auto"/>
        <w:rPr>
          <w:sz w:val="20"/>
        </w:rPr>
      </w:pPr>
    </w:p>
    <w:p w:rsidR="004C33AB" w:rsidRPr="00221BDB" w:rsidRDefault="004C33AB" w:rsidP="004C33AB">
      <w:pPr>
        <w:pStyle w:val="SCCNormalDoubleSpacing"/>
        <w:spacing w:line="240" w:lineRule="auto"/>
        <w:rPr>
          <w:sz w:val="20"/>
        </w:rPr>
      </w:pPr>
      <w:r w:rsidRPr="00221BDB">
        <w:rPr>
          <w:sz w:val="20"/>
        </w:rPr>
        <w:tab/>
        <w:t xml:space="preserve">The Superior Court granted the application for rectification in </w:t>
      </w:r>
      <w:r w:rsidRPr="00221BDB">
        <w:rPr>
          <w:i/>
          <w:sz w:val="20"/>
        </w:rPr>
        <w:t>AES</w:t>
      </w:r>
      <w:r w:rsidRPr="00221BDB">
        <w:rPr>
          <w:sz w:val="20"/>
        </w:rPr>
        <w:t xml:space="preserve"> but dismissed the one in </w:t>
      </w:r>
      <w:r w:rsidRPr="00221BDB">
        <w:rPr>
          <w:i/>
          <w:sz w:val="20"/>
        </w:rPr>
        <w:t>Riopel</w:t>
      </w:r>
      <w:r w:rsidRPr="00221BDB">
        <w:rPr>
          <w:sz w:val="20"/>
        </w:rPr>
        <w:t xml:space="preserve">.  The Quebec Court of Appeal granted both applications for rectification, holding that art. 1425 </w:t>
      </w:r>
      <w:r w:rsidRPr="00221BDB">
        <w:rPr>
          <w:i/>
          <w:sz w:val="20"/>
        </w:rPr>
        <w:t>C.C.Q.</w:t>
      </w:r>
      <w:r w:rsidRPr="00221BDB">
        <w:rPr>
          <w:sz w:val="20"/>
        </w:rPr>
        <w:t xml:space="preserve"> authorized the correction of the discrepancies between the common intentions of the parties and the intentions declared in the acts, because the applications were legitimate and neither correction affected the rights of third parties.</w:t>
      </w:r>
    </w:p>
    <w:p w:rsidR="004C33AB" w:rsidRDefault="004C33AB" w:rsidP="004C33AB">
      <w:pPr>
        <w:pStyle w:val="SCCNormalDoubleSpacing"/>
        <w:spacing w:line="240" w:lineRule="auto"/>
        <w:rPr>
          <w:sz w:val="20"/>
        </w:rPr>
      </w:pPr>
    </w:p>
    <w:p w:rsidR="004C33AB" w:rsidRPr="00221BDB" w:rsidRDefault="004C33AB" w:rsidP="004C33AB">
      <w:pPr>
        <w:pStyle w:val="SCCNormalDoubleSpacing"/>
        <w:spacing w:line="240" w:lineRule="auto"/>
        <w:rPr>
          <w:sz w:val="20"/>
        </w:rPr>
      </w:pPr>
      <w:r w:rsidRPr="00221BDB">
        <w:rPr>
          <w:sz w:val="20"/>
        </w:rPr>
        <w:tab/>
      </w:r>
      <w:r w:rsidRPr="00221BDB">
        <w:rPr>
          <w:i/>
          <w:sz w:val="20"/>
        </w:rPr>
        <w:t>Held</w:t>
      </w:r>
      <w:r w:rsidRPr="00221BDB">
        <w:rPr>
          <w:rStyle w:val="QuoteChar"/>
          <w:sz w:val="20"/>
        </w:rPr>
        <w:t>:</w:t>
      </w:r>
      <w:r w:rsidRPr="00221BDB">
        <w:rPr>
          <w:sz w:val="20"/>
        </w:rPr>
        <w:t xml:space="preserve">  The appeals should be dismissed.</w:t>
      </w:r>
    </w:p>
    <w:p w:rsidR="004C33AB" w:rsidRDefault="004C33AB" w:rsidP="004C33AB">
      <w:pPr>
        <w:pStyle w:val="SCCNormalDoubleSpacing"/>
        <w:spacing w:line="240" w:lineRule="auto"/>
        <w:rPr>
          <w:sz w:val="20"/>
        </w:rPr>
      </w:pPr>
    </w:p>
    <w:p w:rsidR="004C33AB" w:rsidRPr="00221BDB" w:rsidRDefault="004C33AB" w:rsidP="004C33AB">
      <w:pPr>
        <w:pStyle w:val="SCCNormalDoubleSpacing"/>
        <w:spacing w:line="240" w:lineRule="auto"/>
        <w:rPr>
          <w:sz w:val="20"/>
        </w:rPr>
      </w:pPr>
      <w:r w:rsidRPr="00221BDB">
        <w:rPr>
          <w:sz w:val="20"/>
        </w:rPr>
        <w:tab/>
      </w:r>
      <w:r w:rsidRPr="00221BDB">
        <w:rPr>
          <w:sz w:val="20"/>
          <w:lang w:bidi="en-US"/>
        </w:rPr>
        <w:t>The interplay of the civil law and tax law limits the scope of intervention of the courts</w:t>
      </w:r>
      <w:r w:rsidRPr="00221BDB">
        <w:rPr>
          <w:sz w:val="20"/>
        </w:rPr>
        <w:t xml:space="preserve">.  In principle, the nature and the legal consequences of transactions to which tax law applies are determined by reference to the common law and the civil law, although </w:t>
      </w:r>
      <w:r w:rsidRPr="00221BDB">
        <w:rPr>
          <w:sz w:val="20"/>
          <w:lang w:bidi="en-US"/>
        </w:rPr>
        <w:t>a court dealing with a challenge relating to civil aspects of a transaction with tax implications does not have the authority to rule on notices of assessment that were issued or notices of objection that were filed in respect of that transaction.  The validity and effects of the notices in question must instead be determined, if necessary, by the courts that have been assigned jurisdiction over such matters, and those courts must also consider the consequences of judgments rendered by the civil courts with respect to the transactions that led to the issuance of the notices of assessment</w:t>
      </w:r>
      <w:r w:rsidRPr="00221BDB">
        <w:rPr>
          <w:sz w:val="20"/>
        </w:rPr>
        <w:t>.</w:t>
      </w:r>
    </w:p>
    <w:p w:rsidR="004C33AB" w:rsidRDefault="004C33AB" w:rsidP="004C33AB">
      <w:pPr>
        <w:pStyle w:val="SCCNormalDoubleSpacing"/>
        <w:spacing w:line="240" w:lineRule="auto"/>
        <w:rPr>
          <w:sz w:val="20"/>
        </w:rPr>
      </w:pPr>
    </w:p>
    <w:p w:rsidR="004C33AB" w:rsidRPr="00221BDB" w:rsidRDefault="004C33AB" w:rsidP="004C33AB">
      <w:pPr>
        <w:pStyle w:val="SCCNormalDoubleSpacing"/>
        <w:spacing w:line="240" w:lineRule="auto"/>
        <w:rPr>
          <w:sz w:val="20"/>
        </w:rPr>
      </w:pPr>
      <w:r w:rsidRPr="00221BDB">
        <w:rPr>
          <w:sz w:val="20"/>
        </w:rPr>
        <w:tab/>
        <w:t xml:space="preserve">In the civil law, the law of contracts is premised on a principle of consensualism, and a fundamental distinction exists between the exchange of consents and the written expression of that exchange. </w:t>
      </w:r>
      <w:r w:rsidRPr="00221BDB">
        <w:rPr>
          <w:sz w:val="20"/>
          <w:lang w:bidi="en-US"/>
        </w:rPr>
        <w:t>The parties are free as between themselves, although this is subject to any rights acquired by third parties, to amend or annul the contract and the documents recording it.  There is nothing to prevent them from acknowledging the existence of a common error and agreeing to correct it by mutual consent</w:t>
      </w:r>
      <w:r w:rsidRPr="00221BDB">
        <w:rPr>
          <w:sz w:val="20"/>
        </w:rPr>
        <w:t xml:space="preserve">.  </w:t>
      </w:r>
      <w:r w:rsidRPr="00221BDB">
        <w:rPr>
          <w:sz w:val="20"/>
          <w:lang w:bidi="en-US"/>
        </w:rPr>
        <w:t>The determination by the courts of the common intention, or will, of the parties represents a true exercise of interpretation</w:t>
      </w:r>
      <w:r w:rsidRPr="00221BDB">
        <w:rPr>
          <w:sz w:val="20"/>
        </w:rPr>
        <w:t xml:space="preserve">, and it was open to the courts to intervene for that purpose under art. 1425 </w:t>
      </w:r>
      <w:r w:rsidRPr="00221BDB">
        <w:rPr>
          <w:i/>
          <w:sz w:val="20"/>
        </w:rPr>
        <w:t>C.C.Q.</w:t>
      </w:r>
      <w:r w:rsidRPr="00221BDB">
        <w:rPr>
          <w:sz w:val="20"/>
        </w:rPr>
        <w:t xml:space="preserve">  If a private writing </w:t>
      </w:r>
      <w:r w:rsidRPr="00221BDB">
        <w:rPr>
          <w:sz w:val="20"/>
          <w:lang w:bidi="en-US"/>
        </w:rPr>
        <w:t>contains an error, the court must, once the error is proved in accordance with the rules of evidence in civil matters, note the error and ensure that it is remedied.  In the civil law, the tax authorities do not have an acquired right to benefit from an error made by the parties to a contract after the parties have corrected the error by mutual consent</w:t>
      </w:r>
      <w:r w:rsidRPr="00221BDB">
        <w:rPr>
          <w:sz w:val="20"/>
        </w:rPr>
        <w:t xml:space="preserve">. </w:t>
      </w:r>
    </w:p>
    <w:p w:rsidR="004C33AB" w:rsidRDefault="004C33AB" w:rsidP="004C33AB">
      <w:pPr>
        <w:pStyle w:val="SCCNormalDoubleSpacing"/>
        <w:spacing w:line="240" w:lineRule="auto"/>
        <w:rPr>
          <w:sz w:val="20"/>
        </w:rPr>
      </w:pPr>
    </w:p>
    <w:p w:rsidR="004C33AB" w:rsidRDefault="004C33AB" w:rsidP="004C33AB">
      <w:pPr>
        <w:pStyle w:val="SCCNormalDoubleSpacing"/>
        <w:spacing w:line="240" w:lineRule="auto"/>
        <w:rPr>
          <w:sz w:val="20"/>
        </w:rPr>
      </w:pPr>
      <w:r w:rsidRPr="00221BDB">
        <w:rPr>
          <w:sz w:val="20"/>
        </w:rPr>
        <w:tab/>
        <w:t xml:space="preserve">In these cases, </w:t>
      </w:r>
      <w:r w:rsidRPr="00221BDB">
        <w:rPr>
          <w:sz w:val="20"/>
          <w:lang w:bidi="en-US"/>
        </w:rPr>
        <w:t>the common intention of the parties was expressed erroneously in all the writings prepared to carry out the tax plans on which they had agreed</w:t>
      </w:r>
      <w:r w:rsidRPr="00221BDB">
        <w:rPr>
          <w:sz w:val="20"/>
        </w:rPr>
        <w:t xml:space="preserve">.  </w:t>
      </w:r>
      <w:r w:rsidRPr="00221BDB">
        <w:rPr>
          <w:sz w:val="20"/>
          <w:lang w:bidi="en-US"/>
        </w:rPr>
        <w:t xml:space="preserve">It was open to the courts to intervene to find that the amendments made by the parties to the acts at issue were legitimate and necessary.  Their intervention was justified by the substantive law and was not precluded by Quebec’s rules of civil procedure.  The issue was argued in an adversarial process.  The tax authorities were impleaded, as they had to be, and a motion for rectification was the normal way to </w:t>
      </w:r>
      <w:r w:rsidRPr="00221BDB">
        <w:rPr>
          <w:sz w:val="20"/>
          <w:lang w:bidi="en-US"/>
        </w:rPr>
        <w:lastRenderedPageBreak/>
        <w:t>bring the issue before the Superior Court and ask it to intervene to consider conclusions that were, first and foremost, declaratory</w:t>
      </w:r>
      <w:r w:rsidRPr="00221BDB">
        <w:rPr>
          <w:sz w:val="20"/>
        </w:rPr>
        <w:t xml:space="preserve">. </w:t>
      </w:r>
    </w:p>
    <w:p w:rsidR="004C33AB" w:rsidRDefault="004C33AB" w:rsidP="004C33AB">
      <w:pPr>
        <w:pStyle w:val="SCCNormalDoubleSpacing"/>
        <w:spacing w:line="240" w:lineRule="auto"/>
        <w:rPr>
          <w:sz w:val="20"/>
        </w:rPr>
      </w:pPr>
    </w:p>
    <w:p w:rsidR="004C33AB" w:rsidRPr="00221BDB" w:rsidRDefault="004C33AB" w:rsidP="004C33AB">
      <w:pPr>
        <w:pStyle w:val="SCCNormalDoubleSpacing"/>
        <w:spacing w:line="240" w:lineRule="auto"/>
        <w:rPr>
          <w:sz w:val="20"/>
        </w:rPr>
      </w:pPr>
      <w:r w:rsidRPr="00221BDB">
        <w:rPr>
          <w:sz w:val="20"/>
          <w:lang w:val="en-US"/>
        </w:rPr>
        <w:tab/>
      </w:r>
      <w:r w:rsidRPr="00221BDB">
        <w:rPr>
          <w:sz w:val="20"/>
        </w:rPr>
        <w:t xml:space="preserve">APPEAL from a judgment of the Quebec Court of Appeal (Chamberland, Morissette and Kasirer JJ.A.), 2011 QCCA 394, 2011 D.T.C. 5045, [2011] Q.J. No. 1911 (QL), 2011 CarswellQue 11969, </w:t>
      </w:r>
      <w:r w:rsidRPr="00221BDB">
        <w:rPr>
          <w:sz w:val="20"/>
          <w:lang w:val="en-US"/>
        </w:rPr>
        <w:t>SOQUIJ AZ</w:t>
      </w:r>
      <w:r w:rsidRPr="00221BDB">
        <w:rPr>
          <w:sz w:val="20"/>
          <w:lang w:val="en-US"/>
        </w:rPr>
        <w:noBreakHyphen/>
        <w:t xml:space="preserve">50727855, affirming </w:t>
      </w:r>
      <w:r w:rsidRPr="00221BDB">
        <w:rPr>
          <w:sz w:val="20"/>
        </w:rPr>
        <w:t>a decision of Borenstein J., 2009 QCCS 790 (CanLII), [2009] J.Q. n</w:t>
      </w:r>
      <w:r w:rsidRPr="00221BDB">
        <w:rPr>
          <w:sz w:val="20"/>
          <w:vertAlign w:val="superscript"/>
        </w:rPr>
        <w:t>o</w:t>
      </w:r>
      <w:r w:rsidRPr="00221BDB">
        <w:rPr>
          <w:sz w:val="20"/>
        </w:rPr>
        <w:t xml:space="preserve"> 1554 (QL), 2009 CarswellQue 1643</w:t>
      </w:r>
      <w:r w:rsidRPr="00221BDB">
        <w:rPr>
          <w:sz w:val="20"/>
          <w:lang w:val="en-US"/>
        </w:rPr>
        <w:t>, SOQUIJ AZ</w:t>
      </w:r>
      <w:r w:rsidRPr="00221BDB">
        <w:rPr>
          <w:sz w:val="20"/>
          <w:lang w:val="en-US"/>
        </w:rPr>
        <w:noBreakHyphen/>
        <w:t>50541289</w:t>
      </w:r>
      <w:r w:rsidRPr="00221BDB">
        <w:rPr>
          <w:sz w:val="20"/>
        </w:rPr>
        <w:t>.  Appeal dismissed.</w:t>
      </w:r>
    </w:p>
    <w:p w:rsidR="004C33AB" w:rsidRDefault="004C33AB" w:rsidP="004C33AB">
      <w:pPr>
        <w:pStyle w:val="SCCNormalDoubleSpacing"/>
        <w:spacing w:line="240" w:lineRule="auto"/>
        <w:rPr>
          <w:sz w:val="20"/>
          <w:lang w:val="en-US"/>
        </w:rPr>
      </w:pPr>
    </w:p>
    <w:p w:rsidR="004C33AB" w:rsidRPr="00221BDB" w:rsidRDefault="004C33AB" w:rsidP="004C33AB">
      <w:pPr>
        <w:pStyle w:val="SCCNormalDoubleSpacing"/>
        <w:spacing w:line="240" w:lineRule="auto"/>
        <w:rPr>
          <w:sz w:val="20"/>
        </w:rPr>
      </w:pPr>
      <w:r w:rsidRPr="00221BDB">
        <w:rPr>
          <w:sz w:val="20"/>
          <w:lang w:val="en-US"/>
        </w:rPr>
        <w:tab/>
      </w:r>
      <w:r w:rsidRPr="00221BDB">
        <w:rPr>
          <w:sz w:val="20"/>
        </w:rPr>
        <w:t>APPEAL from a judgment of the Quebec Court of Appeal (Bich, Kasirer and Wagner JJ.A.), 2011 QCCA 954 (CanLII), [2011] J.Q. n</w:t>
      </w:r>
      <w:r w:rsidRPr="00221BDB">
        <w:rPr>
          <w:sz w:val="20"/>
          <w:vertAlign w:val="superscript"/>
        </w:rPr>
        <w:t>o</w:t>
      </w:r>
      <w:r w:rsidRPr="00221BDB">
        <w:rPr>
          <w:sz w:val="20"/>
        </w:rPr>
        <w:t> 5720 (QL), 2011 CarswellQue 5360,</w:t>
      </w:r>
      <w:r w:rsidRPr="00221BDB">
        <w:rPr>
          <w:sz w:val="20"/>
          <w:lang w:val="en-US"/>
        </w:rPr>
        <w:t xml:space="preserve"> SOQUIJ AZ</w:t>
      </w:r>
      <w:r w:rsidRPr="00221BDB">
        <w:rPr>
          <w:sz w:val="20"/>
          <w:lang w:val="en-US"/>
        </w:rPr>
        <w:noBreakHyphen/>
        <w:t>50755104,</w:t>
      </w:r>
      <w:r w:rsidRPr="00221BDB">
        <w:rPr>
          <w:sz w:val="20"/>
        </w:rPr>
        <w:t xml:space="preserve"> setting aside a decision of Nantel J., 2010 QCCS 1576 (CanLII), [2010] J.Q. n</w:t>
      </w:r>
      <w:r w:rsidRPr="00221BDB">
        <w:rPr>
          <w:sz w:val="20"/>
          <w:vertAlign w:val="superscript"/>
        </w:rPr>
        <w:t>o</w:t>
      </w:r>
      <w:r w:rsidRPr="00221BDB">
        <w:rPr>
          <w:sz w:val="20"/>
        </w:rPr>
        <w:t> 3418 (QL), 2010 CarswellQue 3545</w:t>
      </w:r>
      <w:r w:rsidRPr="00221BDB">
        <w:rPr>
          <w:sz w:val="20"/>
          <w:lang w:val="en-US"/>
        </w:rPr>
        <w:t>, SOQUIJ AZ</w:t>
      </w:r>
      <w:r w:rsidRPr="00221BDB">
        <w:rPr>
          <w:sz w:val="20"/>
          <w:lang w:val="en-US"/>
        </w:rPr>
        <w:noBreakHyphen/>
        <w:t>50628627</w:t>
      </w:r>
      <w:r w:rsidRPr="00221BDB">
        <w:rPr>
          <w:sz w:val="20"/>
        </w:rPr>
        <w:t>.  Appeal dismissed.</w:t>
      </w:r>
    </w:p>
    <w:p w:rsidR="004C33AB" w:rsidRDefault="004C33AB" w:rsidP="004C33AB">
      <w:pPr>
        <w:pStyle w:val="SCCNormalDoubleSpacing"/>
        <w:spacing w:line="240" w:lineRule="auto"/>
        <w:rPr>
          <w:rStyle w:val="SCCCounselNameChar"/>
          <w:sz w:val="20"/>
          <w:lang w:val="en-US"/>
        </w:rPr>
      </w:pPr>
    </w:p>
    <w:p w:rsidR="004C33AB" w:rsidRPr="00221BDB" w:rsidRDefault="004C33AB" w:rsidP="004C33AB">
      <w:pPr>
        <w:pStyle w:val="SCCNormalDoubleSpacing"/>
        <w:spacing w:line="240" w:lineRule="auto"/>
        <w:rPr>
          <w:sz w:val="20"/>
        </w:rPr>
      </w:pPr>
      <w:r w:rsidRPr="00221BDB">
        <w:rPr>
          <w:rStyle w:val="SCCCounselNameChar"/>
          <w:sz w:val="20"/>
          <w:lang w:val="en-US"/>
        </w:rPr>
        <w:tab/>
      </w:r>
      <w:r w:rsidRPr="00221BDB">
        <w:rPr>
          <w:rStyle w:val="SCCCounselNameChar"/>
          <w:sz w:val="20"/>
        </w:rPr>
        <w:t>Pierre Zemaitis, Christian Boutin</w:t>
      </w:r>
      <w:r w:rsidRPr="004C33AB">
        <w:rPr>
          <w:rStyle w:val="SCCCounselSeparatorChar"/>
          <w:sz w:val="20"/>
          <w:lang w:val="en-CA"/>
        </w:rPr>
        <w:t xml:space="preserve"> and </w:t>
      </w:r>
      <w:r w:rsidRPr="00221BDB">
        <w:rPr>
          <w:rStyle w:val="SCCCounselNameChar"/>
          <w:sz w:val="20"/>
        </w:rPr>
        <w:t>Khashayar Haghgouyan</w:t>
      </w:r>
      <w:r w:rsidRPr="00221BDB">
        <w:rPr>
          <w:rStyle w:val="SCCCounselPartyRoleChar"/>
          <w:sz w:val="20"/>
        </w:rPr>
        <w:t>, for the appellant.</w:t>
      </w:r>
    </w:p>
    <w:p w:rsidR="004C33AB" w:rsidRDefault="004C33AB" w:rsidP="004C33AB">
      <w:pPr>
        <w:pStyle w:val="SCCNormalDoubleSpacing"/>
        <w:spacing w:line="240" w:lineRule="auto"/>
        <w:rPr>
          <w:rStyle w:val="SCCCounselNameChar"/>
          <w:sz w:val="20"/>
        </w:rPr>
      </w:pPr>
    </w:p>
    <w:p w:rsidR="004C33AB" w:rsidRPr="00221BDB" w:rsidRDefault="004C33AB" w:rsidP="004C33AB">
      <w:pPr>
        <w:pStyle w:val="SCCNormalDoubleSpacing"/>
        <w:spacing w:line="240" w:lineRule="auto"/>
        <w:rPr>
          <w:sz w:val="20"/>
          <w:lang w:val="fr-CA"/>
        </w:rPr>
      </w:pPr>
      <w:r w:rsidRPr="00221BDB">
        <w:rPr>
          <w:rStyle w:val="SCCCounselNameChar"/>
          <w:sz w:val="20"/>
        </w:rPr>
        <w:tab/>
      </w:r>
      <w:r w:rsidRPr="00221BDB">
        <w:rPr>
          <w:rStyle w:val="SCCCounselNameChar"/>
          <w:sz w:val="20"/>
          <w:lang w:val="fr-CA"/>
        </w:rPr>
        <w:t>Dominic C. Belley</w:t>
      </w:r>
      <w:r w:rsidRPr="00221BDB">
        <w:rPr>
          <w:rStyle w:val="SCCCounselPartyRoleChar"/>
          <w:sz w:val="20"/>
          <w:lang w:val="fr-CA"/>
        </w:rPr>
        <w:t xml:space="preserve">, for the respondents </w:t>
      </w:r>
      <w:r w:rsidRPr="00221BDB">
        <w:rPr>
          <w:sz w:val="20"/>
          <w:lang w:val="fr-CA"/>
        </w:rPr>
        <w:t>Services Environnementaux AES inc. and Centre Technologique AES inc.</w:t>
      </w:r>
    </w:p>
    <w:p w:rsidR="004C33AB" w:rsidRDefault="004C33AB" w:rsidP="004C33AB">
      <w:pPr>
        <w:pStyle w:val="SCCNormalDoubleSpacing"/>
        <w:spacing w:line="240" w:lineRule="auto"/>
        <w:rPr>
          <w:rStyle w:val="SCCCounselNameChar"/>
          <w:sz w:val="20"/>
          <w:lang w:val="fr-CA"/>
        </w:rPr>
      </w:pPr>
    </w:p>
    <w:p w:rsidR="004C33AB" w:rsidRPr="00221BDB" w:rsidRDefault="004C33AB" w:rsidP="004C33AB">
      <w:pPr>
        <w:pStyle w:val="SCCNormalDoubleSpacing"/>
        <w:spacing w:line="240" w:lineRule="auto"/>
        <w:rPr>
          <w:sz w:val="20"/>
          <w:lang w:val="fr-CA"/>
        </w:rPr>
      </w:pPr>
      <w:r w:rsidRPr="00221BDB">
        <w:rPr>
          <w:rStyle w:val="SCCCounselNameChar"/>
          <w:sz w:val="20"/>
          <w:lang w:val="fr-CA"/>
        </w:rPr>
        <w:tab/>
        <w:t>Bruno Racine and Marc</w:t>
      </w:r>
      <w:r w:rsidRPr="00221BDB">
        <w:rPr>
          <w:rStyle w:val="SCCCounselNameChar"/>
          <w:sz w:val="20"/>
          <w:lang w:val="fr-CA"/>
        </w:rPr>
        <w:noBreakHyphen/>
        <w:t>Antoine St</w:t>
      </w:r>
      <w:r w:rsidRPr="00221BDB">
        <w:rPr>
          <w:rStyle w:val="SCCCounselNameChar"/>
          <w:sz w:val="20"/>
          <w:lang w:val="fr-CA"/>
        </w:rPr>
        <w:noBreakHyphen/>
        <w:t>Pierre</w:t>
      </w:r>
      <w:r w:rsidRPr="00221BDB">
        <w:rPr>
          <w:rStyle w:val="SCCCounselPartyRoleChar"/>
          <w:sz w:val="20"/>
          <w:lang w:val="fr-CA"/>
        </w:rPr>
        <w:t xml:space="preserve">, for the respondents </w:t>
      </w:r>
      <w:r w:rsidRPr="00221BDB">
        <w:rPr>
          <w:sz w:val="20"/>
          <w:lang w:val="fr-CA"/>
        </w:rPr>
        <w:t>Jean Riopel, Christiane Archambault and Entreprise J.P.F. Riopel inc.</w:t>
      </w:r>
    </w:p>
    <w:p w:rsidR="004C33AB" w:rsidRDefault="004C33AB" w:rsidP="004C33AB">
      <w:pPr>
        <w:pStyle w:val="SCCNormalDoubleSpacing"/>
        <w:spacing w:line="240" w:lineRule="auto"/>
        <w:rPr>
          <w:rStyle w:val="SCCCounselNameChar"/>
          <w:sz w:val="20"/>
          <w:lang w:val="fr-CA"/>
        </w:rPr>
      </w:pPr>
    </w:p>
    <w:p w:rsidR="004C33AB" w:rsidRPr="00221BDB" w:rsidRDefault="004C33AB" w:rsidP="004C33AB">
      <w:pPr>
        <w:pStyle w:val="SCCNormalDoubleSpacing"/>
        <w:spacing w:line="240" w:lineRule="auto"/>
        <w:rPr>
          <w:sz w:val="20"/>
        </w:rPr>
      </w:pPr>
      <w:r w:rsidRPr="00221BDB">
        <w:rPr>
          <w:rStyle w:val="SCCCounselNameChar"/>
          <w:sz w:val="20"/>
          <w:lang w:val="fr-CA"/>
        </w:rPr>
        <w:tab/>
      </w:r>
      <w:r w:rsidRPr="00221BDB">
        <w:rPr>
          <w:rStyle w:val="SCCCounselNameChar"/>
          <w:sz w:val="20"/>
        </w:rPr>
        <w:t>Pierre Cossette</w:t>
      </w:r>
      <w:r w:rsidRPr="004C33AB">
        <w:rPr>
          <w:rStyle w:val="SCCCounselSeparatorChar"/>
          <w:sz w:val="20"/>
          <w:lang w:val="en-CA"/>
        </w:rPr>
        <w:t xml:space="preserve"> and </w:t>
      </w:r>
      <w:r w:rsidRPr="00221BDB">
        <w:rPr>
          <w:rStyle w:val="SCCCounselNameChar"/>
          <w:sz w:val="20"/>
        </w:rPr>
        <w:t>Susan Shaughnessy</w:t>
      </w:r>
      <w:r w:rsidRPr="00221BDB">
        <w:rPr>
          <w:rStyle w:val="SCCCounselPartyRoleChar"/>
          <w:sz w:val="20"/>
        </w:rPr>
        <w:t>, for the intervener.</w:t>
      </w:r>
    </w:p>
    <w:p w:rsidR="004C33AB" w:rsidRDefault="004C33AB" w:rsidP="004C33AB">
      <w:pPr>
        <w:pStyle w:val="SCCLawFirm"/>
        <w:spacing w:line="240" w:lineRule="auto"/>
        <w:rPr>
          <w:sz w:val="20"/>
        </w:rPr>
      </w:pPr>
    </w:p>
    <w:p w:rsidR="004C33AB" w:rsidRPr="00221BDB" w:rsidRDefault="004C33AB" w:rsidP="004C33AB">
      <w:pPr>
        <w:pStyle w:val="SCCLawFirm"/>
        <w:spacing w:line="240" w:lineRule="auto"/>
        <w:rPr>
          <w:sz w:val="20"/>
          <w:lang w:val="fr-CA"/>
        </w:rPr>
      </w:pPr>
      <w:r w:rsidRPr="00221BDB">
        <w:rPr>
          <w:sz w:val="20"/>
        </w:rPr>
        <w:tab/>
      </w:r>
      <w:r w:rsidRPr="00221BDB">
        <w:rPr>
          <w:sz w:val="20"/>
          <w:lang w:val="fr-CA"/>
        </w:rPr>
        <w:t>Solicitors for the appellant:  Larivière Meunier, Montréal, Sainte</w:t>
      </w:r>
      <w:r w:rsidRPr="00221BDB">
        <w:rPr>
          <w:sz w:val="20"/>
          <w:lang w:val="fr-CA"/>
        </w:rPr>
        <w:noBreakHyphen/>
        <w:t xml:space="preserve">Foy; </w:t>
      </w:r>
      <w:r w:rsidRPr="00221BDB">
        <w:rPr>
          <w:rStyle w:val="SCCCounselNameChar"/>
          <w:sz w:val="20"/>
          <w:lang w:val="fr-CA"/>
        </w:rPr>
        <w:t>Khashayar Haghgouyan, Montréal</w:t>
      </w:r>
      <w:r w:rsidRPr="00221BDB">
        <w:rPr>
          <w:sz w:val="20"/>
          <w:lang w:val="fr-CA"/>
        </w:rPr>
        <w:t>.</w:t>
      </w:r>
    </w:p>
    <w:p w:rsidR="004C33AB" w:rsidRDefault="004C33AB" w:rsidP="004C33AB">
      <w:pPr>
        <w:pStyle w:val="SCCLawFirm"/>
        <w:spacing w:line="240" w:lineRule="auto"/>
        <w:rPr>
          <w:sz w:val="20"/>
          <w:lang w:val="fr-CA"/>
        </w:rPr>
      </w:pPr>
    </w:p>
    <w:p w:rsidR="004C33AB" w:rsidRPr="00221BDB" w:rsidRDefault="004C33AB" w:rsidP="004C33AB">
      <w:pPr>
        <w:pStyle w:val="SCCLawFirm"/>
        <w:spacing w:line="240" w:lineRule="auto"/>
        <w:rPr>
          <w:sz w:val="20"/>
          <w:lang w:val="fr-CA"/>
        </w:rPr>
      </w:pPr>
      <w:r w:rsidRPr="00221BDB">
        <w:rPr>
          <w:sz w:val="20"/>
          <w:lang w:val="fr-CA"/>
        </w:rPr>
        <w:tab/>
        <w:t>Solicitors for the respondents Services Environnementaux AES inc. and Centre Technologique AES inc.:  Norton Rose Fulbright Canada, Montréal.</w:t>
      </w:r>
    </w:p>
    <w:p w:rsidR="004C33AB" w:rsidRDefault="004C33AB" w:rsidP="004C33AB">
      <w:pPr>
        <w:pStyle w:val="SCCLawFirm"/>
        <w:spacing w:line="240" w:lineRule="auto"/>
        <w:rPr>
          <w:sz w:val="20"/>
          <w:lang w:val="fr-CA"/>
        </w:rPr>
      </w:pPr>
    </w:p>
    <w:p w:rsidR="004C33AB" w:rsidRPr="00221BDB" w:rsidRDefault="004C33AB" w:rsidP="004C33AB">
      <w:pPr>
        <w:pStyle w:val="SCCLawFirm"/>
        <w:spacing w:line="240" w:lineRule="auto"/>
        <w:rPr>
          <w:sz w:val="20"/>
          <w:lang w:val="fr-CA"/>
        </w:rPr>
      </w:pPr>
      <w:r w:rsidRPr="00221BDB">
        <w:rPr>
          <w:sz w:val="20"/>
          <w:lang w:val="fr-CA"/>
        </w:rPr>
        <w:tab/>
        <w:t>Solicitors for the respondents Jean Riopel, Christiane Archambault and Entreprise J.P.F. Riopel inc.:  Séguin Racine Avocats Ltée, Montréal.</w:t>
      </w:r>
    </w:p>
    <w:p w:rsidR="004C33AB" w:rsidRDefault="004C33AB" w:rsidP="004C33AB">
      <w:pPr>
        <w:pStyle w:val="SCCLawFirm"/>
        <w:spacing w:line="240" w:lineRule="auto"/>
        <w:rPr>
          <w:sz w:val="20"/>
          <w:lang w:val="fr-CA"/>
        </w:rPr>
      </w:pPr>
    </w:p>
    <w:p w:rsidR="004C33AB" w:rsidRDefault="004C33AB" w:rsidP="004C33AB">
      <w:pPr>
        <w:pStyle w:val="SCCLawFirm"/>
        <w:spacing w:line="240" w:lineRule="auto"/>
        <w:rPr>
          <w:sz w:val="20"/>
          <w:lang w:val="en-US"/>
        </w:rPr>
      </w:pPr>
      <w:r w:rsidRPr="00221BDB">
        <w:rPr>
          <w:sz w:val="20"/>
          <w:lang w:val="fr-CA"/>
        </w:rPr>
        <w:tab/>
      </w:r>
      <w:r w:rsidRPr="00221BDB">
        <w:rPr>
          <w:sz w:val="20"/>
          <w:lang w:val="en-US"/>
        </w:rPr>
        <w:t>Solicitor for the intervener:  Attorney General of Canada, Montréal.</w:t>
      </w:r>
    </w:p>
    <w:p w:rsidR="003B3977" w:rsidRPr="004C33AB" w:rsidRDefault="003B3977" w:rsidP="005C6840">
      <w:pPr>
        <w:rPr>
          <w:rFonts w:cs="Times New Roman"/>
          <w:sz w:val="20"/>
          <w:szCs w:val="20"/>
          <w:lang w:val="en-US"/>
        </w:rPr>
      </w:pPr>
    </w:p>
    <w:p w:rsidR="005C6840" w:rsidRDefault="003513AE" w:rsidP="005C6840">
      <w:pPr>
        <w:rPr>
          <w:lang w:val="fr-CA"/>
        </w:rPr>
      </w:pPr>
      <w:r>
        <w:rPr>
          <w:rFonts w:cs="Times New Roman"/>
          <w:sz w:val="20"/>
          <w:szCs w:val="20"/>
          <w:lang w:val="fr-CA"/>
        </w:rPr>
        <w:pict>
          <v:rect id="_x0000_i1068" style="width:144.3pt;height:1pt" o:hrpct="300" o:hralign="center" o:hrstd="t" o:hrnoshade="t" o:hr="t" fillcolor="black [3213]" stroked="f"/>
        </w:pict>
      </w:r>
      <w:r w:rsidR="005C6840">
        <w:rPr>
          <w:lang w:val="fr-CA"/>
        </w:rPr>
        <w:br w:type="page"/>
      </w:r>
    </w:p>
    <w:p w:rsidR="009127CA" w:rsidRPr="00BB17D9" w:rsidRDefault="009127CA" w:rsidP="009127CA">
      <w:pPr>
        <w:pStyle w:val="SCCLsocParty"/>
        <w:rPr>
          <w:b/>
          <w:sz w:val="20"/>
          <w:szCs w:val="20"/>
          <w:lang w:val="en-US"/>
        </w:rPr>
      </w:pPr>
      <w:r w:rsidRPr="00BB17D9">
        <w:rPr>
          <w:sz w:val="20"/>
          <w:szCs w:val="20"/>
          <w:lang w:val="en-CA"/>
        </w:rPr>
        <w:lastRenderedPageBreak/>
        <w:t xml:space="preserve">Tissa Amaratunga v. Northwest Atlantic Fisheries Organization, a body corporate (N.S.) </w:t>
      </w:r>
      <w:r w:rsidRPr="00BB17D9">
        <w:rPr>
          <w:i w:val="0"/>
          <w:sz w:val="20"/>
          <w:szCs w:val="20"/>
          <w:lang w:val="en-CA"/>
        </w:rPr>
        <w:t>(</w:t>
      </w:r>
      <w:hyperlink r:id="rId63" w:history="1">
        <w:r w:rsidRPr="00BB17D9">
          <w:rPr>
            <w:rStyle w:val="Hyperlink"/>
            <w:i w:val="0"/>
            <w:sz w:val="20"/>
            <w:szCs w:val="20"/>
            <w:lang w:val="en-CA"/>
          </w:rPr>
          <w:t>34501</w:t>
        </w:r>
      </w:hyperlink>
      <w:r w:rsidRPr="00BB17D9">
        <w:rPr>
          <w:i w:val="0"/>
          <w:sz w:val="20"/>
          <w:szCs w:val="20"/>
          <w:lang w:val="en-CA"/>
        </w:rPr>
        <w:t>)</w:t>
      </w:r>
    </w:p>
    <w:p w:rsidR="00C0760E" w:rsidRPr="0003228C" w:rsidRDefault="00C0760E" w:rsidP="00C0760E">
      <w:pPr>
        <w:jc w:val="both"/>
        <w:rPr>
          <w:b/>
          <w:sz w:val="20"/>
          <w:szCs w:val="20"/>
        </w:rPr>
      </w:pPr>
      <w:r w:rsidRPr="0003228C">
        <w:rPr>
          <w:b/>
          <w:sz w:val="20"/>
          <w:szCs w:val="20"/>
        </w:rPr>
        <w:t xml:space="preserve">Indexed as:  Amaratunga </w:t>
      </w:r>
      <w:r w:rsidRPr="0003228C">
        <w:rPr>
          <w:b/>
          <w:i/>
          <w:sz w:val="20"/>
          <w:szCs w:val="20"/>
        </w:rPr>
        <w:t>v.</w:t>
      </w:r>
      <w:r w:rsidRPr="0003228C">
        <w:rPr>
          <w:b/>
          <w:sz w:val="20"/>
          <w:szCs w:val="20"/>
        </w:rPr>
        <w:t xml:space="preserve"> Northwest Atlantic Fisheries Organization</w:t>
      </w:r>
      <w:r>
        <w:rPr>
          <w:b/>
          <w:sz w:val="20"/>
          <w:szCs w:val="20"/>
        </w:rPr>
        <w:t xml:space="preserve"> / </w:t>
      </w:r>
    </w:p>
    <w:p w:rsidR="00C0760E" w:rsidRPr="00C0760E" w:rsidRDefault="00C0760E" w:rsidP="00C0760E">
      <w:pPr>
        <w:jc w:val="both"/>
        <w:rPr>
          <w:b/>
          <w:sz w:val="20"/>
          <w:szCs w:val="20"/>
        </w:rPr>
      </w:pPr>
      <w:r w:rsidRPr="00C0760E">
        <w:rPr>
          <w:b/>
          <w:sz w:val="20"/>
          <w:szCs w:val="20"/>
        </w:rPr>
        <w:t xml:space="preserve">Répertorié : Amaratunga </w:t>
      </w:r>
      <w:r w:rsidRPr="00C0760E">
        <w:rPr>
          <w:b/>
          <w:i/>
          <w:sz w:val="20"/>
          <w:szCs w:val="20"/>
        </w:rPr>
        <w:t>c.</w:t>
      </w:r>
      <w:r w:rsidRPr="00C0760E">
        <w:rPr>
          <w:b/>
          <w:sz w:val="20"/>
          <w:szCs w:val="20"/>
        </w:rPr>
        <w:t xml:space="preserve"> Organisation des pêches de l’Atlantique Nord</w:t>
      </w:r>
      <w:r w:rsidRPr="00C0760E">
        <w:rPr>
          <w:b/>
          <w:sz w:val="20"/>
          <w:szCs w:val="20"/>
        </w:rPr>
        <w:noBreakHyphen/>
        <w:t>Ouest</w:t>
      </w:r>
    </w:p>
    <w:p w:rsidR="00902E51" w:rsidRPr="00C0760E" w:rsidRDefault="00902E51" w:rsidP="00902E51">
      <w:pPr>
        <w:pStyle w:val="SCCSystemYear"/>
        <w:jc w:val="both"/>
        <w:rPr>
          <w:sz w:val="20"/>
          <w:lang w:val="en-CA"/>
        </w:rPr>
      </w:pPr>
      <w:r w:rsidRPr="00C0760E">
        <w:rPr>
          <w:sz w:val="20"/>
          <w:lang w:val="en-CA"/>
        </w:rPr>
        <w:t>Neutral citation:  2013 SCC </w:t>
      </w:r>
      <w:r w:rsidR="008E2A8E" w:rsidRPr="00C0760E">
        <w:rPr>
          <w:sz w:val="20"/>
          <w:lang w:val="en-CA"/>
        </w:rPr>
        <w:t>6</w:t>
      </w:r>
      <w:r w:rsidR="009127CA" w:rsidRPr="00C0760E">
        <w:rPr>
          <w:sz w:val="20"/>
          <w:lang w:val="en-CA"/>
        </w:rPr>
        <w:t>5</w:t>
      </w:r>
      <w:r w:rsidRPr="00C0760E">
        <w:rPr>
          <w:sz w:val="20"/>
          <w:lang w:val="en-CA"/>
        </w:rPr>
        <w:t xml:space="preserve"> / Référence neutre : 2013 CSC </w:t>
      </w:r>
      <w:r w:rsidR="009127CA" w:rsidRPr="00C0760E">
        <w:rPr>
          <w:sz w:val="20"/>
          <w:lang w:val="en-CA"/>
        </w:rPr>
        <w:t>6</w:t>
      </w:r>
      <w:r w:rsidR="008E2A8E" w:rsidRPr="00C0760E">
        <w:rPr>
          <w:sz w:val="20"/>
          <w:lang w:val="en-CA"/>
        </w:rPr>
        <w:t>6</w:t>
      </w:r>
    </w:p>
    <w:p w:rsidR="00902E51" w:rsidRPr="008C799B" w:rsidRDefault="00902E51" w:rsidP="00902E51">
      <w:pPr>
        <w:rPr>
          <w:sz w:val="20"/>
          <w:szCs w:val="20"/>
          <w:lang w:val="fr-CA"/>
        </w:rPr>
      </w:pPr>
      <w:r w:rsidRPr="008C799B">
        <w:rPr>
          <w:sz w:val="20"/>
          <w:szCs w:val="20"/>
          <w:lang w:val="fr-CA"/>
        </w:rPr>
        <w:t>Hearing:  March 2</w:t>
      </w:r>
      <w:r w:rsidR="00C0760E">
        <w:rPr>
          <w:sz w:val="20"/>
          <w:szCs w:val="20"/>
          <w:lang w:val="fr-CA"/>
        </w:rPr>
        <w:t>8</w:t>
      </w:r>
      <w:r w:rsidRPr="008C799B">
        <w:rPr>
          <w:sz w:val="20"/>
          <w:szCs w:val="20"/>
          <w:lang w:val="fr-CA"/>
        </w:rPr>
        <w:t xml:space="preserve">, 2013 / Judgment:  </w:t>
      </w:r>
      <w:r w:rsidR="009127CA" w:rsidRPr="008C799B">
        <w:rPr>
          <w:sz w:val="20"/>
          <w:szCs w:val="20"/>
          <w:lang w:val="fr-CA"/>
        </w:rPr>
        <w:t>November</w:t>
      </w:r>
      <w:r w:rsidRPr="008C799B">
        <w:rPr>
          <w:sz w:val="20"/>
          <w:szCs w:val="20"/>
          <w:lang w:val="fr-CA"/>
        </w:rPr>
        <w:t xml:space="preserve"> </w:t>
      </w:r>
      <w:r w:rsidR="009127CA" w:rsidRPr="008C799B">
        <w:rPr>
          <w:sz w:val="20"/>
          <w:szCs w:val="20"/>
          <w:lang w:val="fr-CA"/>
        </w:rPr>
        <w:t>29</w:t>
      </w:r>
      <w:r w:rsidRPr="008C799B">
        <w:rPr>
          <w:sz w:val="20"/>
          <w:szCs w:val="20"/>
          <w:lang w:val="fr-CA"/>
        </w:rPr>
        <w:t>, 2013</w:t>
      </w:r>
    </w:p>
    <w:p w:rsidR="00902E51" w:rsidRPr="003B3977" w:rsidRDefault="00902E51" w:rsidP="00902E51">
      <w:pPr>
        <w:rPr>
          <w:sz w:val="20"/>
          <w:szCs w:val="20"/>
          <w:lang w:val="fr-CA"/>
        </w:rPr>
      </w:pPr>
      <w:r w:rsidRPr="003B3977">
        <w:rPr>
          <w:sz w:val="20"/>
          <w:szCs w:val="20"/>
          <w:lang w:val="fr-CA"/>
        </w:rPr>
        <w:t>Audition : Le 2</w:t>
      </w:r>
      <w:r w:rsidR="00C0760E">
        <w:rPr>
          <w:sz w:val="20"/>
          <w:szCs w:val="20"/>
          <w:lang w:val="fr-CA"/>
        </w:rPr>
        <w:t>8</w:t>
      </w:r>
      <w:r>
        <w:rPr>
          <w:sz w:val="20"/>
          <w:szCs w:val="20"/>
          <w:lang w:val="fr-CA"/>
        </w:rPr>
        <w:t xml:space="preserve"> </w:t>
      </w:r>
      <w:r w:rsidRPr="003B3977">
        <w:rPr>
          <w:sz w:val="20"/>
          <w:szCs w:val="20"/>
          <w:lang w:val="fr-CA"/>
        </w:rPr>
        <w:t>ma</w:t>
      </w:r>
      <w:r>
        <w:rPr>
          <w:sz w:val="20"/>
          <w:szCs w:val="20"/>
          <w:lang w:val="fr-CA"/>
        </w:rPr>
        <w:t>rs</w:t>
      </w:r>
      <w:r w:rsidRPr="003B3977">
        <w:rPr>
          <w:sz w:val="20"/>
          <w:szCs w:val="20"/>
          <w:lang w:val="fr-CA"/>
        </w:rPr>
        <w:t xml:space="preserve"> 201</w:t>
      </w:r>
      <w:r>
        <w:rPr>
          <w:sz w:val="20"/>
          <w:szCs w:val="20"/>
          <w:lang w:val="fr-CA"/>
        </w:rPr>
        <w:t>3</w:t>
      </w:r>
      <w:r w:rsidRPr="003B3977">
        <w:rPr>
          <w:sz w:val="20"/>
          <w:szCs w:val="20"/>
          <w:lang w:val="fr-CA"/>
        </w:rPr>
        <w:t xml:space="preserve"> / Jugement : Le </w:t>
      </w:r>
      <w:r w:rsidR="009127CA">
        <w:rPr>
          <w:sz w:val="20"/>
          <w:szCs w:val="20"/>
          <w:lang w:val="fr-CA"/>
        </w:rPr>
        <w:t>29 nove</w:t>
      </w:r>
      <w:r>
        <w:rPr>
          <w:sz w:val="20"/>
          <w:szCs w:val="20"/>
          <w:lang w:val="fr-CA"/>
        </w:rPr>
        <w:t>m</w:t>
      </w:r>
      <w:r w:rsidR="009127CA">
        <w:rPr>
          <w:sz w:val="20"/>
          <w:szCs w:val="20"/>
          <w:lang w:val="fr-CA"/>
        </w:rPr>
        <w:t>bre</w:t>
      </w:r>
      <w:r w:rsidRPr="003B3977">
        <w:rPr>
          <w:sz w:val="20"/>
          <w:szCs w:val="20"/>
          <w:lang w:val="fr-CA"/>
        </w:rPr>
        <w:t xml:space="preserve"> 201</w:t>
      </w:r>
      <w:r>
        <w:rPr>
          <w:sz w:val="20"/>
          <w:szCs w:val="20"/>
          <w:lang w:val="fr-CA"/>
        </w:rPr>
        <w:t>3</w:t>
      </w:r>
    </w:p>
    <w:p w:rsidR="005C6840" w:rsidRPr="003B3977" w:rsidRDefault="003513AE" w:rsidP="005C6840">
      <w:pPr>
        <w:rPr>
          <w:sz w:val="20"/>
          <w:szCs w:val="20"/>
          <w:lang w:val="fr-CA"/>
        </w:rPr>
      </w:pPr>
      <w:r>
        <w:rPr>
          <w:i/>
          <w:sz w:val="20"/>
          <w:szCs w:val="20"/>
        </w:rPr>
        <w:pict>
          <v:rect id="_x0000_i1069"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CC76F9" w:rsidRPr="0003228C" w:rsidRDefault="00CC76F9" w:rsidP="00CC76F9">
      <w:pPr>
        <w:jc w:val="both"/>
        <w:rPr>
          <w:sz w:val="20"/>
          <w:szCs w:val="20"/>
        </w:rPr>
      </w:pPr>
      <w:r w:rsidRPr="0003228C">
        <w:rPr>
          <w:sz w:val="20"/>
          <w:szCs w:val="20"/>
        </w:rPr>
        <w:t>Present:  McLachlin C.J. and LeBel, Fish, Abella, Rothstein, Cromwell, Moldaver, Karakatsanis and Wagner JJ.</w:t>
      </w:r>
    </w:p>
    <w:p w:rsidR="00CC76F9" w:rsidRDefault="00CC76F9" w:rsidP="00CC76F9">
      <w:pPr>
        <w:pStyle w:val="SCCLowerCourtNameLowercase"/>
        <w:spacing w:line="240" w:lineRule="auto"/>
        <w:rPr>
          <w:sz w:val="20"/>
        </w:rPr>
      </w:pPr>
    </w:p>
    <w:p w:rsidR="00CC76F9" w:rsidRPr="0003228C" w:rsidRDefault="00CC76F9" w:rsidP="00CC76F9">
      <w:pPr>
        <w:pStyle w:val="SCCNormalDoubleSpacing"/>
        <w:spacing w:line="240" w:lineRule="auto"/>
        <w:rPr>
          <w:i/>
          <w:sz w:val="20"/>
        </w:rPr>
      </w:pPr>
      <w:r w:rsidRPr="0003228C">
        <w:rPr>
          <w:sz w:val="20"/>
        </w:rPr>
        <w:tab/>
      </w:r>
      <w:r w:rsidRPr="0003228C">
        <w:rPr>
          <w:i/>
          <w:sz w:val="20"/>
        </w:rPr>
        <w:t>Public international law — Jurisdictional immunity — International organizations — Former senior manager of international organization headquartered in Canada filing wrongful dismissal suit — International organization claiming immunity under Order reflecting agreement with Canada — Whether claimed immunity applies — Meaning of immunities “</w:t>
      </w:r>
      <w:r w:rsidRPr="0003228C">
        <w:rPr>
          <w:i/>
          <w:sz w:val="20"/>
          <w:lang w:val="en-US"/>
        </w:rPr>
        <w:t xml:space="preserve">required” for performance of functions </w:t>
      </w:r>
      <w:r w:rsidRPr="0003228C">
        <w:rPr>
          <w:i/>
          <w:sz w:val="20"/>
        </w:rPr>
        <w:t>— Northwest Atlantic Fisheries Organization Privileges and Immunities Order, SOR/80</w:t>
      </w:r>
      <w:r w:rsidRPr="0003228C">
        <w:rPr>
          <w:i/>
          <w:sz w:val="20"/>
        </w:rPr>
        <w:noBreakHyphen/>
        <w:t>64, s. 3(1).</w:t>
      </w:r>
    </w:p>
    <w:p w:rsidR="00CC76F9" w:rsidRDefault="00CC76F9" w:rsidP="00CC76F9">
      <w:pPr>
        <w:pStyle w:val="SCCNormalDoubleSpacing"/>
        <w:spacing w:line="240" w:lineRule="auto"/>
        <w:rPr>
          <w:sz w:val="20"/>
        </w:rPr>
      </w:pPr>
    </w:p>
    <w:p w:rsidR="00CC76F9" w:rsidRPr="0003228C" w:rsidRDefault="00CC76F9" w:rsidP="00CC76F9">
      <w:pPr>
        <w:pStyle w:val="SCCNormalDoubleSpacing"/>
        <w:spacing w:line="240" w:lineRule="auto"/>
        <w:rPr>
          <w:sz w:val="20"/>
        </w:rPr>
      </w:pPr>
      <w:r w:rsidRPr="0003228C">
        <w:rPr>
          <w:sz w:val="20"/>
        </w:rPr>
        <w:tab/>
        <w:t xml:space="preserve">NAFO is an international organization headquartered in Nova Scotia. Its mandate is to manage and preserve fishing resources in the northwest Atlantic Ocean.  A worked at NAFO as a senior manager from 1988 until 2005 when NAFO terminated his employment.  When A then commenced a wrongful dismissal suit, NAFO claimed immunity as an international organization under its </w:t>
      </w:r>
      <w:r w:rsidRPr="0003228C">
        <w:rPr>
          <w:i/>
          <w:sz w:val="20"/>
        </w:rPr>
        <w:t>Northwest Atlantic Fisheries Organization Privileges and Immunities Order</w:t>
      </w:r>
      <w:r w:rsidRPr="0003228C">
        <w:rPr>
          <w:sz w:val="20"/>
        </w:rPr>
        <w:t xml:space="preserve"> (“</w:t>
      </w:r>
      <w:r w:rsidRPr="0003228C">
        <w:rPr>
          <w:i/>
          <w:sz w:val="20"/>
        </w:rPr>
        <w:t>NAFO Immunity Order</w:t>
      </w:r>
      <w:r w:rsidRPr="0003228C">
        <w:rPr>
          <w:sz w:val="20"/>
        </w:rPr>
        <w:t xml:space="preserve">”) agreement with Canada.  The Supreme Court of Nova Scotia rejected NAFO’s immunity defense and determined that A’s wrongful dismissal suit could proceed to trial, including A’s claim for a separation indemnity under NAFO Staff Rules.  The Court of Appeal, however, allowed NAFO’s appeal and determined that NAFO enjoyed immunity from all of A’s claims.  </w:t>
      </w:r>
    </w:p>
    <w:p w:rsidR="00CC76F9" w:rsidRDefault="00CC76F9" w:rsidP="00CC76F9">
      <w:pPr>
        <w:pStyle w:val="SCCNormalDoubleSpacing"/>
        <w:spacing w:line="240" w:lineRule="auto"/>
        <w:rPr>
          <w:sz w:val="20"/>
        </w:rPr>
      </w:pPr>
    </w:p>
    <w:p w:rsidR="00CC76F9" w:rsidRPr="0003228C" w:rsidRDefault="00CC76F9" w:rsidP="00CC76F9">
      <w:pPr>
        <w:pStyle w:val="SCCNormalDoubleSpacing"/>
        <w:spacing w:line="240" w:lineRule="auto"/>
        <w:rPr>
          <w:sz w:val="20"/>
        </w:rPr>
      </w:pPr>
      <w:r w:rsidRPr="0003228C">
        <w:rPr>
          <w:sz w:val="20"/>
        </w:rPr>
        <w:tab/>
      </w:r>
      <w:r w:rsidRPr="0003228C">
        <w:rPr>
          <w:i/>
          <w:sz w:val="20"/>
        </w:rPr>
        <w:t>Held:</w:t>
      </w:r>
      <w:r w:rsidRPr="0003228C">
        <w:rPr>
          <w:sz w:val="20"/>
        </w:rPr>
        <w:t xml:space="preserve">  The appeal should be allowed in part.</w:t>
      </w:r>
    </w:p>
    <w:p w:rsidR="00CC76F9" w:rsidRDefault="00CC76F9" w:rsidP="00CC76F9">
      <w:pPr>
        <w:pStyle w:val="SCCNormalDoubleSpacing"/>
        <w:spacing w:line="240" w:lineRule="auto"/>
        <w:rPr>
          <w:sz w:val="20"/>
        </w:rPr>
      </w:pPr>
    </w:p>
    <w:p w:rsidR="00CC76F9" w:rsidRPr="0003228C" w:rsidRDefault="00CC76F9" w:rsidP="00CC76F9">
      <w:pPr>
        <w:pStyle w:val="SCCNormalDoubleSpacing"/>
        <w:spacing w:line="240" w:lineRule="auto"/>
        <w:rPr>
          <w:sz w:val="20"/>
        </w:rPr>
      </w:pPr>
      <w:r w:rsidRPr="0003228C">
        <w:rPr>
          <w:sz w:val="20"/>
        </w:rPr>
        <w:tab/>
        <w:t xml:space="preserve">NAFO is entitled to immunity, except from A’s separation indemnity </w:t>
      </w:r>
      <w:r w:rsidRPr="0003228C">
        <w:rPr>
          <w:sz w:val="20"/>
          <w:lang w:val="en-US"/>
        </w:rPr>
        <w:t xml:space="preserve">claim </w:t>
      </w:r>
      <w:r w:rsidRPr="0003228C">
        <w:rPr>
          <w:sz w:val="20"/>
        </w:rPr>
        <w:t xml:space="preserve">under the Staff Rules.  Without immunity, an international organization would be vulnerable to intrusions into its operations by the host state and that state’s courts. However, no rule of customary international law confers immunity on international organizations.  Instead, they derive their immunity from treaties, or in the case of smaller international organizations like NAFO, from agreements with host states. </w:t>
      </w:r>
    </w:p>
    <w:p w:rsidR="00CC76F9" w:rsidRDefault="00CC76F9" w:rsidP="00CC76F9">
      <w:pPr>
        <w:pStyle w:val="SCCNormalDoubleSpacing"/>
        <w:spacing w:line="240" w:lineRule="auto"/>
        <w:rPr>
          <w:sz w:val="20"/>
        </w:rPr>
      </w:pPr>
    </w:p>
    <w:p w:rsidR="00CC76F9" w:rsidRPr="0003228C" w:rsidRDefault="00CC76F9" w:rsidP="00CC76F9">
      <w:pPr>
        <w:pStyle w:val="SCCNormalDoubleSpacing"/>
        <w:spacing w:line="240" w:lineRule="auto"/>
        <w:rPr>
          <w:sz w:val="20"/>
        </w:rPr>
      </w:pPr>
      <w:r w:rsidRPr="0003228C">
        <w:rPr>
          <w:sz w:val="20"/>
        </w:rPr>
        <w:tab/>
        <w:t xml:space="preserve">NAFO reached an agreement with Canada, which is reflected in the </w:t>
      </w:r>
      <w:r w:rsidRPr="0003228C">
        <w:rPr>
          <w:i/>
          <w:sz w:val="20"/>
        </w:rPr>
        <w:t>NAFO Immunity Order</w:t>
      </w:r>
      <w:r w:rsidRPr="0003228C">
        <w:rPr>
          <w:sz w:val="20"/>
        </w:rPr>
        <w:t xml:space="preserve">.  Section 3(1) of the </w:t>
      </w:r>
      <w:r w:rsidRPr="0003228C">
        <w:rPr>
          <w:i/>
          <w:sz w:val="20"/>
        </w:rPr>
        <w:t>NAFO Immunity Order</w:t>
      </w:r>
      <w:r w:rsidRPr="0003228C">
        <w:rPr>
          <w:sz w:val="20"/>
        </w:rPr>
        <w:t xml:space="preserve"> grants NAFO immunities “to such extent as may be required for the performance of its functions”.  In accordance with modern statutory interpretation, the meaning of that phrase must be read in its entire context and in its grammatical and ordinary sense, harmoniously with the object and scheme of the </w:t>
      </w:r>
      <w:r w:rsidRPr="0003228C">
        <w:rPr>
          <w:i/>
          <w:sz w:val="20"/>
        </w:rPr>
        <w:t>NAFO Immunity Order</w:t>
      </w:r>
      <w:r w:rsidRPr="0003228C">
        <w:rPr>
          <w:sz w:val="20"/>
        </w:rPr>
        <w:t xml:space="preserve"> and in light of the grant of authority and the intention of Parliament.  The meaning of the phrase, including the word “required”, is determinative of the disposition of this appeal.</w:t>
      </w:r>
    </w:p>
    <w:p w:rsidR="00CC76F9" w:rsidRDefault="00CC76F9" w:rsidP="00CC76F9">
      <w:pPr>
        <w:pStyle w:val="SCCNormalDoubleSpacing"/>
        <w:spacing w:line="240" w:lineRule="auto"/>
        <w:rPr>
          <w:sz w:val="20"/>
        </w:rPr>
      </w:pPr>
    </w:p>
    <w:p w:rsidR="00CC76F9" w:rsidRPr="0003228C" w:rsidRDefault="00CC76F9" w:rsidP="00CC76F9">
      <w:pPr>
        <w:pStyle w:val="SCCNormalDoubleSpacing"/>
        <w:spacing w:line="240" w:lineRule="auto"/>
        <w:rPr>
          <w:sz w:val="20"/>
        </w:rPr>
      </w:pPr>
      <w:r w:rsidRPr="0003228C">
        <w:rPr>
          <w:sz w:val="20"/>
        </w:rPr>
        <w:tab/>
        <w:t xml:space="preserve">While the grammatical and ordinary sense of the word “required” is “necessary”, the context of s. 3(1) suggests instead a broader interpretation.  Indeed, the word “required” in s. 3(1) should be interpreted to have the same broad meaning as in s. 3(3) because the Governor in Council is presumed to have been consistent in making the </w:t>
      </w:r>
      <w:r w:rsidRPr="0003228C">
        <w:rPr>
          <w:i/>
          <w:sz w:val="20"/>
        </w:rPr>
        <w:t>NAFO Immunity Order</w:t>
      </w:r>
      <w:r w:rsidRPr="0003228C">
        <w:rPr>
          <w:sz w:val="20"/>
        </w:rPr>
        <w:t>.  The Governor in Council is granted authority to determine the scope of the immunity for each international organization on a case</w:t>
      </w:r>
      <w:r w:rsidRPr="0003228C">
        <w:rPr>
          <w:sz w:val="20"/>
        </w:rPr>
        <w:noBreakHyphen/>
        <w:t>by</w:t>
      </w:r>
      <w:r w:rsidRPr="0003228C">
        <w:rPr>
          <w:sz w:val="20"/>
        </w:rPr>
        <w:noBreakHyphen/>
        <w:t xml:space="preserve">case basis.  For NAFO, the Governor in Council conferred a broad functional immunity as can be seen from the very words of s. 3(1) — “for the performance of NAFO’s functions”.  To not interpret s. 3(1) broadly would run counter to the object and scheme of </w:t>
      </w:r>
      <w:r w:rsidRPr="0003228C">
        <w:rPr>
          <w:i/>
          <w:sz w:val="20"/>
        </w:rPr>
        <w:t>NAFO Immunity Order</w:t>
      </w:r>
      <w:r w:rsidRPr="0003228C">
        <w:rPr>
          <w:sz w:val="20"/>
        </w:rPr>
        <w:t xml:space="preserve"> as well as Parliament’s intention of modernization, flexibility and respect for the independence of international organizations. </w:t>
      </w:r>
      <w:r w:rsidRPr="0003228C">
        <w:rPr>
          <w:sz w:val="20"/>
        </w:rPr>
        <w:tab/>
      </w:r>
    </w:p>
    <w:p w:rsidR="00CC76F9" w:rsidRDefault="00CC76F9" w:rsidP="00CC76F9">
      <w:pPr>
        <w:pStyle w:val="SCCNormalDoubleSpacing"/>
        <w:spacing w:line="240" w:lineRule="auto"/>
        <w:rPr>
          <w:sz w:val="20"/>
        </w:rPr>
      </w:pPr>
    </w:p>
    <w:p w:rsidR="00CC76F9" w:rsidRPr="0003228C" w:rsidRDefault="00CC76F9" w:rsidP="00CC76F9">
      <w:pPr>
        <w:pStyle w:val="SCCNormalDoubleSpacing"/>
        <w:spacing w:line="240" w:lineRule="auto"/>
        <w:rPr>
          <w:sz w:val="20"/>
        </w:rPr>
      </w:pPr>
      <w:r w:rsidRPr="0003228C">
        <w:rPr>
          <w:sz w:val="20"/>
        </w:rPr>
        <w:tab/>
        <w:t xml:space="preserve">In this case, NAFO requires immunity from A’s claims for it to perform its functions, except A’s separation indemnity </w:t>
      </w:r>
      <w:r w:rsidRPr="0003228C">
        <w:rPr>
          <w:sz w:val="20"/>
          <w:lang w:val="en-US"/>
        </w:rPr>
        <w:t xml:space="preserve">claim </w:t>
      </w:r>
      <w:r w:rsidRPr="0003228C">
        <w:rPr>
          <w:sz w:val="20"/>
        </w:rPr>
        <w:t>under the Staff Rules.  A was the second</w:t>
      </w:r>
      <w:r w:rsidRPr="0003228C">
        <w:rPr>
          <w:sz w:val="20"/>
        </w:rPr>
        <w:noBreakHyphen/>
        <w:t>in</w:t>
      </w:r>
      <w:r w:rsidRPr="0003228C">
        <w:rPr>
          <w:sz w:val="20"/>
        </w:rPr>
        <w:noBreakHyphen/>
        <w:t>command in the Secretariat. He directly supervised other staff and was responsible for the scientific aspect of NAFO’s mission.  NAFO must have the power to manage its employees, especially those in senior positions, if it is to perform its functions efficiently.  To allow employment</w:t>
      </w:r>
      <w:r w:rsidRPr="0003228C">
        <w:rPr>
          <w:sz w:val="20"/>
        </w:rPr>
        <w:noBreakHyphen/>
        <w:t xml:space="preserve">related claims of senior officials to proceed in Canadian courts would constitute undue interference with </w:t>
      </w:r>
      <w:r w:rsidRPr="0003228C">
        <w:rPr>
          <w:sz w:val="20"/>
        </w:rPr>
        <w:lastRenderedPageBreak/>
        <w:t>NAFO’s autonomy in performing its functions and would amount to submitting its managerial operations to the oversight of its host state’s institutions.  The absence of a dispute resolution mechanism or of an internal review process is not, in and of itself, determinative of whether NAFO is entitled to immunity.  While the fact that A has no forum in which to air his grievances and seek a remedy is unfortunate, it is the nature of an immunity to shield certain matters from the jurisdiction of the host state.</w:t>
      </w:r>
    </w:p>
    <w:p w:rsidR="00CC76F9" w:rsidRDefault="00CC76F9" w:rsidP="00CC76F9">
      <w:pPr>
        <w:pStyle w:val="SCCNormalDoubleSpacing"/>
        <w:spacing w:line="240" w:lineRule="auto"/>
        <w:rPr>
          <w:sz w:val="20"/>
        </w:rPr>
      </w:pPr>
    </w:p>
    <w:p w:rsidR="00CC76F9" w:rsidRDefault="00CC76F9" w:rsidP="00CC76F9">
      <w:pPr>
        <w:pStyle w:val="SCCNormalDoubleSpacing"/>
        <w:spacing w:line="240" w:lineRule="auto"/>
        <w:rPr>
          <w:sz w:val="20"/>
        </w:rPr>
      </w:pPr>
      <w:r w:rsidRPr="0003228C">
        <w:rPr>
          <w:sz w:val="20"/>
        </w:rPr>
        <w:tab/>
        <w:t xml:space="preserve">For NAFO to perform its functions, however, it does not require immunity from A’s separation indemnity claim.  The separation indemnity does not interfere with NAFO’s functions.  Indeed, NAFO recognizes that it owes a separation indemnity to A under its Staff Rules and concedes that the </w:t>
      </w:r>
      <w:r w:rsidRPr="0003228C">
        <w:rPr>
          <w:i/>
          <w:sz w:val="20"/>
        </w:rPr>
        <w:t>NAFO Immunity Order</w:t>
      </w:r>
      <w:r w:rsidRPr="0003228C">
        <w:rPr>
          <w:sz w:val="20"/>
        </w:rPr>
        <w:t xml:space="preserve"> does not immunize it from A’s claim.  This claim should be allowed to proceed and the appeal should be granted to that extent.</w:t>
      </w:r>
    </w:p>
    <w:p w:rsidR="00CC76F9" w:rsidRDefault="00CC76F9" w:rsidP="00CC76F9">
      <w:pPr>
        <w:pStyle w:val="SCCNormalDoubleSpacing"/>
        <w:spacing w:line="240" w:lineRule="auto"/>
        <w:rPr>
          <w:sz w:val="20"/>
        </w:rPr>
      </w:pPr>
    </w:p>
    <w:p w:rsidR="00CC76F9" w:rsidRPr="0003228C" w:rsidRDefault="00CC76F9" w:rsidP="00CC76F9">
      <w:pPr>
        <w:pStyle w:val="SCCNormalDoubleSpacing"/>
        <w:spacing w:line="240" w:lineRule="auto"/>
        <w:rPr>
          <w:sz w:val="20"/>
        </w:rPr>
      </w:pPr>
      <w:r w:rsidRPr="0003228C">
        <w:rPr>
          <w:sz w:val="20"/>
        </w:rPr>
        <w:tab/>
        <w:t>APPEAL from a judgment of the Nova Scotia Court of Appeal (MacDonald C.J.N.S. and Beveridge and Bryson JJ.A.), 2011 NSCA 73, 306 N.S.R. (2d) 380, 968 A.P.R. 380, 94 C.C.E.L. (3d) 198. 337 D.L.R. (4th) 668, [2011] N.S.J. No. 453 (QL), 2011 CarswellNS 587, reversing a decision of Wright J., 2010 NSSC 346, 295 N.S.R. (2d) 331, 935 A.P.R. 331, 85 C.C.E.L. (3d) 144, [2010] N.S.J. No. 508 (QL), 2010 CarswellNS 618.  Appeal allowed in part.</w:t>
      </w:r>
    </w:p>
    <w:p w:rsidR="00CC76F9" w:rsidRDefault="00CC76F9" w:rsidP="00CC76F9">
      <w:pPr>
        <w:pStyle w:val="SCCNormalDoubleSpacing"/>
        <w:spacing w:line="240" w:lineRule="auto"/>
        <w:rPr>
          <w:i/>
          <w:sz w:val="20"/>
        </w:rPr>
      </w:pPr>
    </w:p>
    <w:p w:rsidR="00CC76F9" w:rsidRPr="0003228C" w:rsidRDefault="00CC76F9" w:rsidP="00CC76F9">
      <w:pPr>
        <w:pStyle w:val="SCCNormalDoubleSpacing"/>
        <w:spacing w:line="240" w:lineRule="auto"/>
        <w:rPr>
          <w:sz w:val="20"/>
        </w:rPr>
      </w:pPr>
      <w:r w:rsidRPr="0003228C">
        <w:rPr>
          <w:i/>
          <w:sz w:val="20"/>
        </w:rPr>
        <w:tab/>
        <w:t>David A. Copp</w:t>
      </w:r>
      <w:r w:rsidRPr="0003228C">
        <w:rPr>
          <w:sz w:val="20"/>
        </w:rPr>
        <w:t>, for the appellant.</w:t>
      </w:r>
    </w:p>
    <w:p w:rsidR="00CC76F9" w:rsidRDefault="00CC76F9" w:rsidP="00CC76F9">
      <w:pPr>
        <w:pStyle w:val="SCCNormalDoubleSpacing"/>
        <w:spacing w:line="240" w:lineRule="auto"/>
        <w:rPr>
          <w:i/>
          <w:sz w:val="20"/>
        </w:rPr>
      </w:pPr>
    </w:p>
    <w:p w:rsidR="00CC76F9" w:rsidRPr="0003228C" w:rsidRDefault="00CC76F9" w:rsidP="00CC76F9">
      <w:pPr>
        <w:pStyle w:val="SCCNormalDoubleSpacing"/>
        <w:spacing w:line="240" w:lineRule="auto"/>
        <w:rPr>
          <w:sz w:val="20"/>
        </w:rPr>
      </w:pPr>
      <w:r w:rsidRPr="0003228C">
        <w:rPr>
          <w:i/>
          <w:sz w:val="20"/>
        </w:rPr>
        <w:tab/>
        <w:t>John T. Shanks</w:t>
      </w:r>
      <w:r w:rsidRPr="0003228C">
        <w:rPr>
          <w:sz w:val="20"/>
        </w:rPr>
        <w:t xml:space="preserve"> and </w:t>
      </w:r>
      <w:r w:rsidRPr="0003228C">
        <w:rPr>
          <w:i/>
          <w:sz w:val="20"/>
        </w:rPr>
        <w:t>Richard Dunlop</w:t>
      </w:r>
      <w:r w:rsidRPr="0003228C">
        <w:rPr>
          <w:sz w:val="20"/>
        </w:rPr>
        <w:t>, for the respondent.</w:t>
      </w:r>
    </w:p>
    <w:p w:rsidR="00CC76F9" w:rsidRDefault="00CC76F9" w:rsidP="00CC76F9">
      <w:pPr>
        <w:pStyle w:val="SCCNormalDoubleSpacing"/>
        <w:spacing w:line="240" w:lineRule="auto"/>
        <w:rPr>
          <w:i/>
          <w:sz w:val="20"/>
        </w:rPr>
      </w:pPr>
    </w:p>
    <w:p w:rsidR="00CC76F9" w:rsidRPr="0003228C" w:rsidRDefault="00CC76F9" w:rsidP="00CC76F9">
      <w:pPr>
        <w:pStyle w:val="SCCNormalDoubleSpacing"/>
        <w:spacing w:line="240" w:lineRule="auto"/>
        <w:rPr>
          <w:sz w:val="20"/>
        </w:rPr>
      </w:pPr>
      <w:r w:rsidRPr="0003228C">
        <w:rPr>
          <w:i/>
          <w:sz w:val="20"/>
        </w:rPr>
        <w:tab/>
        <w:t>Ewa Krajewska and Heather K. Pessione</w:t>
      </w:r>
      <w:r w:rsidRPr="0003228C">
        <w:rPr>
          <w:sz w:val="20"/>
        </w:rPr>
        <w:t>, for the intervener.</w:t>
      </w:r>
    </w:p>
    <w:p w:rsidR="00CC76F9" w:rsidRDefault="00CC76F9" w:rsidP="00CC76F9">
      <w:pPr>
        <w:pStyle w:val="SCCLawFirm"/>
        <w:spacing w:line="240" w:lineRule="auto"/>
        <w:rPr>
          <w:sz w:val="20"/>
        </w:rPr>
      </w:pPr>
    </w:p>
    <w:p w:rsidR="00CC76F9" w:rsidRPr="0003228C" w:rsidRDefault="00CC76F9" w:rsidP="00CC76F9">
      <w:pPr>
        <w:pStyle w:val="SCCLawFirm"/>
        <w:spacing w:line="240" w:lineRule="auto"/>
        <w:rPr>
          <w:sz w:val="20"/>
        </w:rPr>
      </w:pPr>
      <w:r w:rsidRPr="0003228C">
        <w:rPr>
          <w:sz w:val="20"/>
        </w:rPr>
        <w:tab/>
        <w:t>Solicitor for the appellant:  David A. Copp, Halifax.</w:t>
      </w:r>
    </w:p>
    <w:p w:rsidR="00CC76F9" w:rsidRDefault="00CC76F9" w:rsidP="00CC76F9">
      <w:pPr>
        <w:pStyle w:val="SCCLawFirm"/>
        <w:spacing w:line="240" w:lineRule="auto"/>
        <w:rPr>
          <w:sz w:val="20"/>
        </w:rPr>
      </w:pPr>
    </w:p>
    <w:p w:rsidR="00CC76F9" w:rsidRPr="0003228C" w:rsidRDefault="00CC76F9" w:rsidP="00CC76F9">
      <w:pPr>
        <w:pStyle w:val="SCCLawFirm"/>
        <w:spacing w:line="240" w:lineRule="auto"/>
        <w:rPr>
          <w:sz w:val="20"/>
        </w:rPr>
      </w:pPr>
      <w:r w:rsidRPr="0003228C">
        <w:rPr>
          <w:sz w:val="20"/>
        </w:rPr>
        <w:tab/>
        <w:t>Solicitors for the respondent:  Stewart McKelvey, Halifax.</w:t>
      </w:r>
    </w:p>
    <w:p w:rsidR="00CC76F9" w:rsidRDefault="00CC76F9" w:rsidP="00CC76F9">
      <w:pPr>
        <w:pStyle w:val="SCCLawFirm"/>
        <w:spacing w:line="240" w:lineRule="auto"/>
        <w:rPr>
          <w:sz w:val="20"/>
        </w:rPr>
      </w:pPr>
    </w:p>
    <w:p w:rsidR="00CC76F9" w:rsidRDefault="00CC76F9" w:rsidP="00CC76F9">
      <w:pPr>
        <w:pStyle w:val="SCCLawFirm"/>
        <w:spacing w:line="240" w:lineRule="auto"/>
        <w:rPr>
          <w:sz w:val="20"/>
        </w:rPr>
      </w:pPr>
      <w:r w:rsidRPr="0003228C">
        <w:rPr>
          <w:sz w:val="20"/>
        </w:rPr>
        <w:tab/>
        <w:t>Solicitors for the intervener:  Borden Ladner Gervais, Toronto.</w:t>
      </w:r>
    </w:p>
    <w:p w:rsidR="00902E51" w:rsidRPr="00CC76F9" w:rsidRDefault="00902E51" w:rsidP="00902E51">
      <w:pPr>
        <w:rPr>
          <w:sz w:val="20"/>
          <w:szCs w:val="20"/>
          <w:lang w:val="fr-CA"/>
        </w:rPr>
      </w:pPr>
      <w:r w:rsidRPr="00CC76F9">
        <w:rPr>
          <w:sz w:val="20"/>
          <w:szCs w:val="20"/>
          <w:lang w:val="fr-CA"/>
        </w:rPr>
        <w:t>________________________</w:t>
      </w:r>
    </w:p>
    <w:p w:rsidR="00902E51" w:rsidRPr="00CC76F9" w:rsidRDefault="00902E51" w:rsidP="00902E51">
      <w:pPr>
        <w:rPr>
          <w:sz w:val="20"/>
          <w:szCs w:val="20"/>
          <w:lang w:val="fr-CA"/>
        </w:rPr>
      </w:pPr>
    </w:p>
    <w:p w:rsidR="00CC76F9" w:rsidRPr="00723D32" w:rsidRDefault="00CC76F9" w:rsidP="00CC76F9">
      <w:pPr>
        <w:jc w:val="both"/>
        <w:rPr>
          <w:sz w:val="20"/>
          <w:szCs w:val="20"/>
          <w:lang w:val="fr-CA"/>
        </w:rPr>
      </w:pPr>
      <w:r w:rsidRPr="00723D32">
        <w:rPr>
          <w:sz w:val="20"/>
          <w:szCs w:val="20"/>
          <w:lang w:val="fr-CA"/>
        </w:rPr>
        <w:t>Présents : La juge en chef McLachlin et les juges LeBel, Fish, Abella, Rothstein, Cromwell, Moldaver, Karakatsanis et Wagner.</w:t>
      </w:r>
    </w:p>
    <w:p w:rsidR="00CC76F9" w:rsidRDefault="00CC76F9" w:rsidP="00CC76F9">
      <w:pPr>
        <w:pStyle w:val="SCCNormalDoubleSpacing"/>
        <w:spacing w:line="240" w:lineRule="auto"/>
        <w:rPr>
          <w:sz w:val="20"/>
          <w:lang w:val="fr-CA"/>
        </w:rPr>
      </w:pPr>
    </w:p>
    <w:p w:rsidR="00CC76F9" w:rsidRPr="00723D32" w:rsidRDefault="00CC76F9" w:rsidP="00CC76F9">
      <w:pPr>
        <w:pStyle w:val="SCCNormalDoubleSpacing"/>
        <w:spacing w:line="240" w:lineRule="auto"/>
        <w:rPr>
          <w:i/>
          <w:sz w:val="20"/>
          <w:lang w:val="fr-CA"/>
        </w:rPr>
      </w:pPr>
      <w:r w:rsidRPr="00723D32">
        <w:rPr>
          <w:sz w:val="20"/>
          <w:lang w:val="fr-CA"/>
        </w:rPr>
        <w:tab/>
      </w:r>
      <w:r w:rsidRPr="00723D32">
        <w:rPr>
          <w:i/>
          <w:sz w:val="20"/>
          <w:lang w:val="fr-CA"/>
        </w:rPr>
        <w:t>Droit international public — Immunité de juridiction — Organisations internationales — Poursuite pour congédiement injustifié par un ancien cadre supérieur d’une organisation internationale dont le siège est au Canada — Revendication par l’organisation internationale de l’immunité de juridiction fondée sur le décret énonçant l’entente conclue entre elle et le Canada — L’immunité revendiquée s’applique</w:t>
      </w:r>
      <w:r w:rsidRPr="00723D32">
        <w:rPr>
          <w:i/>
          <w:sz w:val="20"/>
          <w:lang w:val="fr-CA"/>
        </w:rPr>
        <w:noBreakHyphen/>
        <w:t>t</w:t>
      </w:r>
      <w:r w:rsidRPr="00723D32">
        <w:rPr>
          <w:i/>
          <w:sz w:val="20"/>
          <w:lang w:val="fr-CA"/>
        </w:rPr>
        <w:noBreakHyphen/>
        <w:t>elle? — Sens des immunités qu’« exige » l’exercice de fonctions? — Décret sur les privilèges et immunités de l’Organisation des pêches de l’Atlantique Nord</w:t>
      </w:r>
      <w:r w:rsidRPr="00723D32">
        <w:rPr>
          <w:i/>
          <w:sz w:val="20"/>
          <w:lang w:val="fr-CA"/>
        </w:rPr>
        <w:noBreakHyphen/>
        <w:t>Ouest, DORS/80</w:t>
      </w:r>
      <w:r w:rsidRPr="00723D32">
        <w:rPr>
          <w:i/>
          <w:sz w:val="20"/>
          <w:lang w:val="fr-CA"/>
        </w:rPr>
        <w:noBreakHyphen/>
        <w:t>64, art. 3(1).</w:t>
      </w:r>
    </w:p>
    <w:p w:rsidR="00CC76F9" w:rsidRDefault="00CC76F9" w:rsidP="00CC76F9">
      <w:pPr>
        <w:pStyle w:val="SCCNormalDoubleSpacing"/>
        <w:spacing w:line="240" w:lineRule="auto"/>
        <w:rPr>
          <w:sz w:val="20"/>
          <w:lang w:val="fr-CA"/>
        </w:rPr>
      </w:pPr>
    </w:p>
    <w:p w:rsidR="00CC76F9" w:rsidRPr="00723D32" w:rsidRDefault="00CC76F9" w:rsidP="00CC76F9">
      <w:pPr>
        <w:pStyle w:val="SCCNormalDoubleSpacing"/>
        <w:spacing w:line="240" w:lineRule="auto"/>
        <w:rPr>
          <w:sz w:val="20"/>
          <w:lang w:val="fr-CA"/>
        </w:rPr>
      </w:pPr>
      <w:r w:rsidRPr="00723D32">
        <w:rPr>
          <w:sz w:val="20"/>
          <w:lang w:val="fr-CA"/>
        </w:rPr>
        <w:tab/>
        <w:t>L’OPANO est une organisation internationale dont le siège est situé en Nouvelle</w:t>
      </w:r>
      <w:r w:rsidRPr="00723D32">
        <w:rPr>
          <w:sz w:val="20"/>
          <w:lang w:val="fr-CA"/>
        </w:rPr>
        <w:noBreakHyphen/>
        <w:t xml:space="preserve">Écosse.  Elle a le mandat de veiller à la gestion et à la conservation des ressources halieutiques dans l’Atlantique Nord-Ouest.  A a travaillé pour l’OPANO à titre de cadre supérieur de 1988 à 2005, lorsque l’organisation l’a congédié.  Lorsqu’il a intenté un recours pour congédiement injustifié, l’OPANO a plaidé qu’elle jouissait de l’immunité de juridiction en tant qu’organisation internationale en application du </w:t>
      </w:r>
      <w:r w:rsidRPr="00723D32">
        <w:rPr>
          <w:i/>
          <w:sz w:val="20"/>
          <w:lang w:val="fr-CA"/>
        </w:rPr>
        <w:t>Décret sur les privilèges et immunités de l’Organisation des pêches de l’Atlantique Nord</w:t>
      </w:r>
      <w:r w:rsidRPr="00723D32">
        <w:rPr>
          <w:i/>
          <w:sz w:val="20"/>
          <w:lang w:val="fr-CA"/>
        </w:rPr>
        <w:noBreakHyphen/>
        <w:t>Ouest</w:t>
      </w:r>
      <w:r w:rsidRPr="00723D32">
        <w:rPr>
          <w:sz w:val="20"/>
          <w:lang w:val="fr-CA"/>
        </w:rPr>
        <w:t xml:space="preserve"> (« </w:t>
      </w:r>
      <w:r w:rsidRPr="00723D32">
        <w:rPr>
          <w:i/>
          <w:sz w:val="20"/>
          <w:lang w:val="fr-CA"/>
        </w:rPr>
        <w:t>Décret sur l’immunité de l’OPANO </w:t>
      </w:r>
      <w:r w:rsidRPr="00723D32">
        <w:rPr>
          <w:sz w:val="20"/>
          <w:lang w:val="fr-CA"/>
        </w:rPr>
        <w:t>») dont elle avait convenu avec le Canada.  La Cour suprême de la Nouvelle</w:t>
      </w:r>
      <w:r w:rsidRPr="00723D32">
        <w:rPr>
          <w:sz w:val="20"/>
          <w:lang w:val="fr-CA"/>
        </w:rPr>
        <w:noBreakHyphen/>
        <w:t>Écosse a rejeté la défense de l’OPANO fondée sur l’immunité et jugé que le procès pour congédiement injustifié intenté par A pouvait avoir lieu, y compris en ce qui avait trait à la demande de ce dernier relative à l’indemnité de cessation d’emploi à laquelle il prétendait en application du règlement régissant le personnel de l’OPANO.  La Cour d’appel a toutefois accueilli le pourvoi de l’OPANO et jugé que celle</w:t>
      </w:r>
      <w:r w:rsidRPr="00723D32">
        <w:rPr>
          <w:sz w:val="20"/>
          <w:lang w:val="fr-CA"/>
        </w:rPr>
        <w:noBreakHyphen/>
        <w:t>ci jouissait d’une immunité qui la mettait à l’abri de toutes les demandes formulées par A.</w:t>
      </w:r>
    </w:p>
    <w:p w:rsidR="00CC76F9" w:rsidRDefault="00CC76F9" w:rsidP="00CC76F9">
      <w:pPr>
        <w:pStyle w:val="SCCNormalDoubleSpacing"/>
        <w:spacing w:line="240" w:lineRule="auto"/>
        <w:rPr>
          <w:sz w:val="20"/>
          <w:lang w:val="fr-CA"/>
        </w:rPr>
      </w:pPr>
    </w:p>
    <w:p w:rsidR="00CC76F9" w:rsidRPr="00723D32" w:rsidRDefault="00CC76F9" w:rsidP="00CC76F9">
      <w:pPr>
        <w:pStyle w:val="SCCNormalDoubleSpacing"/>
        <w:spacing w:line="240" w:lineRule="auto"/>
        <w:rPr>
          <w:sz w:val="20"/>
          <w:lang w:val="fr-CA"/>
        </w:rPr>
      </w:pPr>
      <w:r w:rsidRPr="00723D32">
        <w:rPr>
          <w:sz w:val="20"/>
          <w:lang w:val="fr-CA"/>
        </w:rPr>
        <w:tab/>
      </w:r>
      <w:r w:rsidRPr="00723D32">
        <w:rPr>
          <w:i/>
          <w:sz w:val="20"/>
          <w:lang w:val="fr-CA"/>
        </w:rPr>
        <w:t>Arrêt </w:t>
      </w:r>
      <w:r w:rsidRPr="00723D32">
        <w:rPr>
          <w:sz w:val="20"/>
          <w:lang w:val="fr-CA"/>
        </w:rPr>
        <w:t xml:space="preserve">: Le pourvoi est accueilli en partie.  </w:t>
      </w:r>
    </w:p>
    <w:p w:rsidR="00CC76F9" w:rsidRDefault="00CC76F9" w:rsidP="00CC76F9">
      <w:pPr>
        <w:pStyle w:val="SCCNormalDoubleSpacing"/>
        <w:spacing w:line="240" w:lineRule="auto"/>
        <w:rPr>
          <w:sz w:val="20"/>
          <w:lang w:val="fr-CA"/>
        </w:rPr>
      </w:pPr>
    </w:p>
    <w:p w:rsidR="00CC76F9" w:rsidRPr="00723D32" w:rsidRDefault="00CC76F9" w:rsidP="00CC76F9">
      <w:pPr>
        <w:pStyle w:val="SCCNormalDoubleSpacing"/>
        <w:spacing w:line="240" w:lineRule="auto"/>
        <w:rPr>
          <w:sz w:val="20"/>
          <w:lang w:val="fr-CA"/>
        </w:rPr>
      </w:pPr>
      <w:r w:rsidRPr="00723D32">
        <w:rPr>
          <w:sz w:val="20"/>
          <w:lang w:val="fr-CA"/>
        </w:rPr>
        <w:lastRenderedPageBreak/>
        <w:tab/>
        <w:t>L’OPANO a droit à l’immunité, sauf en ce qui a trait à la demande de paiement d’une indemnité de cessation d’emploi formulée par A et fondée sur le règlement régissant le personnel de l’organisation.  En l’absence d’une telle immunité, rien n’empêcherait l’État d’accueil et ses tribunaux de s’ingérer dans les opérations d’une organisation internationale.  Il n’existe en revanche aucune règle de droit international coutumier conférant une immunité aux organisations internationales.  Celle</w:t>
      </w:r>
      <w:r w:rsidRPr="00723D32">
        <w:rPr>
          <w:sz w:val="20"/>
          <w:lang w:val="fr-CA"/>
        </w:rPr>
        <w:noBreakHyphen/>
        <w:t xml:space="preserve">ci est plutôt une créature des traités ou, dans le cas d’organisations internationales plus petites comme l’OPANO, elle découle d’ententes avec leur État d’accueil.  </w:t>
      </w:r>
    </w:p>
    <w:p w:rsidR="00CC76F9" w:rsidRDefault="00CC76F9" w:rsidP="00CC76F9">
      <w:pPr>
        <w:pStyle w:val="SCCNormalDoubleSpacing"/>
        <w:spacing w:line="240" w:lineRule="auto"/>
        <w:rPr>
          <w:sz w:val="20"/>
          <w:lang w:val="fr-CA"/>
        </w:rPr>
      </w:pPr>
    </w:p>
    <w:p w:rsidR="00CC76F9" w:rsidRPr="00723D32" w:rsidRDefault="00CC76F9" w:rsidP="00CC76F9">
      <w:pPr>
        <w:pStyle w:val="SCCNormalDoubleSpacing"/>
        <w:spacing w:line="240" w:lineRule="auto"/>
        <w:rPr>
          <w:sz w:val="20"/>
          <w:lang w:val="fr-CA"/>
        </w:rPr>
      </w:pPr>
      <w:r w:rsidRPr="00723D32">
        <w:rPr>
          <w:sz w:val="20"/>
          <w:lang w:val="fr-CA"/>
        </w:rPr>
        <w:tab/>
        <w:t xml:space="preserve">L’OPANO et le Canada ont conclu une entente qu’énonce le </w:t>
      </w:r>
      <w:r w:rsidRPr="00723D32">
        <w:rPr>
          <w:i/>
          <w:sz w:val="20"/>
          <w:lang w:val="fr-CA"/>
        </w:rPr>
        <w:t>Décret sur l’immunité de l’OPANO</w:t>
      </w:r>
      <w:r w:rsidRPr="00723D32">
        <w:rPr>
          <w:sz w:val="20"/>
          <w:lang w:val="fr-CA"/>
        </w:rPr>
        <w:t xml:space="preserve">.  Le paragraphe 3(1) de cette entente confère à l’OPANO un droit à l’immunité « dans la mesure où ses fonctions l’exigent ».  Conformément aux principes modernes d’interprétation des lois, pour en dégager la signification, cette proposition doit être interprétée dans son contexte global, en suivant le sens ordinaire et grammatical des mots qui s’harmonise avec l’esprit et l’objet du </w:t>
      </w:r>
      <w:r w:rsidRPr="00723D32">
        <w:rPr>
          <w:i/>
          <w:sz w:val="20"/>
          <w:lang w:val="fr-CA"/>
        </w:rPr>
        <w:t>Décret sur l’immunité de l’OPANO</w:t>
      </w:r>
      <w:r w:rsidRPr="00723D32">
        <w:rPr>
          <w:sz w:val="20"/>
          <w:lang w:val="fr-CA"/>
        </w:rPr>
        <w:t xml:space="preserve"> compte tenu des pouvoirs conférés et de l’intention du législateur.  Le sens de la proposition, y compris celui des termes « l’exigent », est déterminant pour l’issue du présent pourvoi.</w:t>
      </w:r>
    </w:p>
    <w:p w:rsidR="00CC76F9" w:rsidRDefault="00CC76F9" w:rsidP="00CC76F9">
      <w:pPr>
        <w:pStyle w:val="SCCNormalDoubleSpacing"/>
        <w:spacing w:line="240" w:lineRule="auto"/>
        <w:rPr>
          <w:sz w:val="20"/>
          <w:lang w:val="fr-CA"/>
        </w:rPr>
      </w:pPr>
    </w:p>
    <w:p w:rsidR="00CC76F9" w:rsidRPr="00723D32" w:rsidRDefault="00CC76F9" w:rsidP="00CC76F9">
      <w:pPr>
        <w:pStyle w:val="SCCNormalDoubleSpacing"/>
        <w:spacing w:line="240" w:lineRule="auto"/>
        <w:rPr>
          <w:sz w:val="20"/>
          <w:lang w:val="fr-CA"/>
        </w:rPr>
      </w:pPr>
      <w:r w:rsidRPr="00723D32">
        <w:rPr>
          <w:sz w:val="20"/>
          <w:lang w:val="fr-CA"/>
        </w:rPr>
        <w:tab/>
        <w:t xml:space="preserve">Même si le sens grammatical et ordinaire des termes « l’exigent » est « nécessaire », le contexte du par. 3(1) suggère qu’il faut plutôt leur donner une interprétation plus libérale.  En effet, les termes « l’exigent » qui figurent au par. 3(1) doivent être interprétés de telle sorte qu’ils aient le même sens libéral que celui qu’ils ont au par. 3(3), parce que le gouverneur en conseil est présumé avoir fait preuve de cohérence dans l’établissement du </w:t>
      </w:r>
      <w:r w:rsidRPr="00723D32">
        <w:rPr>
          <w:i/>
          <w:sz w:val="20"/>
          <w:lang w:val="fr-CA"/>
        </w:rPr>
        <w:t>Décret sur l’immunité de l’OPANO.</w:t>
      </w:r>
      <w:r w:rsidRPr="00723D32">
        <w:rPr>
          <w:sz w:val="20"/>
          <w:lang w:val="fr-CA"/>
        </w:rPr>
        <w:t xml:space="preserve">  La loi confère au</w:t>
      </w:r>
      <w:r w:rsidRPr="00723D32">
        <w:rPr>
          <w:i/>
          <w:sz w:val="20"/>
          <w:lang w:val="fr-CA"/>
        </w:rPr>
        <w:t xml:space="preserve"> </w:t>
      </w:r>
      <w:r w:rsidRPr="00723D32">
        <w:rPr>
          <w:sz w:val="20"/>
          <w:lang w:val="fr-CA"/>
        </w:rPr>
        <w:t xml:space="preserve">gouverneur en conseil le pouvoir de déterminer l’étendue des immunités à accorder au cas par cas à chaque organisation internationale.  Or, il a conféré à l’OPANO une large immunité fonctionnelle, comme en témoigne le libellé même du par. 3(1) : « dans la mesure où [l]es fonctions [de l’organisation] l’exigent ».  Ne pas interpréter libéralement le par. 3(1) irait à l’encontre de l’objet et de l’esprit du </w:t>
      </w:r>
      <w:r w:rsidRPr="00723D32">
        <w:rPr>
          <w:i/>
          <w:sz w:val="20"/>
          <w:lang w:val="fr-CA"/>
        </w:rPr>
        <w:t>Décret sur l’immunité de l’OPANO</w:t>
      </w:r>
      <w:r w:rsidRPr="00723D32">
        <w:rPr>
          <w:sz w:val="20"/>
          <w:lang w:val="fr-CA"/>
        </w:rPr>
        <w:t xml:space="preserve"> de même que des objectifs poursuivis par le législateur, soit la modernisation, la souplesse et le respect de l’indépendance des organisations internationales.</w:t>
      </w:r>
    </w:p>
    <w:p w:rsidR="00CC76F9" w:rsidRDefault="00CC76F9" w:rsidP="00CC76F9">
      <w:pPr>
        <w:pStyle w:val="SCCNormalDoubleSpacing"/>
        <w:spacing w:line="240" w:lineRule="auto"/>
        <w:rPr>
          <w:sz w:val="20"/>
          <w:lang w:val="fr-CA"/>
        </w:rPr>
      </w:pPr>
    </w:p>
    <w:p w:rsidR="00CC76F9" w:rsidRPr="00723D32" w:rsidRDefault="00CC76F9" w:rsidP="00CC76F9">
      <w:pPr>
        <w:pStyle w:val="SCCNormalDoubleSpacing"/>
        <w:spacing w:line="240" w:lineRule="auto"/>
        <w:rPr>
          <w:sz w:val="20"/>
          <w:lang w:val="fr-CA"/>
        </w:rPr>
      </w:pPr>
      <w:r w:rsidRPr="00723D32">
        <w:rPr>
          <w:sz w:val="20"/>
          <w:lang w:val="fr-CA"/>
        </w:rPr>
        <w:tab/>
        <w:t>En l’espèce, sauf en ce qui a trait à la demande de paiement de l’indemnité de cessation d’emploi fondée sur le règlement régissant le personnel de l’OPANO, celle-ci a besoin de l’immunité quant aux réclamations de A pour pouvoir s’acquitter de ses fonctions.  A était le numéro deux du secrétariat.  Il supervisait directement d’autres employés et était responsable du volet scientifique du mandat de l’organisation.  L’OPANO doit être en mesure de gérer ses employés, notamment ceux qui occupent des postes supérieurs, afin d’accomplir efficacement ses fonctions.  Permettre que des poursuites liées à l’emploi intentées contre l’OPANO par ses cadres supérieurs soient entendues par les tribunaux canadiens porterait atteinte de façon injustifiée à l’autonomie de l’OPANO dans l’exercice de ses fonctions et reviendrait à assujettir ses opérations de gestion à la surveillance des institutions de l’État d’accueil.  L’absence d’un mécanisme de règlement des différends ou d’un processus interne d’examen n’est pas en soi déterminante pour décider si l’OPANO bénéficie de l’immunité.  Bien qu’il soit regrettable que l’appelant ne puisse pas faire valoir ses moyens devant un tribunal et demander réparation, c’est dans la nature même de l’immunité de juridiction que certaines affaires soient soustraites de la compétence des tribunaux de l’État d’accueil.</w:t>
      </w:r>
    </w:p>
    <w:p w:rsidR="00CC76F9" w:rsidRDefault="00CC76F9" w:rsidP="00CC76F9">
      <w:pPr>
        <w:pStyle w:val="SCCNormalDoubleSpacing"/>
        <w:spacing w:line="240" w:lineRule="auto"/>
        <w:rPr>
          <w:sz w:val="20"/>
          <w:lang w:val="fr-CA"/>
        </w:rPr>
      </w:pPr>
    </w:p>
    <w:p w:rsidR="00CC76F9" w:rsidRDefault="00CC76F9" w:rsidP="00CC76F9">
      <w:pPr>
        <w:pStyle w:val="SCCNormalDoubleSpacing"/>
        <w:spacing w:line="240" w:lineRule="auto"/>
        <w:rPr>
          <w:sz w:val="20"/>
          <w:lang w:val="fr-CA"/>
        </w:rPr>
      </w:pPr>
      <w:r w:rsidRPr="00723D32">
        <w:rPr>
          <w:sz w:val="20"/>
          <w:lang w:val="fr-CA"/>
        </w:rPr>
        <w:tab/>
        <w:t xml:space="preserve">Pour que l’OPANO puisse s’acquitter de ses fonctions sans qu’il soit porté atteinte à son autonomie, il n’est toutefois pas nécessaire qu’elle jouisse de l’immunité à l’égard de la réclamation de A relative à son indemnité de cessation d’emploi.  D’ailleurs, l’OPANO reconnaît devoir une telle indemnité à A en application du règlement régissant son personnel et concède que le </w:t>
      </w:r>
      <w:r w:rsidRPr="00723D32">
        <w:rPr>
          <w:i/>
          <w:sz w:val="20"/>
          <w:lang w:val="fr-CA"/>
        </w:rPr>
        <w:t>Décret sur l’immunité de l’OPANO</w:t>
      </w:r>
      <w:r w:rsidRPr="00723D32">
        <w:rPr>
          <w:sz w:val="20"/>
          <w:lang w:val="fr-CA"/>
        </w:rPr>
        <w:t xml:space="preserve"> ne la met pas à l’abri de cette réclamation.  Cette dernière doit pouvoir suivre son cours et l’appel être accueilli à cet égard. </w:t>
      </w:r>
    </w:p>
    <w:p w:rsidR="00CC76F9" w:rsidRDefault="00CC76F9" w:rsidP="00CC76F9">
      <w:pPr>
        <w:pStyle w:val="SCCNormalDoubleSpacing"/>
        <w:spacing w:line="240" w:lineRule="auto"/>
        <w:rPr>
          <w:sz w:val="20"/>
          <w:lang w:val="fr-CA"/>
        </w:rPr>
      </w:pPr>
    </w:p>
    <w:p w:rsidR="00CC76F9" w:rsidRPr="00723D32" w:rsidRDefault="00CC76F9" w:rsidP="00CC76F9">
      <w:pPr>
        <w:pStyle w:val="SCCNormalDoubleSpacing"/>
        <w:spacing w:line="240" w:lineRule="auto"/>
        <w:rPr>
          <w:sz w:val="20"/>
          <w:lang w:val="fr-CA"/>
        </w:rPr>
      </w:pPr>
      <w:r w:rsidRPr="00723D32">
        <w:rPr>
          <w:sz w:val="20"/>
          <w:lang w:val="fr-CA"/>
        </w:rPr>
        <w:tab/>
        <w:t>POURVOI contre un arrêt de la Cour d’appel de la Nouvelle</w:t>
      </w:r>
      <w:r w:rsidRPr="00723D32">
        <w:rPr>
          <w:sz w:val="20"/>
          <w:lang w:val="fr-CA"/>
        </w:rPr>
        <w:noBreakHyphen/>
        <w:t>Écosse (le juge en chef MacDonald et les juges Beveridge et Bryson), 2011 NSCA 73, 306 N.S.R. (2d) 380, 968 A.P.R. 380, 94 C.C.E.L. (3d) 198. 337 D.L.R. (4th) 668, [2011] N.S.J. No. 453 (QL), 2011 CarswellNS 587, qui a infirmé une décision du juge Wright, 2010 NSSC 346, 295 N.S.R. (2d) 331, 935 A.P.R. 331, 85 C.C.E.L. (3d) 144, [2010] N.S.J. No. 508 (QL), 2010 CarswellNS 618.  Pourvoi accueilli en partie.</w:t>
      </w:r>
    </w:p>
    <w:p w:rsidR="00CC76F9" w:rsidRDefault="00CC76F9" w:rsidP="00CC76F9">
      <w:pPr>
        <w:pStyle w:val="SCCNormalDoubleSpacing"/>
        <w:spacing w:line="240" w:lineRule="auto"/>
        <w:rPr>
          <w:i/>
          <w:sz w:val="20"/>
          <w:lang w:val="fr-CA"/>
        </w:rPr>
      </w:pPr>
    </w:p>
    <w:p w:rsidR="00CC76F9" w:rsidRPr="00723D32" w:rsidRDefault="00CC76F9" w:rsidP="00CC76F9">
      <w:pPr>
        <w:pStyle w:val="SCCNormalDoubleSpacing"/>
        <w:spacing w:line="240" w:lineRule="auto"/>
        <w:rPr>
          <w:sz w:val="20"/>
          <w:lang w:val="fr-CA"/>
        </w:rPr>
      </w:pPr>
      <w:r w:rsidRPr="00723D32">
        <w:rPr>
          <w:i/>
          <w:sz w:val="20"/>
          <w:lang w:val="fr-CA"/>
        </w:rPr>
        <w:tab/>
        <w:t>David A. Copp</w:t>
      </w:r>
      <w:r w:rsidRPr="00723D32">
        <w:rPr>
          <w:sz w:val="20"/>
          <w:lang w:val="fr-CA"/>
        </w:rPr>
        <w:t>, pour l’appelant.</w:t>
      </w:r>
    </w:p>
    <w:p w:rsidR="00CC76F9" w:rsidRDefault="00CC76F9" w:rsidP="00CC76F9">
      <w:pPr>
        <w:pStyle w:val="SCCNormalDoubleSpacing"/>
        <w:spacing w:line="240" w:lineRule="auto"/>
        <w:rPr>
          <w:i/>
          <w:sz w:val="20"/>
          <w:lang w:val="fr-CA"/>
        </w:rPr>
      </w:pPr>
    </w:p>
    <w:p w:rsidR="00CC76F9" w:rsidRPr="00723D32" w:rsidRDefault="00CC76F9" w:rsidP="00CC76F9">
      <w:pPr>
        <w:pStyle w:val="SCCNormalDoubleSpacing"/>
        <w:spacing w:line="240" w:lineRule="auto"/>
        <w:rPr>
          <w:sz w:val="20"/>
          <w:lang w:val="fr-CA"/>
        </w:rPr>
      </w:pPr>
      <w:r w:rsidRPr="00723D32">
        <w:rPr>
          <w:i/>
          <w:sz w:val="20"/>
          <w:lang w:val="fr-CA"/>
        </w:rPr>
        <w:tab/>
        <w:t>John T. Shanks</w:t>
      </w:r>
      <w:r w:rsidRPr="00723D32">
        <w:rPr>
          <w:sz w:val="20"/>
          <w:lang w:val="fr-CA"/>
        </w:rPr>
        <w:t xml:space="preserve"> et </w:t>
      </w:r>
      <w:r w:rsidRPr="00723D32">
        <w:rPr>
          <w:i/>
          <w:sz w:val="20"/>
          <w:lang w:val="fr-CA"/>
        </w:rPr>
        <w:t>Richard Dunlop</w:t>
      </w:r>
      <w:r w:rsidRPr="00723D32">
        <w:rPr>
          <w:sz w:val="20"/>
          <w:lang w:val="fr-CA"/>
        </w:rPr>
        <w:t>, pour l’intimée.</w:t>
      </w:r>
    </w:p>
    <w:p w:rsidR="00CC76F9" w:rsidRDefault="00CC76F9" w:rsidP="00CC76F9">
      <w:pPr>
        <w:pStyle w:val="SCCNormalDoubleSpacing"/>
        <w:spacing w:line="240" w:lineRule="auto"/>
        <w:rPr>
          <w:i/>
          <w:sz w:val="20"/>
          <w:lang w:val="fr-CA"/>
        </w:rPr>
      </w:pPr>
    </w:p>
    <w:p w:rsidR="00CC76F9" w:rsidRPr="00723D32" w:rsidRDefault="00CC76F9" w:rsidP="00CC76F9">
      <w:pPr>
        <w:pStyle w:val="SCCNormalDoubleSpacing"/>
        <w:spacing w:line="240" w:lineRule="auto"/>
        <w:rPr>
          <w:sz w:val="20"/>
          <w:lang w:val="fr-CA"/>
        </w:rPr>
      </w:pPr>
      <w:r w:rsidRPr="00723D32">
        <w:rPr>
          <w:i/>
          <w:sz w:val="20"/>
          <w:lang w:val="fr-CA"/>
        </w:rPr>
        <w:lastRenderedPageBreak/>
        <w:tab/>
        <w:t xml:space="preserve">Ewa Krajewska </w:t>
      </w:r>
      <w:r w:rsidRPr="00723D32">
        <w:rPr>
          <w:sz w:val="20"/>
          <w:lang w:val="fr-CA"/>
        </w:rPr>
        <w:t>et</w:t>
      </w:r>
      <w:r w:rsidRPr="00723D32">
        <w:rPr>
          <w:i/>
          <w:sz w:val="20"/>
          <w:lang w:val="fr-CA"/>
        </w:rPr>
        <w:t xml:space="preserve"> Heather K. Pessione</w:t>
      </w:r>
      <w:r w:rsidRPr="00723D32">
        <w:rPr>
          <w:sz w:val="20"/>
          <w:lang w:val="fr-CA"/>
        </w:rPr>
        <w:t>, pour l’intervenante.</w:t>
      </w:r>
    </w:p>
    <w:p w:rsidR="00CC76F9" w:rsidRDefault="00CC76F9" w:rsidP="00CC76F9">
      <w:pPr>
        <w:pStyle w:val="SCCLawFirm"/>
        <w:spacing w:line="240" w:lineRule="auto"/>
        <w:rPr>
          <w:sz w:val="20"/>
          <w:lang w:val="fr-CA"/>
        </w:rPr>
      </w:pPr>
    </w:p>
    <w:p w:rsidR="00CC76F9" w:rsidRPr="00723D32" w:rsidRDefault="00CC76F9" w:rsidP="00CC76F9">
      <w:pPr>
        <w:pStyle w:val="SCCLawFirm"/>
        <w:spacing w:line="240" w:lineRule="auto"/>
        <w:rPr>
          <w:sz w:val="20"/>
          <w:lang w:val="fr-CA"/>
        </w:rPr>
      </w:pPr>
      <w:r w:rsidRPr="00723D32">
        <w:rPr>
          <w:sz w:val="20"/>
          <w:lang w:val="fr-CA"/>
        </w:rPr>
        <w:tab/>
        <w:t>Procureur de l’appelant : David A. Copp, Halifax.</w:t>
      </w:r>
    </w:p>
    <w:p w:rsidR="00CC76F9" w:rsidRDefault="00CC76F9" w:rsidP="00CC76F9">
      <w:pPr>
        <w:pStyle w:val="SCCLawFirm"/>
        <w:spacing w:line="240" w:lineRule="auto"/>
        <w:rPr>
          <w:sz w:val="20"/>
          <w:lang w:val="fr-CA"/>
        </w:rPr>
      </w:pPr>
    </w:p>
    <w:p w:rsidR="00CC76F9" w:rsidRPr="00723D32" w:rsidRDefault="00CC76F9" w:rsidP="00CC76F9">
      <w:pPr>
        <w:pStyle w:val="SCCLawFirm"/>
        <w:spacing w:line="240" w:lineRule="auto"/>
        <w:rPr>
          <w:sz w:val="20"/>
          <w:lang w:val="fr-CA"/>
        </w:rPr>
      </w:pPr>
      <w:r w:rsidRPr="00723D32">
        <w:rPr>
          <w:sz w:val="20"/>
          <w:lang w:val="fr-CA"/>
        </w:rPr>
        <w:tab/>
        <w:t>Procureurs de l’intimée : Stewart McKelvey, Halifax.</w:t>
      </w:r>
    </w:p>
    <w:p w:rsidR="00CC76F9" w:rsidRDefault="00CC76F9" w:rsidP="00CC76F9">
      <w:pPr>
        <w:pStyle w:val="SCCLawFirm"/>
        <w:spacing w:line="240" w:lineRule="auto"/>
        <w:rPr>
          <w:sz w:val="20"/>
          <w:lang w:val="fr-CA"/>
        </w:rPr>
      </w:pPr>
    </w:p>
    <w:p w:rsidR="00CC76F9" w:rsidRDefault="00CC76F9" w:rsidP="00CC76F9">
      <w:pPr>
        <w:pStyle w:val="SCCLawFirm"/>
        <w:spacing w:line="240" w:lineRule="auto"/>
        <w:rPr>
          <w:sz w:val="20"/>
          <w:lang w:val="fr-CA"/>
        </w:rPr>
      </w:pPr>
      <w:r w:rsidRPr="00723D32">
        <w:rPr>
          <w:sz w:val="20"/>
          <w:lang w:val="fr-CA"/>
        </w:rPr>
        <w:tab/>
        <w:t>Procureurs de l’intervenante : Borden Ladner Gervais, Toronto.</w:t>
      </w:r>
    </w:p>
    <w:p w:rsidR="00902E51" w:rsidRPr="00352A49" w:rsidRDefault="00902E51" w:rsidP="00902E51">
      <w:pPr>
        <w:rPr>
          <w:sz w:val="20"/>
          <w:szCs w:val="20"/>
          <w:lang w:val="fr-CA"/>
        </w:rPr>
      </w:pPr>
    </w:p>
    <w:p w:rsidR="00902E51" w:rsidRDefault="003513AE" w:rsidP="00902E51">
      <w:pPr>
        <w:rPr>
          <w:rFonts w:cs="Times New Roman"/>
          <w:sz w:val="20"/>
          <w:szCs w:val="20"/>
          <w:lang w:val="fr-CA"/>
        </w:rPr>
      </w:pPr>
      <w:r>
        <w:rPr>
          <w:rFonts w:cs="Times New Roman"/>
          <w:sz w:val="20"/>
          <w:szCs w:val="20"/>
          <w:lang w:val="fr-CA"/>
        </w:rPr>
        <w:pict>
          <v:rect id="_x0000_i1070"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576" w:footer="960" w:gutter="0"/>
          <w:cols w:space="720"/>
          <w:titlePg/>
          <w:docGrid w:linePitch="272"/>
        </w:sectPr>
      </w:pPr>
    </w:p>
    <w:p w:rsidR="0081610A" w:rsidRPr="002E0C7E" w:rsidRDefault="00E704B0"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DD525D">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D525D">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D525D">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D525D">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D525D">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D525D">
            <w:pPr>
              <w:widowControl w:val="0"/>
              <w:jc w:val="center"/>
              <w:rPr>
                <w:rFonts w:ascii="Arial" w:hAnsi="Arial"/>
                <w:sz w:val="14"/>
              </w:rPr>
            </w:pPr>
            <w:r w:rsidRPr="002E0C7E">
              <w:rPr>
                <w:rFonts w:ascii="Arial" w:hAnsi="Arial"/>
                <w:b/>
                <w:sz w:val="14"/>
              </w:rPr>
              <w:t>DECEMBER - DÉCEMBRE</w:t>
            </w:r>
          </w:p>
        </w:tc>
      </w:tr>
      <w:tr w:rsidR="0081610A" w:rsidRPr="002E0C7E" w:rsidTr="00DD525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S</w:t>
            </w:r>
          </w:p>
          <w:p w:rsidR="0081610A" w:rsidRPr="002E0C7E" w:rsidRDefault="0081610A" w:rsidP="00DD525D">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M</w:t>
            </w:r>
          </w:p>
          <w:p w:rsidR="0081610A" w:rsidRPr="002E0C7E" w:rsidRDefault="0081610A" w:rsidP="00DD525D">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W</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F</w:t>
            </w:r>
          </w:p>
          <w:p w:rsidR="0081610A" w:rsidRPr="002E0C7E" w:rsidRDefault="0081610A" w:rsidP="00DD525D">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S</w:t>
            </w:r>
          </w:p>
          <w:p w:rsidR="0081610A" w:rsidRPr="002E0C7E" w:rsidRDefault="0081610A" w:rsidP="00DD525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S</w:t>
            </w:r>
          </w:p>
          <w:p w:rsidR="0081610A" w:rsidRPr="002E0C7E" w:rsidRDefault="0081610A" w:rsidP="00DD525D">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M</w:t>
            </w:r>
          </w:p>
          <w:p w:rsidR="0081610A" w:rsidRPr="002E0C7E" w:rsidRDefault="0081610A" w:rsidP="00DD525D">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W</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F</w:t>
            </w:r>
          </w:p>
          <w:p w:rsidR="0081610A" w:rsidRPr="002E0C7E" w:rsidRDefault="0081610A" w:rsidP="00DD525D">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S</w:t>
            </w:r>
          </w:p>
          <w:p w:rsidR="0081610A" w:rsidRPr="002E0C7E" w:rsidRDefault="0081610A" w:rsidP="00DD525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S</w:t>
            </w:r>
          </w:p>
          <w:p w:rsidR="0081610A" w:rsidRPr="002E0C7E" w:rsidRDefault="0081610A" w:rsidP="00DD525D">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M</w:t>
            </w:r>
          </w:p>
          <w:p w:rsidR="0081610A" w:rsidRPr="002E0C7E" w:rsidRDefault="0081610A" w:rsidP="00DD525D">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W</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F</w:t>
            </w:r>
          </w:p>
          <w:p w:rsidR="0081610A" w:rsidRPr="002E0C7E" w:rsidRDefault="0081610A" w:rsidP="00DD525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S</w:t>
            </w:r>
          </w:p>
          <w:p w:rsidR="0081610A" w:rsidRPr="002E0C7E" w:rsidRDefault="0081610A" w:rsidP="00DD525D">
            <w:pPr>
              <w:widowControl w:val="0"/>
              <w:jc w:val="center"/>
              <w:rPr>
                <w:rFonts w:ascii="Arial" w:hAnsi="Arial"/>
                <w:sz w:val="14"/>
              </w:rPr>
            </w:pPr>
            <w:r w:rsidRPr="002E0C7E">
              <w:rPr>
                <w:rFonts w:ascii="Arial" w:hAnsi="Arial"/>
                <w:sz w:val="14"/>
              </w:rPr>
              <w:t>S</w:t>
            </w:r>
          </w:p>
        </w:tc>
      </w:tr>
      <w:tr w:rsidR="0081610A" w:rsidRPr="002E0C7E" w:rsidTr="00DD525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DD525D">
            <w:pPr>
              <w:widowControl w:val="0"/>
              <w:jc w:val="center"/>
              <w:rPr>
                <w:rFonts w:ascii="Arial" w:hAnsi="Arial"/>
                <w:b/>
                <w:sz w:val="14"/>
              </w:rPr>
            </w:pPr>
            <w:r>
              <w:rPr>
                <w:rFonts w:ascii="Arial" w:hAnsi="Arial"/>
                <w:b/>
                <w:sz w:val="14"/>
              </w:rPr>
              <w:t>M</w:t>
            </w:r>
          </w:p>
          <w:p w:rsidR="0081610A" w:rsidRPr="002E0C7E" w:rsidRDefault="0081610A" w:rsidP="00DD525D">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7</w:t>
            </w:r>
          </w:p>
        </w:tc>
      </w:tr>
      <w:tr w:rsidR="0081610A" w:rsidRPr="002E0C7E" w:rsidTr="00DD525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DD525D">
            <w:pPr>
              <w:widowControl w:val="0"/>
              <w:jc w:val="center"/>
              <w:rPr>
                <w:rFonts w:ascii="Arial" w:hAnsi="Arial"/>
                <w:b/>
                <w:sz w:val="14"/>
              </w:rPr>
            </w:pPr>
            <w:r>
              <w:rPr>
                <w:rFonts w:ascii="Arial" w:hAnsi="Arial"/>
                <w:b/>
                <w:sz w:val="14"/>
              </w:rPr>
              <w:t>M</w:t>
            </w:r>
          </w:p>
          <w:p w:rsidR="0081610A" w:rsidRPr="002E0C7E" w:rsidRDefault="0081610A" w:rsidP="00DD525D">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DD525D">
            <w:pPr>
              <w:widowControl w:val="0"/>
              <w:jc w:val="center"/>
              <w:rPr>
                <w:rFonts w:ascii="Arial" w:hAnsi="Arial"/>
                <w:b/>
                <w:sz w:val="14"/>
              </w:rPr>
            </w:pPr>
          </w:p>
          <w:p w:rsidR="0081610A" w:rsidRPr="002E0C7E" w:rsidRDefault="0081610A" w:rsidP="00DD525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b/>
                <w:sz w:val="14"/>
              </w:rPr>
              <w:t>M</w:t>
            </w:r>
          </w:p>
          <w:p w:rsidR="0081610A" w:rsidRPr="002E0C7E" w:rsidRDefault="0081610A" w:rsidP="00DD525D">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14</w:t>
            </w:r>
          </w:p>
        </w:tc>
      </w:tr>
      <w:tr w:rsidR="0081610A" w:rsidRPr="002E0C7E" w:rsidTr="00DD525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DD525D">
            <w:pPr>
              <w:widowControl w:val="0"/>
              <w:jc w:val="center"/>
              <w:rPr>
                <w:rFonts w:ascii="Arial" w:hAnsi="Arial"/>
                <w:b/>
                <w:sz w:val="14"/>
              </w:rPr>
            </w:pPr>
            <w:r>
              <w:rPr>
                <w:rFonts w:ascii="Arial" w:hAnsi="Arial"/>
                <w:b/>
                <w:sz w:val="14"/>
              </w:rPr>
              <w:t>H</w:t>
            </w: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DD525D">
            <w:pPr>
              <w:widowControl w:val="0"/>
              <w:jc w:val="center"/>
              <w:rPr>
                <w:rFonts w:ascii="Arial" w:hAnsi="Arial"/>
                <w:sz w:val="14"/>
              </w:rPr>
            </w:pPr>
            <w:r>
              <w:rPr>
                <w:rFonts w:ascii="Arial" w:hAnsi="Arial"/>
                <w:b/>
                <w:sz w:val="14"/>
              </w:rPr>
              <w:t>H</w:t>
            </w: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DD525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DD525D">
            <w:pPr>
              <w:widowControl w:val="0"/>
              <w:jc w:val="center"/>
              <w:rPr>
                <w:rFonts w:ascii="Arial" w:hAnsi="Arial"/>
                <w:b/>
                <w:sz w:val="14"/>
              </w:rPr>
            </w:pPr>
            <w:r>
              <w:rPr>
                <w:rFonts w:ascii="Arial" w:hAnsi="Arial"/>
                <w:b/>
                <w:sz w:val="14"/>
              </w:rPr>
              <w:t>H</w:t>
            </w:r>
          </w:p>
          <w:p w:rsidR="0081610A" w:rsidRPr="002E0C7E" w:rsidRDefault="0081610A" w:rsidP="00DD525D">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DD525D">
            <w:pPr>
              <w:widowControl w:val="0"/>
              <w:jc w:val="center"/>
              <w:rPr>
                <w:rFonts w:ascii="Arial" w:hAnsi="Arial"/>
                <w:b/>
                <w:sz w:val="14"/>
              </w:rPr>
            </w:pPr>
            <w:r>
              <w:rPr>
                <w:rFonts w:ascii="Arial" w:hAnsi="Arial"/>
                <w:b/>
                <w:sz w:val="14"/>
              </w:rPr>
              <w:t>H</w:t>
            </w:r>
          </w:p>
          <w:p w:rsidR="0081610A" w:rsidRPr="002E0C7E" w:rsidRDefault="0081610A" w:rsidP="00DD525D">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DD525D">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DD525D">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D525D">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D525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D525D">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D525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D525D">
            <w:pPr>
              <w:widowControl w:val="0"/>
              <w:jc w:val="center"/>
              <w:rPr>
                <w:rFonts w:ascii="Arial" w:hAnsi="Arial"/>
                <w:sz w:val="14"/>
              </w:rPr>
            </w:pPr>
            <w:r w:rsidRPr="002E0C7E">
              <w:rPr>
                <w:rFonts w:ascii="Arial" w:hAnsi="Arial"/>
                <w:b/>
                <w:sz w:val="14"/>
              </w:rPr>
              <w:t>MARCH - MARS</w:t>
            </w:r>
          </w:p>
        </w:tc>
      </w:tr>
      <w:tr w:rsidR="0081610A" w:rsidRPr="002E0C7E" w:rsidTr="00DD525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S</w:t>
            </w:r>
          </w:p>
          <w:p w:rsidR="0081610A" w:rsidRPr="002E0C7E" w:rsidRDefault="0081610A" w:rsidP="00DD525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M</w:t>
            </w:r>
          </w:p>
          <w:p w:rsidR="0081610A" w:rsidRPr="002E0C7E" w:rsidRDefault="0081610A" w:rsidP="00DD525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W</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F</w:t>
            </w:r>
          </w:p>
          <w:p w:rsidR="0081610A" w:rsidRPr="002E0C7E" w:rsidRDefault="0081610A" w:rsidP="00DD525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S</w:t>
            </w:r>
          </w:p>
          <w:p w:rsidR="0081610A" w:rsidRPr="002E0C7E" w:rsidRDefault="0081610A" w:rsidP="00DD525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S</w:t>
            </w:r>
          </w:p>
          <w:p w:rsidR="0081610A" w:rsidRPr="002E0C7E" w:rsidRDefault="0081610A" w:rsidP="00DD525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M</w:t>
            </w:r>
          </w:p>
          <w:p w:rsidR="0081610A" w:rsidRPr="002E0C7E" w:rsidRDefault="0081610A" w:rsidP="00DD525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W</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F</w:t>
            </w:r>
          </w:p>
          <w:p w:rsidR="0081610A" w:rsidRPr="002E0C7E" w:rsidRDefault="0081610A" w:rsidP="00DD525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S</w:t>
            </w:r>
          </w:p>
          <w:p w:rsidR="0081610A" w:rsidRPr="002E0C7E" w:rsidRDefault="0081610A" w:rsidP="00DD525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S</w:t>
            </w:r>
          </w:p>
          <w:p w:rsidR="0081610A" w:rsidRPr="002E0C7E" w:rsidRDefault="0081610A" w:rsidP="00DD525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M</w:t>
            </w:r>
          </w:p>
          <w:p w:rsidR="0081610A" w:rsidRPr="002E0C7E" w:rsidRDefault="0081610A" w:rsidP="00DD525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W</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F</w:t>
            </w:r>
          </w:p>
          <w:p w:rsidR="0081610A" w:rsidRPr="002E0C7E" w:rsidRDefault="0081610A" w:rsidP="00DD525D">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S</w:t>
            </w:r>
          </w:p>
          <w:p w:rsidR="0081610A" w:rsidRPr="002E0C7E" w:rsidRDefault="0081610A" w:rsidP="00DD525D">
            <w:pPr>
              <w:widowControl w:val="0"/>
              <w:jc w:val="center"/>
              <w:rPr>
                <w:rFonts w:ascii="Arial" w:hAnsi="Arial"/>
                <w:sz w:val="14"/>
              </w:rPr>
            </w:pPr>
            <w:r w:rsidRPr="002E0C7E">
              <w:rPr>
                <w:rFonts w:ascii="Arial" w:hAnsi="Arial"/>
                <w:sz w:val="14"/>
              </w:rPr>
              <w:t>S</w:t>
            </w:r>
          </w:p>
        </w:tc>
      </w:tr>
      <w:tr w:rsidR="0081610A" w:rsidRPr="002E0C7E" w:rsidTr="00DD525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DD525D">
            <w:pPr>
              <w:widowControl w:val="0"/>
              <w:jc w:val="center"/>
              <w:rPr>
                <w:rFonts w:ascii="Arial" w:hAnsi="Arial"/>
                <w:b/>
                <w:sz w:val="14"/>
              </w:rPr>
            </w:pPr>
          </w:p>
          <w:p w:rsidR="0081610A" w:rsidRPr="002E0C7E" w:rsidRDefault="0081610A" w:rsidP="00DD525D">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DD525D">
            <w:pPr>
              <w:widowControl w:val="0"/>
              <w:jc w:val="center"/>
              <w:rPr>
                <w:rFonts w:ascii="Arial" w:hAnsi="Arial"/>
                <w:b/>
                <w:sz w:val="14"/>
              </w:rPr>
            </w:pPr>
            <w:r>
              <w:rPr>
                <w:rFonts w:ascii="Arial" w:hAnsi="Arial"/>
                <w:b/>
                <w:sz w:val="14"/>
              </w:rPr>
              <w:t>H</w:t>
            </w:r>
          </w:p>
          <w:p w:rsidR="0081610A" w:rsidRPr="002E0C7E" w:rsidRDefault="0081610A" w:rsidP="00DD525D">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w:t>
            </w:r>
          </w:p>
        </w:tc>
      </w:tr>
      <w:tr w:rsidR="0081610A" w:rsidRPr="002E0C7E" w:rsidTr="00DD525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8</w:t>
            </w:r>
          </w:p>
        </w:tc>
      </w:tr>
      <w:tr w:rsidR="0081610A" w:rsidRPr="002E0C7E" w:rsidTr="00DD525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DD525D">
            <w:pPr>
              <w:widowControl w:val="0"/>
              <w:jc w:val="center"/>
              <w:rPr>
                <w:rFonts w:ascii="Arial" w:hAnsi="Arial"/>
                <w:b/>
                <w:sz w:val="14"/>
              </w:rPr>
            </w:pPr>
            <w:r>
              <w:rPr>
                <w:rFonts w:ascii="Arial" w:hAnsi="Arial"/>
                <w:b/>
                <w:sz w:val="14"/>
              </w:rPr>
              <w:t>M</w:t>
            </w: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DD525D">
            <w:pPr>
              <w:widowControl w:val="0"/>
              <w:jc w:val="center"/>
              <w:rPr>
                <w:rFonts w:ascii="Arial" w:hAnsi="Arial"/>
                <w:b/>
                <w:sz w:val="14"/>
              </w:rPr>
            </w:pPr>
            <w:r>
              <w:rPr>
                <w:rFonts w:ascii="Arial" w:hAnsi="Arial"/>
                <w:b/>
                <w:sz w:val="14"/>
              </w:rPr>
              <w:t>M</w:t>
            </w: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DD525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DD525D">
            <w:pPr>
              <w:widowControl w:val="0"/>
              <w:jc w:val="center"/>
              <w:rPr>
                <w:rFonts w:ascii="Arial" w:hAnsi="Arial"/>
                <w:b/>
                <w:sz w:val="14"/>
              </w:rPr>
            </w:pPr>
            <w:r>
              <w:rPr>
                <w:rFonts w:ascii="Arial" w:hAnsi="Arial"/>
                <w:b/>
                <w:sz w:val="14"/>
              </w:rPr>
              <w:t>M</w:t>
            </w: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DD525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Pr>
                <w:rFonts w:ascii="Arial" w:hAnsi="Arial"/>
                <w:sz w:val="14"/>
              </w:rPr>
              <w:t>23</w:t>
            </w:r>
          </w:p>
          <w:p w:rsidR="0081610A" w:rsidRPr="002E0C7E" w:rsidRDefault="0081610A" w:rsidP="00DD525D">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r>
              <w:rPr>
                <w:rFonts w:ascii="Arial" w:hAnsi="Arial"/>
                <w:sz w:val="14"/>
              </w:rPr>
              <w:t>24</w:t>
            </w:r>
          </w:p>
          <w:p w:rsidR="0081610A" w:rsidRPr="002E0C7E" w:rsidRDefault="0081610A" w:rsidP="00DD525D">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DD525D">
            <w:pPr>
              <w:widowControl w:val="0"/>
              <w:jc w:val="center"/>
              <w:rPr>
                <w:rFonts w:ascii="Arial" w:hAnsi="Arial"/>
                <w:b/>
                <w:sz w:val="14"/>
              </w:rPr>
            </w:pPr>
          </w:p>
          <w:p w:rsidR="0081610A" w:rsidRPr="002E0C7E" w:rsidRDefault="0081610A" w:rsidP="00DD525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DD525D">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D525D">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D525D">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D525D">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D525D">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D525D">
            <w:pPr>
              <w:widowControl w:val="0"/>
              <w:jc w:val="center"/>
              <w:rPr>
                <w:rFonts w:ascii="Arial" w:hAnsi="Arial"/>
                <w:sz w:val="14"/>
              </w:rPr>
            </w:pPr>
            <w:r w:rsidRPr="002E0C7E">
              <w:rPr>
                <w:rFonts w:ascii="Arial" w:hAnsi="Arial"/>
                <w:b/>
                <w:sz w:val="14"/>
              </w:rPr>
              <w:t>JUNE - JUIN</w:t>
            </w:r>
          </w:p>
        </w:tc>
      </w:tr>
      <w:tr w:rsidR="0081610A" w:rsidRPr="002E0C7E" w:rsidTr="00DD525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S</w:t>
            </w:r>
          </w:p>
          <w:p w:rsidR="0081610A" w:rsidRPr="002E0C7E" w:rsidRDefault="0081610A" w:rsidP="00DD525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M</w:t>
            </w:r>
          </w:p>
          <w:p w:rsidR="0081610A" w:rsidRPr="002E0C7E" w:rsidRDefault="0081610A" w:rsidP="00DD525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W</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F</w:t>
            </w:r>
          </w:p>
          <w:p w:rsidR="0081610A" w:rsidRPr="002E0C7E" w:rsidRDefault="0081610A" w:rsidP="00DD525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S</w:t>
            </w:r>
          </w:p>
          <w:p w:rsidR="0081610A" w:rsidRPr="002E0C7E" w:rsidRDefault="0081610A" w:rsidP="00DD525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S</w:t>
            </w:r>
          </w:p>
          <w:p w:rsidR="0081610A" w:rsidRPr="002E0C7E" w:rsidRDefault="0081610A" w:rsidP="00DD525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M</w:t>
            </w:r>
          </w:p>
          <w:p w:rsidR="0081610A" w:rsidRPr="002E0C7E" w:rsidRDefault="0081610A" w:rsidP="00DD525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W</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F</w:t>
            </w:r>
          </w:p>
          <w:p w:rsidR="0081610A" w:rsidRPr="002E0C7E" w:rsidRDefault="0081610A" w:rsidP="00DD525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S</w:t>
            </w:r>
          </w:p>
          <w:p w:rsidR="0081610A" w:rsidRPr="002E0C7E" w:rsidRDefault="0081610A" w:rsidP="00DD525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S</w:t>
            </w:r>
          </w:p>
          <w:p w:rsidR="0081610A" w:rsidRPr="002E0C7E" w:rsidRDefault="0081610A" w:rsidP="00DD525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M</w:t>
            </w:r>
          </w:p>
          <w:p w:rsidR="0081610A" w:rsidRPr="002E0C7E" w:rsidRDefault="0081610A" w:rsidP="00DD525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W</w:t>
            </w:r>
          </w:p>
          <w:p w:rsidR="0081610A" w:rsidRPr="002E0C7E" w:rsidRDefault="0081610A" w:rsidP="00DD525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T</w:t>
            </w:r>
          </w:p>
          <w:p w:rsidR="0081610A" w:rsidRPr="002E0C7E" w:rsidRDefault="0081610A" w:rsidP="00DD525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sidRPr="002E0C7E">
              <w:rPr>
                <w:rFonts w:ascii="Arial" w:hAnsi="Arial"/>
                <w:sz w:val="14"/>
              </w:rPr>
              <w:t>F</w:t>
            </w:r>
          </w:p>
          <w:p w:rsidR="0081610A" w:rsidRPr="002E0C7E" w:rsidRDefault="0081610A" w:rsidP="00DD525D">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r>
              <w:rPr>
                <w:rFonts w:ascii="Arial" w:hAnsi="Arial"/>
                <w:sz w:val="14"/>
              </w:rPr>
              <w:t>S</w:t>
            </w:r>
          </w:p>
          <w:p w:rsidR="0081610A" w:rsidRPr="002E0C7E" w:rsidRDefault="0081610A" w:rsidP="00DD525D">
            <w:pPr>
              <w:widowControl w:val="0"/>
              <w:jc w:val="center"/>
              <w:rPr>
                <w:rFonts w:ascii="Arial" w:hAnsi="Arial"/>
                <w:sz w:val="14"/>
              </w:rPr>
            </w:pPr>
            <w:r>
              <w:rPr>
                <w:rFonts w:ascii="Arial" w:hAnsi="Arial"/>
                <w:sz w:val="14"/>
              </w:rPr>
              <w:t>S</w:t>
            </w:r>
          </w:p>
        </w:tc>
      </w:tr>
      <w:tr w:rsidR="0081610A" w:rsidRPr="002E0C7E" w:rsidTr="00DD525D">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b/>
                <w:sz w:val="14"/>
              </w:rPr>
            </w:pPr>
          </w:p>
          <w:p w:rsidR="0081610A" w:rsidRPr="002E0C7E" w:rsidRDefault="0081610A" w:rsidP="00DD525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7</w:t>
            </w:r>
          </w:p>
        </w:tc>
      </w:tr>
      <w:tr w:rsidR="0081610A" w:rsidRPr="002E0C7E" w:rsidTr="00DD525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DD525D">
            <w:pPr>
              <w:widowControl w:val="0"/>
              <w:jc w:val="center"/>
              <w:rPr>
                <w:rFonts w:ascii="Arial" w:hAnsi="Arial"/>
                <w:b/>
                <w:sz w:val="14"/>
              </w:rPr>
            </w:pPr>
          </w:p>
          <w:p w:rsidR="0081610A" w:rsidRPr="002E0C7E" w:rsidRDefault="0081610A" w:rsidP="00DD525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14</w:t>
            </w:r>
          </w:p>
        </w:tc>
      </w:tr>
      <w:tr w:rsidR="0081610A" w:rsidRPr="002E0C7E" w:rsidTr="00DD525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DD525D">
            <w:pPr>
              <w:widowControl w:val="0"/>
              <w:jc w:val="center"/>
              <w:rPr>
                <w:rFonts w:ascii="Arial" w:hAnsi="Arial"/>
                <w:b/>
                <w:sz w:val="14"/>
              </w:rPr>
            </w:pPr>
            <w:r w:rsidRPr="00DB5777">
              <w:rPr>
                <w:rFonts w:ascii="Arial" w:hAnsi="Arial"/>
                <w:b/>
                <w:sz w:val="14"/>
              </w:rPr>
              <w:t>M</w:t>
            </w: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DD525D">
            <w:pPr>
              <w:widowControl w:val="0"/>
              <w:jc w:val="center"/>
              <w:rPr>
                <w:rFonts w:ascii="Arial" w:hAnsi="Arial"/>
                <w:b/>
                <w:sz w:val="14"/>
              </w:rPr>
            </w:pPr>
            <w:r>
              <w:rPr>
                <w:rFonts w:ascii="Arial" w:hAnsi="Arial"/>
                <w:b/>
                <w:sz w:val="14"/>
              </w:rPr>
              <w:t>H</w:t>
            </w:r>
          </w:p>
          <w:p w:rsidR="0081610A" w:rsidRPr="002E0C7E" w:rsidRDefault="0081610A" w:rsidP="00DD525D">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DD525D">
            <w:pPr>
              <w:widowControl w:val="0"/>
              <w:jc w:val="center"/>
              <w:rPr>
                <w:rFonts w:ascii="Arial" w:hAnsi="Arial"/>
                <w:b/>
                <w:sz w:val="14"/>
              </w:rPr>
            </w:pPr>
            <w:r w:rsidRPr="002453E3">
              <w:rPr>
                <w:rFonts w:ascii="Arial" w:hAnsi="Arial"/>
                <w:b/>
                <w:sz w:val="14"/>
              </w:rPr>
              <w:t>M</w:t>
            </w: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DD525D">
            <w:pPr>
              <w:widowControl w:val="0"/>
              <w:jc w:val="center"/>
              <w:rPr>
                <w:rFonts w:ascii="Arial" w:hAnsi="Arial"/>
                <w:b/>
                <w:sz w:val="14"/>
              </w:rPr>
            </w:pPr>
            <w:r w:rsidRPr="006A1E8D">
              <w:rPr>
                <w:rFonts w:ascii="Arial" w:hAnsi="Arial"/>
                <w:b/>
                <w:sz w:val="14"/>
              </w:rPr>
              <w:t>M</w:t>
            </w: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DD525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DD525D">
            <w:pPr>
              <w:widowControl w:val="0"/>
              <w:jc w:val="center"/>
              <w:rPr>
                <w:rFonts w:ascii="Arial" w:hAnsi="Arial"/>
                <w:b/>
                <w:sz w:val="14"/>
              </w:rPr>
            </w:pPr>
            <w:r w:rsidRPr="00CD57C3">
              <w:rPr>
                <w:rFonts w:ascii="Arial" w:hAnsi="Arial"/>
                <w:b/>
                <w:sz w:val="14"/>
              </w:rPr>
              <w:t>H</w:t>
            </w: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DD525D">
            <w:pPr>
              <w:widowControl w:val="0"/>
              <w:jc w:val="center"/>
              <w:rPr>
                <w:rFonts w:ascii="Arial" w:hAnsi="Arial"/>
                <w:b/>
                <w:sz w:val="14"/>
              </w:rPr>
            </w:pPr>
            <w:r>
              <w:rPr>
                <w:rFonts w:ascii="Arial" w:hAnsi="Arial"/>
                <w:b/>
                <w:sz w:val="14"/>
              </w:rPr>
              <w:t>H</w:t>
            </w:r>
          </w:p>
          <w:p w:rsidR="0081610A" w:rsidRPr="002E0C7E" w:rsidRDefault="0081610A" w:rsidP="00DD525D">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DD525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D525D">
            <w:pPr>
              <w:widowControl w:val="0"/>
              <w:jc w:val="center"/>
              <w:rPr>
                <w:rFonts w:ascii="Arial" w:hAnsi="Arial"/>
                <w:sz w:val="14"/>
              </w:rPr>
            </w:pPr>
          </w:p>
          <w:p w:rsidR="0081610A" w:rsidRPr="002E0C7E" w:rsidRDefault="0081610A" w:rsidP="00DD525D">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DD525D">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DD525D">
            <w:pPr>
              <w:widowControl w:val="0"/>
              <w:rPr>
                <w:rFonts w:ascii="Arial" w:hAnsi="Arial"/>
                <w:sz w:val="16"/>
              </w:rPr>
            </w:pPr>
            <w:r w:rsidRPr="002E0C7E">
              <w:rPr>
                <w:rFonts w:ascii="Arial" w:hAnsi="Arial"/>
                <w:sz w:val="16"/>
              </w:rPr>
              <w:t>Sittings of the court:</w:t>
            </w:r>
          </w:p>
          <w:p w:rsidR="0081610A" w:rsidRPr="002E0C7E" w:rsidRDefault="0081610A" w:rsidP="00DD525D">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DD525D">
            <w:pPr>
              <w:widowControl w:val="0"/>
              <w:rPr>
                <w:rFonts w:ascii="Arial" w:hAnsi="Arial"/>
                <w:sz w:val="16"/>
              </w:rPr>
            </w:pPr>
          </w:p>
          <w:p w:rsidR="0081610A" w:rsidRPr="002E0C7E" w:rsidRDefault="0081610A" w:rsidP="00DD525D">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DD52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DD52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DD52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DD52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DD52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DD525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DD52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DD52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DD52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DD52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DD525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DD52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DD52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DD525D">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DD52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70"/>
      <w:footerReference w:type="default" r:id="rId7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05" w:rsidRDefault="00CE5905" w:rsidP="00A87207">
      <w:r>
        <w:separator/>
      </w:r>
    </w:p>
  </w:endnote>
  <w:endnote w:type="continuationSeparator" w:id="0">
    <w:p w:rsidR="00CE5905" w:rsidRDefault="00CE590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3513AE">
    <w:pPr>
      <w:pStyle w:val="Footer"/>
      <w:rPr>
        <w:lang w:val="fr-CA"/>
      </w:rPr>
    </w:pPr>
    <w:r>
      <w:rPr>
        <w:lang w:val="fr-CA"/>
      </w:rPr>
      <w:pict>
        <v:rect id="_x0000_i1049" style="width:480.95pt;height:1pt" o:hralign="center" o:hrstd="t" o:hrnoshade="t" o:hr="t" fillcolor="black [3213]" stroked="f"/>
      </w:pict>
    </w:r>
  </w:p>
  <w:p w:rsidR="00CE5905" w:rsidRDefault="00CE5905" w:rsidP="00245129">
    <w:pPr>
      <w:tabs>
        <w:tab w:val="center" w:pos="4680"/>
      </w:tabs>
    </w:pPr>
    <w:r>
      <w:tab/>
    </w:r>
    <w:r w:rsidRPr="0009648D">
      <w:t xml:space="preserve">- </w:t>
    </w:r>
    <w:r w:rsidR="003513AE">
      <w:fldChar w:fldCharType="begin"/>
    </w:r>
    <w:r w:rsidR="003513AE">
      <w:instrText xml:space="preserve"> PAGE   \* MERGEFORMAT </w:instrText>
    </w:r>
    <w:r w:rsidR="003513AE">
      <w:fldChar w:fldCharType="separate"/>
    </w:r>
    <w:r w:rsidR="003513AE">
      <w:rPr>
        <w:noProof/>
      </w:rPr>
      <w:t>1936</w:t>
    </w:r>
    <w:r w:rsidR="003513AE">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E590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E5905" w:rsidRDefault="00CE590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3513AE" w:rsidP="00755F22">
    <w:pPr>
      <w:tabs>
        <w:tab w:val="left" w:pos="-1440"/>
        <w:tab w:val="left" w:pos="-720"/>
      </w:tabs>
    </w:pPr>
    <w:r>
      <w:pict>
        <v:rect id="_x0000_i1056" style="width:480.95pt;height:1pt" o:hralign="center" o:hrstd="t" o:hrnoshade="t" o:hr="t" fillcolor="black [3213]" stroked="f"/>
      </w:pict>
    </w:r>
  </w:p>
  <w:p w:rsidR="00CE5905" w:rsidRDefault="00CE5905" w:rsidP="00EB2B90">
    <w:pPr>
      <w:tabs>
        <w:tab w:val="center" w:pos="4680"/>
      </w:tabs>
    </w:pPr>
    <w:r>
      <w:tab/>
      <w:t xml:space="preserve">- </w:t>
    </w:r>
    <w:r w:rsidR="003513AE">
      <w:fldChar w:fldCharType="begin"/>
    </w:r>
    <w:r w:rsidR="003513AE">
      <w:instrText xml:space="preserve"> PAGE   \* MERGEFORMAT </w:instrText>
    </w:r>
    <w:r w:rsidR="003513AE">
      <w:fldChar w:fldCharType="separate"/>
    </w:r>
    <w:r w:rsidR="003513AE">
      <w:rPr>
        <w:noProof/>
      </w:rPr>
      <w:t>1949</w:t>
    </w:r>
    <w:r w:rsidR="003513AE">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3513AE" w:rsidP="00EB2B90">
    <w:pPr>
      <w:tabs>
        <w:tab w:val="center" w:pos="4680"/>
      </w:tabs>
    </w:pPr>
    <w:r>
      <w:pict>
        <v:rect id="_x0000_i1057" style="width:480.95pt;height:1pt" o:hralign="center" o:hrstd="t" o:hrnoshade="t" o:hr="t" fillcolor="black [3213]" stroked="f"/>
      </w:pict>
    </w:r>
  </w:p>
  <w:p w:rsidR="00CE5905" w:rsidRPr="0031432F" w:rsidRDefault="00CE5905" w:rsidP="00EB2B90">
    <w:pPr>
      <w:tabs>
        <w:tab w:val="center" w:pos="4680"/>
      </w:tabs>
    </w:pPr>
    <w:r>
      <w:tab/>
      <w:t xml:space="preserve">- </w:t>
    </w:r>
    <w:r w:rsidR="003513AE">
      <w:fldChar w:fldCharType="begin"/>
    </w:r>
    <w:r w:rsidR="003513AE">
      <w:instrText xml:space="preserve"> PAGE   \* MERGEFORMAT </w:instrText>
    </w:r>
    <w:r w:rsidR="003513AE">
      <w:fldChar w:fldCharType="separate"/>
    </w:r>
    <w:r w:rsidR="003513AE">
      <w:rPr>
        <w:noProof/>
      </w:rPr>
      <w:t>1945</w:t>
    </w:r>
    <w:r w:rsidR="003513AE">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E590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E5905" w:rsidRDefault="00CE5905">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351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0" style="width:480.95pt;height:1pt" o:hralign="center" o:hrstd="t" o:hrnoshade="t" o:hr="t" fillcolor="black [3213]" stroked="f"/>
      </w:pict>
    </w:r>
  </w:p>
  <w:p w:rsidR="00CE5905" w:rsidRDefault="00CE5905" w:rsidP="00EB2B90">
    <w:pPr>
      <w:tabs>
        <w:tab w:val="center" w:pos="4680"/>
      </w:tabs>
    </w:pPr>
    <w:r>
      <w:tab/>
      <w:t xml:space="preserve">- </w:t>
    </w:r>
    <w:r w:rsidR="003513AE">
      <w:fldChar w:fldCharType="begin"/>
    </w:r>
    <w:r w:rsidR="003513AE">
      <w:instrText xml:space="preserve"> PAGE   \* MERGEFORMAT </w:instrText>
    </w:r>
    <w:r w:rsidR="003513AE">
      <w:fldChar w:fldCharType="separate"/>
    </w:r>
    <w:r>
      <w:rPr>
        <w:noProof/>
      </w:rPr>
      <w:t>519</w:t>
    </w:r>
    <w:r w:rsidR="003513AE">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3513AE">
    <w:pPr>
      <w:pStyle w:val="Footer"/>
      <w:rPr>
        <w:lang w:val="fr-CA"/>
      </w:rPr>
    </w:pPr>
    <w:r>
      <w:rPr>
        <w:lang w:val="fr-CA"/>
      </w:rPr>
      <w:pict>
        <v:rect id="_x0000_i1061" style="width:480.95pt;height:1pt" o:hralign="center" o:hrstd="t" o:hrnoshade="t" o:hr="t" fillcolor="black [3213]" stroked="f"/>
      </w:pict>
    </w:r>
  </w:p>
  <w:p w:rsidR="00CE5905" w:rsidRDefault="00CE5905" w:rsidP="00EB2B90">
    <w:pPr>
      <w:tabs>
        <w:tab w:val="center" w:pos="4680"/>
      </w:tabs>
    </w:pPr>
    <w:r>
      <w:tab/>
      <w:t xml:space="preserve">- </w:t>
    </w:r>
    <w:r w:rsidR="003513AE">
      <w:fldChar w:fldCharType="begin"/>
    </w:r>
    <w:r w:rsidR="003513AE">
      <w:instrText xml:space="preserve"> PAGE   \* MERGEFORMAT </w:instrText>
    </w:r>
    <w:r w:rsidR="003513AE">
      <w:fldChar w:fldCharType="separate"/>
    </w:r>
    <w:r w:rsidR="003513AE">
      <w:rPr>
        <w:noProof/>
      </w:rPr>
      <w:t>1950</w:t>
    </w:r>
    <w:r w:rsidR="003513AE">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E590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E5905" w:rsidRDefault="00CE590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3513AE" w:rsidP="00732DB7">
    <w:r>
      <w:pict>
        <v:rect id="_x0000_i1065" style="width:480.95pt;height:1pt" o:hralign="center" o:hrstd="t" o:hrnoshade="t" o:hr="t" fillcolor="black" stroked="f"/>
      </w:pict>
    </w:r>
  </w:p>
  <w:p w:rsidR="00CE5905" w:rsidRDefault="00CE5905">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3513AE">
    <w:pPr>
      <w:pStyle w:val="Footer"/>
    </w:pPr>
    <w:r>
      <w:pict>
        <v:rect id="_x0000_i1066" style="width:480.95pt;height:1pt" o:hralign="center" o:hrstd="t" o:hrnoshade="t" o:hr="t" fillcolor="black [3213]" stroked="f"/>
      </w:pict>
    </w:r>
  </w:p>
  <w:p w:rsidR="00CE5905" w:rsidRPr="003C2C0F" w:rsidRDefault="00CE5905" w:rsidP="00697C62">
    <w:pPr>
      <w:tabs>
        <w:tab w:val="center" w:pos="4680"/>
      </w:tabs>
    </w:pPr>
    <w:r>
      <w:tab/>
      <w:t xml:space="preserve">- </w:t>
    </w:r>
    <w:r w:rsidR="003513AE">
      <w:fldChar w:fldCharType="begin"/>
    </w:r>
    <w:r w:rsidR="003513AE">
      <w:instrText xml:space="preserve"> PAGE   \* MERGEFORMAT </w:instrText>
    </w:r>
    <w:r w:rsidR="003513AE">
      <w:fldChar w:fldCharType="separate"/>
    </w:r>
    <w:r w:rsidR="003513AE">
      <w:rPr>
        <w:noProof/>
      </w:rPr>
      <w:t>1951</w:t>
    </w:r>
    <w:r w:rsidR="003513AE">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E590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E5905" w:rsidRDefault="00CE5905">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E5905" w:rsidRDefault="00351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1" style="width:480.95pt;height:1pt" o:hralign="center" o:hrstd="t" o:hrnoshade="t" o:hr="t" fillcolor="black [3213]" stroked="f"/>
      </w:pict>
    </w:r>
  </w:p>
  <w:p w:rsidR="00CE5905" w:rsidRDefault="00CE590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513AE">
      <w:rPr>
        <w:noProof/>
        <w:szCs w:val="24"/>
      </w:rPr>
      <w:t>1959</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3513AE" w:rsidP="00782AE4">
    <w:pPr>
      <w:tabs>
        <w:tab w:val="center" w:pos="4680"/>
      </w:tabs>
    </w:pPr>
    <w:r>
      <w:pict>
        <v:rect id="_x0000_i1072" style="width:480.95pt;height:1pt" o:hralign="center" o:hrstd="t" o:hrnoshade="t" o:hr="t" fillcolor="black [3213]" stroked="f"/>
      </w:pict>
    </w:r>
  </w:p>
  <w:p w:rsidR="00CE5905" w:rsidRDefault="00CE590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513AE">
      <w:rPr>
        <w:noProof/>
        <w:szCs w:val="24"/>
      </w:rPr>
      <w:t>1952</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Pr="00924065" w:rsidRDefault="00CE5905"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3513AE" w:rsidP="00A87207">
    <w:pPr>
      <w:pStyle w:val="Footer"/>
    </w:pPr>
    <w:r>
      <w:pict>
        <v:rect id="_x0000_i1033" style="width:480.95pt;height:1pt" o:hralign="center" o:hrstd="t" o:hrnoshade="t" o:hr="t" fillcolor="black [3213]" stroked="f"/>
      </w:pict>
    </w:r>
  </w:p>
  <w:p w:rsidR="00CE5905" w:rsidRPr="00B7374B" w:rsidRDefault="00CE590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1935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3513AE" w:rsidP="00755F22">
    <w:pPr>
      <w:tabs>
        <w:tab w:val="left" w:pos="-1440"/>
        <w:tab w:val="left" w:pos="-720"/>
      </w:tabs>
    </w:pPr>
    <w:r>
      <w:pict>
        <v:rect id="_x0000_i1034" style="width:480.95pt;height:1pt" o:hralign="center" o:hrstd="t" o:hrnoshade="t" o:hr="t" fillcolor="black [3213]" stroked="f"/>
      </w:pict>
    </w:r>
  </w:p>
  <w:p w:rsidR="00CE5905" w:rsidRPr="00954D22" w:rsidRDefault="00CE590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513AE">
      <w:rPr>
        <w:noProof/>
        <w:szCs w:val="24"/>
      </w:rPr>
      <w:t>1934</w:t>
    </w:r>
    <w:r>
      <w:rPr>
        <w:szCs w:val="24"/>
      </w:rPr>
      <w:fldChar w:fldCharType="end"/>
    </w:r>
    <w:r w:rsidRPr="00954D22">
      <w:rPr>
        <w:szCs w:val="24"/>
      </w:rPr>
      <w:t xml:space="preserve"> -</w:t>
    </w:r>
  </w:p>
  <w:p w:rsidR="00CE5905" w:rsidRDefault="00CE590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3513AE" w:rsidP="00A87207">
    <w:pPr>
      <w:pStyle w:val="Footer"/>
    </w:pPr>
    <w:r>
      <w:pict>
        <v:rect id="_x0000_i1036" style="width:480.95pt;height:1pt" o:hralign="center" o:hrstd="t" o:hrnoshade="t" o:hr="t" fillcolor="black [3213]" stroked="f"/>
      </w:pict>
    </w:r>
  </w:p>
  <w:p w:rsidR="00CE5905" w:rsidRPr="00B7374B" w:rsidRDefault="00CE590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1937</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3513A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CE5905" w:rsidRPr="00954D22" w:rsidRDefault="00CE590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513AE">
      <w:rPr>
        <w:noProof/>
        <w:szCs w:val="24"/>
      </w:rPr>
      <w:t>1935</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E590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E5905" w:rsidRDefault="00CE5905">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3513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CE5905" w:rsidRPr="0009648D" w:rsidRDefault="00CE5905" w:rsidP="00ED7E83">
    <w:pPr>
      <w:tabs>
        <w:tab w:val="center" w:pos="4680"/>
      </w:tabs>
    </w:pPr>
    <w:r>
      <w:tab/>
    </w:r>
    <w:r w:rsidRPr="0009648D">
      <w:t xml:space="preserve">- </w:t>
    </w:r>
    <w:r w:rsidR="003513AE">
      <w:fldChar w:fldCharType="begin"/>
    </w:r>
    <w:r w:rsidR="003513AE">
      <w:instrText xml:space="preserve"> PAGE   \* MERGEFORMAT </w:instrText>
    </w:r>
    <w:r w:rsidR="003513AE">
      <w:fldChar w:fldCharType="separate"/>
    </w:r>
    <w:r w:rsidR="003513AE">
      <w:rPr>
        <w:noProof/>
      </w:rPr>
      <w:t>1944</w:t>
    </w:r>
    <w:r w:rsidR="003513AE">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05" w:rsidRDefault="00CE5905" w:rsidP="00A87207">
      <w:r>
        <w:separator/>
      </w:r>
    </w:p>
  </w:footnote>
  <w:footnote w:type="continuationSeparator" w:id="0">
    <w:p w:rsidR="00CE5905" w:rsidRDefault="00CE590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E5905">
      <w:tc>
        <w:tcPr>
          <w:tcW w:w="4230" w:type="dxa"/>
          <w:tcMar>
            <w:left w:w="0" w:type="dxa"/>
            <w:right w:w="0" w:type="dxa"/>
          </w:tcMar>
        </w:tcPr>
        <w:p w:rsidR="00CE5905" w:rsidRDefault="00CE59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E5905" w:rsidRDefault="00CE59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E5905" w:rsidRDefault="00CE59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E5905">
      <w:trPr>
        <w:gridAfter w:val="2"/>
        <w:wAfter w:w="5250" w:type="dxa"/>
      </w:trPr>
      <w:tc>
        <w:tcPr>
          <w:tcW w:w="4230" w:type="dxa"/>
          <w:tcMar>
            <w:left w:w="0" w:type="dxa"/>
            <w:right w:w="0" w:type="dxa"/>
          </w:tcMar>
        </w:tcPr>
        <w:p w:rsidR="00CE590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E590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E5905" w:rsidRPr="00755F22" w:rsidTr="00245129">
      <w:tc>
        <w:tcPr>
          <w:tcW w:w="4230" w:type="dxa"/>
          <w:tcMar>
            <w:left w:w="0" w:type="dxa"/>
            <w:right w:w="0" w:type="dxa"/>
          </w:tcMar>
        </w:tcPr>
        <w:p w:rsidR="00CE5905" w:rsidRPr="00755F22" w:rsidRDefault="00CE5905" w:rsidP="00831CA9">
          <w:pPr>
            <w:keepNext/>
            <w:keepLines/>
            <w:rPr>
              <w:sz w:val="20"/>
              <w:szCs w:val="20"/>
            </w:rPr>
          </w:pPr>
          <w:r w:rsidRPr="00755F22">
            <w:rPr>
              <w:sz w:val="20"/>
              <w:szCs w:val="20"/>
            </w:rPr>
            <w:t>MOTIONS</w:t>
          </w:r>
        </w:p>
      </w:tc>
      <w:tc>
        <w:tcPr>
          <w:tcW w:w="1170" w:type="dxa"/>
          <w:tcMar>
            <w:left w:w="0" w:type="dxa"/>
            <w:right w:w="0" w:type="dxa"/>
          </w:tcMar>
        </w:tcPr>
        <w:p w:rsidR="00CE5905" w:rsidRPr="00755F22" w:rsidRDefault="00CE5905" w:rsidP="00831CA9">
          <w:pPr>
            <w:keepLines/>
            <w:jc w:val="center"/>
            <w:rPr>
              <w:sz w:val="20"/>
              <w:szCs w:val="20"/>
            </w:rPr>
          </w:pPr>
        </w:p>
        <w:p w:rsidR="00CE5905" w:rsidRPr="00755F22" w:rsidRDefault="00CE5905" w:rsidP="00831CA9">
          <w:pPr>
            <w:keepLines/>
            <w:tabs>
              <w:tab w:val="left" w:pos="-1440"/>
              <w:tab w:val="left" w:pos="-720"/>
            </w:tabs>
            <w:jc w:val="center"/>
            <w:rPr>
              <w:sz w:val="20"/>
              <w:szCs w:val="20"/>
            </w:rPr>
          </w:pPr>
        </w:p>
      </w:tc>
      <w:tc>
        <w:tcPr>
          <w:tcW w:w="4080" w:type="dxa"/>
          <w:tcMar>
            <w:left w:w="0" w:type="dxa"/>
            <w:right w:w="0" w:type="dxa"/>
          </w:tcMar>
        </w:tcPr>
        <w:p w:rsidR="00CE5905" w:rsidRPr="00BA6468" w:rsidRDefault="00CE5905" w:rsidP="00BA6468">
          <w:pPr>
            <w:keepLines/>
            <w:rPr>
              <w:sz w:val="20"/>
              <w:szCs w:val="20"/>
              <w:lang w:val="fr-CA"/>
            </w:rPr>
          </w:pPr>
          <w:r w:rsidRPr="00BA6468">
            <w:rPr>
              <w:sz w:val="20"/>
              <w:szCs w:val="20"/>
              <w:lang w:val="fr-CA"/>
            </w:rPr>
            <w:t>REQUÊTES</w:t>
          </w:r>
        </w:p>
      </w:tc>
    </w:tr>
  </w:tbl>
  <w:p w:rsidR="00CE5905" w:rsidRDefault="00CE5905"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E5905" w:rsidRPr="00C0760E">
      <w:tc>
        <w:tcPr>
          <w:tcW w:w="4200" w:type="dxa"/>
          <w:tcMar>
            <w:left w:w="0" w:type="dxa"/>
            <w:right w:w="0" w:type="dxa"/>
          </w:tcMar>
        </w:tcPr>
        <w:p w:rsidR="00CE5905" w:rsidRDefault="00CE59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E5905" w:rsidRDefault="00CE59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E5905" w:rsidRPr="00B01A03" w:rsidRDefault="00CE59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E5905" w:rsidRPr="00B01A03"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E5905" w:rsidRPr="00B01A03"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CE5905" w:rsidRPr="00C0760E" w:rsidTr="00245129">
      <w:tc>
        <w:tcPr>
          <w:tcW w:w="4200" w:type="dxa"/>
          <w:tcMar>
            <w:left w:w="0" w:type="dxa"/>
            <w:right w:w="0" w:type="dxa"/>
          </w:tcMar>
        </w:tcPr>
        <w:p w:rsidR="00CE5905" w:rsidRPr="00F40249" w:rsidRDefault="00CE5905"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E5905" w:rsidRDefault="00CE5905" w:rsidP="00102926">
          <w:pPr>
            <w:keepNext/>
            <w:keepLines/>
            <w:tabs>
              <w:tab w:val="left" w:pos="-1440"/>
              <w:tab w:val="left" w:pos="-720"/>
            </w:tabs>
            <w:jc w:val="center"/>
            <w:rPr>
              <w:sz w:val="20"/>
              <w:szCs w:val="20"/>
            </w:rPr>
          </w:pPr>
        </w:p>
        <w:p w:rsidR="00CE5905" w:rsidRDefault="00CE5905" w:rsidP="00102926">
          <w:pPr>
            <w:keepNext/>
            <w:keepLines/>
            <w:tabs>
              <w:tab w:val="left" w:pos="-1440"/>
              <w:tab w:val="left" w:pos="-720"/>
            </w:tabs>
            <w:jc w:val="center"/>
            <w:rPr>
              <w:sz w:val="20"/>
              <w:szCs w:val="20"/>
            </w:rPr>
          </w:pPr>
        </w:p>
        <w:p w:rsidR="00CE5905" w:rsidRPr="00F40249" w:rsidRDefault="00CE5905" w:rsidP="00102926">
          <w:pPr>
            <w:keepNext/>
            <w:keepLines/>
            <w:tabs>
              <w:tab w:val="left" w:pos="-1440"/>
              <w:tab w:val="left" w:pos="-720"/>
            </w:tabs>
            <w:jc w:val="center"/>
            <w:rPr>
              <w:sz w:val="20"/>
              <w:szCs w:val="20"/>
            </w:rPr>
          </w:pPr>
        </w:p>
      </w:tc>
      <w:tc>
        <w:tcPr>
          <w:tcW w:w="4230" w:type="dxa"/>
          <w:tcMar>
            <w:left w:w="0" w:type="dxa"/>
            <w:right w:w="0" w:type="dxa"/>
          </w:tcMar>
        </w:tcPr>
        <w:p w:rsidR="00CE5905" w:rsidRPr="00F40249" w:rsidRDefault="00CE5905"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E5905" w:rsidRPr="00B01A03" w:rsidRDefault="00CE5905"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E5905" w:rsidRPr="00C0760E">
      <w:tc>
        <w:tcPr>
          <w:tcW w:w="4200" w:type="dxa"/>
          <w:tcMar>
            <w:left w:w="0" w:type="dxa"/>
            <w:right w:w="0" w:type="dxa"/>
          </w:tcMar>
        </w:tcPr>
        <w:p w:rsidR="00CE5905" w:rsidRDefault="00CE59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CE5905" w:rsidRDefault="00CE59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CE5905" w:rsidRDefault="00CE59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CE5905" w:rsidRPr="003C2C0F" w:rsidRDefault="00CE59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CE5905" w:rsidRPr="003C2C0F"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CE5905" w:rsidRPr="003C2C0F"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E5905" w:rsidRPr="00C0760E" w:rsidTr="00245129">
      <w:tc>
        <w:tcPr>
          <w:tcW w:w="4200" w:type="dxa"/>
          <w:tcMar>
            <w:left w:w="0" w:type="dxa"/>
            <w:right w:w="0" w:type="dxa"/>
          </w:tcMar>
        </w:tcPr>
        <w:p w:rsidR="00CE5905" w:rsidRPr="00FF6EEC" w:rsidRDefault="00CE5905" w:rsidP="00FF6EEC">
          <w:pPr>
            <w:rPr>
              <w:sz w:val="20"/>
              <w:szCs w:val="20"/>
            </w:rPr>
          </w:pPr>
          <w:r w:rsidRPr="00FF6EEC">
            <w:rPr>
              <w:sz w:val="20"/>
              <w:szCs w:val="20"/>
            </w:rPr>
            <w:t>PRONOUNCEMENTS OF APPEALS RESERVED</w:t>
          </w:r>
        </w:p>
      </w:tc>
      <w:tc>
        <w:tcPr>
          <w:tcW w:w="1200" w:type="dxa"/>
          <w:tcMar>
            <w:left w:w="0" w:type="dxa"/>
            <w:right w:w="0" w:type="dxa"/>
          </w:tcMar>
        </w:tcPr>
        <w:p w:rsidR="00CE5905" w:rsidRPr="00FF6EEC" w:rsidRDefault="00CE5905" w:rsidP="00FF6EEC">
          <w:pPr>
            <w:jc w:val="center"/>
            <w:rPr>
              <w:sz w:val="20"/>
              <w:szCs w:val="20"/>
            </w:rPr>
          </w:pPr>
        </w:p>
        <w:p w:rsidR="00CE5905" w:rsidRPr="00FF6EEC" w:rsidRDefault="00CE5905" w:rsidP="00FF6EEC">
          <w:pPr>
            <w:jc w:val="center"/>
            <w:rPr>
              <w:sz w:val="20"/>
              <w:szCs w:val="20"/>
            </w:rPr>
          </w:pPr>
        </w:p>
        <w:p w:rsidR="00CE5905" w:rsidRPr="00FF6EEC" w:rsidRDefault="00CE5905" w:rsidP="00FF6EEC">
          <w:pPr>
            <w:jc w:val="center"/>
            <w:rPr>
              <w:sz w:val="20"/>
              <w:szCs w:val="20"/>
            </w:rPr>
          </w:pPr>
        </w:p>
      </w:tc>
      <w:tc>
        <w:tcPr>
          <w:tcW w:w="4080" w:type="dxa"/>
          <w:tcMar>
            <w:left w:w="0" w:type="dxa"/>
            <w:right w:w="0" w:type="dxa"/>
          </w:tcMar>
        </w:tcPr>
        <w:p w:rsidR="00CE5905" w:rsidRPr="00FF6EEC" w:rsidRDefault="00CE5905" w:rsidP="00FF6EEC">
          <w:pPr>
            <w:rPr>
              <w:sz w:val="20"/>
              <w:szCs w:val="20"/>
              <w:lang w:val="fr-CA"/>
            </w:rPr>
          </w:pPr>
          <w:r w:rsidRPr="00FF6EEC">
            <w:rPr>
              <w:sz w:val="20"/>
              <w:szCs w:val="20"/>
              <w:lang w:val="fr-CA"/>
            </w:rPr>
            <w:t>JUGEMENTS RENDUS SUR LES APPELS EN DÉLIBÉRÉ</w:t>
          </w:r>
        </w:p>
      </w:tc>
    </w:tr>
  </w:tbl>
  <w:p w:rsidR="00CE5905" w:rsidRPr="003C2C0F" w:rsidRDefault="00CE590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E5905">
      <w:tc>
        <w:tcPr>
          <w:tcW w:w="4230" w:type="dxa"/>
          <w:tcMar>
            <w:left w:w="0" w:type="dxa"/>
            <w:right w:w="0" w:type="dxa"/>
          </w:tcMar>
        </w:tcPr>
        <w:p w:rsidR="00CE5905" w:rsidRDefault="00CE59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E5905" w:rsidRDefault="00CE59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E5905" w:rsidRDefault="00CE59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E5905" w:rsidRDefault="00CE59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E5905" w:rsidRDefault="00CE59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E5905" w:rsidRDefault="00CE59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E590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E590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E5905" w:rsidRPr="00782AE4" w:rsidTr="00245129">
      <w:tc>
        <w:tcPr>
          <w:tcW w:w="4230" w:type="dxa"/>
          <w:tcMar>
            <w:left w:w="0" w:type="dxa"/>
            <w:right w:w="0" w:type="dxa"/>
          </w:tcMar>
        </w:tcPr>
        <w:p w:rsidR="00CE5905" w:rsidRPr="00782AE4" w:rsidRDefault="00CE5905" w:rsidP="00102926">
          <w:pPr>
            <w:keepNext/>
            <w:keepLines/>
            <w:tabs>
              <w:tab w:val="left" w:pos="-1440"/>
              <w:tab w:val="left" w:pos="-720"/>
            </w:tabs>
            <w:rPr>
              <w:sz w:val="20"/>
              <w:szCs w:val="20"/>
            </w:rPr>
          </w:pPr>
          <w:r w:rsidRPr="00782AE4">
            <w:rPr>
              <w:sz w:val="20"/>
              <w:szCs w:val="20"/>
            </w:rPr>
            <w:t xml:space="preserve">HEADNOTES OF RECENT </w:t>
          </w:r>
        </w:p>
        <w:p w:rsidR="00CE5905" w:rsidRPr="00782AE4" w:rsidRDefault="00CE59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E5905" w:rsidRDefault="00CE5905" w:rsidP="00102926">
          <w:pPr>
            <w:keepNext/>
            <w:keepLines/>
            <w:tabs>
              <w:tab w:val="left" w:pos="-1440"/>
              <w:tab w:val="left" w:pos="-720"/>
            </w:tabs>
            <w:jc w:val="center"/>
            <w:rPr>
              <w:sz w:val="20"/>
              <w:szCs w:val="20"/>
            </w:rPr>
          </w:pPr>
        </w:p>
        <w:p w:rsidR="00CE5905" w:rsidRDefault="00CE5905" w:rsidP="00102926">
          <w:pPr>
            <w:keepNext/>
            <w:keepLines/>
            <w:tabs>
              <w:tab w:val="left" w:pos="-1440"/>
              <w:tab w:val="left" w:pos="-720"/>
            </w:tabs>
            <w:jc w:val="center"/>
            <w:rPr>
              <w:sz w:val="20"/>
              <w:szCs w:val="20"/>
            </w:rPr>
          </w:pPr>
        </w:p>
        <w:p w:rsidR="00CE5905" w:rsidRPr="00782AE4" w:rsidRDefault="00CE5905" w:rsidP="00102926">
          <w:pPr>
            <w:keepNext/>
            <w:keepLines/>
            <w:tabs>
              <w:tab w:val="left" w:pos="-1440"/>
              <w:tab w:val="left" w:pos="-720"/>
            </w:tabs>
            <w:jc w:val="center"/>
            <w:rPr>
              <w:sz w:val="20"/>
              <w:szCs w:val="20"/>
            </w:rPr>
          </w:pPr>
        </w:p>
      </w:tc>
      <w:tc>
        <w:tcPr>
          <w:tcW w:w="4080" w:type="dxa"/>
          <w:tcMar>
            <w:left w:w="0" w:type="dxa"/>
            <w:right w:w="0" w:type="dxa"/>
          </w:tcMar>
        </w:tcPr>
        <w:p w:rsidR="00CE5905" w:rsidRPr="00102926" w:rsidRDefault="00CE59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E5905" w:rsidRPr="00782AE4" w:rsidRDefault="00CE5905" w:rsidP="00102926">
          <w:pPr>
            <w:keepLines/>
            <w:tabs>
              <w:tab w:val="left" w:pos="-1440"/>
              <w:tab w:val="left" w:pos="-720"/>
            </w:tabs>
            <w:rPr>
              <w:sz w:val="20"/>
              <w:szCs w:val="20"/>
            </w:rPr>
          </w:pPr>
          <w:r w:rsidRPr="00102926">
            <w:rPr>
              <w:sz w:val="20"/>
              <w:szCs w:val="20"/>
              <w:lang w:val="fr-CA"/>
            </w:rPr>
            <w:t>RÉCENTS</w:t>
          </w:r>
        </w:p>
      </w:tc>
    </w:tr>
  </w:tbl>
  <w:p w:rsidR="00CE5905" w:rsidRDefault="00CE590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E5905" w:rsidRPr="0044776A" w:rsidTr="00245129">
      <w:tc>
        <w:tcPr>
          <w:tcW w:w="4290" w:type="dxa"/>
          <w:tcMar>
            <w:left w:w="0" w:type="dxa"/>
            <w:right w:w="0" w:type="dxa"/>
          </w:tcMar>
        </w:tcPr>
        <w:p w:rsidR="00CE5905" w:rsidRPr="0044776A" w:rsidRDefault="00CE590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E5905" w:rsidRPr="0044776A" w:rsidRDefault="00CE5905" w:rsidP="002E2327">
          <w:pPr>
            <w:keepNext/>
            <w:keepLines/>
            <w:tabs>
              <w:tab w:val="left" w:pos="-1440"/>
              <w:tab w:val="left" w:pos="-720"/>
            </w:tabs>
            <w:jc w:val="center"/>
            <w:rPr>
              <w:sz w:val="20"/>
              <w:szCs w:val="20"/>
            </w:rPr>
          </w:pPr>
        </w:p>
        <w:p w:rsidR="00CE5905" w:rsidRPr="0044776A" w:rsidRDefault="00CE5905" w:rsidP="002E2327">
          <w:pPr>
            <w:keepNext/>
            <w:keepLines/>
            <w:tabs>
              <w:tab w:val="left" w:pos="-1440"/>
              <w:tab w:val="left" w:pos="-720"/>
            </w:tabs>
            <w:jc w:val="center"/>
            <w:rPr>
              <w:sz w:val="20"/>
              <w:szCs w:val="20"/>
            </w:rPr>
          </w:pPr>
        </w:p>
        <w:p w:rsidR="00CE5905" w:rsidRPr="0044776A" w:rsidRDefault="00CE5905" w:rsidP="002E2327">
          <w:pPr>
            <w:keepNext/>
            <w:keepLines/>
            <w:tabs>
              <w:tab w:val="left" w:pos="-1440"/>
              <w:tab w:val="left" w:pos="-720"/>
            </w:tabs>
            <w:jc w:val="center"/>
            <w:rPr>
              <w:sz w:val="20"/>
              <w:szCs w:val="20"/>
            </w:rPr>
          </w:pPr>
        </w:p>
      </w:tc>
      <w:tc>
        <w:tcPr>
          <w:tcW w:w="4320" w:type="dxa"/>
          <w:tcMar>
            <w:left w:w="0" w:type="dxa"/>
            <w:right w:w="0" w:type="dxa"/>
          </w:tcMar>
        </w:tcPr>
        <w:p w:rsidR="00CE5905" w:rsidRPr="0044776A" w:rsidRDefault="00CE5905" w:rsidP="002E2327">
          <w:pPr>
            <w:keepLines/>
            <w:rPr>
              <w:sz w:val="20"/>
              <w:szCs w:val="20"/>
              <w:lang w:val="fr-CA"/>
            </w:rPr>
          </w:pPr>
          <w:r w:rsidRPr="0044776A">
            <w:rPr>
              <w:sz w:val="20"/>
              <w:szCs w:val="20"/>
              <w:lang w:val="fr-CA"/>
            </w:rPr>
            <w:t>DEMANDES D'AUTORISATION D'APPEL DÉPOSÉES</w:t>
          </w:r>
        </w:p>
      </w:tc>
    </w:tr>
  </w:tbl>
  <w:p w:rsidR="00CE5905" w:rsidRDefault="00CE59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E5905" w:rsidRPr="00C0760E" w:rsidTr="00245129">
      <w:tc>
        <w:tcPr>
          <w:tcW w:w="4200" w:type="dxa"/>
          <w:tcMar>
            <w:left w:w="0" w:type="dxa"/>
            <w:right w:w="0" w:type="dxa"/>
          </w:tcMar>
        </w:tcPr>
        <w:p w:rsidR="00CE5905" w:rsidRPr="0044776A" w:rsidRDefault="00CE5905" w:rsidP="0044776A">
          <w:pPr>
            <w:keepNext/>
            <w:keepLines/>
            <w:widowControl w:val="0"/>
            <w:rPr>
              <w:sz w:val="20"/>
              <w:szCs w:val="20"/>
            </w:rPr>
          </w:pPr>
          <w:r>
            <w:rPr>
              <w:sz w:val="20"/>
              <w:szCs w:val="20"/>
            </w:rPr>
            <w:t>APPLICATIONS FOR LEAVE</w:t>
          </w:r>
        </w:p>
        <w:p w:rsidR="00CE5905" w:rsidRPr="0044776A" w:rsidRDefault="00CE590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E5905" w:rsidRPr="0044776A" w:rsidRDefault="00CE5905" w:rsidP="0044776A">
          <w:pPr>
            <w:keepNext/>
            <w:keepLines/>
            <w:widowControl w:val="0"/>
            <w:jc w:val="center"/>
            <w:rPr>
              <w:sz w:val="20"/>
              <w:szCs w:val="20"/>
            </w:rPr>
          </w:pPr>
        </w:p>
        <w:p w:rsidR="00CE5905" w:rsidRPr="0044776A" w:rsidRDefault="00CE5905" w:rsidP="0044776A">
          <w:pPr>
            <w:keepNext/>
            <w:keepLines/>
            <w:widowControl w:val="0"/>
            <w:jc w:val="center"/>
            <w:rPr>
              <w:sz w:val="20"/>
              <w:szCs w:val="20"/>
            </w:rPr>
          </w:pPr>
        </w:p>
        <w:p w:rsidR="00CE5905" w:rsidRPr="0044776A" w:rsidRDefault="00CE5905" w:rsidP="0044776A">
          <w:pPr>
            <w:keepNext/>
            <w:keepLines/>
            <w:widowControl w:val="0"/>
            <w:jc w:val="center"/>
            <w:rPr>
              <w:sz w:val="20"/>
              <w:szCs w:val="20"/>
            </w:rPr>
          </w:pPr>
        </w:p>
      </w:tc>
      <w:tc>
        <w:tcPr>
          <w:tcW w:w="4080" w:type="dxa"/>
          <w:tcMar>
            <w:left w:w="0" w:type="dxa"/>
            <w:right w:w="0" w:type="dxa"/>
          </w:tcMar>
        </w:tcPr>
        <w:p w:rsidR="00CE5905" w:rsidRPr="0044776A" w:rsidRDefault="00CE5905" w:rsidP="0044776A">
          <w:pPr>
            <w:keepLines/>
            <w:widowControl w:val="0"/>
            <w:rPr>
              <w:sz w:val="20"/>
              <w:szCs w:val="20"/>
              <w:lang w:val="fr-CA"/>
            </w:rPr>
          </w:pPr>
          <w:r w:rsidRPr="0044776A">
            <w:rPr>
              <w:sz w:val="20"/>
              <w:szCs w:val="20"/>
              <w:lang w:val="fr-CA"/>
            </w:rPr>
            <w:t>DEMANDES SOUMISES À LA COUR DEPUIS LA DERNIÈRE PARUTION</w:t>
          </w:r>
        </w:p>
        <w:p w:rsidR="00CE5905" w:rsidRPr="0044776A" w:rsidRDefault="00CE5905" w:rsidP="0044776A">
          <w:pPr>
            <w:widowControl w:val="0"/>
            <w:rPr>
              <w:sz w:val="20"/>
              <w:szCs w:val="20"/>
              <w:lang w:val="fr-CA"/>
            </w:rPr>
          </w:pPr>
        </w:p>
      </w:tc>
    </w:tr>
  </w:tbl>
  <w:p w:rsidR="00CE5905" w:rsidRPr="002E2327" w:rsidRDefault="00CE5905">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05" w:rsidRDefault="00CE590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E5905" w:rsidRPr="00C0760E">
      <w:tc>
        <w:tcPr>
          <w:tcW w:w="4200" w:type="dxa"/>
          <w:tcMar>
            <w:left w:w="0" w:type="dxa"/>
            <w:right w:w="0" w:type="dxa"/>
          </w:tcMar>
        </w:tcPr>
        <w:p w:rsidR="00CE5905" w:rsidRDefault="00CE59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E5905" w:rsidRDefault="00CE59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E5905" w:rsidRDefault="00CE59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E5905" w:rsidRPr="00FF6BA5" w:rsidRDefault="00CE59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E5905" w:rsidRPr="00FF6BA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E5905" w:rsidRPr="00FF6BA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E5905" w:rsidRPr="00FF6BA5" w:rsidRDefault="00CE5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E5905" w:rsidRPr="00C0760E" w:rsidTr="00245129">
      <w:tc>
        <w:tcPr>
          <w:tcW w:w="4200" w:type="dxa"/>
          <w:tcMar>
            <w:left w:w="0" w:type="dxa"/>
            <w:right w:w="0" w:type="dxa"/>
          </w:tcMar>
        </w:tcPr>
        <w:p w:rsidR="00CE5905" w:rsidRPr="00755F22" w:rsidRDefault="00CE59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E5905" w:rsidRPr="00755F22" w:rsidRDefault="00CE59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E5905" w:rsidRPr="00755F22" w:rsidRDefault="00CE590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E5905" w:rsidRPr="00755F22" w:rsidRDefault="00CE590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E5905" w:rsidRPr="00755F22" w:rsidRDefault="00CE590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E5905" w:rsidRPr="00755F22" w:rsidRDefault="00CE59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E5905" w:rsidRPr="00FF6BA5" w:rsidRDefault="00CE5905"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53CDB"/>
    <w:multiLevelType w:val="hybridMultilevel"/>
    <w:tmpl w:val="2CC61F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023659"/>
    <w:multiLevelType w:val="hybridMultilevel"/>
    <w:tmpl w:val="049642F6"/>
    <w:lvl w:ilvl="0" w:tplc="22CC73D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00198"/>
    <w:multiLevelType w:val="hybridMultilevel"/>
    <w:tmpl w:val="D514FEB8"/>
    <w:lvl w:ilvl="0" w:tplc="93187A8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2A56EA7"/>
    <w:multiLevelType w:val="hybridMultilevel"/>
    <w:tmpl w:val="213EC766"/>
    <w:lvl w:ilvl="0" w:tplc="B426A39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58383"/>
  </w:hdrShapeDefaults>
  <w:footnotePr>
    <w:footnote w:id="-1"/>
    <w:footnote w:id="0"/>
  </w:footnotePr>
  <w:endnotePr>
    <w:endnote w:id="-1"/>
    <w:endnote w:id="0"/>
  </w:endnotePr>
  <w:compat>
    <w:compatSetting w:name="compatibilityMode" w:uri="http://schemas.microsoft.com/office/word" w:val="12"/>
  </w:compat>
  <w:rsids>
    <w:rsidRoot w:val="00DD525D"/>
    <w:rsid w:val="0003223B"/>
    <w:rsid w:val="0003246F"/>
    <w:rsid w:val="000327B2"/>
    <w:rsid w:val="00066341"/>
    <w:rsid w:val="00091FA6"/>
    <w:rsid w:val="00096BD9"/>
    <w:rsid w:val="000B3C9A"/>
    <w:rsid w:val="000B40A2"/>
    <w:rsid w:val="000B4624"/>
    <w:rsid w:val="000C0ACD"/>
    <w:rsid w:val="000C0D2A"/>
    <w:rsid w:val="000C5CE8"/>
    <w:rsid w:val="000E2959"/>
    <w:rsid w:val="000F0B60"/>
    <w:rsid w:val="00102926"/>
    <w:rsid w:val="0010587F"/>
    <w:rsid w:val="00111C6B"/>
    <w:rsid w:val="0012102B"/>
    <w:rsid w:val="0013369E"/>
    <w:rsid w:val="001371AE"/>
    <w:rsid w:val="00164E6D"/>
    <w:rsid w:val="001B157C"/>
    <w:rsid w:val="001B5C23"/>
    <w:rsid w:val="001D0D5F"/>
    <w:rsid w:val="001D6B8C"/>
    <w:rsid w:val="001F1F83"/>
    <w:rsid w:val="001F40DF"/>
    <w:rsid w:val="002021A9"/>
    <w:rsid w:val="00212369"/>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B516C"/>
    <w:rsid w:val="002D72EB"/>
    <w:rsid w:val="002E1696"/>
    <w:rsid w:val="002E2327"/>
    <w:rsid w:val="002E3583"/>
    <w:rsid w:val="002E5576"/>
    <w:rsid w:val="00331B52"/>
    <w:rsid w:val="003359D3"/>
    <w:rsid w:val="003513AE"/>
    <w:rsid w:val="00355967"/>
    <w:rsid w:val="00382C47"/>
    <w:rsid w:val="00384384"/>
    <w:rsid w:val="003866AE"/>
    <w:rsid w:val="00386C36"/>
    <w:rsid w:val="003B3977"/>
    <w:rsid w:val="003D5045"/>
    <w:rsid w:val="0042382D"/>
    <w:rsid w:val="00432989"/>
    <w:rsid w:val="00440E24"/>
    <w:rsid w:val="0044776A"/>
    <w:rsid w:val="00460AFC"/>
    <w:rsid w:val="0047471F"/>
    <w:rsid w:val="00496000"/>
    <w:rsid w:val="004B195E"/>
    <w:rsid w:val="004B66B4"/>
    <w:rsid w:val="004B6BD4"/>
    <w:rsid w:val="004B7F60"/>
    <w:rsid w:val="004C1AAC"/>
    <w:rsid w:val="004C33AB"/>
    <w:rsid w:val="004E1E0A"/>
    <w:rsid w:val="004F090E"/>
    <w:rsid w:val="00527CC7"/>
    <w:rsid w:val="00571CA4"/>
    <w:rsid w:val="00582136"/>
    <w:rsid w:val="00587D0C"/>
    <w:rsid w:val="005C6840"/>
    <w:rsid w:val="005F263E"/>
    <w:rsid w:val="005F48C7"/>
    <w:rsid w:val="00600252"/>
    <w:rsid w:val="00612A40"/>
    <w:rsid w:val="00621BE8"/>
    <w:rsid w:val="0062714A"/>
    <w:rsid w:val="006303E4"/>
    <w:rsid w:val="00642F12"/>
    <w:rsid w:val="00661C34"/>
    <w:rsid w:val="00675479"/>
    <w:rsid w:val="00680709"/>
    <w:rsid w:val="00692C0E"/>
    <w:rsid w:val="00696BF9"/>
    <w:rsid w:val="00697C62"/>
    <w:rsid w:val="006A329B"/>
    <w:rsid w:val="006A7EB8"/>
    <w:rsid w:val="006B6926"/>
    <w:rsid w:val="006C3F47"/>
    <w:rsid w:val="006C5F7A"/>
    <w:rsid w:val="006D7808"/>
    <w:rsid w:val="006E06AF"/>
    <w:rsid w:val="006F350F"/>
    <w:rsid w:val="007162CB"/>
    <w:rsid w:val="00732DB7"/>
    <w:rsid w:val="0074238B"/>
    <w:rsid w:val="00745EF7"/>
    <w:rsid w:val="00755F22"/>
    <w:rsid w:val="00766E4A"/>
    <w:rsid w:val="007820CE"/>
    <w:rsid w:val="00782AE4"/>
    <w:rsid w:val="0079724F"/>
    <w:rsid w:val="007A3EAE"/>
    <w:rsid w:val="007B6CDE"/>
    <w:rsid w:val="007C04FC"/>
    <w:rsid w:val="007D3E0F"/>
    <w:rsid w:val="007E4282"/>
    <w:rsid w:val="007F387B"/>
    <w:rsid w:val="00802863"/>
    <w:rsid w:val="00815B3C"/>
    <w:rsid w:val="0081610A"/>
    <w:rsid w:val="0082783A"/>
    <w:rsid w:val="00831CA9"/>
    <w:rsid w:val="00847B16"/>
    <w:rsid w:val="00850E1F"/>
    <w:rsid w:val="0085476B"/>
    <w:rsid w:val="00890FEB"/>
    <w:rsid w:val="008A5C1A"/>
    <w:rsid w:val="008C792D"/>
    <w:rsid w:val="008C799B"/>
    <w:rsid w:val="008D292F"/>
    <w:rsid w:val="008E03DC"/>
    <w:rsid w:val="008E2A8E"/>
    <w:rsid w:val="00902E51"/>
    <w:rsid w:val="009127CA"/>
    <w:rsid w:val="00914CB9"/>
    <w:rsid w:val="00924065"/>
    <w:rsid w:val="00930D68"/>
    <w:rsid w:val="00932DB4"/>
    <w:rsid w:val="00941A4B"/>
    <w:rsid w:val="00946242"/>
    <w:rsid w:val="0095096B"/>
    <w:rsid w:val="00970CD3"/>
    <w:rsid w:val="009723FA"/>
    <w:rsid w:val="009830B0"/>
    <w:rsid w:val="00984546"/>
    <w:rsid w:val="00996510"/>
    <w:rsid w:val="009A59D4"/>
    <w:rsid w:val="009D1F15"/>
    <w:rsid w:val="009D555E"/>
    <w:rsid w:val="009F3024"/>
    <w:rsid w:val="00A0355E"/>
    <w:rsid w:val="00A072B4"/>
    <w:rsid w:val="00A22D9C"/>
    <w:rsid w:val="00A375D1"/>
    <w:rsid w:val="00A47690"/>
    <w:rsid w:val="00A51D10"/>
    <w:rsid w:val="00A52A83"/>
    <w:rsid w:val="00A6552C"/>
    <w:rsid w:val="00A77130"/>
    <w:rsid w:val="00A87207"/>
    <w:rsid w:val="00A935AA"/>
    <w:rsid w:val="00AB07E5"/>
    <w:rsid w:val="00AB2201"/>
    <w:rsid w:val="00AD3259"/>
    <w:rsid w:val="00AF1715"/>
    <w:rsid w:val="00AF3904"/>
    <w:rsid w:val="00AF7769"/>
    <w:rsid w:val="00B010C0"/>
    <w:rsid w:val="00B4740D"/>
    <w:rsid w:val="00B61629"/>
    <w:rsid w:val="00B7374B"/>
    <w:rsid w:val="00B90DC0"/>
    <w:rsid w:val="00BA116A"/>
    <w:rsid w:val="00BA5582"/>
    <w:rsid w:val="00BA6468"/>
    <w:rsid w:val="00BB1D44"/>
    <w:rsid w:val="00BB3FDC"/>
    <w:rsid w:val="00BD06DA"/>
    <w:rsid w:val="00BD4217"/>
    <w:rsid w:val="00BF25F3"/>
    <w:rsid w:val="00C0760E"/>
    <w:rsid w:val="00C1697B"/>
    <w:rsid w:val="00C21CB5"/>
    <w:rsid w:val="00C50A5C"/>
    <w:rsid w:val="00C50FDF"/>
    <w:rsid w:val="00C63381"/>
    <w:rsid w:val="00C73D06"/>
    <w:rsid w:val="00C73E1B"/>
    <w:rsid w:val="00C759B4"/>
    <w:rsid w:val="00C77713"/>
    <w:rsid w:val="00C85BB7"/>
    <w:rsid w:val="00C901A4"/>
    <w:rsid w:val="00CA2DEA"/>
    <w:rsid w:val="00CB43D5"/>
    <w:rsid w:val="00CC4D84"/>
    <w:rsid w:val="00CC76F9"/>
    <w:rsid w:val="00CE198A"/>
    <w:rsid w:val="00CE5905"/>
    <w:rsid w:val="00CF08C8"/>
    <w:rsid w:val="00CF559B"/>
    <w:rsid w:val="00D004FC"/>
    <w:rsid w:val="00D64901"/>
    <w:rsid w:val="00D76BDF"/>
    <w:rsid w:val="00D862C1"/>
    <w:rsid w:val="00D93B50"/>
    <w:rsid w:val="00D94028"/>
    <w:rsid w:val="00D94670"/>
    <w:rsid w:val="00DA46F6"/>
    <w:rsid w:val="00DD0B49"/>
    <w:rsid w:val="00DD525D"/>
    <w:rsid w:val="00DE0502"/>
    <w:rsid w:val="00DE349D"/>
    <w:rsid w:val="00E06DFA"/>
    <w:rsid w:val="00E20A0A"/>
    <w:rsid w:val="00E2513C"/>
    <w:rsid w:val="00E356C7"/>
    <w:rsid w:val="00E45FE4"/>
    <w:rsid w:val="00E64FA7"/>
    <w:rsid w:val="00E70095"/>
    <w:rsid w:val="00E704B0"/>
    <w:rsid w:val="00E7539D"/>
    <w:rsid w:val="00E770CB"/>
    <w:rsid w:val="00E903A1"/>
    <w:rsid w:val="00E940EB"/>
    <w:rsid w:val="00E9703F"/>
    <w:rsid w:val="00EB2B90"/>
    <w:rsid w:val="00EC1FE7"/>
    <w:rsid w:val="00EC7617"/>
    <w:rsid w:val="00ED7E83"/>
    <w:rsid w:val="00EE091F"/>
    <w:rsid w:val="00EF1E74"/>
    <w:rsid w:val="00EF4B63"/>
    <w:rsid w:val="00F0068D"/>
    <w:rsid w:val="00F0576D"/>
    <w:rsid w:val="00F14E6D"/>
    <w:rsid w:val="00F15EA8"/>
    <w:rsid w:val="00F16C8D"/>
    <w:rsid w:val="00F26C61"/>
    <w:rsid w:val="00F33CCE"/>
    <w:rsid w:val="00F40249"/>
    <w:rsid w:val="00F526C8"/>
    <w:rsid w:val="00F74476"/>
    <w:rsid w:val="00F761A3"/>
    <w:rsid w:val="00F9272D"/>
    <w:rsid w:val="00F9518C"/>
    <w:rsid w:val="00FA316E"/>
    <w:rsid w:val="00FA59EF"/>
    <w:rsid w:val="00FB19A2"/>
    <w:rsid w:val="00FB6854"/>
    <w:rsid w:val="00FF3D43"/>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83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paragraph" w:customStyle="1" w:styleId="SCCLsocParty">
    <w:name w:val="SCC.Lsoc.Party"/>
    <w:basedOn w:val="Normal"/>
    <w:next w:val="Normal"/>
    <w:link w:val="SCCLsocPartyChar"/>
    <w:rsid w:val="009127CA"/>
    <w:pPr>
      <w:jc w:val="both"/>
    </w:pPr>
    <w:rPr>
      <w:rFonts w:eastAsia="Calibri" w:cs="Times New Roman"/>
      <w:i/>
      <w:lang w:val="fr-CA"/>
    </w:rPr>
  </w:style>
  <w:style w:type="character" w:customStyle="1" w:styleId="SCCLsocPartyChar">
    <w:name w:val="SCC.Lsoc.Party Char"/>
    <w:basedOn w:val="DefaultParagraphFont"/>
    <w:link w:val="SCCLsocParty"/>
    <w:rsid w:val="009127CA"/>
    <w:rPr>
      <w:rFonts w:eastAsia="Calibri" w:cs="Times New Roman"/>
      <w:i/>
      <w:lang w:val="fr-CA"/>
    </w:rPr>
  </w:style>
  <w:style w:type="table" w:customStyle="1" w:styleId="TableGrid1">
    <w:name w:val="Table Grid1"/>
    <w:basedOn w:val="TableNormal"/>
    <w:next w:val="TableGrid"/>
    <w:uiPriority w:val="59"/>
    <w:rsid w:val="00EC1FE7"/>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4C33AB"/>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4C33AB"/>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EF1E7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F1E7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EF1E7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EF1E7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EF1E7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canlii.ca/t/fx1pv" TargetMode="Externa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yperlink" Target="http://canlii.ca/fr/qc/qcca/doc/2012/2012qcca1525/2012qcca1525.html?searchUrlHash=AAAAAQAPMjAxMiAgUUNDQSAxNTI1AAAAAAE" TargetMode="External"/><Relationship Id="rId42" Type="http://schemas.openxmlformats.org/officeDocument/2006/relationships/footer" Target="footer10.xml"/><Relationship Id="rId47" Type="http://schemas.openxmlformats.org/officeDocument/2006/relationships/header" Target="header13.xml"/><Relationship Id="rId50" Type="http://schemas.openxmlformats.org/officeDocument/2006/relationships/header" Target="header15.xml"/><Relationship Id="rId55" Type="http://schemas.openxmlformats.org/officeDocument/2006/relationships/header" Target="header17.xml"/><Relationship Id="rId63" Type="http://schemas.openxmlformats.org/officeDocument/2006/relationships/hyperlink" Target="http://www.scc-csc.ca/case-dossier/info/sum-som-eng.aspx?cas=34501" TargetMode="External"/><Relationship Id="rId68"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ca/t/ftq1s"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canlii.ca/t/fx51m" TargetMode="External"/><Relationship Id="rId37" Type="http://schemas.openxmlformats.org/officeDocument/2006/relationships/header" Target="header8.xml"/><Relationship Id="rId40" Type="http://schemas.openxmlformats.org/officeDocument/2006/relationships/footer" Target="footer9.xml"/><Relationship Id="rId45" Type="http://schemas.openxmlformats.org/officeDocument/2006/relationships/footer" Target="footer11.xml"/><Relationship Id="rId53" Type="http://schemas.openxmlformats.org/officeDocument/2006/relationships/header" Target="header16.xml"/><Relationship Id="rId58" Type="http://schemas.openxmlformats.org/officeDocument/2006/relationships/footer" Target="footer18.xml"/><Relationship Id="rId66"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ca/t/fx1pv" TargetMode="External"/><Relationship Id="rId36" Type="http://schemas.openxmlformats.org/officeDocument/2006/relationships/hyperlink" Target="http://canlii.org/en/ca/fca/doc/2013/2013fca120/2013fca120.html" TargetMode="External"/><Relationship Id="rId49" Type="http://schemas.openxmlformats.org/officeDocument/2006/relationships/header" Target="header14.xml"/><Relationship Id="rId57" Type="http://schemas.openxmlformats.org/officeDocument/2006/relationships/footer" Target="footer17.xml"/><Relationship Id="rId61" Type="http://schemas.openxmlformats.org/officeDocument/2006/relationships/hyperlink" Target="http://www.scc-csc.ca/case-dossier/info/sum-som-fra.aspx?cas=34235" TargetMode="Externa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yperlink" Target="http://canlii.ca/t/ftq1s" TargetMode="External"/><Relationship Id="rId44" Type="http://schemas.openxmlformats.org/officeDocument/2006/relationships/header" Target="header12.xml"/><Relationship Id="rId52" Type="http://schemas.openxmlformats.org/officeDocument/2006/relationships/footer" Target="footer15.xml"/><Relationship Id="rId60" Type="http://schemas.openxmlformats.org/officeDocument/2006/relationships/footer" Target="footer19.xml"/><Relationship Id="rId65" Type="http://schemas.openxmlformats.org/officeDocument/2006/relationships/header" Target="header21.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canlii.ca/t/fw4d5" TargetMode="External"/><Relationship Id="rId30" Type="http://schemas.openxmlformats.org/officeDocument/2006/relationships/hyperlink" Target="http://canlii.ca/t/fx51m" TargetMode="External"/><Relationship Id="rId35" Type="http://schemas.openxmlformats.org/officeDocument/2006/relationships/hyperlink" Target="http://canlii.org/en/ca/fca/doc/2013/2013fca120/2013fca120.html" TargetMode="External"/><Relationship Id="rId43" Type="http://schemas.openxmlformats.org/officeDocument/2006/relationships/header" Target="header11.xml"/><Relationship Id="rId48" Type="http://schemas.openxmlformats.org/officeDocument/2006/relationships/footer" Target="footer13.xml"/><Relationship Id="rId56" Type="http://schemas.openxmlformats.org/officeDocument/2006/relationships/header" Target="header18.xml"/><Relationship Id="rId64" Type="http://schemas.openxmlformats.org/officeDocument/2006/relationships/header" Target="header20.xml"/><Relationship Id="rId69" Type="http://schemas.openxmlformats.org/officeDocument/2006/relationships/footer" Target="footer22.xml"/><Relationship Id="rId8" Type="http://schemas.openxmlformats.org/officeDocument/2006/relationships/image" Target="media/image1.wmf"/><Relationship Id="rId51" Type="http://schemas.openxmlformats.org/officeDocument/2006/relationships/footer" Target="footer1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anlii.ca/t/fw4d5" TargetMode="External"/><Relationship Id="rId33" Type="http://schemas.openxmlformats.org/officeDocument/2006/relationships/hyperlink" Target="http://canlii.ca/fr/qc/qcca/doc/2012/2012qcca1525/2012qcca1525.html?searchUrlHash=AAAAAQAPMjAxMiAgUUNDQSAxNTI1AAAAAAE" TargetMode="External"/><Relationship Id="rId38" Type="http://schemas.openxmlformats.org/officeDocument/2006/relationships/header" Target="header9.xml"/><Relationship Id="rId46" Type="http://schemas.openxmlformats.org/officeDocument/2006/relationships/footer" Target="footer12.xml"/><Relationship Id="rId59" Type="http://schemas.openxmlformats.org/officeDocument/2006/relationships/header" Target="header19.xml"/><Relationship Id="rId67" Type="http://schemas.openxmlformats.org/officeDocument/2006/relationships/footer" Target="footer21.xml"/><Relationship Id="rId20" Type="http://schemas.openxmlformats.org/officeDocument/2006/relationships/footer" Target="footer5.xml"/><Relationship Id="rId41" Type="http://schemas.openxmlformats.org/officeDocument/2006/relationships/header" Target="header10.xml"/><Relationship Id="rId54" Type="http://schemas.openxmlformats.org/officeDocument/2006/relationships/footer" Target="footer16.xml"/><Relationship Id="rId62" Type="http://schemas.openxmlformats.org/officeDocument/2006/relationships/hyperlink" Target="http://www.scc-csc.ca/case-dossier/info/sum-som-fra.aspx?cas=34393" TargetMode="External"/><Relationship Id="rId70"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61F05-BA47-42D1-8056-52293BE2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11217</Words>
  <Characters>63937</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2013-11-25T13:57:00Z</dcterms:created>
  <dcterms:modified xsi:type="dcterms:W3CDTF">2015-12-18T19:23:00Z</dcterms:modified>
</cp:coreProperties>
</file>