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E7787D"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E7787D"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E7787D"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E7787D"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E7787D" w:rsidTr="002E5576">
        <w:tc>
          <w:tcPr>
            <w:tcW w:w="4518" w:type="dxa"/>
          </w:tcPr>
          <w:p w:rsidR="00BF25F3" w:rsidRPr="002E2327" w:rsidRDefault="000C413F"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C413F"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E7787D"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E7787D"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w:t>
              </w:r>
              <w:r w:rsidR="00E7787D">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w:t>
              </w:r>
              <w:r w:rsidR="00E7787D">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D24201" w:rsidP="00F0068D">
      <w:pPr>
        <w:pBdr>
          <w:bottom w:val="single" w:sz="6" w:space="1" w:color="auto"/>
        </w:pBdr>
        <w:tabs>
          <w:tab w:val="center" w:pos="4680"/>
          <w:tab w:val="right" w:pos="9360"/>
        </w:tabs>
        <w:rPr>
          <w:lang w:val="fr-CA"/>
        </w:rPr>
      </w:pPr>
      <w:r>
        <w:rPr>
          <w:lang w:val="fr-CA"/>
        </w:rPr>
        <w:t>December 6</w:t>
      </w:r>
      <w:r w:rsidR="00440E24" w:rsidRPr="00675479">
        <w:rPr>
          <w:lang w:val="fr-CA"/>
        </w:rPr>
        <w:t>, 201</w:t>
      </w:r>
      <w:r w:rsidR="00F761A3">
        <w:rPr>
          <w:lang w:val="fr-CA"/>
        </w:rPr>
        <w:t>3</w:t>
      </w:r>
      <w:r w:rsidR="00F0068D" w:rsidRPr="00675479">
        <w:rPr>
          <w:lang w:val="fr-CA"/>
        </w:rPr>
        <w:tab/>
        <w:t>1</w:t>
      </w:r>
      <w:r>
        <w:rPr>
          <w:lang w:val="fr-CA"/>
        </w:rPr>
        <w:t>960</w:t>
      </w:r>
      <w:r w:rsidR="00F0068D" w:rsidRPr="00675479">
        <w:rPr>
          <w:lang w:val="fr-CA"/>
        </w:rPr>
        <w:t xml:space="preserve"> - </w:t>
      </w:r>
      <w:r w:rsidR="00734D85">
        <w:rPr>
          <w:lang w:val="fr-CA"/>
        </w:rPr>
        <w:t>1992</w:t>
      </w:r>
      <w:r w:rsidR="00440E24" w:rsidRPr="00675479">
        <w:rPr>
          <w:lang w:val="fr-CA"/>
        </w:rPr>
        <w:tab/>
      </w:r>
      <w:r w:rsidR="00440E24" w:rsidRPr="002E2327">
        <w:rPr>
          <w:lang w:val="fr-CA"/>
        </w:rPr>
        <w:t>Le</w:t>
      </w:r>
      <w:r w:rsidR="00C73D06">
        <w:rPr>
          <w:lang w:val="fr-CA"/>
        </w:rPr>
        <w:t xml:space="preserve"> </w:t>
      </w:r>
      <w:r>
        <w:rPr>
          <w:lang w:val="fr-CA"/>
        </w:rPr>
        <w:t>6</w:t>
      </w:r>
      <w:r w:rsidR="00C73D06">
        <w:rPr>
          <w:lang w:val="fr-CA"/>
        </w:rPr>
        <w:t xml:space="preserve"> </w:t>
      </w:r>
      <w:r>
        <w:rPr>
          <w:lang w:val="fr-CA"/>
        </w:rPr>
        <w:t>déc</w:t>
      </w:r>
      <w:r w:rsidR="00C73D06">
        <w:rPr>
          <w:lang w:val="fr-CA"/>
        </w:rPr>
        <w:t>e</w:t>
      </w:r>
      <w:r>
        <w:rPr>
          <w:lang w:val="fr-CA"/>
        </w:rPr>
        <w:t>mb</w:t>
      </w:r>
      <w:r w:rsidR="00C73D06">
        <w:rPr>
          <w:lang w:val="fr-CA"/>
        </w:rPr>
        <w:t>r</w:t>
      </w:r>
      <w:r>
        <w:rPr>
          <w:lang w:val="fr-CA"/>
        </w:rPr>
        <w:t>e</w:t>
      </w:r>
      <w:r w:rsidR="00440E24" w:rsidRPr="002E2327">
        <w:rPr>
          <w:lang w:val="fr-CA"/>
        </w:rPr>
        <w:t xml:space="preserve"> 201</w:t>
      </w:r>
      <w:r w:rsidR="00F761A3">
        <w:rPr>
          <w:lang w:val="fr-CA"/>
        </w:rPr>
        <w:t>3</w:t>
      </w:r>
    </w:p>
    <w:p w:rsidR="00440E24" w:rsidRPr="00675479" w:rsidRDefault="00440E24" w:rsidP="00440E24">
      <w:pPr>
        <w:pBdr>
          <w:bottom w:val="single" w:sz="6" w:space="1" w:color="auto"/>
        </w:pBdr>
        <w:tabs>
          <w:tab w:val="right" w:pos="9360"/>
        </w:tabs>
        <w:rPr>
          <w:lang w:val="fr-CA"/>
        </w:rPr>
      </w:pPr>
    </w:p>
    <w:p w:rsidR="00440E24" w:rsidRPr="00D24201" w:rsidRDefault="00440E24" w:rsidP="00440E24">
      <w:pPr>
        <w:pBdr>
          <w:bottom w:val="single" w:sz="6" w:space="1" w:color="auto"/>
        </w:pBdr>
        <w:tabs>
          <w:tab w:val="right" w:pos="9360"/>
        </w:tabs>
        <w:rPr>
          <w:sz w:val="18"/>
          <w:szCs w:val="18"/>
          <w:lang w:val="fr-CA"/>
        </w:rPr>
      </w:pPr>
      <w:r w:rsidRPr="00D24201">
        <w:rPr>
          <w:sz w:val="18"/>
          <w:szCs w:val="18"/>
          <w:lang w:val="fr-CA"/>
        </w:rPr>
        <w:lastRenderedPageBreak/>
        <w:t>© Supreme Court of Canada (201</w:t>
      </w:r>
      <w:r w:rsidR="00F761A3" w:rsidRPr="00D24201">
        <w:rPr>
          <w:sz w:val="18"/>
          <w:szCs w:val="18"/>
          <w:lang w:val="fr-CA"/>
        </w:rPr>
        <w:t>3</w:t>
      </w:r>
      <w:r w:rsidRPr="00D24201">
        <w:rPr>
          <w:sz w:val="18"/>
          <w:szCs w:val="18"/>
          <w:lang w:val="fr-CA"/>
        </w:rPr>
        <w:t>)</w:t>
      </w:r>
      <w:r w:rsidRPr="00D24201">
        <w:rPr>
          <w:sz w:val="18"/>
          <w:szCs w:val="18"/>
          <w:lang w:val="fr-CA"/>
        </w:rPr>
        <w:tab/>
        <w:t>© Cour suprême du Canada (201</w:t>
      </w:r>
      <w:r w:rsidR="00F761A3" w:rsidRPr="00D24201">
        <w:rPr>
          <w:sz w:val="18"/>
          <w:szCs w:val="18"/>
          <w:lang w:val="fr-CA"/>
        </w:rPr>
        <w:t>3</w:t>
      </w:r>
      <w:r w:rsidRPr="00D24201">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discontinuance filed since </w:t>
            </w:r>
          </w:p>
          <w:p w:rsidR="0095096B" w:rsidRPr="002E2327" w:rsidRDefault="0095096B" w:rsidP="0095096B">
            <w:pPr>
              <w:tabs>
                <w:tab w:val="right" w:pos="9360"/>
              </w:tabs>
              <w:rPr>
                <w:rFonts w:cs="Times New Roman"/>
                <w:sz w:val="20"/>
                <w:szCs w:val="20"/>
              </w:rPr>
            </w:pPr>
            <w:r w:rsidRPr="002E2327">
              <w:rPr>
                <w:rFonts w:cs="Times New Roman"/>
                <w:sz w:val="20"/>
                <w:szCs w:val="20"/>
              </w:rPr>
              <w:t>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6A085B">
            <w:pPr>
              <w:tabs>
                <w:tab w:val="right" w:pos="9360"/>
              </w:tabs>
              <w:rPr>
                <w:rFonts w:cs="Times New Roman"/>
                <w:sz w:val="20"/>
                <w:szCs w:val="20"/>
              </w:rPr>
            </w:pPr>
          </w:p>
        </w:tc>
        <w:tc>
          <w:tcPr>
            <w:tcW w:w="1980" w:type="dxa"/>
          </w:tcPr>
          <w:p w:rsidR="0095096B" w:rsidRPr="002E2327" w:rsidRDefault="005C23FC" w:rsidP="0095096B">
            <w:pPr>
              <w:jc w:val="center"/>
              <w:rPr>
                <w:rFonts w:cs="Times New Roman"/>
                <w:sz w:val="20"/>
                <w:szCs w:val="20"/>
              </w:rPr>
            </w:pPr>
            <w:r>
              <w:rPr>
                <w:rFonts w:cs="Times New Roman"/>
                <w:sz w:val="20"/>
                <w:szCs w:val="20"/>
              </w:rPr>
              <w:t xml:space="preserve">1960 </w:t>
            </w:r>
            <w:r w:rsidR="000C413F" w:rsidRPr="002E2327">
              <w:rPr>
                <w:rFonts w:cs="Times New Roman"/>
                <w:sz w:val="20"/>
                <w:szCs w:val="20"/>
              </w:rPr>
              <w:fldChar w:fldCharType="begin"/>
            </w:r>
            <w:r w:rsidR="0095096B" w:rsidRPr="002E2327">
              <w:rPr>
                <w:rFonts w:cs="Times New Roman"/>
                <w:sz w:val="20"/>
                <w:szCs w:val="20"/>
              </w:rPr>
              <w:instrText xml:space="preserve"> SEQ CHAPTER \h \r 1</w:instrText>
            </w:r>
            <w:r w:rsidR="000C413F" w:rsidRPr="002E2327">
              <w:rPr>
                <w:rFonts w:cs="Times New Roman"/>
                <w:sz w:val="20"/>
                <w:szCs w:val="20"/>
              </w:rPr>
              <w:fldChar w:fldCharType="end"/>
            </w:r>
            <w:r w:rsidR="0095096B" w:rsidRPr="002E2327">
              <w:rPr>
                <w:rFonts w:cs="Times New Roman"/>
                <w:sz w:val="20"/>
                <w:szCs w:val="20"/>
              </w:rPr>
              <w:t>-</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683295" w:rsidP="0095096B">
            <w:pPr>
              <w:jc w:val="center"/>
              <w:rPr>
                <w:rFonts w:cs="Times New Roman"/>
                <w:sz w:val="20"/>
                <w:szCs w:val="20"/>
              </w:rPr>
            </w:pPr>
            <w:r>
              <w:rPr>
                <w:rFonts w:cs="Times New Roman"/>
                <w:sz w:val="20"/>
                <w:szCs w:val="20"/>
              </w:rPr>
              <w:t>1961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6A085B" w:rsidP="0095096B">
            <w:pPr>
              <w:jc w:val="center"/>
              <w:rPr>
                <w:rFonts w:cs="Times New Roman"/>
                <w:sz w:val="20"/>
                <w:szCs w:val="20"/>
              </w:rPr>
            </w:pPr>
            <w:r>
              <w:rPr>
                <w:rFonts w:cs="Times New Roman"/>
                <w:sz w:val="20"/>
                <w:szCs w:val="20"/>
              </w:rPr>
              <w:t xml:space="preserve">1962 </w:t>
            </w:r>
            <w:r w:rsidR="0095096B" w:rsidRPr="002E2327">
              <w:rPr>
                <w:rFonts w:cs="Times New Roman"/>
                <w:sz w:val="20"/>
                <w:szCs w:val="20"/>
              </w:rPr>
              <w:t>-</w:t>
            </w:r>
            <w:r w:rsidR="00C07D78">
              <w:rPr>
                <w:rFonts w:cs="Times New Roman"/>
                <w:sz w:val="20"/>
                <w:szCs w:val="20"/>
              </w:rPr>
              <w:t xml:space="preserve"> 1971</w:t>
            </w:r>
          </w:p>
          <w:p w:rsidR="0095096B" w:rsidRPr="002E2327" w:rsidRDefault="0095096B" w:rsidP="0095096B">
            <w:pPr>
              <w:jc w:val="center"/>
              <w:rPr>
                <w:rFonts w:cs="Times New Roman"/>
                <w:sz w:val="20"/>
                <w:szCs w:val="20"/>
              </w:rPr>
            </w:pPr>
          </w:p>
          <w:p w:rsidR="00C07D78" w:rsidRDefault="00C07D78" w:rsidP="0095096B">
            <w:pPr>
              <w:jc w:val="center"/>
              <w:rPr>
                <w:rFonts w:cs="Times New Roman"/>
                <w:sz w:val="20"/>
                <w:szCs w:val="20"/>
              </w:rPr>
            </w:pPr>
          </w:p>
          <w:p w:rsidR="0095096B" w:rsidRPr="002E2327" w:rsidRDefault="00C07D78" w:rsidP="0095096B">
            <w:pPr>
              <w:jc w:val="center"/>
              <w:rPr>
                <w:rFonts w:cs="Times New Roman"/>
                <w:sz w:val="20"/>
                <w:szCs w:val="20"/>
              </w:rPr>
            </w:pPr>
            <w:r>
              <w:rPr>
                <w:rFonts w:cs="Times New Roman"/>
                <w:sz w:val="20"/>
                <w:szCs w:val="20"/>
              </w:rPr>
              <w:t xml:space="preserve">1972 </w:t>
            </w:r>
            <w:r w:rsidR="0095096B" w:rsidRPr="002E2327">
              <w:rPr>
                <w:rFonts w:cs="Times New Roman"/>
                <w:sz w:val="20"/>
                <w:szCs w:val="20"/>
              </w:rPr>
              <w:t>-</w:t>
            </w:r>
            <w:r>
              <w:rPr>
                <w:rFonts w:cs="Times New Roman"/>
                <w:sz w:val="20"/>
                <w:szCs w:val="20"/>
              </w:rPr>
              <w:t xml:space="preserve"> 1978</w:t>
            </w:r>
          </w:p>
          <w:p w:rsidR="0095096B" w:rsidRPr="002E2327" w:rsidRDefault="0095096B" w:rsidP="0095096B">
            <w:pPr>
              <w:jc w:val="center"/>
              <w:rPr>
                <w:rFonts w:cs="Times New Roman"/>
                <w:sz w:val="20"/>
                <w:szCs w:val="20"/>
              </w:rPr>
            </w:pPr>
          </w:p>
          <w:p w:rsidR="0095096B" w:rsidRDefault="00C07D78" w:rsidP="0095096B">
            <w:pPr>
              <w:jc w:val="center"/>
              <w:rPr>
                <w:rFonts w:cs="Times New Roman"/>
                <w:sz w:val="20"/>
                <w:szCs w:val="20"/>
              </w:rPr>
            </w:pPr>
            <w:r>
              <w:rPr>
                <w:rFonts w:cs="Times New Roman"/>
                <w:sz w:val="20"/>
                <w:szCs w:val="20"/>
              </w:rPr>
              <w:t>1979</w:t>
            </w:r>
          </w:p>
          <w:p w:rsidR="00C07D78" w:rsidRDefault="00C07D78" w:rsidP="0095096B">
            <w:pPr>
              <w:jc w:val="center"/>
              <w:rPr>
                <w:rFonts w:cs="Times New Roman"/>
                <w:sz w:val="20"/>
                <w:szCs w:val="20"/>
              </w:rPr>
            </w:pPr>
          </w:p>
          <w:p w:rsidR="00C07D78" w:rsidRPr="002E2327" w:rsidRDefault="00C07D78" w:rsidP="0095096B">
            <w:pPr>
              <w:jc w:val="center"/>
              <w:rPr>
                <w:rFonts w:cs="Times New Roman"/>
                <w:sz w:val="20"/>
                <w:szCs w:val="20"/>
              </w:rPr>
            </w:pPr>
          </w:p>
          <w:p w:rsidR="0095096B" w:rsidRDefault="00C07D78" w:rsidP="0095096B">
            <w:pPr>
              <w:jc w:val="center"/>
              <w:rPr>
                <w:rFonts w:cs="Times New Roman"/>
                <w:sz w:val="20"/>
                <w:szCs w:val="20"/>
              </w:rPr>
            </w:pPr>
            <w:r>
              <w:rPr>
                <w:rFonts w:cs="Times New Roman"/>
                <w:sz w:val="20"/>
                <w:szCs w:val="20"/>
              </w:rPr>
              <w:t xml:space="preserve">1980 </w:t>
            </w:r>
            <w:r w:rsidR="0095096B" w:rsidRPr="002E2327">
              <w:rPr>
                <w:rFonts w:cs="Times New Roman"/>
                <w:sz w:val="20"/>
                <w:szCs w:val="20"/>
              </w:rPr>
              <w:t>-</w:t>
            </w:r>
            <w:r>
              <w:rPr>
                <w:rFonts w:cs="Times New Roman"/>
                <w:sz w:val="20"/>
                <w:szCs w:val="20"/>
              </w:rPr>
              <w:t xml:space="preserve"> 1983</w:t>
            </w:r>
          </w:p>
          <w:p w:rsidR="00C07D78" w:rsidRPr="002E2327" w:rsidRDefault="00C07D78"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07D78" w:rsidP="0095096B">
            <w:pPr>
              <w:jc w:val="center"/>
              <w:rPr>
                <w:rFonts w:cs="Times New Roman"/>
                <w:sz w:val="20"/>
                <w:szCs w:val="20"/>
              </w:rPr>
            </w:pPr>
            <w:r>
              <w:rPr>
                <w:rFonts w:cs="Times New Roman"/>
                <w:sz w:val="20"/>
                <w:szCs w:val="20"/>
              </w:rPr>
              <w:t>1984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07D78" w:rsidP="0095096B">
            <w:pPr>
              <w:jc w:val="center"/>
              <w:rPr>
                <w:rFonts w:cs="Times New Roman"/>
                <w:sz w:val="20"/>
                <w:szCs w:val="20"/>
              </w:rPr>
            </w:pPr>
            <w:r>
              <w:rPr>
                <w:rFonts w:cs="Times New Roman"/>
                <w:sz w:val="20"/>
                <w:szCs w:val="20"/>
              </w:rPr>
              <w:t xml:space="preserve">1985 </w:t>
            </w:r>
            <w:r w:rsidR="0095096B" w:rsidRPr="002E2327">
              <w:rPr>
                <w:rFonts w:cs="Times New Roman"/>
                <w:sz w:val="20"/>
                <w:szCs w:val="20"/>
              </w:rPr>
              <w:t>-</w:t>
            </w:r>
            <w:r>
              <w:rPr>
                <w:rFonts w:cs="Times New Roman"/>
                <w:sz w:val="20"/>
                <w:szCs w:val="20"/>
              </w:rPr>
              <w:t xml:space="preserve"> </w:t>
            </w:r>
            <w:r w:rsidR="00734D85">
              <w:rPr>
                <w:rFonts w:cs="Times New Roman"/>
                <w:sz w:val="20"/>
                <w:szCs w:val="20"/>
              </w:rPr>
              <w:t>1992</w:t>
            </w:r>
          </w:p>
          <w:p w:rsidR="00A87207" w:rsidRPr="002E2327" w:rsidRDefault="00A87207" w:rsidP="006A085B">
            <w:pPr>
              <w:tabs>
                <w:tab w:val="right" w:pos="9360"/>
              </w:tabs>
              <w:jc w:val="center"/>
              <w:rPr>
                <w:rFonts w:cs="Times New Roman"/>
                <w:sz w:val="20"/>
                <w:szCs w:val="20"/>
              </w:rPr>
            </w:pPr>
          </w:p>
        </w:tc>
        <w:tc>
          <w:tcPr>
            <w:tcW w:w="3888" w:type="dxa"/>
          </w:tcPr>
          <w:p w:rsidR="0095096B" w:rsidRPr="002E2327" w:rsidRDefault="000C413F"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de désistement déposés depuis la 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6A085B">
            <w:pPr>
              <w:tabs>
                <w:tab w:val="right" w:pos="9360"/>
              </w:tabs>
              <w:rPr>
                <w:rFonts w:cs="Times New Roman"/>
                <w:sz w:val="20"/>
                <w:szCs w:val="20"/>
                <w:lang w:val="fr-CA"/>
              </w:rPr>
            </w:pPr>
          </w:p>
        </w:tc>
      </w:tr>
    </w:tbl>
    <w:p w:rsidR="0095096B" w:rsidRDefault="0095096B" w:rsidP="0095096B">
      <w:pPr>
        <w:tabs>
          <w:tab w:val="right" w:pos="9360"/>
        </w:tabs>
      </w:pPr>
    </w:p>
    <w:p w:rsidR="006A085B" w:rsidRDefault="006A085B" w:rsidP="0095096B">
      <w:pPr>
        <w:tabs>
          <w:tab w:val="right" w:pos="9360"/>
        </w:tabs>
      </w:pPr>
    </w:p>
    <w:p w:rsidR="006A085B" w:rsidRDefault="006A085B" w:rsidP="0095096B">
      <w:pPr>
        <w:tabs>
          <w:tab w:val="right" w:pos="9360"/>
        </w:tabs>
      </w:pPr>
    </w:p>
    <w:p w:rsidR="006A085B" w:rsidRDefault="006A085B" w:rsidP="0095096B">
      <w:pPr>
        <w:tabs>
          <w:tab w:val="right" w:pos="9360"/>
        </w:tabs>
      </w:pPr>
    </w:p>
    <w:p w:rsidR="006A085B" w:rsidRPr="002E2327" w:rsidRDefault="006A085B" w:rsidP="0095096B">
      <w:pPr>
        <w:tabs>
          <w:tab w:val="right" w:pos="9360"/>
        </w:tabs>
      </w:pPr>
    </w:p>
    <w:tbl>
      <w:tblPr>
        <w:tblStyle w:val="TableGrid"/>
        <w:tblW w:w="0" w:type="auto"/>
        <w:tblLook w:val="04A0" w:firstRow="1" w:lastRow="0" w:firstColumn="1" w:lastColumn="0" w:noHBand="0" w:noVBand="1"/>
      </w:tblPr>
      <w:tblGrid>
        <w:gridCol w:w="9576"/>
      </w:tblGrid>
      <w:tr w:rsidR="0079724F" w:rsidRPr="00E7787D"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242AEE" w:rsidRPr="00A935AA" w:rsidTr="003B3977">
        <w:tc>
          <w:tcPr>
            <w:tcW w:w="4320" w:type="dxa"/>
            <w:shd w:val="clear" w:color="auto" w:fill="auto"/>
          </w:tcPr>
          <w:p w:rsidR="00242AEE" w:rsidRPr="00A935AA" w:rsidRDefault="00D5052D" w:rsidP="003B3977">
            <w:pPr>
              <w:rPr>
                <w:b/>
                <w:sz w:val="20"/>
                <w:szCs w:val="20"/>
              </w:rPr>
            </w:pPr>
            <w:r>
              <w:rPr>
                <w:b/>
                <w:sz w:val="20"/>
                <w:szCs w:val="20"/>
              </w:rPr>
              <w:t>Paul Slansky</w:t>
            </w:r>
          </w:p>
          <w:p w:rsidR="00242AEE" w:rsidRPr="00A935AA" w:rsidRDefault="00242AEE" w:rsidP="003B3977">
            <w:pPr>
              <w:tabs>
                <w:tab w:val="left" w:pos="-1440"/>
                <w:tab w:val="left" w:pos="-720"/>
              </w:tabs>
              <w:rPr>
                <w:sz w:val="20"/>
                <w:szCs w:val="20"/>
              </w:rPr>
            </w:pPr>
            <w:r w:rsidRPr="00A935AA">
              <w:rPr>
                <w:sz w:val="20"/>
                <w:szCs w:val="20"/>
              </w:rPr>
              <w:tab/>
            </w:r>
            <w:r w:rsidR="00D5052D">
              <w:rPr>
                <w:sz w:val="20"/>
                <w:szCs w:val="20"/>
              </w:rPr>
              <w:t>Rocco Galati</w:t>
            </w:r>
          </w:p>
          <w:p w:rsidR="00242AEE" w:rsidRPr="00A935AA" w:rsidRDefault="00242AEE" w:rsidP="003B3977">
            <w:pPr>
              <w:tabs>
                <w:tab w:val="left" w:pos="-1440"/>
                <w:tab w:val="left" w:pos="-720"/>
              </w:tabs>
              <w:rPr>
                <w:sz w:val="20"/>
                <w:szCs w:val="20"/>
              </w:rPr>
            </w:pPr>
            <w:r w:rsidRPr="00A935AA">
              <w:rPr>
                <w:sz w:val="20"/>
                <w:szCs w:val="20"/>
              </w:rPr>
              <w:tab/>
            </w:r>
            <w:r w:rsidR="00D5052D">
              <w:rPr>
                <w:sz w:val="20"/>
                <w:szCs w:val="20"/>
              </w:rPr>
              <w:t xml:space="preserve">Rocco Galati Law Firm Professional </w:t>
            </w:r>
            <w:r w:rsidR="00D5052D">
              <w:rPr>
                <w:sz w:val="20"/>
                <w:szCs w:val="20"/>
              </w:rPr>
              <w:tab/>
              <w:t>Corporation</w:t>
            </w:r>
          </w:p>
          <w:p w:rsidR="00242AEE" w:rsidRPr="00A935AA" w:rsidRDefault="00242AEE"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A935AA">
              <w:rPr>
                <w:sz w:val="20"/>
                <w:szCs w:val="20"/>
              </w:rPr>
              <w:tab/>
              <w:t>v. (3</w:t>
            </w:r>
            <w:r w:rsidR="00CD05E4">
              <w:rPr>
                <w:sz w:val="20"/>
                <w:szCs w:val="20"/>
              </w:rPr>
              <w:t>5</w:t>
            </w:r>
            <w:r w:rsidR="00D5052D">
              <w:rPr>
                <w:sz w:val="20"/>
                <w:szCs w:val="20"/>
              </w:rPr>
              <w:t>606</w:t>
            </w:r>
            <w:r w:rsidRPr="00A935AA">
              <w:rPr>
                <w:sz w:val="20"/>
                <w:szCs w:val="20"/>
              </w:rPr>
              <w:t>)</w:t>
            </w:r>
          </w:p>
          <w:p w:rsidR="00242AEE" w:rsidRPr="00A935AA" w:rsidRDefault="00242AEE" w:rsidP="003B3977">
            <w:pPr>
              <w:tabs>
                <w:tab w:val="left" w:pos="-1440"/>
                <w:tab w:val="left" w:pos="-720"/>
              </w:tabs>
              <w:rPr>
                <w:sz w:val="20"/>
                <w:szCs w:val="20"/>
              </w:rPr>
            </w:pPr>
          </w:p>
          <w:p w:rsidR="00242AEE" w:rsidRPr="00A935AA" w:rsidRDefault="00D5052D" w:rsidP="003B3977">
            <w:pPr>
              <w:tabs>
                <w:tab w:val="left" w:pos="-1440"/>
                <w:tab w:val="left" w:pos="-720"/>
              </w:tabs>
              <w:rPr>
                <w:b/>
                <w:sz w:val="20"/>
                <w:szCs w:val="20"/>
              </w:rPr>
            </w:pPr>
            <w:r>
              <w:rPr>
                <w:b/>
                <w:sz w:val="20"/>
                <w:szCs w:val="20"/>
              </w:rPr>
              <w:t xml:space="preserve">Attorney General of Canada, Her Majesty the Queen et al. </w:t>
            </w:r>
            <w:r w:rsidR="00242AEE" w:rsidRPr="00A935AA">
              <w:rPr>
                <w:b/>
                <w:sz w:val="20"/>
                <w:szCs w:val="20"/>
              </w:rPr>
              <w:t>(</w:t>
            </w:r>
            <w:r>
              <w:rPr>
                <w:b/>
                <w:sz w:val="20"/>
                <w:szCs w:val="20"/>
              </w:rPr>
              <w:t>F</w:t>
            </w:r>
            <w:r w:rsidR="00242AEE" w:rsidRPr="00A935AA">
              <w:rPr>
                <w:b/>
                <w:sz w:val="20"/>
                <w:szCs w:val="20"/>
              </w:rPr>
              <w:t>.C.)</w:t>
            </w:r>
          </w:p>
          <w:p w:rsidR="00242AEE" w:rsidRPr="00A935AA" w:rsidRDefault="00242AEE" w:rsidP="003B3977">
            <w:pPr>
              <w:tabs>
                <w:tab w:val="left" w:pos="-1440"/>
                <w:tab w:val="left" w:pos="-720"/>
              </w:tabs>
              <w:rPr>
                <w:sz w:val="20"/>
                <w:szCs w:val="20"/>
              </w:rPr>
            </w:pPr>
            <w:r w:rsidRPr="00A935AA">
              <w:rPr>
                <w:sz w:val="20"/>
                <w:szCs w:val="20"/>
              </w:rPr>
              <w:tab/>
            </w:r>
            <w:r w:rsidR="00D5052D">
              <w:rPr>
                <w:sz w:val="20"/>
                <w:szCs w:val="20"/>
              </w:rPr>
              <w:t>Christopher M. Rupar</w:t>
            </w:r>
          </w:p>
          <w:p w:rsidR="00242AEE" w:rsidRPr="00A935AA" w:rsidRDefault="00242AEE" w:rsidP="003B3977">
            <w:pPr>
              <w:tabs>
                <w:tab w:val="left" w:pos="-1440"/>
                <w:tab w:val="left" w:pos="-720"/>
              </w:tabs>
              <w:rPr>
                <w:sz w:val="20"/>
                <w:szCs w:val="20"/>
              </w:rPr>
            </w:pPr>
            <w:r w:rsidRPr="00A935AA">
              <w:rPr>
                <w:sz w:val="20"/>
                <w:szCs w:val="20"/>
              </w:rPr>
              <w:tab/>
            </w:r>
            <w:r w:rsidR="00D5052D">
              <w:rPr>
                <w:sz w:val="20"/>
                <w:szCs w:val="20"/>
              </w:rPr>
              <w:t>A.G. of Canada</w:t>
            </w:r>
          </w:p>
          <w:p w:rsidR="00242AEE" w:rsidRPr="00A935AA" w:rsidRDefault="00242AEE" w:rsidP="003B3977">
            <w:pPr>
              <w:tabs>
                <w:tab w:val="left" w:pos="-1440"/>
                <w:tab w:val="left" w:pos="-720"/>
              </w:tabs>
              <w:rPr>
                <w:sz w:val="20"/>
                <w:szCs w:val="20"/>
              </w:rPr>
            </w:pPr>
          </w:p>
          <w:p w:rsidR="00242AEE" w:rsidRPr="00A935AA" w:rsidRDefault="00242AEE" w:rsidP="003B3977">
            <w:pPr>
              <w:rPr>
                <w:sz w:val="20"/>
                <w:szCs w:val="20"/>
              </w:rPr>
            </w:pPr>
            <w:r w:rsidRPr="00A935AA">
              <w:rPr>
                <w:sz w:val="20"/>
                <w:szCs w:val="20"/>
              </w:rPr>
              <w:t xml:space="preserve">FILING DATE: </w:t>
            </w:r>
            <w:r w:rsidR="00D5052D">
              <w:rPr>
                <w:sz w:val="20"/>
                <w:szCs w:val="20"/>
              </w:rPr>
              <w:t>0</w:t>
            </w:r>
            <w:r w:rsidRPr="00A935AA">
              <w:rPr>
                <w:sz w:val="20"/>
                <w:szCs w:val="20"/>
              </w:rPr>
              <w:t>7.</w:t>
            </w:r>
            <w:r w:rsidR="00CD05E4">
              <w:rPr>
                <w:sz w:val="20"/>
                <w:szCs w:val="20"/>
              </w:rPr>
              <w:t>11</w:t>
            </w:r>
            <w:r w:rsidRPr="00A935AA">
              <w:rPr>
                <w:sz w:val="20"/>
                <w:szCs w:val="20"/>
              </w:rPr>
              <w:t>.201</w:t>
            </w:r>
            <w:r w:rsidR="00CD05E4">
              <w:rPr>
                <w:sz w:val="20"/>
                <w:szCs w:val="20"/>
              </w:rPr>
              <w:t>3</w:t>
            </w:r>
          </w:p>
          <w:p w:rsidR="00242AEE" w:rsidRPr="00A935AA" w:rsidRDefault="00E7787D" w:rsidP="003B3977">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Default="00242AEE" w:rsidP="00242AEE">
            <w:pPr>
              <w:jc w:val="center"/>
              <w:rPr>
                <w:sz w:val="20"/>
                <w:szCs w:val="20"/>
              </w:rPr>
            </w:pPr>
          </w:p>
          <w:p w:rsidR="002E4345" w:rsidRPr="00A935AA" w:rsidRDefault="002E4345"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D5052D" w:rsidRDefault="00D5052D" w:rsidP="003B3977">
            <w:pPr>
              <w:keepNext/>
              <w:keepLines/>
              <w:tabs>
                <w:tab w:val="left" w:pos="-1440"/>
                <w:tab w:val="left" w:pos="-720"/>
              </w:tabs>
              <w:rPr>
                <w:b/>
                <w:sz w:val="20"/>
                <w:szCs w:val="20"/>
                <w:lang w:val="fr-CA"/>
              </w:rPr>
            </w:pPr>
            <w:r w:rsidRPr="00D5052D">
              <w:rPr>
                <w:b/>
                <w:sz w:val="20"/>
                <w:szCs w:val="20"/>
                <w:lang w:val="fr-CA"/>
              </w:rPr>
              <w:t>L’Association des parents de l’école Rose-des-vents et a</w:t>
            </w:r>
            <w:r>
              <w:rPr>
                <w:b/>
                <w:sz w:val="20"/>
                <w:szCs w:val="20"/>
                <w:lang w:val="fr-CA"/>
              </w:rPr>
              <w:t>utres</w:t>
            </w:r>
          </w:p>
          <w:p w:rsidR="00D5052D" w:rsidRPr="005C1ECC" w:rsidRDefault="00242AEE" w:rsidP="003B3977">
            <w:pPr>
              <w:keepNext/>
              <w:keepLines/>
              <w:tabs>
                <w:tab w:val="left" w:pos="-1440"/>
                <w:tab w:val="left" w:pos="-720"/>
              </w:tabs>
              <w:rPr>
                <w:sz w:val="20"/>
                <w:szCs w:val="20"/>
                <w:lang w:val="fr-CA"/>
              </w:rPr>
            </w:pPr>
            <w:r w:rsidRPr="00D5052D">
              <w:rPr>
                <w:sz w:val="20"/>
                <w:szCs w:val="20"/>
                <w:lang w:val="fr-CA"/>
              </w:rPr>
              <w:tab/>
            </w:r>
            <w:r w:rsidR="00D5052D">
              <w:rPr>
                <w:sz w:val="20"/>
                <w:szCs w:val="20"/>
                <w:lang w:val="fr-CA"/>
              </w:rPr>
              <w:t>Nicolas M. R</w:t>
            </w:r>
            <w:r w:rsidR="00D5052D" w:rsidRPr="005C1ECC">
              <w:rPr>
                <w:sz w:val="20"/>
                <w:szCs w:val="20"/>
                <w:lang w:val="fr-CA"/>
              </w:rPr>
              <w:t>ouleau</w:t>
            </w:r>
          </w:p>
          <w:p w:rsidR="00242AEE" w:rsidRPr="005C1ECC" w:rsidRDefault="00242AEE" w:rsidP="003B3977">
            <w:pPr>
              <w:keepNext/>
              <w:keepLines/>
              <w:tabs>
                <w:tab w:val="left" w:pos="-1440"/>
                <w:tab w:val="left" w:pos="-720"/>
              </w:tabs>
              <w:rPr>
                <w:sz w:val="20"/>
                <w:szCs w:val="20"/>
                <w:lang w:val="fr-CA"/>
              </w:rPr>
            </w:pPr>
          </w:p>
          <w:p w:rsidR="00242AEE" w:rsidRPr="00D5052D" w:rsidRDefault="00242AEE" w:rsidP="003B3977">
            <w:pPr>
              <w:keepNext/>
              <w:keepLines/>
              <w:tabs>
                <w:tab w:val="left" w:pos="-1440"/>
                <w:tab w:val="left" w:pos="-720"/>
              </w:tabs>
              <w:rPr>
                <w:sz w:val="20"/>
                <w:szCs w:val="20"/>
                <w:lang w:val="fr-CA"/>
              </w:rPr>
            </w:pPr>
            <w:r w:rsidRPr="005C1ECC">
              <w:rPr>
                <w:sz w:val="20"/>
                <w:szCs w:val="20"/>
                <w:lang w:val="fr-CA"/>
              </w:rPr>
              <w:tab/>
            </w:r>
            <w:r w:rsidR="00D5052D" w:rsidRPr="00D5052D">
              <w:rPr>
                <w:sz w:val="20"/>
                <w:szCs w:val="20"/>
                <w:lang w:val="fr-CA"/>
              </w:rPr>
              <w:t>c</w:t>
            </w:r>
            <w:r w:rsidRPr="00D5052D">
              <w:rPr>
                <w:sz w:val="20"/>
                <w:szCs w:val="20"/>
                <w:lang w:val="fr-CA"/>
              </w:rPr>
              <w:t>. (3</w:t>
            </w:r>
            <w:r w:rsidR="00CD05E4" w:rsidRPr="00D5052D">
              <w:rPr>
                <w:sz w:val="20"/>
                <w:szCs w:val="20"/>
                <w:lang w:val="fr-CA"/>
              </w:rPr>
              <w:t>5</w:t>
            </w:r>
            <w:r w:rsidR="00D5052D" w:rsidRPr="00D5052D">
              <w:rPr>
                <w:sz w:val="20"/>
                <w:szCs w:val="20"/>
                <w:lang w:val="fr-CA"/>
              </w:rPr>
              <w:t>619</w:t>
            </w:r>
            <w:r w:rsidRPr="00D5052D">
              <w:rPr>
                <w:sz w:val="20"/>
                <w:szCs w:val="20"/>
                <w:lang w:val="fr-CA"/>
              </w:rPr>
              <w:t>)</w:t>
            </w:r>
          </w:p>
          <w:p w:rsidR="00242AEE" w:rsidRPr="00D5052D" w:rsidRDefault="00242AEE" w:rsidP="003B3977">
            <w:pPr>
              <w:keepNext/>
              <w:keepLines/>
              <w:tabs>
                <w:tab w:val="left" w:pos="-1440"/>
                <w:tab w:val="left" w:pos="-720"/>
              </w:tabs>
              <w:rPr>
                <w:sz w:val="20"/>
                <w:szCs w:val="20"/>
                <w:lang w:val="fr-CA"/>
              </w:rPr>
            </w:pPr>
          </w:p>
          <w:p w:rsidR="00242AEE" w:rsidRPr="00D5052D" w:rsidRDefault="00D5052D" w:rsidP="003B3977">
            <w:pPr>
              <w:keepNext/>
              <w:keepLines/>
              <w:tabs>
                <w:tab w:val="left" w:pos="-1440"/>
                <w:tab w:val="left" w:pos="-720"/>
              </w:tabs>
              <w:rPr>
                <w:b/>
                <w:sz w:val="20"/>
                <w:szCs w:val="20"/>
                <w:lang w:val="fr-CA"/>
              </w:rPr>
            </w:pPr>
            <w:r w:rsidRPr="00D5052D">
              <w:rPr>
                <w:b/>
                <w:sz w:val="20"/>
                <w:szCs w:val="20"/>
                <w:lang w:val="fr-CA"/>
              </w:rPr>
              <w:t xml:space="preserve">Ministère de l’Éducation de la Colombie-Britannique et autres </w:t>
            </w:r>
            <w:r w:rsidR="00242AEE" w:rsidRPr="00D5052D">
              <w:rPr>
                <w:b/>
                <w:sz w:val="20"/>
                <w:szCs w:val="20"/>
                <w:lang w:val="fr-CA"/>
              </w:rPr>
              <w:t>(</w:t>
            </w:r>
            <w:r w:rsidRPr="00D5052D">
              <w:rPr>
                <w:b/>
                <w:sz w:val="20"/>
                <w:szCs w:val="20"/>
                <w:lang w:val="fr-CA"/>
              </w:rPr>
              <w:t>C.B</w:t>
            </w:r>
            <w:r w:rsidR="00242AEE" w:rsidRPr="00D5052D">
              <w:rPr>
                <w:b/>
                <w:sz w:val="20"/>
                <w:szCs w:val="20"/>
                <w:lang w:val="fr-CA"/>
              </w:rPr>
              <w:t>.)</w:t>
            </w:r>
          </w:p>
          <w:p w:rsidR="00242AEE" w:rsidRPr="00D5052D" w:rsidRDefault="00242AEE" w:rsidP="003B3977">
            <w:pPr>
              <w:keepNext/>
              <w:keepLines/>
              <w:tabs>
                <w:tab w:val="left" w:pos="-1440"/>
                <w:tab w:val="left" w:pos="-720"/>
              </w:tabs>
              <w:rPr>
                <w:sz w:val="20"/>
                <w:szCs w:val="20"/>
              </w:rPr>
            </w:pPr>
            <w:r w:rsidRPr="00D5052D">
              <w:rPr>
                <w:sz w:val="20"/>
                <w:szCs w:val="20"/>
                <w:lang w:val="fr-CA"/>
              </w:rPr>
              <w:tab/>
            </w:r>
            <w:r w:rsidR="00D5052D" w:rsidRPr="00D5052D">
              <w:rPr>
                <w:sz w:val="20"/>
                <w:szCs w:val="20"/>
              </w:rPr>
              <w:t>Leo</w:t>
            </w:r>
            <w:r w:rsidR="00D5052D">
              <w:rPr>
                <w:sz w:val="20"/>
                <w:szCs w:val="20"/>
              </w:rPr>
              <w:t>nard T. Doust</w:t>
            </w:r>
          </w:p>
          <w:p w:rsidR="00242AEE" w:rsidRPr="00D5052D" w:rsidRDefault="00242AEE" w:rsidP="003B3977">
            <w:pPr>
              <w:keepNext/>
              <w:keepLines/>
              <w:tabs>
                <w:tab w:val="left" w:pos="-1440"/>
                <w:tab w:val="left" w:pos="-720"/>
              </w:tabs>
              <w:rPr>
                <w:sz w:val="20"/>
                <w:szCs w:val="20"/>
              </w:rPr>
            </w:pPr>
            <w:r w:rsidRPr="00D5052D">
              <w:rPr>
                <w:sz w:val="20"/>
                <w:szCs w:val="20"/>
              </w:rPr>
              <w:tab/>
            </w:r>
            <w:r w:rsidR="002E4345">
              <w:rPr>
                <w:sz w:val="20"/>
                <w:szCs w:val="20"/>
              </w:rPr>
              <w:t>McCarthy Té</w:t>
            </w:r>
            <w:r w:rsidR="00D5052D">
              <w:rPr>
                <w:sz w:val="20"/>
                <w:szCs w:val="20"/>
              </w:rPr>
              <w:t>t</w:t>
            </w:r>
            <w:r w:rsidR="002E4345">
              <w:rPr>
                <w:sz w:val="20"/>
                <w:szCs w:val="20"/>
              </w:rPr>
              <w:t>r</w:t>
            </w:r>
            <w:r w:rsidR="00D5052D">
              <w:rPr>
                <w:sz w:val="20"/>
                <w:szCs w:val="20"/>
              </w:rPr>
              <w:t>a</w:t>
            </w:r>
            <w:r w:rsidR="002E4345">
              <w:rPr>
                <w:sz w:val="20"/>
                <w:szCs w:val="20"/>
              </w:rPr>
              <w:t>ult, s.r.l.</w:t>
            </w:r>
          </w:p>
          <w:p w:rsidR="00242AEE" w:rsidRPr="00D5052D" w:rsidRDefault="00242AEE" w:rsidP="003B3977">
            <w:pPr>
              <w:keepNext/>
              <w:keepLines/>
              <w:tabs>
                <w:tab w:val="left" w:pos="-1440"/>
                <w:tab w:val="left" w:pos="-720"/>
              </w:tabs>
              <w:rPr>
                <w:sz w:val="20"/>
                <w:szCs w:val="20"/>
              </w:rPr>
            </w:pPr>
          </w:p>
          <w:p w:rsidR="00242AEE" w:rsidRPr="00A935AA" w:rsidRDefault="00242AEE" w:rsidP="002E4345">
            <w:pPr>
              <w:rPr>
                <w:sz w:val="20"/>
                <w:szCs w:val="20"/>
              </w:rPr>
            </w:pPr>
            <w:r w:rsidRPr="00A935AA">
              <w:rPr>
                <w:sz w:val="20"/>
                <w:szCs w:val="20"/>
              </w:rPr>
              <w:t>DATE</w:t>
            </w:r>
            <w:r w:rsidR="002E4345">
              <w:rPr>
                <w:sz w:val="20"/>
                <w:szCs w:val="20"/>
              </w:rPr>
              <w:t xml:space="preserve"> DE PRODUCTION </w:t>
            </w:r>
            <w:r w:rsidRPr="00A935AA">
              <w:rPr>
                <w:sz w:val="20"/>
                <w:szCs w:val="20"/>
              </w:rPr>
              <w:t xml:space="preserve">: </w:t>
            </w:r>
            <w:r w:rsidR="00D5052D">
              <w:rPr>
                <w:sz w:val="20"/>
                <w:szCs w:val="20"/>
              </w:rPr>
              <w:t>1</w:t>
            </w:r>
            <w:r w:rsidR="002E4345">
              <w:rPr>
                <w:sz w:val="20"/>
                <w:szCs w:val="20"/>
              </w:rPr>
              <w:t>5</w:t>
            </w:r>
            <w:r w:rsidRPr="00A935AA">
              <w:rPr>
                <w:sz w:val="20"/>
                <w:szCs w:val="20"/>
              </w:rPr>
              <w:t>.</w:t>
            </w:r>
            <w:r w:rsidR="00CD05E4">
              <w:rPr>
                <w:sz w:val="20"/>
                <w:szCs w:val="20"/>
              </w:rPr>
              <w:t>11</w:t>
            </w:r>
            <w:r w:rsidRPr="00A935AA">
              <w:rPr>
                <w:sz w:val="20"/>
                <w:szCs w:val="20"/>
              </w:rPr>
              <w:t>.201</w:t>
            </w:r>
            <w:r w:rsidR="00CD05E4">
              <w:rPr>
                <w:sz w:val="20"/>
                <w:szCs w:val="20"/>
              </w:rPr>
              <w:t>3</w:t>
            </w:r>
            <w:r w:rsidR="00E7787D">
              <w:rPr>
                <w:sz w:val="20"/>
                <w:szCs w:val="20"/>
                <w:lang w:val="fr-CA"/>
              </w:rPr>
              <w:pict>
                <v:rect id="_x0000_i1026" style="width:108pt;height:1pt" o:hrpct="0" o:hralign="center" o:hrstd="t" o:hrnoshade="t" o:hr="t" fillcolor="black [3213]" stroked="f"/>
              </w:pict>
            </w:r>
          </w:p>
        </w:tc>
      </w:tr>
      <w:tr w:rsidR="00D5052D" w:rsidRPr="00A935AA" w:rsidTr="003B3977">
        <w:tc>
          <w:tcPr>
            <w:tcW w:w="4320" w:type="dxa"/>
            <w:shd w:val="clear" w:color="auto" w:fill="auto"/>
          </w:tcPr>
          <w:p w:rsidR="00D5052D" w:rsidRDefault="00D5052D" w:rsidP="0083449C">
            <w:pPr>
              <w:rPr>
                <w:b/>
                <w:sz w:val="20"/>
                <w:szCs w:val="20"/>
              </w:rPr>
            </w:pPr>
          </w:p>
          <w:p w:rsidR="002E4345" w:rsidRPr="00A935AA" w:rsidRDefault="002E4345" w:rsidP="0083449C">
            <w:pPr>
              <w:rPr>
                <w:b/>
                <w:sz w:val="20"/>
                <w:szCs w:val="20"/>
              </w:rPr>
            </w:pPr>
            <w:r>
              <w:rPr>
                <w:b/>
                <w:sz w:val="20"/>
                <w:szCs w:val="20"/>
              </w:rPr>
              <w:t>Dwayne Daryl Hanna</w:t>
            </w:r>
          </w:p>
          <w:p w:rsidR="002E4345" w:rsidRPr="00A935AA" w:rsidRDefault="00D5052D" w:rsidP="002E4345">
            <w:pPr>
              <w:keepNext/>
              <w:keepLines/>
              <w:tabs>
                <w:tab w:val="left" w:pos="-1440"/>
                <w:tab w:val="left" w:pos="-720"/>
              </w:tabs>
              <w:rPr>
                <w:sz w:val="20"/>
                <w:szCs w:val="20"/>
              </w:rPr>
            </w:pPr>
            <w:r w:rsidRPr="00A935AA">
              <w:rPr>
                <w:sz w:val="20"/>
                <w:szCs w:val="20"/>
              </w:rPr>
              <w:tab/>
            </w:r>
            <w:r w:rsidR="002E4345">
              <w:rPr>
                <w:sz w:val="20"/>
                <w:szCs w:val="20"/>
              </w:rPr>
              <w:t>Deborah R. Hatch</w:t>
            </w:r>
          </w:p>
          <w:p w:rsidR="002E4345" w:rsidRPr="00A935AA" w:rsidRDefault="002E4345" w:rsidP="002E4345">
            <w:pPr>
              <w:keepNext/>
              <w:keepLines/>
              <w:tabs>
                <w:tab w:val="left" w:pos="-1440"/>
                <w:tab w:val="left" w:pos="-720"/>
              </w:tabs>
              <w:rPr>
                <w:sz w:val="20"/>
                <w:szCs w:val="20"/>
              </w:rPr>
            </w:pPr>
            <w:r w:rsidRPr="00A935AA">
              <w:rPr>
                <w:sz w:val="20"/>
                <w:szCs w:val="20"/>
              </w:rPr>
              <w:tab/>
            </w:r>
            <w:r>
              <w:rPr>
                <w:sz w:val="20"/>
                <w:szCs w:val="20"/>
              </w:rPr>
              <w:t>Gunn Law Group</w:t>
            </w:r>
          </w:p>
          <w:p w:rsidR="002E4345" w:rsidRPr="00A935AA" w:rsidRDefault="002E4345" w:rsidP="002E4345">
            <w:pPr>
              <w:keepNext/>
              <w:keepLines/>
              <w:tabs>
                <w:tab w:val="left" w:pos="-1440"/>
                <w:tab w:val="left" w:pos="-720"/>
              </w:tabs>
              <w:rPr>
                <w:sz w:val="20"/>
                <w:szCs w:val="20"/>
              </w:rPr>
            </w:pPr>
          </w:p>
          <w:p w:rsidR="002E4345" w:rsidRPr="00D5052D" w:rsidRDefault="002E4345" w:rsidP="002E4345">
            <w:pPr>
              <w:keepNext/>
              <w:keepLines/>
              <w:tabs>
                <w:tab w:val="left" w:pos="-1440"/>
                <w:tab w:val="left" w:pos="-720"/>
              </w:tabs>
              <w:rPr>
                <w:sz w:val="20"/>
                <w:szCs w:val="20"/>
              </w:rPr>
            </w:pPr>
            <w:r w:rsidRPr="00A935AA">
              <w:rPr>
                <w:sz w:val="20"/>
                <w:szCs w:val="20"/>
              </w:rPr>
              <w:tab/>
            </w:r>
            <w:r w:rsidRPr="00D5052D">
              <w:rPr>
                <w:sz w:val="20"/>
                <w:szCs w:val="20"/>
              </w:rPr>
              <w:t>v. (35</w:t>
            </w:r>
            <w:r>
              <w:rPr>
                <w:sz w:val="20"/>
                <w:szCs w:val="20"/>
              </w:rPr>
              <w:t>615</w:t>
            </w:r>
            <w:r w:rsidRPr="00D5052D">
              <w:rPr>
                <w:sz w:val="20"/>
                <w:szCs w:val="20"/>
              </w:rPr>
              <w:t>)</w:t>
            </w:r>
          </w:p>
          <w:p w:rsidR="002E4345" w:rsidRPr="00D5052D" w:rsidRDefault="002E4345" w:rsidP="002E4345">
            <w:pPr>
              <w:keepNext/>
              <w:keepLines/>
              <w:tabs>
                <w:tab w:val="left" w:pos="-1440"/>
                <w:tab w:val="left" w:pos="-720"/>
              </w:tabs>
              <w:rPr>
                <w:sz w:val="20"/>
                <w:szCs w:val="20"/>
              </w:rPr>
            </w:pPr>
          </w:p>
          <w:p w:rsidR="002E4345" w:rsidRPr="00D5052D" w:rsidRDefault="002E4345" w:rsidP="002E4345">
            <w:pPr>
              <w:keepNext/>
              <w:keepLines/>
              <w:tabs>
                <w:tab w:val="left" w:pos="-1440"/>
                <w:tab w:val="left" w:pos="-720"/>
              </w:tabs>
              <w:rPr>
                <w:b/>
                <w:sz w:val="20"/>
                <w:szCs w:val="20"/>
              </w:rPr>
            </w:pPr>
            <w:r>
              <w:rPr>
                <w:b/>
                <w:sz w:val="20"/>
                <w:szCs w:val="20"/>
              </w:rPr>
              <w:t xml:space="preserve">Her Majesty the Queen </w:t>
            </w:r>
            <w:r w:rsidRPr="00D5052D">
              <w:rPr>
                <w:b/>
                <w:sz w:val="20"/>
                <w:szCs w:val="20"/>
              </w:rPr>
              <w:t>(</w:t>
            </w:r>
            <w:r>
              <w:rPr>
                <w:b/>
                <w:sz w:val="20"/>
                <w:szCs w:val="20"/>
              </w:rPr>
              <w:t>Al</w:t>
            </w:r>
            <w:r w:rsidRPr="00D5052D">
              <w:rPr>
                <w:b/>
                <w:sz w:val="20"/>
                <w:szCs w:val="20"/>
              </w:rPr>
              <w:t>t</w:t>
            </w:r>
            <w:r>
              <w:rPr>
                <w:b/>
                <w:sz w:val="20"/>
                <w:szCs w:val="20"/>
              </w:rPr>
              <w:t>a</w:t>
            </w:r>
            <w:r w:rsidRPr="00D5052D">
              <w:rPr>
                <w:b/>
                <w:sz w:val="20"/>
                <w:szCs w:val="20"/>
              </w:rPr>
              <w:t>.)</w:t>
            </w:r>
          </w:p>
          <w:p w:rsidR="002E4345" w:rsidRPr="00D5052D" w:rsidRDefault="002E4345" w:rsidP="002E4345">
            <w:pPr>
              <w:keepNext/>
              <w:keepLines/>
              <w:tabs>
                <w:tab w:val="left" w:pos="-1440"/>
                <w:tab w:val="left" w:pos="-720"/>
              </w:tabs>
              <w:rPr>
                <w:sz w:val="20"/>
                <w:szCs w:val="20"/>
              </w:rPr>
            </w:pPr>
            <w:r w:rsidRPr="00D5052D">
              <w:rPr>
                <w:sz w:val="20"/>
                <w:szCs w:val="20"/>
              </w:rPr>
              <w:tab/>
            </w:r>
            <w:r>
              <w:rPr>
                <w:sz w:val="20"/>
                <w:szCs w:val="20"/>
              </w:rPr>
              <w:t>Euan Gilmour</w:t>
            </w:r>
          </w:p>
          <w:p w:rsidR="002E4345" w:rsidRPr="00D5052D" w:rsidRDefault="002E4345" w:rsidP="002E4345">
            <w:pPr>
              <w:keepNext/>
              <w:keepLines/>
              <w:tabs>
                <w:tab w:val="left" w:pos="-1440"/>
                <w:tab w:val="left" w:pos="-720"/>
              </w:tabs>
              <w:rPr>
                <w:sz w:val="20"/>
                <w:szCs w:val="20"/>
              </w:rPr>
            </w:pPr>
            <w:r w:rsidRPr="00D5052D">
              <w:rPr>
                <w:sz w:val="20"/>
                <w:szCs w:val="20"/>
              </w:rPr>
              <w:tab/>
            </w:r>
            <w:r>
              <w:rPr>
                <w:sz w:val="20"/>
                <w:szCs w:val="20"/>
              </w:rPr>
              <w:t>A.G. of Alberta</w:t>
            </w:r>
          </w:p>
          <w:p w:rsidR="002E4345" w:rsidRPr="00D5052D" w:rsidRDefault="002E4345" w:rsidP="002E4345">
            <w:pPr>
              <w:keepNext/>
              <w:keepLines/>
              <w:tabs>
                <w:tab w:val="left" w:pos="-1440"/>
                <w:tab w:val="left" w:pos="-720"/>
              </w:tabs>
              <w:rPr>
                <w:sz w:val="20"/>
                <w:szCs w:val="20"/>
              </w:rPr>
            </w:pPr>
          </w:p>
          <w:p w:rsidR="00D5052D" w:rsidRPr="00A935AA" w:rsidRDefault="002E4345" w:rsidP="002E4345">
            <w:pPr>
              <w:rPr>
                <w:sz w:val="20"/>
                <w:szCs w:val="20"/>
              </w:rPr>
            </w:pPr>
            <w:r w:rsidRPr="00A935AA">
              <w:rPr>
                <w:sz w:val="20"/>
                <w:szCs w:val="20"/>
              </w:rPr>
              <w:t xml:space="preserve">FILING DATE: </w:t>
            </w:r>
            <w:r>
              <w:rPr>
                <w:sz w:val="20"/>
                <w:szCs w:val="20"/>
              </w:rPr>
              <w:t>14</w:t>
            </w:r>
            <w:r w:rsidRPr="00A935AA">
              <w:rPr>
                <w:sz w:val="20"/>
                <w:szCs w:val="20"/>
              </w:rPr>
              <w:t>.</w:t>
            </w:r>
            <w:r>
              <w:rPr>
                <w:sz w:val="20"/>
                <w:szCs w:val="20"/>
              </w:rPr>
              <w:t>11</w:t>
            </w:r>
            <w:r w:rsidRPr="00A935AA">
              <w:rPr>
                <w:sz w:val="20"/>
                <w:szCs w:val="20"/>
              </w:rPr>
              <w:t>.201</w:t>
            </w:r>
            <w:r>
              <w:rPr>
                <w:sz w:val="20"/>
                <w:szCs w:val="20"/>
              </w:rPr>
              <w:t>3</w:t>
            </w:r>
            <w:r w:rsidR="00E7787D">
              <w:rPr>
                <w:sz w:val="20"/>
                <w:szCs w:val="20"/>
                <w:lang w:val="fr-CA"/>
              </w:rPr>
              <w:pict>
                <v:rect id="_x0000_i1027" style="width:108pt;height:1pt" o:hrpct="0" o:hralign="center" o:hrstd="t" o:hrnoshade="t" o:hr="t" fillcolor="black [3213]" stroked="f"/>
              </w:pict>
            </w:r>
          </w:p>
        </w:tc>
        <w:tc>
          <w:tcPr>
            <w:tcW w:w="1181" w:type="dxa"/>
            <w:shd w:val="clear" w:color="auto" w:fill="auto"/>
          </w:tcPr>
          <w:p w:rsidR="00D5052D" w:rsidRPr="00A935AA" w:rsidRDefault="00D5052D" w:rsidP="00242AEE">
            <w:pPr>
              <w:jc w:val="center"/>
              <w:rPr>
                <w:sz w:val="20"/>
                <w:szCs w:val="20"/>
              </w:rPr>
            </w:pPr>
          </w:p>
          <w:p w:rsidR="00D5052D" w:rsidRPr="00A935AA" w:rsidRDefault="00D5052D" w:rsidP="00242AEE">
            <w:pPr>
              <w:jc w:val="center"/>
              <w:rPr>
                <w:sz w:val="20"/>
                <w:szCs w:val="20"/>
              </w:rPr>
            </w:pPr>
          </w:p>
          <w:p w:rsidR="00D5052D" w:rsidRPr="00A935AA" w:rsidRDefault="00D5052D" w:rsidP="00242AEE">
            <w:pPr>
              <w:jc w:val="center"/>
              <w:rPr>
                <w:sz w:val="20"/>
                <w:szCs w:val="20"/>
              </w:rPr>
            </w:pPr>
          </w:p>
          <w:p w:rsidR="00D5052D" w:rsidRPr="00A935AA" w:rsidRDefault="00D5052D" w:rsidP="00242AEE">
            <w:pPr>
              <w:jc w:val="center"/>
              <w:rPr>
                <w:sz w:val="20"/>
                <w:szCs w:val="20"/>
              </w:rPr>
            </w:pPr>
          </w:p>
          <w:p w:rsidR="00D5052D" w:rsidRPr="00A935AA" w:rsidRDefault="00D5052D" w:rsidP="00242AEE">
            <w:pPr>
              <w:jc w:val="center"/>
              <w:rPr>
                <w:sz w:val="20"/>
                <w:szCs w:val="20"/>
              </w:rPr>
            </w:pPr>
          </w:p>
          <w:p w:rsidR="00D5052D" w:rsidRPr="00A935AA" w:rsidRDefault="00D5052D" w:rsidP="00242AEE">
            <w:pPr>
              <w:jc w:val="center"/>
              <w:rPr>
                <w:sz w:val="20"/>
                <w:szCs w:val="20"/>
              </w:rPr>
            </w:pPr>
          </w:p>
          <w:p w:rsidR="00D5052D" w:rsidRPr="00A935AA" w:rsidRDefault="00D5052D" w:rsidP="00242AEE">
            <w:pPr>
              <w:jc w:val="center"/>
              <w:rPr>
                <w:sz w:val="20"/>
                <w:szCs w:val="20"/>
              </w:rPr>
            </w:pPr>
          </w:p>
          <w:p w:rsidR="00D5052D" w:rsidRPr="00A935AA" w:rsidRDefault="00D5052D" w:rsidP="00242AEE">
            <w:pPr>
              <w:jc w:val="center"/>
              <w:rPr>
                <w:sz w:val="20"/>
                <w:szCs w:val="20"/>
              </w:rPr>
            </w:pPr>
          </w:p>
          <w:p w:rsidR="00D5052D" w:rsidRPr="00A935AA" w:rsidRDefault="00D5052D" w:rsidP="00242AEE">
            <w:pPr>
              <w:jc w:val="center"/>
              <w:rPr>
                <w:sz w:val="20"/>
                <w:szCs w:val="20"/>
              </w:rPr>
            </w:pPr>
          </w:p>
          <w:p w:rsidR="00D5052D" w:rsidRPr="00A935AA" w:rsidRDefault="00D5052D" w:rsidP="00242AEE">
            <w:pPr>
              <w:jc w:val="center"/>
              <w:rPr>
                <w:sz w:val="20"/>
                <w:szCs w:val="20"/>
              </w:rPr>
            </w:pPr>
          </w:p>
          <w:p w:rsidR="00D5052D" w:rsidRPr="00A935AA" w:rsidRDefault="00D5052D" w:rsidP="00242AEE">
            <w:pPr>
              <w:jc w:val="center"/>
              <w:rPr>
                <w:sz w:val="20"/>
                <w:szCs w:val="20"/>
              </w:rPr>
            </w:pPr>
          </w:p>
          <w:p w:rsidR="00D5052D" w:rsidRPr="00A935AA" w:rsidRDefault="00D5052D" w:rsidP="00242AEE">
            <w:pPr>
              <w:jc w:val="center"/>
              <w:rPr>
                <w:sz w:val="20"/>
                <w:szCs w:val="20"/>
              </w:rPr>
            </w:pPr>
          </w:p>
          <w:p w:rsidR="00D5052D" w:rsidRPr="00A935AA" w:rsidRDefault="00D5052D" w:rsidP="00242AEE">
            <w:pPr>
              <w:jc w:val="center"/>
              <w:rPr>
                <w:sz w:val="20"/>
                <w:szCs w:val="20"/>
              </w:rPr>
            </w:pPr>
          </w:p>
        </w:tc>
        <w:tc>
          <w:tcPr>
            <w:tcW w:w="4320" w:type="dxa"/>
            <w:shd w:val="clear" w:color="auto" w:fill="auto"/>
          </w:tcPr>
          <w:p w:rsidR="00D5052D" w:rsidRPr="00A935AA" w:rsidRDefault="002E4345" w:rsidP="00D5052D">
            <w:pPr>
              <w:keepNext/>
              <w:keepLines/>
              <w:tabs>
                <w:tab w:val="left" w:pos="-1440"/>
                <w:tab w:val="left" w:pos="-720"/>
              </w:tabs>
              <w:rPr>
                <w:b/>
                <w:sz w:val="20"/>
                <w:szCs w:val="20"/>
              </w:rPr>
            </w:pPr>
            <w:r>
              <w:rPr>
                <w:b/>
                <w:sz w:val="20"/>
                <w:szCs w:val="20"/>
              </w:rPr>
              <w:t>R</w:t>
            </w:r>
            <w:r w:rsidR="00D5052D">
              <w:rPr>
                <w:b/>
                <w:sz w:val="20"/>
                <w:szCs w:val="20"/>
              </w:rPr>
              <w:t>ay</w:t>
            </w:r>
            <w:r>
              <w:rPr>
                <w:b/>
                <w:sz w:val="20"/>
                <w:szCs w:val="20"/>
              </w:rPr>
              <w:t xml:space="preserve"> Kh</w:t>
            </w:r>
            <w:r w:rsidR="00D5052D">
              <w:rPr>
                <w:b/>
                <w:sz w:val="20"/>
                <w:szCs w:val="20"/>
              </w:rPr>
              <w:t>an</w:t>
            </w:r>
            <w:r>
              <w:rPr>
                <w:b/>
                <w:sz w:val="20"/>
                <w:szCs w:val="20"/>
              </w:rPr>
              <w:t xml:space="preserve"> et </w:t>
            </w:r>
            <w:r w:rsidR="00D5052D">
              <w:rPr>
                <w:b/>
                <w:sz w:val="20"/>
                <w:szCs w:val="20"/>
              </w:rPr>
              <w:t>a</w:t>
            </w:r>
            <w:r>
              <w:rPr>
                <w:b/>
                <w:sz w:val="20"/>
                <w:szCs w:val="20"/>
              </w:rPr>
              <w:t>l.</w:t>
            </w:r>
          </w:p>
          <w:p w:rsidR="00D5052D" w:rsidRPr="00A935AA" w:rsidRDefault="00D5052D" w:rsidP="00D5052D">
            <w:pPr>
              <w:keepNext/>
              <w:keepLines/>
              <w:tabs>
                <w:tab w:val="left" w:pos="-1440"/>
                <w:tab w:val="left" w:pos="-720"/>
              </w:tabs>
              <w:rPr>
                <w:sz w:val="20"/>
                <w:szCs w:val="20"/>
              </w:rPr>
            </w:pPr>
            <w:r w:rsidRPr="00A935AA">
              <w:rPr>
                <w:sz w:val="20"/>
                <w:szCs w:val="20"/>
              </w:rPr>
              <w:tab/>
            </w:r>
            <w:r w:rsidR="008C60DA">
              <w:rPr>
                <w:sz w:val="20"/>
                <w:szCs w:val="20"/>
              </w:rPr>
              <w:t>Philip Healey</w:t>
            </w:r>
          </w:p>
          <w:p w:rsidR="00D5052D" w:rsidRPr="005C1ECC" w:rsidRDefault="00D5052D" w:rsidP="00D5052D">
            <w:pPr>
              <w:keepNext/>
              <w:keepLines/>
              <w:tabs>
                <w:tab w:val="left" w:pos="-1440"/>
                <w:tab w:val="left" w:pos="-720"/>
              </w:tabs>
              <w:rPr>
                <w:sz w:val="20"/>
                <w:szCs w:val="20"/>
                <w:lang w:val="fr-CA"/>
              </w:rPr>
            </w:pPr>
            <w:r w:rsidRPr="00A935AA">
              <w:rPr>
                <w:sz w:val="20"/>
                <w:szCs w:val="20"/>
              </w:rPr>
              <w:tab/>
            </w:r>
            <w:r w:rsidR="008C60DA" w:rsidRPr="005C1ECC">
              <w:rPr>
                <w:sz w:val="20"/>
                <w:szCs w:val="20"/>
                <w:lang w:val="fr-CA"/>
              </w:rPr>
              <w:t xml:space="preserve">Aird &amp; Berlis </w:t>
            </w:r>
            <w:r w:rsidRPr="005C1ECC">
              <w:rPr>
                <w:sz w:val="20"/>
                <w:szCs w:val="20"/>
                <w:lang w:val="fr-CA"/>
              </w:rPr>
              <w:t>L</w:t>
            </w:r>
            <w:r w:rsidR="008C60DA" w:rsidRPr="005C1ECC">
              <w:rPr>
                <w:sz w:val="20"/>
                <w:szCs w:val="20"/>
                <w:lang w:val="fr-CA"/>
              </w:rPr>
              <w:t>LP</w:t>
            </w:r>
          </w:p>
          <w:p w:rsidR="00D5052D" w:rsidRPr="005C1ECC" w:rsidRDefault="00D5052D" w:rsidP="00D5052D">
            <w:pPr>
              <w:keepNext/>
              <w:keepLines/>
              <w:tabs>
                <w:tab w:val="left" w:pos="-1440"/>
                <w:tab w:val="left" w:pos="-720"/>
              </w:tabs>
              <w:rPr>
                <w:sz w:val="20"/>
                <w:szCs w:val="20"/>
                <w:lang w:val="fr-CA"/>
              </w:rPr>
            </w:pPr>
          </w:p>
          <w:p w:rsidR="00D5052D" w:rsidRPr="005C1ECC" w:rsidRDefault="00D5052D" w:rsidP="00D5052D">
            <w:pPr>
              <w:keepNext/>
              <w:keepLines/>
              <w:tabs>
                <w:tab w:val="left" w:pos="-1440"/>
                <w:tab w:val="left" w:pos="-720"/>
              </w:tabs>
              <w:rPr>
                <w:sz w:val="20"/>
                <w:szCs w:val="20"/>
                <w:lang w:val="fr-CA"/>
              </w:rPr>
            </w:pPr>
            <w:r w:rsidRPr="005C1ECC">
              <w:rPr>
                <w:sz w:val="20"/>
                <w:szCs w:val="20"/>
                <w:lang w:val="fr-CA"/>
              </w:rPr>
              <w:tab/>
              <w:t>v. (3561</w:t>
            </w:r>
            <w:r w:rsidR="008C60DA" w:rsidRPr="005C1ECC">
              <w:rPr>
                <w:sz w:val="20"/>
                <w:szCs w:val="20"/>
                <w:lang w:val="fr-CA"/>
              </w:rPr>
              <w:t>6</w:t>
            </w:r>
            <w:r w:rsidRPr="005C1ECC">
              <w:rPr>
                <w:sz w:val="20"/>
                <w:szCs w:val="20"/>
                <w:lang w:val="fr-CA"/>
              </w:rPr>
              <w:t>)</w:t>
            </w:r>
          </w:p>
          <w:p w:rsidR="00D5052D" w:rsidRPr="005C1ECC" w:rsidRDefault="00D5052D" w:rsidP="00D5052D">
            <w:pPr>
              <w:keepNext/>
              <w:keepLines/>
              <w:tabs>
                <w:tab w:val="left" w:pos="-1440"/>
                <w:tab w:val="left" w:pos="-720"/>
              </w:tabs>
              <w:rPr>
                <w:sz w:val="20"/>
                <w:szCs w:val="20"/>
                <w:lang w:val="fr-CA"/>
              </w:rPr>
            </w:pPr>
          </w:p>
          <w:p w:rsidR="00D5052D" w:rsidRPr="002E4345" w:rsidRDefault="00D5052D" w:rsidP="00D5052D">
            <w:pPr>
              <w:keepNext/>
              <w:keepLines/>
              <w:tabs>
                <w:tab w:val="left" w:pos="-1440"/>
                <w:tab w:val="left" w:pos="-720"/>
              </w:tabs>
              <w:rPr>
                <w:b/>
                <w:sz w:val="20"/>
                <w:szCs w:val="20"/>
                <w:lang w:val="fr-CA"/>
              </w:rPr>
            </w:pPr>
            <w:r w:rsidRPr="002E4345">
              <w:rPr>
                <w:b/>
                <w:sz w:val="20"/>
                <w:szCs w:val="20"/>
                <w:lang w:val="fr-CA"/>
              </w:rPr>
              <w:t>M</w:t>
            </w:r>
            <w:r w:rsidR="002E4345" w:rsidRPr="002E4345">
              <w:rPr>
                <w:b/>
                <w:sz w:val="20"/>
                <w:szCs w:val="20"/>
                <w:lang w:val="fr-CA"/>
              </w:rPr>
              <w:t>e</w:t>
            </w:r>
            <w:r w:rsidRPr="002E4345">
              <w:rPr>
                <w:b/>
                <w:sz w:val="20"/>
                <w:szCs w:val="20"/>
                <w:lang w:val="fr-CA"/>
              </w:rPr>
              <w:t>t</w:t>
            </w:r>
            <w:r w:rsidR="002E4345" w:rsidRPr="002E4345">
              <w:rPr>
                <w:b/>
                <w:sz w:val="20"/>
                <w:szCs w:val="20"/>
                <w:lang w:val="fr-CA"/>
              </w:rPr>
              <w:t>roland Printing e</w:t>
            </w:r>
            <w:r w:rsidRPr="002E4345">
              <w:rPr>
                <w:b/>
                <w:sz w:val="20"/>
                <w:szCs w:val="20"/>
                <w:lang w:val="fr-CA"/>
              </w:rPr>
              <w:t>t</w:t>
            </w:r>
            <w:r w:rsidR="002E4345" w:rsidRPr="002E4345">
              <w:rPr>
                <w:b/>
                <w:sz w:val="20"/>
                <w:szCs w:val="20"/>
                <w:lang w:val="fr-CA"/>
              </w:rPr>
              <w:t xml:space="preserve"> al.</w:t>
            </w:r>
            <w:r w:rsidRPr="002E4345">
              <w:rPr>
                <w:b/>
                <w:sz w:val="20"/>
                <w:szCs w:val="20"/>
                <w:lang w:val="fr-CA"/>
              </w:rPr>
              <w:t xml:space="preserve"> (</w:t>
            </w:r>
            <w:r w:rsidR="002E4345" w:rsidRPr="002E4345">
              <w:rPr>
                <w:b/>
                <w:sz w:val="20"/>
                <w:szCs w:val="20"/>
                <w:lang w:val="fr-CA"/>
              </w:rPr>
              <w:t>On</w:t>
            </w:r>
            <w:r w:rsidRPr="002E4345">
              <w:rPr>
                <w:b/>
                <w:sz w:val="20"/>
                <w:szCs w:val="20"/>
                <w:lang w:val="fr-CA"/>
              </w:rPr>
              <w:t>t.)</w:t>
            </w:r>
          </w:p>
          <w:p w:rsidR="00D5052D" w:rsidRPr="005C1ECC" w:rsidRDefault="00D5052D" w:rsidP="00D5052D">
            <w:pPr>
              <w:keepNext/>
              <w:keepLines/>
              <w:tabs>
                <w:tab w:val="left" w:pos="-1440"/>
                <w:tab w:val="left" w:pos="-720"/>
              </w:tabs>
              <w:rPr>
                <w:sz w:val="20"/>
                <w:szCs w:val="20"/>
                <w:lang w:val="fr-CA"/>
              </w:rPr>
            </w:pPr>
            <w:r w:rsidRPr="002E4345">
              <w:rPr>
                <w:sz w:val="20"/>
                <w:szCs w:val="20"/>
                <w:lang w:val="fr-CA"/>
              </w:rPr>
              <w:tab/>
            </w:r>
            <w:r w:rsidR="008C60DA" w:rsidRPr="005C1ECC">
              <w:rPr>
                <w:sz w:val="20"/>
                <w:szCs w:val="20"/>
                <w:lang w:val="fr-CA"/>
              </w:rPr>
              <w:t xml:space="preserve">Ryder </w:t>
            </w:r>
            <w:r w:rsidRPr="005C1ECC">
              <w:rPr>
                <w:sz w:val="20"/>
                <w:szCs w:val="20"/>
                <w:lang w:val="fr-CA"/>
              </w:rPr>
              <w:t>Gil</w:t>
            </w:r>
            <w:r w:rsidR="008C60DA" w:rsidRPr="005C1ECC">
              <w:rPr>
                <w:sz w:val="20"/>
                <w:szCs w:val="20"/>
                <w:lang w:val="fr-CA"/>
              </w:rPr>
              <w:t>liland</w:t>
            </w:r>
          </w:p>
          <w:p w:rsidR="00D5052D" w:rsidRPr="00D5052D" w:rsidRDefault="00D5052D" w:rsidP="00D5052D">
            <w:pPr>
              <w:keepNext/>
              <w:keepLines/>
              <w:tabs>
                <w:tab w:val="left" w:pos="-1440"/>
                <w:tab w:val="left" w:pos="-720"/>
              </w:tabs>
              <w:rPr>
                <w:sz w:val="20"/>
                <w:szCs w:val="20"/>
              </w:rPr>
            </w:pPr>
            <w:r w:rsidRPr="005C1ECC">
              <w:rPr>
                <w:sz w:val="20"/>
                <w:szCs w:val="20"/>
                <w:lang w:val="fr-CA"/>
              </w:rPr>
              <w:tab/>
            </w:r>
            <w:r w:rsidR="008C60DA">
              <w:rPr>
                <w:sz w:val="20"/>
                <w:szCs w:val="20"/>
              </w:rPr>
              <w:t>Blake, Casse</w:t>
            </w:r>
            <w:r>
              <w:rPr>
                <w:sz w:val="20"/>
                <w:szCs w:val="20"/>
              </w:rPr>
              <w:t>l</w:t>
            </w:r>
            <w:r w:rsidR="008C60DA">
              <w:rPr>
                <w:sz w:val="20"/>
                <w:szCs w:val="20"/>
              </w:rPr>
              <w:t>s &amp; G</w:t>
            </w:r>
            <w:r>
              <w:rPr>
                <w:sz w:val="20"/>
                <w:szCs w:val="20"/>
              </w:rPr>
              <w:t>ra</w:t>
            </w:r>
            <w:r w:rsidR="008C60DA">
              <w:rPr>
                <w:sz w:val="20"/>
                <w:szCs w:val="20"/>
              </w:rPr>
              <w:t>ydon LLP</w:t>
            </w:r>
          </w:p>
          <w:p w:rsidR="00D5052D" w:rsidRPr="00D5052D" w:rsidRDefault="00D5052D" w:rsidP="00D5052D">
            <w:pPr>
              <w:keepNext/>
              <w:keepLines/>
              <w:tabs>
                <w:tab w:val="left" w:pos="-1440"/>
                <w:tab w:val="left" w:pos="-720"/>
              </w:tabs>
              <w:rPr>
                <w:sz w:val="20"/>
                <w:szCs w:val="20"/>
              </w:rPr>
            </w:pPr>
          </w:p>
          <w:p w:rsidR="00D5052D" w:rsidRPr="00A935AA" w:rsidRDefault="00D5052D" w:rsidP="008C60DA">
            <w:pPr>
              <w:rPr>
                <w:sz w:val="20"/>
                <w:szCs w:val="20"/>
              </w:rPr>
            </w:pPr>
            <w:r w:rsidRPr="00A935AA">
              <w:rPr>
                <w:sz w:val="20"/>
                <w:szCs w:val="20"/>
              </w:rPr>
              <w:t xml:space="preserve">FILING DATE: </w:t>
            </w:r>
            <w:r>
              <w:rPr>
                <w:sz w:val="20"/>
                <w:szCs w:val="20"/>
              </w:rPr>
              <w:t>1</w:t>
            </w:r>
            <w:r w:rsidR="008C60DA">
              <w:rPr>
                <w:sz w:val="20"/>
                <w:szCs w:val="20"/>
              </w:rPr>
              <w:t>5</w:t>
            </w:r>
            <w:r w:rsidRPr="00A935AA">
              <w:rPr>
                <w:sz w:val="20"/>
                <w:szCs w:val="20"/>
              </w:rPr>
              <w:t>.</w:t>
            </w:r>
            <w:r>
              <w:rPr>
                <w:sz w:val="20"/>
                <w:szCs w:val="20"/>
              </w:rPr>
              <w:t>11</w:t>
            </w:r>
            <w:r w:rsidRPr="00A935AA">
              <w:rPr>
                <w:sz w:val="20"/>
                <w:szCs w:val="20"/>
              </w:rPr>
              <w:t>.201</w:t>
            </w:r>
            <w:r>
              <w:rPr>
                <w:sz w:val="20"/>
                <w:szCs w:val="20"/>
              </w:rPr>
              <w:t>3</w:t>
            </w:r>
            <w:r w:rsidR="00E7787D">
              <w:rPr>
                <w:sz w:val="20"/>
                <w:szCs w:val="20"/>
                <w:lang w:val="fr-CA"/>
              </w:rPr>
              <w:pict>
                <v:rect id="_x0000_i1028" style="width:108pt;height:1pt" o:hrpct="0" o:hralign="center" o:hrstd="t" o:hrnoshade="t" o:hr="t" fillcolor="black [3213]" stroked="f"/>
              </w:pict>
            </w:r>
          </w:p>
        </w:tc>
      </w:tr>
      <w:tr w:rsidR="00D5052D" w:rsidRPr="00A935AA" w:rsidTr="003B3977">
        <w:tc>
          <w:tcPr>
            <w:tcW w:w="4320" w:type="dxa"/>
            <w:shd w:val="clear" w:color="auto" w:fill="auto"/>
          </w:tcPr>
          <w:p w:rsidR="00D5052D" w:rsidRDefault="00D5052D" w:rsidP="0083449C">
            <w:pPr>
              <w:rPr>
                <w:b/>
                <w:sz w:val="20"/>
                <w:szCs w:val="20"/>
              </w:rPr>
            </w:pPr>
          </w:p>
          <w:p w:rsidR="002E4345" w:rsidRPr="00A935AA" w:rsidRDefault="002E4345" w:rsidP="0083449C">
            <w:pPr>
              <w:rPr>
                <w:b/>
                <w:sz w:val="20"/>
                <w:szCs w:val="20"/>
              </w:rPr>
            </w:pPr>
            <w:r>
              <w:rPr>
                <w:b/>
                <w:sz w:val="20"/>
                <w:szCs w:val="20"/>
              </w:rPr>
              <w:t>Bernard Musoni</w:t>
            </w:r>
          </w:p>
          <w:p w:rsidR="00D5052D" w:rsidRPr="00A935AA" w:rsidRDefault="00D5052D" w:rsidP="0083449C">
            <w:pPr>
              <w:tabs>
                <w:tab w:val="left" w:pos="-1440"/>
                <w:tab w:val="left" w:pos="-720"/>
              </w:tabs>
              <w:rPr>
                <w:sz w:val="20"/>
                <w:szCs w:val="20"/>
              </w:rPr>
            </w:pPr>
            <w:r w:rsidRPr="00A935AA">
              <w:rPr>
                <w:sz w:val="20"/>
                <w:szCs w:val="20"/>
              </w:rPr>
              <w:tab/>
            </w:r>
            <w:r w:rsidR="002E4345">
              <w:rPr>
                <w:sz w:val="20"/>
                <w:szCs w:val="20"/>
              </w:rPr>
              <w:t>Bernard Musoni</w:t>
            </w:r>
          </w:p>
          <w:p w:rsidR="00D5052D" w:rsidRPr="00A935AA" w:rsidRDefault="00D5052D" w:rsidP="0083449C">
            <w:pPr>
              <w:tabs>
                <w:tab w:val="left" w:pos="-1440"/>
                <w:tab w:val="left" w:pos="-720"/>
              </w:tabs>
              <w:rPr>
                <w:sz w:val="20"/>
                <w:szCs w:val="20"/>
              </w:rPr>
            </w:pPr>
          </w:p>
          <w:p w:rsidR="00D5052D" w:rsidRPr="00A935AA" w:rsidRDefault="00D5052D" w:rsidP="0083449C">
            <w:pPr>
              <w:tabs>
                <w:tab w:val="left" w:pos="-1440"/>
                <w:tab w:val="left" w:pos="-720"/>
              </w:tabs>
              <w:rPr>
                <w:sz w:val="20"/>
                <w:szCs w:val="20"/>
              </w:rPr>
            </w:pPr>
            <w:r w:rsidRPr="00A935AA">
              <w:rPr>
                <w:sz w:val="20"/>
                <w:szCs w:val="20"/>
              </w:rPr>
              <w:tab/>
              <w:t>v. (3</w:t>
            </w:r>
            <w:r>
              <w:rPr>
                <w:sz w:val="20"/>
                <w:szCs w:val="20"/>
              </w:rPr>
              <w:t>5</w:t>
            </w:r>
            <w:r w:rsidR="002E4345">
              <w:rPr>
                <w:sz w:val="20"/>
                <w:szCs w:val="20"/>
              </w:rPr>
              <w:t>621</w:t>
            </w:r>
            <w:r w:rsidRPr="00A935AA">
              <w:rPr>
                <w:sz w:val="20"/>
                <w:szCs w:val="20"/>
              </w:rPr>
              <w:t>)</w:t>
            </w:r>
          </w:p>
          <w:p w:rsidR="00D5052D" w:rsidRPr="00A935AA" w:rsidRDefault="00D5052D" w:rsidP="0083449C">
            <w:pPr>
              <w:tabs>
                <w:tab w:val="left" w:pos="-1440"/>
                <w:tab w:val="left" w:pos="-720"/>
              </w:tabs>
              <w:rPr>
                <w:sz w:val="20"/>
                <w:szCs w:val="20"/>
              </w:rPr>
            </w:pPr>
          </w:p>
          <w:p w:rsidR="00D5052D" w:rsidRPr="00A935AA" w:rsidRDefault="002E4345" w:rsidP="0083449C">
            <w:pPr>
              <w:tabs>
                <w:tab w:val="left" w:pos="-1440"/>
                <w:tab w:val="left" w:pos="-720"/>
              </w:tabs>
              <w:rPr>
                <w:b/>
                <w:sz w:val="20"/>
                <w:szCs w:val="20"/>
              </w:rPr>
            </w:pPr>
            <w:r>
              <w:rPr>
                <w:b/>
                <w:sz w:val="20"/>
                <w:szCs w:val="20"/>
              </w:rPr>
              <w:t xml:space="preserve">Logitek Technology Ltd. </w:t>
            </w:r>
            <w:r w:rsidR="00D5052D" w:rsidRPr="00A935AA">
              <w:rPr>
                <w:b/>
                <w:sz w:val="20"/>
                <w:szCs w:val="20"/>
              </w:rPr>
              <w:t>(</w:t>
            </w:r>
            <w:r>
              <w:rPr>
                <w:b/>
                <w:sz w:val="20"/>
                <w:szCs w:val="20"/>
              </w:rPr>
              <w:t>Ont</w:t>
            </w:r>
            <w:r w:rsidR="00D5052D" w:rsidRPr="00A935AA">
              <w:rPr>
                <w:b/>
                <w:sz w:val="20"/>
                <w:szCs w:val="20"/>
              </w:rPr>
              <w:t>.)</w:t>
            </w:r>
          </w:p>
          <w:p w:rsidR="00D5052D" w:rsidRPr="00A935AA" w:rsidRDefault="00D5052D" w:rsidP="0083449C">
            <w:pPr>
              <w:tabs>
                <w:tab w:val="left" w:pos="-1440"/>
                <w:tab w:val="left" w:pos="-720"/>
              </w:tabs>
              <w:rPr>
                <w:sz w:val="20"/>
                <w:szCs w:val="20"/>
              </w:rPr>
            </w:pPr>
            <w:r w:rsidRPr="00A935AA">
              <w:rPr>
                <w:sz w:val="20"/>
                <w:szCs w:val="20"/>
              </w:rPr>
              <w:tab/>
            </w:r>
            <w:r w:rsidR="002E4345">
              <w:rPr>
                <w:sz w:val="20"/>
                <w:szCs w:val="20"/>
              </w:rPr>
              <w:t>Reagan Ruslim</w:t>
            </w:r>
          </w:p>
          <w:p w:rsidR="00D5052D" w:rsidRPr="00A935AA" w:rsidRDefault="00D5052D" w:rsidP="0083449C">
            <w:pPr>
              <w:tabs>
                <w:tab w:val="left" w:pos="-1440"/>
                <w:tab w:val="left" w:pos="-720"/>
              </w:tabs>
              <w:rPr>
                <w:sz w:val="20"/>
                <w:szCs w:val="20"/>
              </w:rPr>
            </w:pPr>
            <w:r w:rsidRPr="00A935AA">
              <w:rPr>
                <w:sz w:val="20"/>
                <w:szCs w:val="20"/>
              </w:rPr>
              <w:tab/>
            </w:r>
            <w:r w:rsidR="002E4345">
              <w:rPr>
                <w:sz w:val="20"/>
                <w:szCs w:val="20"/>
              </w:rPr>
              <w:t>Dunsmore Wearing LLP</w:t>
            </w:r>
          </w:p>
          <w:p w:rsidR="00D5052D" w:rsidRPr="00A935AA" w:rsidRDefault="00D5052D" w:rsidP="0083449C">
            <w:pPr>
              <w:tabs>
                <w:tab w:val="left" w:pos="-1440"/>
                <w:tab w:val="left" w:pos="-720"/>
              </w:tabs>
              <w:rPr>
                <w:sz w:val="20"/>
                <w:szCs w:val="20"/>
              </w:rPr>
            </w:pPr>
          </w:p>
          <w:p w:rsidR="00D5052D" w:rsidRPr="00A935AA" w:rsidRDefault="00D5052D" w:rsidP="0083449C">
            <w:pPr>
              <w:rPr>
                <w:sz w:val="20"/>
                <w:szCs w:val="20"/>
              </w:rPr>
            </w:pPr>
            <w:r w:rsidRPr="00A935AA">
              <w:rPr>
                <w:sz w:val="20"/>
                <w:szCs w:val="20"/>
              </w:rPr>
              <w:t xml:space="preserve">FILING DATE: </w:t>
            </w:r>
            <w:r w:rsidR="002E4345">
              <w:rPr>
                <w:sz w:val="20"/>
                <w:szCs w:val="20"/>
              </w:rPr>
              <w:t>15</w:t>
            </w:r>
            <w:r w:rsidRPr="00A935AA">
              <w:rPr>
                <w:sz w:val="20"/>
                <w:szCs w:val="20"/>
              </w:rPr>
              <w:t>.</w:t>
            </w:r>
            <w:r>
              <w:rPr>
                <w:sz w:val="20"/>
                <w:szCs w:val="20"/>
              </w:rPr>
              <w:t>11</w:t>
            </w:r>
            <w:r w:rsidRPr="00A935AA">
              <w:rPr>
                <w:sz w:val="20"/>
                <w:szCs w:val="20"/>
              </w:rPr>
              <w:t>.201</w:t>
            </w:r>
            <w:r>
              <w:rPr>
                <w:sz w:val="20"/>
                <w:szCs w:val="20"/>
              </w:rPr>
              <w:t>3</w:t>
            </w:r>
          </w:p>
          <w:p w:rsidR="00D5052D" w:rsidRPr="00A935AA" w:rsidRDefault="00E7787D" w:rsidP="0083449C">
            <w:pPr>
              <w:rPr>
                <w:sz w:val="20"/>
                <w:szCs w:val="20"/>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D5052D" w:rsidRPr="00A935AA" w:rsidRDefault="00D5052D" w:rsidP="00242AEE">
            <w:pPr>
              <w:jc w:val="center"/>
              <w:rPr>
                <w:sz w:val="20"/>
                <w:szCs w:val="20"/>
              </w:rPr>
            </w:pPr>
          </w:p>
          <w:p w:rsidR="00D5052D" w:rsidRPr="00A935AA" w:rsidRDefault="00D5052D" w:rsidP="00242AEE">
            <w:pPr>
              <w:jc w:val="center"/>
              <w:rPr>
                <w:sz w:val="20"/>
                <w:szCs w:val="20"/>
              </w:rPr>
            </w:pPr>
          </w:p>
          <w:p w:rsidR="00D5052D" w:rsidRPr="00A935AA" w:rsidRDefault="00D5052D" w:rsidP="00242AEE">
            <w:pPr>
              <w:jc w:val="center"/>
              <w:rPr>
                <w:sz w:val="20"/>
                <w:szCs w:val="20"/>
              </w:rPr>
            </w:pPr>
          </w:p>
          <w:p w:rsidR="00D5052D" w:rsidRPr="00A935AA" w:rsidRDefault="00D5052D" w:rsidP="00242AEE">
            <w:pPr>
              <w:jc w:val="center"/>
              <w:rPr>
                <w:sz w:val="20"/>
                <w:szCs w:val="20"/>
              </w:rPr>
            </w:pPr>
          </w:p>
          <w:p w:rsidR="00D5052D" w:rsidRPr="00A935AA" w:rsidRDefault="00D5052D" w:rsidP="00242AEE">
            <w:pPr>
              <w:jc w:val="center"/>
              <w:rPr>
                <w:sz w:val="20"/>
                <w:szCs w:val="20"/>
              </w:rPr>
            </w:pPr>
          </w:p>
          <w:p w:rsidR="00D5052D" w:rsidRPr="00A935AA" w:rsidRDefault="00D5052D" w:rsidP="00242AEE">
            <w:pPr>
              <w:jc w:val="center"/>
              <w:rPr>
                <w:sz w:val="20"/>
                <w:szCs w:val="20"/>
              </w:rPr>
            </w:pPr>
          </w:p>
          <w:p w:rsidR="00D5052D" w:rsidRPr="00A935AA" w:rsidRDefault="00D5052D" w:rsidP="00242AEE">
            <w:pPr>
              <w:jc w:val="center"/>
              <w:rPr>
                <w:sz w:val="20"/>
                <w:szCs w:val="20"/>
              </w:rPr>
            </w:pPr>
          </w:p>
          <w:p w:rsidR="00D5052D" w:rsidRPr="00A935AA" w:rsidRDefault="00D5052D" w:rsidP="00242AEE">
            <w:pPr>
              <w:jc w:val="center"/>
              <w:rPr>
                <w:sz w:val="20"/>
                <w:szCs w:val="20"/>
              </w:rPr>
            </w:pPr>
          </w:p>
          <w:p w:rsidR="00D5052D" w:rsidRPr="00A935AA" w:rsidRDefault="00D5052D" w:rsidP="00242AEE">
            <w:pPr>
              <w:jc w:val="center"/>
              <w:rPr>
                <w:sz w:val="20"/>
                <w:szCs w:val="20"/>
              </w:rPr>
            </w:pPr>
          </w:p>
          <w:p w:rsidR="00D5052D" w:rsidRPr="00A935AA" w:rsidRDefault="00D5052D" w:rsidP="00242AEE">
            <w:pPr>
              <w:jc w:val="center"/>
              <w:rPr>
                <w:sz w:val="20"/>
                <w:szCs w:val="20"/>
              </w:rPr>
            </w:pPr>
          </w:p>
          <w:p w:rsidR="00D5052D" w:rsidRDefault="00D5052D" w:rsidP="00242AEE">
            <w:pPr>
              <w:jc w:val="center"/>
              <w:rPr>
                <w:sz w:val="20"/>
                <w:szCs w:val="20"/>
              </w:rPr>
            </w:pPr>
          </w:p>
          <w:p w:rsidR="00D5052D" w:rsidRDefault="00D5052D" w:rsidP="00242AEE">
            <w:pPr>
              <w:jc w:val="center"/>
              <w:rPr>
                <w:sz w:val="20"/>
                <w:szCs w:val="20"/>
              </w:rPr>
            </w:pPr>
          </w:p>
          <w:p w:rsidR="00D5052D" w:rsidRPr="00A935AA" w:rsidRDefault="00D5052D" w:rsidP="00242AEE">
            <w:pPr>
              <w:jc w:val="center"/>
              <w:rPr>
                <w:sz w:val="20"/>
                <w:szCs w:val="20"/>
              </w:rPr>
            </w:pPr>
          </w:p>
        </w:tc>
        <w:tc>
          <w:tcPr>
            <w:tcW w:w="4320" w:type="dxa"/>
            <w:shd w:val="clear" w:color="auto" w:fill="auto"/>
          </w:tcPr>
          <w:p w:rsidR="00D5052D" w:rsidRPr="00A935AA" w:rsidRDefault="002E4345" w:rsidP="0083449C">
            <w:pPr>
              <w:keepNext/>
              <w:keepLines/>
              <w:tabs>
                <w:tab w:val="left" w:pos="-1440"/>
                <w:tab w:val="left" w:pos="-720"/>
              </w:tabs>
              <w:rPr>
                <w:b/>
                <w:sz w:val="20"/>
                <w:szCs w:val="20"/>
              </w:rPr>
            </w:pPr>
            <w:r>
              <w:rPr>
                <w:b/>
                <w:sz w:val="20"/>
                <w:szCs w:val="20"/>
              </w:rPr>
              <w:t>Frank Albert De Winter</w:t>
            </w:r>
          </w:p>
          <w:p w:rsidR="00D5052D" w:rsidRPr="00A935AA" w:rsidRDefault="00D5052D" w:rsidP="0083449C">
            <w:pPr>
              <w:keepNext/>
              <w:keepLines/>
              <w:tabs>
                <w:tab w:val="left" w:pos="-1440"/>
                <w:tab w:val="left" w:pos="-720"/>
              </w:tabs>
              <w:rPr>
                <w:sz w:val="20"/>
                <w:szCs w:val="20"/>
              </w:rPr>
            </w:pPr>
            <w:r w:rsidRPr="00A935AA">
              <w:rPr>
                <w:sz w:val="20"/>
                <w:szCs w:val="20"/>
              </w:rPr>
              <w:tab/>
            </w:r>
            <w:r w:rsidR="002E4345">
              <w:rPr>
                <w:sz w:val="20"/>
                <w:szCs w:val="20"/>
              </w:rPr>
              <w:t>Chad C. Bowie</w:t>
            </w:r>
          </w:p>
          <w:p w:rsidR="00D5052D" w:rsidRPr="00A935AA" w:rsidRDefault="00D5052D" w:rsidP="0083449C">
            <w:pPr>
              <w:keepNext/>
              <w:keepLines/>
              <w:tabs>
                <w:tab w:val="left" w:pos="-1440"/>
                <w:tab w:val="left" w:pos="-720"/>
              </w:tabs>
              <w:rPr>
                <w:sz w:val="20"/>
                <w:szCs w:val="20"/>
              </w:rPr>
            </w:pPr>
            <w:r w:rsidRPr="00A935AA">
              <w:rPr>
                <w:sz w:val="20"/>
                <w:szCs w:val="20"/>
              </w:rPr>
              <w:tab/>
            </w:r>
            <w:r w:rsidR="002E4345">
              <w:rPr>
                <w:sz w:val="20"/>
                <w:szCs w:val="20"/>
              </w:rPr>
              <w:t>Snyder &amp; Associates LLP</w:t>
            </w:r>
          </w:p>
          <w:p w:rsidR="00D5052D" w:rsidRPr="00A935AA" w:rsidRDefault="00D5052D" w:rsidP="0083449C">
            <w:pPr>
              <w:keepNext/>
              <w:keepLines/>
              <w:tabs>
                <w:tab w:val="left" w:pos="-1440"/>
                <w:tab w:val="left" w:pos="-720"/>
              </w:tabs>
              <w:rPr>
                <w:sz w:val="20"/>
                <w:szCs w:val="20"/>
              </w:rPr>
            </w:pPr>
          </w:p>
          <w:p w:rsidR="00D5052D" w:rsidRPr="002E4345" w:rsidRDefault="00D5052D" w:rsidP="0083449C">
            <w:pPr>
              <w:keepNext/>
              <w:keepLines/>
              <w:tabs>
                <w:tab w:val="left" w:pos="-1440"/>
                <w:tab w:val="left" w:pos="-720"/>
              </w:tabs>
              <w:rPr>
                <w:sz w:val="20"/>
                <w:szCs w:val="20"/>
              </w:rPr>
            </w:pPr>
            <w:r w:rsidRPr="00A935AA">
              <w:rPr>
                <w:sz w:val="20"/>
                <w:szCs w:val="20"/>
              </w:rPr>
              <w:tab/>
            </w:r>
            <w:r w:rsidRPr="002E4345">
              <w:rPr>
                <w:sz w:val="20"/>
                <w:szCs w:val="20"/>
              </w:rPr>
              <w:t>v. (35</w:t>
            </w:r>
            <w:r w:rsidR="002E4345">
              <w:rPr>
                <w:sz w:val="20"/>
                <w:szCs w:val="20"/>
              </w:rPr>
              <w:t>618</w:t>
            </w:r>
            <w:r w:rsidRPr="002E4345">
              <w:rPr>
                <w:sz w:val="20"/>
                <w:szCs w:val="20"/>
              </w:rPr>
              <w:t>)</w:t>
            </w:r>
          </w:p>
          <w:p w:rsidR="00D5052D" w:rsidRPr="002E4345" w:rsidRDefault="00D5052D" w:rsidP="0083449C">
            <w:pPr>
              <w:keepNext/>
              <w:keepLines/>
              <w:tabs>
                <w:tab w:val="left" w:pos="-1440"/>
                <w:tab w:val="left" w:pos="-720"/>
              </w:tabs>
              <w:rPr>
                <w:sz w:val="20"/>
                <w:szCs w:val="20"/>
              </w:rPr>
            </w:pPr>
          </w:p>
          <w:p w:rsidR="00D5052D" w:rsidRPr="002E4345" w:rsidRDefault="002E4345" w:rsidP="0083449C">
            <w:pPr>
              <w:keepNext/>
              <w:keepLines/>
              <w:tabs>
                <w:tab w:val="left" w:pos="-1440"/>
                <w:tab w:val="left" w:pos="-720"/>
              </w:tabs>
              <w:rPr>
                <w:b/>
                <w:sz w:val="20"/>
                <w:szCs w:val="20"/>
              </w:rPr>
            </w:pPr>
            <w:r>
              <w:rPr>
                <w:b/>
                <w:sz w:val="20"/>
                <w:szCs w:val="20"/>
              </w:rPr>
              <w:t>Kathy Mary-Ann De Winter</w:t>
            </w:r>
            <w:r w:rsidR="00615753">
              <w:rPr>
                <w:b/>
                <w:sz w:val="20"/>
                <w:szCs w:val="20"/>
              </w:rPr>
              <w:t xml:space="preserve"> </w:t>
            </w:r>
            <w:r w:rsidR="00D5052D" w:rsidRPr="002E4345">
              <w:rPr>
                <w:b/>
                <w:sz w:val="20"/>
                <w:szCs w:val="20"/>
              </w:rPr>
              <w:t>(Ont.)</w:t>
            </w:r>
          </w:p>
          <w:p w:rsidR="00D5052D" w:rsidRPr="002E4345" w:rsidRDefault="00D5052D" w:rsidP="0083449C">
            <w:pPr>
              <w:keepNext/>
              <w:keepLines/>
              <w:tabs>
                <w:tab w:val="left" w:pos="-1440"/>
                <w:tab w:val="left" w:pos="-720"/>
              </w:tabs>
              <w:rPr>
                <w:sz w:val="20"/>
                <w:szCs w:val="20"/>
              </w:rPr>
            </w:pPr>
            <w:r w:rsidRPr="002E4345">
              <w:rPr>
                <w:sz w:val="20"/>
                <w:szCs w:val="20"/>
              </w:rPr>
              <w:tab/>
            </w:r>
            <w:r w:rsidR="002E4345">
              <w:rPr>
                <w:sz w:val="20"/>
                <w:szCs w:val="20"/>
              </w:rPr>
              <w:t>David Patterson</w:t>
            </w:r>
          </w:p>
          <w:p w:rsidR="00D5052D" w:rsidRPr="002E4345" w:rsidRDefault="00D5052D" w:rsidP="0083449C">
            <w:pPr>
              <w:keepNext/>
              <w:keepLines/>
              <w:tabs>
                <w:tab w:val="left" w:pos="-1440"/>
                <w:tab w:val="left" w:pos="-720"/>
              </w:tabs>
              <w:rPr>
                <w:sz w:val="20"/>
                <w:szCs w:val="20"/>
              </w:rPr>
            </w:pPr>
            <w:r w:rsidRPr="002E4345">
              <w:rPr>
                <w:sz w:val="20"/>
                <w:szCs w:val="20"/>
              </w:rPr>
              <w:tab/>
            </w:r>
            <w:r w:rsidR="002E4345">
              <w:rPr>
                <w:sz w:val="20"/>
                <w:szCs w:val="20"/>
              </w:rPr>
              <w:t xml:space="preserve">Patterson Family Law </w:t>
            </w:r>
          </w:p>
          <w:p w:rsidR="00D5052D" w:rsidRPr="002E4345" w:rsidRDefault="00D5052D" w:rsidP="0083449C">
            <w:pPr>
              <w:keepNext/>
              <w:keepLines/>
              <w:tabs>
                <w:tab w:val="left" w:pos="-1440"/>
                <w:tab w:val="left" w:pos="-720"/>
              </w:tabs>
              <w:rPr>
                <w:sz w:val="20"/>
                <w:szCs w:val="20"/>
              </w:rPr>
            </w:pPr>
          </w:p>
          <w:p w:rsidR="00D5052D" w:rsidRPr="00A935AA" w:rsidRDefault="00D5052D" w:rsidP="002E4345">
            <w:pPr>
              <w:rPr>
                <w:sz w:val="20"/>
                <w:szCs w:val="20"/>
              </w:rPr>
            </w:pPr>
            <w:r w:rsidRPr="00A935AA">
              <w:rPr>
                <w:sz w:val="20"/>
                <w:szCs w:val="20"/>
              </w:rPr>
              <w:t xml:space="preserve">FILING DATE: </w:t>
            </w:r>
            <w:r w:rsidR="002E4345">
              <w:rPr>
                <w:sz w:val="20"/>
                <w:szCs w:val="20"/>
              </w:rPr>
              <w:t>1</w:t>
            </w:r>
            <w:r w:rsidRPr="00A935AA">
              <w:rPr>
                <w:sz w:val="20"/>
                <w:szCs w:val="20"/>
              </w:rPr>
              <w:t>8.</w:t>
            </w:r>
            <w:r>
              <w:rPr>
                <w:sz w:val="20"/>
                <w:szCs w:val="20"/>
              </w:rPr>
              <w:t>11</w:t>
            </w:r>
            <w:r w:rsidRPr="00A935AA">
              <w:rPr>
                <w:sz w:val="20"/>
                <w:szCs w:val="20"/>
              </w:rPr>
              <w:t>.201</w:t>
            </w:r>
            <w:r>
              <w:rPr>
                <w:sz w:val="20"/>
                <w:szCs w:val="20"/>
              </w:rPr>
              <w:t>3</w:t>
            </w:r>
            <w:r w:rsidR="00E7787D">
              <w:rPr>
                <w:sz w:val="20"/>
                <w:szCs w:val="20"/>
                <w:lang w:val="fr-CA"/>
              </w:rPr>
              <w:pict>
                <v:rect id="_x0000_i1030" style="width:108pt;height:1pt" o:hrpct="0" o:hralign="center" o:hrstd="t" o:hrnoshade="t" o:hr="t" fillcolor="black [3213]" stroked="f"/>
              </w:pict>
            </w:r>
          </w:p>
        </w:tc>
      </w:tr>
      <w:tr w:rsidR="00D5052D" w:rsidRPr="00A935AA" w:rsidTr="003B3977">
        <w:trPr>
          <w:cantSplit/>
        </w:trPr>
        <w:tc>
          <w:tcPr>
            <w:tcW w:w="4320" w:type="dxa"/>
            <w:shd w:val="clear" w:color="auto" w:fill="auto"/>
          </w:tcPr>
          <w:p w:rsidR="00D5052D" w:rsidRPr="00A935AA" w:rsidRDefault="002E4345" w:rsidP="0083449C">
            <w:pPr>
              <w:rPr>
                <w:b/>
                <w:sz w:val="20"/>
                <w:szCs w:val="20"/>
              </w:rPr>
            </w:pPr>
            <w:r>
              <w:rPr>
                <w:b/>
                <w:sz w:val="20"/>
                <w:szCs w:val="20"/>
              </w:rPr>
              <w:t xml:space="preserve">British Columbia Teachers’ Federation et al. </w:t>
            </w:r>
          </w:p>
          <w:p w:rsidR="00D5052D" w:rsidRPr="00A935AA" w:rsidRDefault="00D5052D" w:rsidP="0083449C">
            <w:pPr>
              <w:tabs>
                <w:tab w:val="left" w:pos="-1440"/>
                <w:tab w:val="left" w:pos="-720"/>
              </w:tabs>
              <w:rPr>
                <w:sz w:val="20"/>
                <w:szCs w:val="20"/>
              </w:rPr>
            </w:pPr>
            <w:r w:rsidRPr="00A935AA">
              <w:rPr>
                <w:sz w:val="20"/>
                <w:szCs w:val="20"/>
              </w:rPr>
              <w:tab/>
            </w:r>
            <w:r w:rsidR="002E4345">
              <w:rPr>
                <w:sz w:val="20"/>
                <w:szCs w:val="20"/>
              </w:rPr>
              <w:t>Carmela Allevato</w:t>
            </w:r>
          </w:p>
          <w:p w:rsidR="00D5052D" w:rsidRPr="00A935AA" w:rsidRDefault="00D5052D" w:rsidP="0083449C">
            <w:pPr>
              <w:tabs>
                <w:tab w:val="left" w:pos="-1440"/>
                <w:tab w:val="left" w:pos="-720"/>
              </w:tabs>
              <w:rPr>
                <w:sz w:val="20"/>
                <w:szCs w:val="20"/>
              </w:rPr>
            </w:pPr>
            <w:r w:rsidRPr="00A935AA">
              <w:rPr>
                <w:sz w:val="20"/>
                <w:szCs w:val="20"/>
              </w:rPr>
              <w:tab/>
            </w:r>
            <w:r w:rsidR="002E4345">
              <w:rPr>
                <w:sz w:val="20"/>
                <w:szCs w:val="20"/>
              </w:rPr>
              <w:t>British Columbia Teachers’ Federation</w:t>
            </w:r>
          </w:p>
          <w:p w:rsidR="00D5052D" w:rsidRPr="00A935AA" w:rsidRDefault="00D5052D" w:rsidP="0083449C">
            <w:pPr>
              <w:tabs>
                <w:tab w:val="left" w:pos="-1440"/>
                <w:tab w:val="left" w:pos="-720"/>
              </w:tabs>
              <w:rPr>
                <w:sz w:val="20"/>
                <w:szCs w:val="20"/>
              </w:rPr>
            </w:pPr>
          </w:p>
          <w:p w:rsidR="00D5052D" w:rsidRPr="00A935AA" w:rsidRDefault="00D5052D" w:rsidP="0083449C">
            <w:pPr>
              <w:tabs>
                <w:tab w:val="left" w:pos="-1440"/>
                <w:tab w:val="left" w:pos="-720"/>
              </w:tabs>
              <w:rPr>
                <w:sz w:val="20"/>
                <w:szCs w:val="20"/>
              </w:rPr>
            </w:pPr>
            <w:r w:rsidRPr="00A935AA">
              <w:rPr>
                <w:sz w:val="20"/>
                <w:szCs w:val="20"/>
              </w:rPr>
              <w:tab/>
              <w:t>v. (3</w:t>
            </w:r>
            <w:r>
              <w:rPr>
                <w:sz w:val="20"/>
                <w:szCs w:val="20"/>
              </w:rPr>
              <w:t>5</w:t>
            </w:r>
            <w:r w:rsidR="002E4345">
              <w:rPr>
                <w:sz w:val="20"/>
                <w:szCs w:val="20"/>
              </w:rPr>
              <w:t>623</w:t>
            </w:r>
            <w:r w:rsidRPr="00A935AA">
              <w:rPr>
                <w:sz w:val="20"/>
                <w:szCs w:val="20"/>
              </w:rPr>
              <w:t>)</w:t>
            </w:r>
          </w:p>
          <w:p w:rsidR="00D5052D" w:rsidRPr="00A935AA" w:rsidRDefault="00D5052D" w:rsidP="0083449C">
            <w:pPr>
              <w:tabs>
                <w:tab w:val="left" w:pos="-1440"/>
                <w:tab w:val="left" w:pos="-720"/>
              </w:tabs>
              <w:rPr>
                <w:sz w:val="20"/>
                <w:szCs w:val="20"/>
              </w:rPr>
            </w:pPr>
          </w:p>
          <w:p w:rsidR="00D5052D" w:rsidRPr="005C1ECC" w:rsidRDefault="002E4345" w:rsidP="0083449C">
            <w:pPr>
              <w:tabs>
                <w:tab w:val="left" w:pos="-1440"/>
                <w:tab w:val="left" w:pos="-720"/>
              </w:tabs>
              <w:rPr>
                <w:b/>
                <w:sz w:val="20"/>
                <w:szCs w:val="20"/>
                <w:lang w:val="fr-CA"/>
              </w:rPr>
            </w:pPr>
            <w:r>
              <w:rPr>
                <w:b/>
                <w:sz w:val="20"/>
                <w:szCs w:val="20"/>
              </w:rPr>
              <w:t xml:space="preserve">British Columbia Public School Employers’ Association </w:t>
            </w:r>
            <w:r w:rsidR="00615753">
              <w:rPr>
                <w:b/>
                <w:sz w:val="20"/>
                <w:szCs w:val="20"/>
              </w:rPr>
              <w:t xml:space="preserve">et al. </w:t>
            </w:r>
            <w:r w:rsidR="00D5052D" w:rsidRPr="005C1ECC">
              <w:rPr>
                <w:b/>
                <w:sz w:val="20"/>
                <w:szCs w:val="20"/>
                <w:lang w:val="fr-CA"/>
              </w:rPr>
              <w:t>(B.C.)</w:t>
            </w:r>
          </w:p>
          <w:p w:rsidR="00D5052D" w:rsidRPr="008C60DA" w:rsidRDefault="00D5052D" w:rsidP="0083449C">
            <w:pPr>
              <w:tabs>
                <w:tab w:val="left" w:pos="-1440"/>
                <w:tab w:val="left" w:pos="-720"/>
              </w:tabs>
              <w:rPr>
                <w:sz w:val="20"/>
                <w:szCs w:val="20"/>
                <w:lang w:val="fr-CA"/>
              </w:rPr>
            </w:pPr>
            <w:r w:rsidRPr="005C1ECC">
              <w:rPr>
                <w:sz w:val="20"/>
                <w:szCs w:val="20"/>
                <w:lang w:val="fr-CA"/>
              </w:rPr>
              <w:tab/>
            </w:r>
            <w:r w:rsidR="008C60DA" w:rsidRPr="002E4345">
              <w:rPr>
                <w:sz w:val="20"/>
                <w:szCs w:val="20"/>
                <w:lang w:val="fr-CA"/>
              </w:rPr>
              <w:t>Delayne M. Sartison, Q.C.</w:t>
            </w:r>
          </w:p>
          <w:p w:rsidR="00D5052D" w:rsidRPr="005C1ECC" w:rsidRDefault="00D5052D" w:rsidP="0083449C">
            <w:pPr>
              <w:tabs>
                <w:tab w:val="left" w:pos="-1440"/>
                <w:tab w:val="left" w:pos="-720"/>
              </w:tabs>
              <w:rPr>
                <w:sz w:val="20"/>
                <w:szCs w:val="20"/>
              </w:rPr>
            </w:pPr>
            <w:r w:rsidRPr="008C60DA">
              <w:rPr>
                <w:sz w:val="20"/>
                <w:szCs w:val="20"/>
                <w:lang w:val="fr-CA"/>
              </w:rPr>
              <w:tab/>
            </w:r>
            <w:r w:rsidR="008C60DA" w:rsidRPr="005C1ECC">
              <w:rPr>
                <w:sz w:val="20"/>
                <w:szCs w:val="20"/>
              </w:rPr>
              <w:t>Rop</w:t>
            </w:r>
            <w:r w:rsidR="002E4345" w:rsidRPr="005C1ECC">
              <w:rPr>
                <w:sz w:val="20"/>
                <w:szCs w:val="20"/>
              </w:rPr>
              <w:t>e</w:t>
            </w:r>
            <w:r w:rsidR="008C60DA" w:rsidRPr="005C1ECC">
              <w:rPr>
                <w:sz w:val="20"/>
                <w:szCs w:val="20"/>
              </w:rPr>
              <w:t>r Gre</w:t>
            </w:r>
            <w:r w:rsidR="002E4345" w:rsidRPr="005C1ECC">
              <w:rPr>
                <w:sz w:val="20"/>
                <w:szCs w:val="20"/>
              </w:rPr>
              <w:t>ye</w:t>
            </w:r>
            <w:r w:rsidR="008C60DA" w:rsidRPr="005C1ECC">
              <w:rPr>
                <w:sz w:val="20"/>
                <w:szCs w:val="20"/>
              </w:rPr>
              <w:t>ll LLP</w:t>
            </w:r>
          </w:p>
          <w:p w:rsidR="00D5052D" w:rsidRPr="005C1ECC" w:rsidRDefault="00D5052D" w:rsidP="0083449C">
            <w:pPr>
              <w:tabs>
                <w:tab w:val="left" w:pos="-1440"/>
                <w:tab w:val="left" w:pos="-720"/>
              </w:tabs>
              <w:rPr>
                <w:sz w:val="20"/>
                <w:szCs w:val="20"/>
              </w:rPr>
            </w:pPr>
          </w:p>
          <w:p w:rsidR="00D5052D" w:rsidRPr="00A935AA" w:rsidRDefault="00D5052D" w:rsidP="0083449C">
            <w:pPr>
              <w:rPr>
                <w:sz w:val="20"/>
                <w:szCs w:val="20"/>
              </w:rPr>
            </w:pPr>
            <w:r w:rsidRPr="00A935AA">
              <w:rPr>
                <w:sz w:val="20"/>
                <w:szCs w:val="20"/>
              </w:rPr>
              <w:t xml:space="preserve">FILING DATE: </w:t>
            </w:r>
            <w:r w:rsidR="002E4345">
              <w:rPr>
                <w:sz w:val="20"/>
                <w:szCs w:val="20"/>
              </w:rPr>
              <w:t>18</w:t>
            </w:r>
            <w:r w:rsidRPr="00A935AA">
              <w:rPr>
                <w:sz w:val="20"/>
                <w:szCs w:val="20"/>
              </w:rPr>
              <w:t>.</w:t>
            </w:r>
            <w:r>
              <w:rPr>
                <w:sz w:val="20"/>
                <w:szCs w:val="20"/>
              </w:rPr>
              <w:t>11</w:t>
            </w:r>
            <w:r w:rsidRPr="00A935AA">
              <w:rPr>
                <w:sz w:val="20"/>
                <w:szCs w:val="20"/>
              </w:rPr>
              <w:t>.201</w:t>
            </w:r>
            <w:r>
              <w:rPr>
                <w:sz w:val="20"/>
                <w:szCs w:val="20"/>
              </w:rPr>
              <w:t>3</w:t>
            </w:r>
          </w:p>
          <w:p w:rsidR="00D5052D" w:rsidRPr="00A935AA" w:rsidRDefault="00E7787D" w:rsidP="0083449C">
            <w:pPr>
              <w:rPr>
                <w:sz w:val="20"/>
                <w:szCs w:val="20"/>
              </w:rPr>
            </w:pPr>
            <w:r>
              <w:rPr>
                <w:sz w:val="20"/>
                <w:szCs w:val="20"/>
                <w:lang w:val="fr-CA"/>
              </w:rPr>
              <w:pict>
                <v:rect id="_x0000_i1031" style="width:108pt;height:1pt" o:hrpct="0" o:hralign="center" o:hrstd="t" o:hrnoshade="t" o:hr="t" fillcolor="black [3213]" stroked="f"/>
              </w:pict>
            </w:r>
          </w:p>
        </w:tc>
        <w:tc>
          <w:tcPr>
            <w:tcW w:w="1181" w:type="dxa"/>
            <w:shd w:val="clear" w:color="auto" w:fill="auto"/>
          </w:tcPr>
          <w:p w:rsidR="00D5052D" w:rsidRPr="00A935AA" w:rsidRDefault="00D5052D" w:rsidP="00242AEE">
            <w:pPr>
              <w:jc w:val="center"/>
              <w:rPr>
                <w:sz w:val="20"/>
                <w:szCs w:val="20"/>
              </w:rPr>
            </w:pPr>
          </w:p>
          <w:p w:rsidR="00D5052D" w:rsidRPr="00A935AA" w:rsidRDefault="00D5052D" w:rsidP="00242AEE">
            <w:pPr>
              <w:jc w:val="center"/>
              <w:rPr>
                <w:sz w:val="20"/>
                <w:szCs w:val="20"/>
              </w:rPr>
            </w:pPr>
          </w:p>
          <w:p w:rsidR="00D5052D" w:rsidRPr="00A935AA" w:rsidRDefault="00D5052D" w:rsidP="00242AEE">
            <w:pPr>
              <w:jc w:val="center"/>
              <w:rPr>
                <w:sz w:val="20"/>
                <w:szCs w:val="20"/>
              </w:rPr>
            </w:pPr>
          </w:p>
          <w:p w:rsidR="00D5052D" w:rsidRPr="00A935AA" w:rsidRDefault="00D5052D" w:rsidP="00242AEE">
            <w:pPr>
              <w:jc w:val="center"/>
              <w:rPr>
                <w:sz w:val="20"/>
                <w:szCs w:val="20"/>
              </w:rPr>
            </w:pPr>
          </w:p>
          <w:p w:rsidR="00D5052D" w:rsidRPr="00A935AA" w:rsidRDefault="00D5052D" w:rsidP="00242AEE">
            <w:pPr>
              <w:jc w:val="center"/>
              <w:rPr>
                <w:sz w:val="20"/>
                <w:szCs w:val="20"/>
              </w:rPr>
            </w:pPr>
          </w:p>
          <w:p w:rsidR="00D5052D" w:rsidRPr="00A935AA" w:rsidRDefault="00D5052D" w:rsidP="00242AEE">
            <w:pPr>
              <w:jc w:val="center"/>
              <w:rPr>
                <w:sz w:val="20"/>
                <w:szCs w:val="20"/>
              </w:rPr>
            </w:pPr>
          </w:p>
          <w:p w:rsidR="00D5052D" w:rsidRPr="00A935AA" w:rsidRDefault="00D5052D" w:rsidP="00242AEE">
            <w:pPr>
              <w:jc w:val="center"/>
              <w:rPr>
                <w:sz w:val="20"/>
                <w:szCs w:val="20"/>
              </w:rPr>
            </w:pPr>
          </w:p>
          <w:p w:rsidR="00D5052D" w:rsidRPr="00A935AA" w:rsidRDefault="00D5052D" w:rsidP="00242AEE">
            <w:pPr>
              <w:jc w:val="center"/>
              <w:rPr>
                <w:sz w:val="20"/>
                <w:szCs w:val="20"/>
              </w:rPr>
            </w:pPr>
          </w:p>
          <w:p w:rsidR="00D5052D" w:rsidRPr="00A935AA" w:rsidRDefault="00D5052D" w:rsidP="00242AEE">
            <w:pPr>
              <w:jc w:val="center"/>
              <w:rPr>
                <w:sz w:val="20"/>
                <w:szCs w:val="20"/>
              </w:rPr>
            </w:pPr>
          </w:p>
          <w:p w:rsidR="00D5052D" w:rsidRPr="00A935AA" w:rsidRDefault="00D5052D" w:rsidP="00242AEE">
            <w:pPr>
              <w:jc w:val="center"/>
              <w:rPr>
                <w:sz w:val="20"/>
                <w:szCs w:val="20"/>
              </w:rPr>
            </w:pPr>
          </w:p>
          <w:p w:rsidR="00D5052D" w:rsidRPr="00A935AA" w:rsidRDefault="00D5052D" w:rsidP="00242AEE">
            <w:pPr>
              <w:jc w:val="center"/>
              <w:rPr>
                <w:sz w:val="20"/>
                <w:szCs w:val="20"/>
              </w:rPr>
            </w:pPr>
          </w:p>
          <w:p w:rsidR="00D5052D" w:rsidRPr="00A935AA" w:rsidRDefault="00D5052D" w:rsidP="00242AEE">
            <w:pPr>
              <w:jc w:val="center"/>
              <w:rPr>
                <w:sz w:val="20"/>
                <w:szCs w:val="20"/>
              </w:rPr>
            </w:pPr>
          </w:p>
          <w:p w:rsidR="00D5052D" w:rsidRPr="00A935AA" w:rsidRDefault="00D5052D" w:rsidP="00242AEE">
            <w:pPr>
              <w:jc w:val="center"/>
              <w:rPr>
                <w:sz w:val="20"/>
                <w:szCs w:val="20"/>
              </w:rPr>
            </w:pPr>
          </w:p>
        </w:tc>
        <w:tc>
          <w:tcPr>
            <w:tcW w:w="4320" w:type="dxa"/>
            <w:shd w:val="clear" w:color="auto" w:fill="auto"/>
          </w:tcPr>
          <w:p w:rsidR="00D5052D" w:rsidRPr="00A935AA" w:rsidRDefault="002E4345" w:rsidP="0083449C">
            <w:pPr>
              <w:keepNext/>
              <w:keepLines/>
              <w:tabs>
                <w:tab w:val="left" w:pos="-1440"/>
                <w:tab w:val="left" w:pos="-720"/>
              </w:tabs>
              <w:rPr>
                <w:b/>
                <w:sz w:val="20"/>
                <w:szCs w:val="20"/>
              </w:rPr>
            </w:pPr>
            <w:r>
              <w:rPr>
                <w:b/>
                <w:sz w:val="20"/>
                <w:szCs w:val="20"/>
              </w:rPr>
              <w:t>A</w:t>
            </w:r>
            <w:r w:rsidR="00615753">
              <w:rPr>
                <w:b/>
                <w:sz w:val="20"/>
                <w:szCs w:val="20"/>
              </w:rPr>
              <w:t>TCO</w:t>
            </w:r>
            <w:r>
              <w:rPr>
                <w:b/>
                <w:sz w:val="20"/>
                <w:szCs w:val="20"/>
              </w:rPr>
              <w:t xml:space="preserve"> Gas and Pipeline</w:t>
            </w:r>
            <w:r w:rsidR="00AE29F4">
              <w:rPr>
                <w:b/>
                <w:sz w:val="20"/>
                <w:szCs w:val="20"/>
              </w:rPr>
              <w:t>s</w:t>
            </w:r>
            <w:r>
              <w:rPr>
                <w:b/>
                <w:sz w:val="20"/>
                <w:szCs w:val="20"/>
              </w:rPr>
              <w:t xml:space="preserve"> Ltd.</w:t>
            </w:r>
            <w:r w:rsidR="00615753">
              <w:rPr>
                <w:b/>
                <w:sz w:val="20"/>
                <w:szCs w:val="20"/>
              </w:rPr>
              <w:t xml:space="preserve"> et al.</w:t>
            </w:r>
          </w:p>
          <w:p w:rsidR="00D5052D" w:rsidRPr="00A935AA" w:rsidRDefault="00D5052D" w:rsidP="0083449C">
            <w:pPr>
              <w:keepNext/>
              <w:keepLines/>
              <w:tabs>
                <w:tab w:val="left" w:pos="-1440"/>
                <w:tab w:val="left" w:pos="-720"/>
              </w:tabs>
              <w:rPr>
                <w:sz w:val="20"/>
                <w:szCs w:val="20"/>
              </w:rPr>
            </w:pPr>
            <w:r w:rsidRPr="00A935AA">
              <w:rPr>
                <w:sz w:val="20"/>
                <w:szCs w:val="20"/>
              </w:rPr>
              <w:tab/>
            </w:r>
            <w:r w:rsidR="002E4345">
              <w:rPr>
                <w:sz w:val="20"/>
                <w:szCs w:val="20"/>
              </w:rPr>
              <w:t>Loyola G. Keough</w:t>
            </w:r>
          </w:p>
          <w:p w:rsidR="00D5052D" w:rsidRPr="00A935AA" w:rsidRDefault="00D5052D" w:rsidP="0083449C">
            <w:pPr>
              <w:keepNext/>
              <w:keepLines/>
              <w:tabs>
                <w:tab w:val="left" w:pos="-1440"/>
                <w:tab w:val="left" w:pos="-720"/>
              </w:tabs>
              <w:rPr>
                <w:sz w:val="20"/>
                <w:szCs w:val="20"/>
              </w:rPr>
            </w:pPr>
            <w:r w:rsidRPr="00A935AA">
              <w:rPr>
                <w:sz w:val="20"/>
                <w:szCs w:val="20"/>
              </w:rPr>
              <w:tab/>
            </w:r>
            <w:r w:rsidR="002E4345">
              <w:rPr>
                <w:sz w:val="20"/>
                <w:szCs w:val="20"/>
              </w:rPr>
              <w:t>Bennett Jones LLP</w:t>
            </w:r>
          </w:p>
          <w:p w:rsidR="00D5052D" w:rsidRPr="00A935AA" w:rsidRDefault="00D5052D" w:rsidP="0083449C">
            <w:pPr>
              <w:keepNext/>
              <w:keepLines/>
              <w:tabs>
                <w:tab w:val="left" w:pos="-1440"/>
                <w:tab w:val="left" w:pos="-720"/>
              </w:tabs>
              <w:rPr>
                <w:sz w:val="20"/>
                <w:szCs w:val="20"/>
              </w:rPr>
            </w:pPr>
          </w:p>
          <w:p w:rsidR="00D5052D" w:rsidRPr="002E4345" w:rsidRDefault="00D5052D" w:rsidP="0083449C">
            <w:pPr>
              <w:keepNext/>
              <w:keepLines/>
              <w:tabs>
                <w:tab w:val="left" w:pos="-1440"/>
                <w:tab w:val="left" w:pos="-720"/>
              </w:tabs>
              <w:rPr>
                <w:sz w:val="20"/>
                <w:szCs w:val="20"/>
              </w:rPr>
            </w:pPr>
            <w:r w:rsidRPr="00A935AA">
              <w:rPr>
                <w:sz w:val="20"/>
                <w:szCs w:val="20"/>
              </w:rPr>
              <w:tab/>
            </w:r>
            <w:r w:rsidRPr="002E4345">
              <w:rPr>
                <w:sz w:val="20"/>
                <w:szCs w:val="20"/>
              </w:rPr>
              <w:t>v. (35</w:t>
            </w:r>
            <w:r w:rsidR="002E4345">
              <w:rPr>
                <w:sz w:val="20"/>
                <w:szCs w:val="20"/>
              </w:rPr>
              <w:t>624</w:t>
            </w:r>
            <w:r w:rsidRPr="002E4345">
              <w:rPr>
                <w:sz w:val="20"/>
                <w:szCs w:val="20"/>
              </w:rPr>
              <w:t>)</w:t>
            </w:r>
          </w:p>
          <w:p w:rsidR="00D5052D" w:rsidRPr="002E4345" w:rsidRDefault="00D5052D" w:rsidP="0083449C">
            <w:pPr>
              <w:keepNext/>
              <w:keepLines/>
              <w:tabs>
                <w:tab w:val="left" w:pos="-1440"/>
                <w:tab w:val="left" w:pos="-720"/>
              </w:tabs>
              <w:rPr>
                <w:sz w:val="20"/>
                <w:szCs w:val="20"/>
              </w:rPr>
            </w:pPr>
          </w:p>
          <w:p w:rsidR="00D5052D" w:rsidRPr="002E4345" w:rsidRDefault="002E4345" w:rsidP="0083449C">
            <w:pPr>
              <w:keepNext/>
              <w:keepLines/>
              <w:tabs>
                <w:tab w:val="left" w:pos="-1440"/>
                <w:tab w:val="left" w:pos="-720"/>
              </w:tabs>
              <w:rPr>
                <w:b/>
                <w:sz w:val="20"/>
                <w:szCs w:val="20"/>
              </w:rPr>
            </w:pPr>
            <w:r>
              <w:rPr>
                <w:b/>
                <w:sz w:val="20"/>
                <w:szCs w:val="20"/>
              </w:rPr>
              <w:t xml:space="preserve">Alberta Utilities Commission </w:t>
            </w:r>
            <w:r w:rsidR="00D5052D" w:rsidRPr="002E4345">
              <w:rPr>
                <w:b/>
                <w:sz w:val="20"/>
                <w:szCs w:val="20"/>
              </w:rPr>
              <w:t>(</w:t>
            </w:r>
            <w:r>
              <w:rPr>
                <w:b/>
                <w:sz w:val="20"/>
                <w:szCs w:val="20"/>
              </w:rPr>
              <w:t>Al</w:t>
            </w:r>
            <w:r w:rsidR="00D5052D" w:rsidRPr="002E4345">
              <w:rPr>
                <w:b/>
                <w:sz w:val="20"/>
                <w:szCs w:val="20"/>
              </w:rPr>
              <w:t>t</w:t>
            </w:r>
            <w:r>
              <w:rPr>
                <w:b/>
                <w:sz w:val="20"/>
                <w:szCs w:val="20"/>
              </w:rPr>
              <w:t>a</w:t>
            </w:r>
            <w:r w:rsidR="00D5052D" w:rsidRPr="002E4345">
              <w:rPr>
                <w:b/>
                <w:sz w:val="20"/>
                <w:szCs w:val="20"/>
              </w:rPr>
              <w:t>.)</w:t>
            </w:r>
          </w:p>
          <w:p w:rsidR="00D5052D" w:rsidRPr="002E4345" w:rsidRDefault="00D5052D" w:rsidP="0083449C">
            <w:pPr>
              <w:keepNext/>
              <w:keepLines/>
              <w:tabs>
                <w:tab w:val="left" w:pos="-1440"/>
                <w:tab w:val="left" w:pos="-720"/>
              </w:tabs>
              <w:rPr>
                <w:sz w:val="20"/>
                <w:szCs w:val="20"/>
              </w:rPr>
            </w:pPr>
            <w:r w:rsidRPr="002E4345">
              <w:rPr>
                <w:sz w:val="20"/>
                <w:szCs w:val="20"/>
              </w:rPr>
              <w:tab/>
            </w:r>
            <w:r w:rsidR="00683295">
              <w:rPr>
                <w:sz w:val="20"/>
                <w:szCs w:val="20"/>
              </w:rPr>
              <w:t>Brian McNulty</w:t>
            </w:r>
          </w:p>
          <w:p w:rsidR="00D5052D" w:rsidRPr="002E4345" w:rsidRDefault="00D5052D" w:rsidP="0083449C">
            <w:pPr>
              <w:keepNext/>
              <w:keepLines/>
              <w:tabs>
                <w:tab w:val="left" w:pos="-1440"/>
                <w:tab w:val="left" w:pos="-720"/>
              </w:tabs>
              <w:rPr>
                <w:sz w:val="20"/>
                <w:szCs w:val="20"/>
              </w:rPr>
            </w:pPr>
            <w:r w:rsidRPr="002E4345">
              <w:rPr>
                <w:sz w:val="20"/>
                <w:szCs w:val="20"/>
              </w:rPr>
              <w:tab/>
            </w:r>
            <w:r w:rsidR="00683295">
              <w:rPr>
                <w:sz w:val="20"/>
                <w:szCs w:val="20"/>
              </w:rPr>
              <w:t>Alberta Utilities Commission</w:t>
            </w:r>
          </w:p>
          <w:p w:rsidR="00D5052D" w:rsidRPr="002E4345" w:rsidRDefault="00D5052D" w:rsidP="0083449C">
            <w:pPr>
              <w:keepNext/>
              <w:keepLines/>
              <w:tabs>
                <w:tab w:val="left" w:pos="-1440"/>
                <w:tab w:val="left" w:pos="-720"/>
              </w:tabs>
              <w:rPr>
                <w:sz w:val="20"/>
                <w:szCs w:val="20"/>
              </w:rPr>
            </w:pPr>
          </w:p>
          <w:p w:rsidR="00D5052D" w:rsidRPr="00A935AA" w:rsidRDefault="00D5052D" w:rsidP="00683295">
            <w:pPr>
              <w:rPr>
                <w:sz w:val="20"/>
                <w:szCs w:val="20"/>
              </w:rPr>
            </w:pPr>
            <w:r w:rsidRPr="00A935AA">
              <w:rPr>
                <w:sz w:val="20"/>
                <w:szCs w:val="20"/>
              </w:rPr>
              <w:t>FILING DATE: 2</w:t>
            </w:r>
            <w:r w:rsidR="00683295">
              <w:rPr>
                <w:sz w:val="20"/>
                <w:szCs w:val="20"/>
              </w:rPr>
              <w:t>1</w:t>
            </w:r>
            <w:r w:rsidRPr="00A935AA">
              <w:rPr>
                <w:sz w:val="20"/>
                <w:szCs w:val="20"/>
              </w:rPr>
              <w:t>.</w:t>
            </w:r>
            <w:r>
              <w:rPr>
                <w:sz w:val="20"/>
                <w:szCs w:val="20"/>
              </w:rPr>
              <w:t>11</w:t>
            </w:r>
            <w:r w:rsidRPr="00A935AA">
              <w:rPr>
                <w:sz w:val="20"/>
                <w:szCs w:val="20"/>
              </w:rPr>
              <w:t>.201</w:t>
            </w:r>
            <w:r>
              <w:rPr>
                <w:sz w:val="20"/>
                <w:szCs w:val="20"/>
              </w:rPr>
              <w:t>3</w:t>
            </w:r>
            <w:r w:rsidR="00E7787D">
              <w:rPr>
                <w:sz w:val="20"/>
                <w:szCs w:val="20"/>
                <w:lang w:val="fr-CA"/>
              </w:rPr>
              <w:pict>
                <v:rect id="_x0000_i1032" style="width:108pt;height:1pt" o:hrpct="0" o:hralign="center" o:hrstd="t" o:hrnoshade="t" o:hr="t" fillcolor="black [3213]" stroked="f"/>
              </w:pict>
            </w:r>
          </w:p>
        </w:tc>
      </w:tr>
    </w:tbl>
    <w:p w:rsidR="00242AEE" w:rsidRPr="00C50A5C" w:rsidRDefault="00242AEE" w:rsidP="0095096B">
      <w:pPr>
        <w:tabs>
          <w:tab w:val="right" w:pos="9360"/>
        </w:tabs>
        <w:rPr>
          <w:sz w:val="20"/>
          <w:szCs w:val="20"/>
        </w:rPr>
        <w:sectPr w:rsidR="00242AEE" w:rsidRPr="00C50A5C" w:rsidSect="00D24201">
          <w:headerReference w:type="default" r:id="rId16"/>
          <w:footerReference w:type="default" r:id="rId17"/>
          <w:headerReference w:type="first" r:id="rId18"/>
          <w:footerReference w:type="first" r:id="rId19"/>
          <w:pgSz w:w="12240" w:h="15840"/>
          <w:pgMar w:top="720" w:right="965" w:bottom="1080" w:left="1656" w:header="706" w:footer="706" w:gutter="0"/>
          <w:pgNumType w:start="1960"/>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E7787D"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5C23FC" w:rsidP="004B7F60">
      <w:pPr>
        <w:widowControl w:val="0"/>
        <w:rPr>
          <w:b/>
          <w:sz w:val="20"/>
          <w:szCs w:val="20"/>
        </w:rPr>
      </w:pPr>
      <w:r>
        <w:rPr>
          <w:b/>
          <w:sz w:val="20"/>
          <w:szCs w:val="20"/>
        </w:rPr>
        <w:t>D</w:t>
      </w:r>
      <w:r w:rsidR="00DE349D">
        <w:rPr>
          <w:b/>
          <w:sz w:val="20"/>
          <w:szCs w:val="20"/>
        </w:rPr>
        <w:t>E</w:t>
      </w:r>
      <w:r>
        <w:rPr>
          <w:b/>
          <w:sz w:val="20"/>
          <w:szCs w:val="20"/>
        </w:rPr>
        <w:t>C</w:t>
      </w:r>
      <w:r w:rsidR="00DE349D">
        <w:rPr>
          <w:b/>
          <w:sz w:val="20"/>
          <w:szCs w:val="20"/>
        </w:rPr>
        <w:t>EMBER</w:t>
      </w:r>
      <w:r w:rsidR="00F761A3">
        <w:rPr>
          <w:b/>
          <w:sz w:val="20"/>
          <w:szCs w:val="20"/>
        </w:rPr>
        <w:t xml:space="preserve"> </w:t>
      </w:r>
      <w:r>
        <w:rPr>
          <w:b/>
          <w:sz w:val="20"/>
          <w:szCs w:val="20"/>
        </w:rPr>
        <w:t>2</w:t>
      </w:r>
      <w:r w:rsidR="004B7F60" w:rsidRPr="00C50A5C">
        <w:rPr>
          <w:b/>
          <w:sz w:val="20"/>
          <w:szCs w:val="20"/>
        </w:rPr>
        <w:t>, 201</w:t>
      </w:r>
      <w:r w:rsidR="00F761A3">
        <w:rPr>
          <w:b/>
          <w:sz w:val="20"/>
          <w:szCs w:val="20"/>
        </w:rPr>
        <w:t>3</w:t>
      </w:r>
      <w:r w:rsidR="004B7F60" w:rsidRPr="00C50A5C">
        <w:rPr>
          <w:b/>
          <w:sz w:val="20"/>
          <w:szCs w:val="20"/>
        </w:rPr>
        <w:t xml:space="preserve"> / LE </w:t>
      </w:r>
      <w:r>
        <w:rPr>
          <w:b/>
          <w:sz w:val="20"/>
          <w:szCs w:val="20"/>
        </w:rPr>
        <w:t>2</w:t>
      </w:r>
      <w:r w:rsidR="004B7F60">
        <w:rPr>
          <w:b/>
          <w:sz w:val="20"/>
          <w:szCs w:val="20"/>
        </w:rPr>
        <w:t xml:space="preserve"> </w:t>
      </w:r>
      <w:r>
        <w:rPr>
          <w:b/>
          <w:sz w:val="20"/>
          <w:szCs w:val="20"/>
        </w:rPr>
        <w:t>DÉC</w:t>
      </w:r>
      <w:r w:rsidR="00F761A3">
        <w:rPr>
          <w:b/>
          <w:sz w:val="20"/>
          <w:szCs w:val="20"/>
        </w:rPr>
        <w:t>E</w:t>
      </w:r>
      <w:r w:rsidR="00DE349D">
        <w:rPr>
          <w:b/>
          <w:sz w:val="20"/>
          <w:szCs w:val="20"/>
        </w:rPr>
        <w:t>MB</w:t>
      </w:r>
      <w:r w:rsidR="004B7F60">
        <w:rPr>
          <w:b/>
          <w:sz w:val="20"/>
          <w:szCs w:val="20"/>
        </w:rPr>
        <w:t>R</w:t>
      </w:r>
      <w:r w:rsidR="00DE349D">
        <w:rPr>
          <w:b/>
          <w:sz w:val="20"/>
          <w:szCs w:val="20"/>
        </w:rPr>
        <w:t>E</w:t>
      </w:r>
      <w:r w:rsidR="004B7F60" w:rsidRPr="00C50A5C">
        <w:rPr>
          <w:b/>
          <w:sz w:val="20"/>
          <w:szCs w:val="20"/>
        </w:rPr>
        <w:t xml:space="preserve"> 201</w:t>
      </w:r>
      <w:r w:rsidR="00F761A3">
        <w:rPr>
          <w:b/>
          <w:sz w:val="20"/>
          <w:szCs w:val="20"/>
        </w:rPr>
        <w:t>3</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sidR="00DE349D">
        <w:rPr>
          <w:b/>
          <w:sz w:val="20"/>
          <w:szCs w:val="20"/>
        </w:rPr>
        <w:t>Cromwell</w:t>
      </w:r>
      <w:r w:rsidRPr="00C50A5C">
        <w:rPr>
          <w:b/>
          <w:sz w:val="20"/>
          <w:szCs w:val="20"/>
        </w:rPr>
        <w:t xml:space="preserve"> and </w:t>
      </w:r>
      <w:r w:rsidR="00DE349D">
        <w:rPr>
          <w:b/>
          <w:sz w:val="20"/>
          <w:szCs w:val="20"/>
        </w:rPr>
        <w:t xml:space="preserve">Wagner </w:t>
      </w:r>
      <w:r w:rsidRPr="00C50A5C">
        <w:rPr>
          <w:b/>
          <w:sz w:val="20"/>
          <w:szCs w:val="20"/>
        </w:rPr>
        <w:t>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sidR="00DE349D">
        <w:rPr>
          <w:b/>
          <w:sz w:val="20"/>
          <w:szCs w:val="20"/>
          <w:lang w:val="fr-CA"/>
        </w:rPr>
        <w:t>Cromwell</w:t>
      </w:r>
      <w:r w:rsidR="00DE349D" w:rsidRPr="00C50A5C">
        <w:rPr>
          <w:b/>
          <w:sz w:val="20"/>
          <w:szCs w:val="20"/>
          <w:lang w:val="fr-CA"/>
        </w:rPr>
        <w:t xml:space="preserve"> </w:t>
      </w:r>
      <w:r w:rsidRPr="00C50A5C">
        <w:rPr>
          <w:b/>
          <w:sz w:val="20"/>
          <w:szCs w:val="20"/>
          <w:lang w:val="fr-CA"/>
        </w:rPr>
        <w:t xml:space="preserve">et </w:t>
      </w:r>
      <w:r w:rsidR="00DE349D">
        <w:rPr>
          <w:b/>
          <w:sz w:val="20"/>
          <w:szCs w:val="20"/>
          <w:lang w:val="fr-CA"/>
        </w:rPr>
        <w:t>Wagn</w:t>
      </w:r>
      <w:r>
        <w:rPr>
          <w:b/>
          <w:sz w:val="20"/>
          <w:szCs w:val="20"/>
          <w:lang w:val="fr-CA"/>
        </w:rPr>
        <w:t>e</w:t>
      </w:r>
      <w:r w:rsidR="00DE349D">
        <w:rPr>
          <w:b/>
          <w:sz w:val="20"/>
          <w:szCs w:val="20"/>
          <w:lang w:val="fr-CA"/>
        </w:rPr>
        <w:t>r</w:t>
      </w:r>
    </w:p>
    <w:p w:rsidR="004B7F60" w:rsidRPr="00C50A5C" w:rsidRDefault="004B7F60" w:rsidP="004B7F60">
      <w:pPr>
        <w:widowControl w:val="0"/>
        <w:rPr>
          <w:sz w:val="20"/>
          <w:szCs w:val="20"/>
          <w:lang w:val="fr-CA"/>
        </w:rPr>
      </w:pPr>
    </w:p>
    <w:p w:rsidR="004B7F60" w:rsidRPr="00C50A5C" w:rsidRDefault="0090145B" w:rsidP="004B7F60">
      <w:pPr>
        <w:pStyle w:val="ListParagraph"/>
        <w:widowControl w:val="0"/>
        <w:numPr>
          <w:ilvl w:val="0"/>
          <w:numId w:val="1"/>
        </w:numPr>
        <w:ind w:hanging="720"/>
        <w:jc w:val="both"/>
        <w:rPr>
          <w:sz w:val="20"/>
          <w:szCs w:val="20"/>
        </w:rPr>
      </w:pPr>
      <w:r w:rsidRPr="0090145B">
        <w:rPr>
          <w:i/>
          <w:sz w:val="20"/>
          <w:szCs w:val="20"/>
        </w:rPr>
        <w:t>Larry Hannam et al. v. Dominion of Canada General Insurance Company et al.</w:t>
      </w:r>
      <w:r w:rsidRPr="0090145B">
        <w:rPr>
          <w:sz w:val="20"/>
          <w:szCs w:val="20"/>
        </w:rPr>
        <w:t xml:space="preserve"> (N.L.) (Civil) (By Leave)</w:t>
      </w:r>
      <w:r w:rsidRPr="00C50A5C">
        <w:rPr>
          <w:sz w:val="20"/>
          <w:szCs w:val="20"/>
        </w:rPr>
        <w:t xml:space="preserve"> </w:t>
      </w:r>
      <w:r w:rsidR="004B7F60" w:rsidRPr="00C50A5C">
        <w:rPr>
          <w:sz w:val="20"/>
          <w:szCs w:val="20"/>
        </w:rPr>
        <w:t>(3</w:t>
      </w:r>
      <w:r>
        <w:rPr>
          <w:sz w:val="20"/>
          <w:szCs w:val="20"/>
        </w:rPr>
        <w:t>5</w:t>
      </w:r>
      <w:r w:rsidR="004B7F60">
        <w:rPr>
          <w:sz w:val="20"/>
          <w:szCs w:val="20"/>
        </w:rPr>
        <w:t>4</w:t>
      </w:r>
      <w:r>
        <w:rPr>
          <w:sz w:val="20"/>
          <w:szCs w:val="20"/>
        </w:rPr>
        <w:t>89</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90145B" w:rsidP="004B7F60">
      <w:pPr>
        <w:pStyle w:val="ListParagraph"/>
        <w:widowControl w:val="0"/>
        <w:numPr>
          <w:ilvl w:val="0"/>
          <w:numId w:val="1"/>
        </w:numPr>
        <w:ind w:hanging="720"/>
        <w:jc w:val="both"/>
        <w:rPr>
          <w:sz w:val="20"/>
          <w:szCs w:val="20"/>
        </w:rPr>
      </w:pPr>
      <w:r w:rsidRPr="0090145B">
        <w:rPr>
          <w:i/>
          <w:sz w:val="20"/>
          <w:szCs w:val="20"/>
        </w:rPr>
        <w:t>Robert Wayne McCulloch v. Patricia Marie McCulloch</w:t>
      </w:r>
      <w:r w:rsidRPr="0090145B">
        <w:rPr>
          <w:sz w:val="20"/>
          <w:szCs w:val="20"/>
        </w:rPr>
        <w:t xml:space="preserve"> (Alta.) (Civil) (By Leave)</w:t>
      </w:r>
      <w:r w:rsidRPr="00C612D0">
        <w:rPr>
          <w:sz w:val="20"/>
          <w:szCs w:val="20"/>
        </w:rPr>
        <w:t xml:space="preserve"> </w:t>
      </w:r>
      <w:r w:rsidR="004B7F60" w:rsidRPr="00C612D0">
        <w:rPr>
          <w:sz w:val="20"/>
          <w:szCs w:val="20"/>
        </w:rPr>
        <w:t>(3</w:t>
      </w:r>
      <w:r>
        <w:rPr>
          <w:sz w:val="20"/>
          <w:szCs w:val="20"/>
        </w:rPr>
        <w:t>5600</w:t>
      </w:r>
      <w:r w:rsidR="004B7F60" w:rsidRPr="00C612D0">
        <w:rPr>
          <w:sz w:val="20"/>
          <w:szCs w:val="20"/>
        </w:rPr>
        <w:t>)</w:t>
      </w:r>
    </w:p>
    <w:p w:rsidR="004B7F60" w:rsidRDefault="004B7F60" w:rsidP="004B7F60">
      <w:pPr>
        <w:widowControl w:val="0"/>
        <w:jc w:val="both"/>
        <w:rPr>
          <w:sz w:val="20"/>
          <w:szCs w:val="20"/>
        </w:rPr>
      </w:pPr>
    </w:p>
    <w:p w:rsidR="0090145B" w:rsidRDefault="0090145B" w:rsidP="004B7F60">
      <w:pPr>
        <w:widowControl w:val="0"/>
        <w:jc w:val="both"/>
        <w:rPr>
          <w:sz w:val="20"/>
          <w:szCs w:val="20"/>
        </w:rPr>
      </w:pPr>
    </w:p>
    <w:p w:rsidR="0090145B" w:rsidRPr="00C50A5C" w:rsidRDefault="0090145B" w:rsidP="0090145B">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Karakatsanis</w:t>
      </w:r>
      <w:r w:rsidRPr="00C50A5C">
        <w:rPr>
          <w:b/>
          <w:sz w:val="20"/>
          <w:szCs w:val="20"/>
        </w:rPr>
        <w:t xml:space="preserve"> and </w:t>
      </w:r>
      <w:r>
        <w:rPr>
          <w:b/>
          <w:sz w:val="20"/>
          <w:szCs w:val="20"/>
        </w:rPr>
        <w:t>Wagner</w:t>
      </w:r>
      <w:r w:rsidRPr="00C50A5C">
        <w:rPr>
          <w:b/>
          <w:sz w:val="20"/>
          <w:szCs w:val="20"/>
        </w:rPr>
        <w:t xml:space="preserve"> JJ.</w:t>
      </w:r>
    </w:p>
    <w:p w:rsidR="0090145B" w:rsidRPr="00C50A5C" w:rsidRDefault="0090145B" w:rsidP="0090145B">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Wagn</w:t>
      </w:r>
      <w:r w:rsidRPr="00C50A5C">
        <w:rPr>
          <w:b/>
          <w:sz w:val="20"/>
          <w:szCs w:val="20"/>
          <w:lang w:val="fr-CA"/>
        </w:rPr>
        <w:t>e</w:t>
      </w:r>
      <w:r>
        <w:rPr>
          <w:b/>
          <w:sz w:val="20"/>
          <w:szCs w:val="20"/>
          <w:lang w:val="fr-CA"/>
        </w:rPr>
        <w:t>r</w:t>
      </w:r>
    </w:p>
    <w:p w:rsidR="0090145B" w:rsidRPr="00C16CB3" w:rsidRDefault="0090145B" w:rsidP="0090145B">
      <w:pPr>
        <w:widowControl w:val="0"/>
        <w:jc w:val="both"/>
        <w:rPr>
          <w:sz w:val="20"/>
          <w:szCs w:val="20"/>
          <w:lang w:val="fr-CA"/>
        </w:rPr>
      </w:pPr>
    </w:p>
    <w:p w:rsidR="004B7F60" w:rsidRPr="00C50A5C" w:rsidRDefault="0090145B" w:rsidP="004B7F60">
      <w:pPr>
        <w:pStyle w:val="ListParagraph"/>
        <w:widowControl w:val="0"/>
        <w:numPr>
          <w:ilvl w:val="0"/>
          <w:numId w:val="1"/>
        </w:numPr>
        <w:ind w:hanging="720"/>
        <w:jc w:val="both"/>
        <w:rPr>
          <w:sz w:val="20"/>
          <w:szCs w:val="20"/>
        </w:rPr>
      </w:pPr>
      <w:r w:rsidRPr="0090145B">
        <w:rPr>
          <w:i/>
          <w:sz w:val="20"/>
          <w:szCs w:val="20"/>
        </w:rPr>
        <w:t>Elliot C. Wightman et al. v. Estate of Peter N. Widdrington</w:t>
      </w:r>
      <w:r w:rsidRPr="0090145B">
        <w:rPr>
          <w:sz w:val="20"/>
          <w:szCs w:val="20"/>
        </w:rPr>
        <w:t xml:space="preserve"> (Que.) (Civil) (By Leave)</w:t>
      </w:r>
      <w:r w:rsidRPr="00940CAD">
        <w:rPr>
          <w:sz w:val="20"/>
          <w:szCs w:val="20"/>
        </w:rPr>
        <w:t xml:space="preserve"> </w:t>
      </w:r>
      <w:r w:rsidR="004B7F60" w:rsidRPr="00940CAD">
        <w:rPr>
          <w:sz w:val="20"/>
          <w:szCs w:val="20"/>
        </w:rPr>
        <w:t>(3</w:t>
      </w:r>
      <w:r>
        <w:rPr>
          <w:sz w:val="20"/>
          <w:szCs w:val="20"/>
        </w:rPr>
        <w:t>5</w:t>
      </w:r>
      <w:r w:rsidR="004B7F60" w:rsidRPr="00940CAD">
        <w:rPr>
          <w:sz w:val="20"/>
          <w:szCs w:val="20"/>
        </w:rPr>
        <w:t>43</w:t>
      </w:r>
      <w:r>
        <w:rPr>
          <w:sz w:val="20"/>
          <w:szCs w:val="20"/>
        </w:rPr>
        <w:t>8</w:t>
      </w:r>
      <w:r w:rsidR="004B7F60" w:rsidRPr="00940CAD">
        <w:rPr>
          <w:sz w:val="20"/>
          <w:szCs w:val="20"/>
        </w:rPr>
        <w:t>)</w:t>
      </w:r>
    </w:p>
    <w:p w:rsidR="004B7F60" w:rsidRDefault="004B7F60" w:rsidP="004B7F60">
      <w:pPr>
        <w:widowControl w:val="0"/>
        <w:rPr>
          <w:sz w:val="20"/>
          <w:szCs w:val="20"/>
        </w:rPr>
      </w:pPr>
    </w:p>
    <w:p w:rsidR="0090145B" w:rsidRDefault="0090145B" w:rsidP="004B7F60">
      <w:pPr>
        <w:widowControl w:val="0"/>
        <w:rPr>
          <w:sz w:val="20"/>
          <w:szCs w:val="20"/>
        </w:rPr>
      </w:pPr>
    </w:p>
    <w:p w:rsidR="0090145B" w:rsidRPr="00C50A5C" w:rsidRDefault="0090145B" w:rsidP="0090145B">
      <w:pPr>
        <w:widowControl w:val="0"/>
        <w:jc w:val="center"/>
        <w:rPr>
          <w:b/>
          <w:sz w:val="20"/>
          <w:szCs w:val="20"/>
        </w:rPr>
      </w:pPr>
      <w:r w:rsidRPr="00C50A5C">
        <w:rPr>
          <w:b/>
          <w:sz w:val="20"/>
          <w:szCs w:val="20"/>
        </w:rPr>
        <w:t xml:space="preserve">CORAM: </w:t>
      </w:r>
      <w:r>
        <w:rPr>
          <w:b/>
          <w:sz w:val="20"/>
          <w:szCs w:val="20"/>
        </w:rPr>
        <w:t>Abella,</w:t>
      </w:r>
      <w:r w:rsidRPr="00C50A5C">
        <w:rPr>
          <w:b/>
          <w:sz w:val="20"/>
          <w:szCs w:val="20"/>
        </w:rPr>
        <w:t xml:space="preserve">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90145B" w:rsidRPr="00C50A5C" w:rsidRDefault="0090145B" w:rsidP="0090145B">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90145B" w:rsidRPr="0090145B" w:rsidRDefault="0090145B" w:rsidP="004B7F60">
      <w:pPr>
        <w:widowControl w:val="0"/>
        <w:rPr>
          <w:sz w:val="20"/>
          <w:szCs w:val="20"/>
          <w:lang w:val="fr-CA"/>
        </w:rPr>
      </w:pPr>
    </w:p>
    <w:p w:rsidR="004B7F60" w:rsidRPr="00C50A5C" w:rsidRDefault="0090145B" w:rsidP="004B7F60">
      <w:pPr>
        <w:pStyle w:val="ListParagraph"/>
        <w:widowControl w:val="0"/>
        <w:numPr>
          <w:ilvl w:val="0"/>
          <w:numId w:val="1"/>
        </w:numPr>
        <w:ind w:hanging="720"/>
        <w:jc w:val="both"/>
        <w:rPr>
          <w:sz w:val="20"/>
          <w:szCs w:val="20"/>
        </w:rPr>
      </w:pPr>
      <w:r w:rsidRPr="0090145B">
        <w:rPr>
          <w:i/>
          <w:sz w:val="20"/>
          <w:szCs w:val="20"/>
        </w:rPr>
        <w:t>Shawn Jordan v. Dawn Johnson</w:t>
      </w:r>
      <w:r w:rsidRPr="0090145B">
        <w:rPr>
          <w:sz w:val="20"/>
          <w:szCs w:val="20"/>
        </w:rPr>
        <w:t xml:space="preserve"> (Alta.) (Civil) (By Leave)</w:t>
      </w:r>
      <w:r w:rsidRPr="00C50A5C">
        <w:rPr>
          <w:sz w:val="20"/>
          <w:szCs w:val="20"/>
        </w:rPr>
        <w:t xml:space="preserve"> </w:t>
      </w:r>
      <w:r w:rsidR="004B7F60" w:rsidRPr="00C50A5C">
        <w:rPr>
          <w:sz w:val="20"/>
          <w:szCs w:val="20"/>
        </w:rPr>
        <w:t>(3</w:t>
      </w:r>
      <w:r>
        <w:rPr>
          <w:sz w:val="20"/>
          <w:szCs w:val="20"/>
        </w:rPr>
        <w:t>559</w:t>
      </w:r>
      <w:r w:rsidR="004B7F60">
        <w:rPr>
          <w:sz w:val="20"/>
          <w:szCs w:val="20"/>
        </w:rPr>
        <w:t>2</w:t>
      </w:r>
      <w:r w:rsidR="004B7F60" w:rsidRPr="00C50A5C">
        <w:rPr>
          <w:sz w:val="20"/>
          <w:szCs w:val="20"/>
        </w:rPr>
        <w:t>)</w:t>
      </w:r>
    </w:p>
    <w:p w:rsidR="004B7F60" w:rsidRDefault="004B7F60" w:rsidP="004B7F60">
      <w:pPr>
        <w:widowControl w:val="0"/>
        <w:jc w:val="both"/>
        <w:rPr>
          <w:sz w:val="20"/>
          <w:szCs w:val="20"/>
        </w:rPr>
      </w:pPr>
    </w:p>
    <w:p w:rsidR="004B7F60" w:rsidRPr="0090145B" w:rsidRDefault="0090145B" w:rsidP="004B7F60">
      <w:pPr>
        <w:pStyle w:val="ListParagraph"/>
        <w:widowControl w:val="0"/>
        <w:numPr>
          <w:ilvl w:val="0"/>
          <w:numId w:val="1"/>
        </w:numPr>
        <w:ind w:hanging="720"/>
        <w:jc w:val="both"/>
        <w:rPr>
          <w:sz w:val="20"/>
          <w:szCs w:val="20"/>
        </w:rPr>
      </w:pPr>
      <w:r w:rsidRPr="0090145B">
        <w:rPr>
          <w:i/>
          <w:sz w:val="20"/>
          <w:szCs w:val="20"/>
        </w:rPr>
        <w:t>321665 Alberta Ltd. v. Husky Oil Operations Ltd. et al.</w:t>
      </w:r>
      <w:r w:rsidRPr="0090145B">
        <w:rPr>
          <w:sz w:val="20"/>
          <w:szCs w:val="20"/>
        </w:rPr>
        <w:t xml:space="preserve"> (Alta.) (Civil) (By Leave) </w:t>
      </w:r>
      <w:r w:rsidR="004B7F60" w:rsidRPr="0090145B">
        <w:rPr>
          <w:sz w:val="20"/>
          <w:szCs w:val="20"/>
        </w:rPr>
        <w:t>(3</w:t>
      </w:r>
      <w:r w:rsidRPr="0090145B">
        <w:rPr>
          <w:sz w:val="20"/>
          <w:szCs w:val="20"/>
        </w:rPr>
        <w:t>5529</w:t>
      </w:r>
      <w:r w:rsidR="004B7F60" w:rsidRPr="0090145B">
        <w:rPr>
          <w:sz w:val="20"/>
          <w:szCs w:val="20"/>
        </w:rPr>
        <w:t>)</w:t>
      </w:r>
    </w:p>
    <w:p w:rsidR="004B7F60" w:rsidRPr="0090145B" w:rsidRDefault="004B7F60" w:rsidP="004B7F60">
      <w:pPr>
        <w:widowControl w:val="0"/>
        <w:rPr>
          <w:sz w:val="20"/>
          <w:szCs w:val="20"/>
        </w:rPr>
      </w:pPr>
    </w:p>
    <w:p w:rsidR="002E2327" w:rsidRDefault="00E7787D" w:rsidP="002E2327">
      <w:pPr>
        <w:widowControl w:val="0"/>
        <w:rPr>
          <w:sz w:val="20"/>
          <w:szCs w:val="20"/>
        </w:rPr>
      </w:pPr>
      <w:r>
        <w:rPr>
          <w:sz w:val="20"/>
          <w:szCs w:val="20"/>
        </w:rPr>
        <w:pict>
          <v:rect id="_x0000_i1035" style="width:2in;height:1pt" o:hrpct="0" o:hralign="center" o:hrstd="t" o:hrnoshade="t" o:hr="t" fillcolor="black [3213]" stroked="f"/>
        </w:pict>
      </w:r>
    </w:p>
    <w:p w:rsidR="00D94028" w:rsidRDefault="00D94028" w:rsidP="002E2327">
      <w:pPr>
        <w:widowControl w:val="0"/>
        <w:rPr>
          <w:sz w:val="20"/>
          <w:szCs w:val="20"/>
        </w:rPr>
      </w:pPr>
    </w:p>
    <w:p w:rsidR="00D94028" w:rsidRDefault="00D94028" w:rsidP="002E2327">
      <w:pPr>
        <w:widowControl w:val="0"/>
        <w:rPr>
          <w:sz w:val="20"/>
          <w:szCs w:val="20"/>
        </w:rPr>
      </w:pPr>
    </w:p>
    <w:p w:rsidR="0090145B" w:rsidRDefault="0090145B"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E7787D"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83449C" w:rsidP="000E2959">
      <w:pPr>
        <w:rPr>
          <w:b/>
          <w:sz w:val="20"/>
          <w:szCs w:val="20"/>
        </w:rPr>
      </w:pPr>
      <w:r>
        <w:rPr>
          <w:b/>
          <w:sz w:val="20"/>
          <w:szCs w:val="20"/>
        </w:rPr>
        <w:t>DECE</w:t>
      </w:r>
      <w:r w:rsidR="000E2959">
        <w:rPr>
          <w:b/>
          <w:sz w:val="20"/>
          <w:szCs w:val="20"/>
        </w:rPr>
        <w:t>M</w:t>
      </w:r>
      <w:r>
        <w:rPr>
          <w:b/>
          <w:sz w:val="20"/>
          <w:szCs w:val="20"/>
        </w:rPr>
        <w:t>BER</w:t>
      </w:r>
      <w:r w:rsidR="000E2959" w:rsidRPr="00C50A5C">
        <w:rPr>
          <w:b/>
          <w:sz w:val="20"/>
          <w:szCs w:val="20"/>
        </w:rPr>
        <w:t xml:space="preserve"> </w:t>
      </w:r>
      <w:r>
        <w:rPr>
          <w:b/>
          <w:sz w:val="20"/>
          <w:szCs w:val="20"/>
        </w:rPr>
        <w:t>5</w:t>
      </w:r>
      <w:r w:rsidR="000E2959" w:rsidRPr="00C50A5C">
        <w:rPr>
          <w:b/>
          <w:sz w:val="20"/>
          <w:szCs w:val="20"/>
        </w:rPr>
        <w:t>, 201</w:t>
      </w:r>
      <w:r w:rsidR="000E2959">
        <w:rPr>
          <w:b/>
          <w:sz w:val="20"/>
          <w:szCs w:val="20"/>
        </w:rPr>
        <w:t>3</w:t>
      </w:r>
      <w:r w:rsidR="000E2959" w:rsidRPr="00C50A5C">
        <w:rPr>
          <w:b/>
          <w:sz w:val="20"/>
          <w:szCs w:val="20"/>
        </w:rPr>
        <w:t xml:space="preserve"> / LE </w:t>
      </w:r>
      <w:r>
        <w:rPr>
          <w:b/>
          <w:sz w:val="20"/>
          <w:szCs w:val="20"/>
        </w:rPr>
        <w:t>5</w:t>
      </w:r>
      <w:r w:rsidR="000E2959" w:rsidRPr="00C50A5C">
        <w:rPr>
          <w:b/>
          <w:sz w:val="20"/>
          <w:szCs w:val="20"/>
        </w:rPr>
        <w:t xml:space="preserve"> </w:t>
      </w:r>
      <w:r>
        <w:rPr>
          <w:b/>
          <w:sz w:val="20"/>
          <w:szCs w:val="20"/>
        </w:rPr>
        <w:t>DÉCE</w:t>
      </w:r>
      <w:r w:rsidR="000E2959">
        <w:rPr>
          <w:b/>
          <w:sz w:val="20"/>
          <w:szCs w:val="20"/>
        </w:rPr>
        <w:t>M</w:t>
      </w:r>
      <w:r>
        <w:rPr>
          <w:b/>
          <w:sz w:val="20"/>
          <w:szCs w:val="20"/>
        </w:rPr>
        <w:t>BRE</w:t>
      </w:r>
      <w:r w:rsidR="000E2959" w:rsidRPr="00C50A5C">
        <w:rPr>
          <w:b/>
          <w:sz w:val="20"/>
          <w:szCs w:val="20"/>
        </w:rPr>
        <w:t xml:space="preserve"> 201</w:t>
      </w:r>
      <w:r w:rsidR="000E2959">
        <w:rPr>
          <w:b/>
          <w:sz w:val="20"/>
          <w:szCs w:val="20"/>
        </w:rPr>
        <w:t>3</w:t>
      </w:r>
    </w:p>
    <w:p w:rsidR="000E2959" w:rsidRDefault="000E2959" w:rsidP="000E2959">
      <w:pPr>
        <w:rPr>
          <w:sz w:val="20"/>
          <w:szCs w:val="20"/>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C07D78" w:rsidRPr="00C07D78" w:rsidTr="0080417A">
        <w:trPr>
          <w:cantSplit/>
        </w:trPr>
        <w:tc>
          <w:tcPr>
            <w:tcW w:w="1458" w:type="dxa"/>
          </w:tcPr>
          <w:p w:rsidR="00C07D78" w:rsidRPr="00C07D78" w:rsidRDefault="00C07D78" w:rsidP="00C07D78">
            <w:pPr>
              <w:rPr>
                <w:sz w:val="20"/>
              </w:rPr>
            </w:pPr>
            <w:r w:rsidRPr="00C07D78">
              <w:rPr>
                <w:b/>
                <w:sz w:val="20"/>
                <w:lang w:val="fr-CA"/>
              </w:rPr>
              <w:t>35332</w:t>
            </w:r>
          </w:p>
          <w:p w:rsidR="00C07D78" w:rsidRPr="00C07D78" w:rsidRDefault="00C07D78" w:rsidP="00C07D78">
            <w:pPr>
              <w:rPr>
                <w:b/>
                <w:sz w:val="20"/>
                <w:lang w:val="fr-CA"/>
              </w:rPr>
            </w:pPr>
          </w:p>
        </w:tc>
        <w:tc>
          <w:tcPr>
            <w:tcW w:w="8118" w:type="dxa"/>
          </w:tcPr>
          <w:p w:rsidR="00C07D78" w:rsidRPr="00C07D78" w:rsidRDefault="00C07D78" w:rsidP="00C07D78">
            <w:pPr>
              <w:rPr>
                <w:sz w:val="20"/>
              </w:rPr>
            </w:pPr>
            <w:r w:rsidRPr="00C07D78">
              <w:rPr>
                <w:b/>
                <w:sz w:val="20"/>
                <w:u w:val="single"/>
              </w:rPr>
              <w:t>Anton Oleynik v. University of Calgary</w:t>
            </w:r>
            <w:r w:rsidRPr="00C07D78">
              <w:rPr>
                <w:sz w:val="20"/>
              </w:rPr>
              <w:t xml:space="preserve"> (Alta.) (Civil) (By Leave)</w:t>
            </w:r>
          </w:p>
          <w:p w:rsidR="00C07D78" w:rsidRPr="00C07D78" w:rsidRDefault="00C07D78" w:rsidP="00C07D78">
            <w:pPr>
              <w:rPr>
                <w:sz w:val="20"/>
              </w:rPr>
            </w:pPr>
          </w:p>
        </w:tc>
      </w:tr>
      <w:tr w:rsidR="00C07D78" w:rsidRPr="00C07D78" w:rsidTr="0080417A">
        <w:trPr>
          <w:cantSplit/>
        </w:trPr>
        <w:tc>
          <w:tcPr>
            <w:tcW w:w="1458" w:type="dxa"/>
          </w:tcPr>
          <w:p w:rsidR="00C07D78" w:rsidRPr="00C07D78" w:rsidRDefault="00C07D78" w:rsidP="00C07D78">
            <w:pPr>
              <w:rPr>
                <w:sz w:val="20"/>
              </w:rPr>
            </w:pPr>
            <w:r w:rsidRPr="00C07D78">
              <w:rPr>
                <w:sz w:val="20"/>
              </w:rPr>
              <w:t>Coram :</w:t>
            </w:r>
          </w:p>
        </w:tc>
        <w:tc>
          <w:tcPr>
            <w:tcW w:w="8118" w:type="dxa"/>
          </w:tcPr>
          <w:p w:rsidR="00C07D78" w:rsidRPr="00C07D78" w:rsidRDefault="00C07D78" w:rsidP="00C07D78">
            <w:pPr>
              <w:rPr>
                <w:sz w:val="20"/>
              </w:rPr>
            </w:pPr>
            <w:r w:rsidRPr="00C07D78">
              <w:rPr>
                <w:sz w:val="20"/>
                <w:u w:val="single"/>
              </w:rPr>
              <w:t>McLachlin C.J. and Abella and Cromwell JJ.</w:t>
            </w:r>
          </w:p>
          <w:p w:rsidR="00C07D78" w:rsidRPr="00C07D78" w:rsidRDefault="00C07D78" w:rsidP="00C07D78">
            <w:pPr>
              <w:rPr>
                <w:sz w:val="20"/>
                <w:u w:val="single"/>
              </w:rPr>
            </w:pPr>
          </w:p>
        </w:tc>
      </w:tr>
      <w:tr w:rsidR="00C07D78" w:rsidRPr="00E7787D" w:rsidTr="0080417A">
        <w:trPr>
          <w:cantSplit/>
        </w:trPr>
        <w:tc>
          <w:tcPr>
            <w:tcW w:w="9576" w:type="dxa"/>
            <w:gridSpan w:val="2"/>
          </w:tcPr>
          <w:p w:rsidR="00C07D78" w:rsidRPr="00C07D78" w:rsidRDefault="00C07D78" w:rsidP="00C07D78">
            <w:pPr>
              <w:ind w:firstLine="720"/>
              <w:jc w:val="both"/>
              <w:rPr>
                <w:sz w:val="20"/>
                <w:lang w:val="fr-CA"/>
              </w:rPr>
            </w:pPr>
            <w:r w:rsidRPr="00C07D78">
              <w:rPr>
                <w:sz w:val="20"/>
              </w:rPr>
              <w:t xml:space="preserve">The application for leave to appeal from the judgment of the Court of Appeal of Alberta (Calgary), Number 1201-0082-AC, 2013 ABCA 105, dated March 26, 2013 is dismissed with costs.  </w:t>
            </w:r>
            <w:r w:rsidRPr="00C07D78">
              <w:rPr>
                <w:sz w:val="20"/>
                <w:lang w:val="fr-CA"/>
              </w:rPr>
              <w:t>The requests for special costs are denied.</w:t>
            </w:r>
          </w:p>
          <w:p w:rsidR="00C07D78" w:rsidRPr="00C07D78" w:rsidRDefault="00C07D78" w:rsidP="00C07D78">
            <w:pPr>
              <w:jc w:val="both"/>
              <w:rPr>
                <w:sz w:val="20"/>
                <w:lang w:val="fr-CA"/>
              </w:rPr>
            </w:pPr>
          </w:p>
          <w:p w:rsidR="00C07D78" w:rsidRPr="00C07D78" w:rsidRDefault="00C07D78" w:rsidP="00C07D78">
            <w:pPr>
              <w:ind w:firstLine="720"/>
              <w:jc w:val="both"/>
              <w:rPr>
                <w:sz w:val="20"/>
                <w:lang w:val="fr-CA"/>
              </w:rPr>
            </w:pPr>
            <w:r w:rsidRPr="00C07D78">
              <w:rPr>
                <w:sz w:val="20"/>
                <w:lang w:val="fr-CA"/>
              </w:rPr>
              <w:t>La demande d’autorisation d’appel de l’arrêt de la Cour d'appel de l’Alberta (Calgary), numéro 1201-0082-AC, 2013 ABCA 105, daté du 26 mars 2013, est rejetée avec dépens.  Les demandes en vue d’obtenir des dépens spéciaux sont refusées.</w:t>
            </w:r>
          </w:p>
        </w:tc>
      </w:tr>
    </w:tbl>
    <w:p w:rsidR="0083449C" w:rsidRPr="00C07D78" w:rsidRDefault="0083449C" w:rsidP="000E2959">
      <w:pPr>
        <w:rPr>
          <w:sz w:val="20"/>
          <w:szCs w:val="20"/>
          <w:lang w:val="fr-CA"/>
        </w:rPr>
      </w:pPr>
    </w:p>
    <w:p w:rsidR="0083449C" w:rsidRPr="001B157C" w:rsidRDefault="0083449C" w:rsidP="0083449C">
      <w:pPr>
        <w:rPr>
          <w:sz w:val="20"/>
          <w:szCs w:val="20"/>
          <w:u w:val="single"/>
        </w:rPr>
      </w:pPr>
      <w:r w:rsidRPr="001B157C">
        <w:rPr>
          <w:sz w:val="20"/>
          <w:szCs w:val="20"/>
          <w:u w:val="single"/>
        </w:rPr>
        <w:t>CASE SUMMARY</w:t>
      </w:r>
    </w:p>
    <w:p w:rsidR="0083449C" w:rsidRDefault="0083449C" w:rsidP="0083449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554"/>
        <w:gridCol w:w="514"/>
        <w:gridCol w:w="4459"/>
      </w:tblGrid>
      <w:tr w:rsidR="00741B40" w:rsidRPr="00595BF3" w:rsidTr="00741B40">
        <w:tc>
          <w:tcPr>
            <w:tcW w:w="5000" w:type="pct"/>
            <w:gridSpan w:val="3"/>
          </w:tcPr>
          <w:p w:rsidR="00741B40" w:rsidRPr="00595BF3" w:rsidRDefault="00741B40" w:rsidP="00741B40">
            <w:pPr>
              <w:jc w:val="both"/>
              <w:rPr>
                <w:rFonts w:eastAsia="Calibri"/>
                <w:sz w:val="20"/>
              </w:rPr>
            </w:pPr>
            <w:r w:rsidRPr="00595BF3">
              <w:rPr>
                <w:rFonts w:eastAsia="Calibri"/>
                <w:sz w:val="20"/>
              </w:rPr>
              <w:t>Administrative law – Judicial review – Appeal – Leave to Appeal – Whether applicant raises a legal issue – Whether issue is of public importance.</w:t>
            </w:r>
          </w:p>
        </w:tc>
      </w:tr>
      <w:tr w:rsidR="00741B40" w:rsidRPr="00595BF3" w:rsidTr="00741B40">
        <w:tc>
          <w:tcPr>
            <w:tcW w:w="5000" w:type="pct"/>
            <w:gridSpan w:val="3"/>
          </w:tcPr>
          <w:p w:rsidR="00741B40" w:rsidRPr="00595BF3" w:rsidRDefault="00741B40" w:rsidP="00741B40">
            <w:pPr>
              <w:jc w:val="both"/>
              <w:rPr>
                <w:rFonts w:eastAsia="Calibri"/>
                <w:sz w:val="20"/>
              </w:rPr>
            </w:pPr>
          </w:p>
        </w:tc>
      </w:tr>
      <w:tr w:rsidR="00741B40" w:rsidRPr="00595BF3" w:rsidTr="00741B40">
        <w:tc>
          <w:tcPr>
            <w:tcW w:w="5000" w:type="pct"/>
            <w:gridSpan w:val="3"/>
          </w:tcPr>
          <w:p w:rsidR="00741B40" w:rsidRPr="00595BF3" w:rsidRDefault="00741B40" w:rsidP="00741B40">
            <w:pPr>
              <w:jc w:val="both"/>
              <w:rPr>
                <w:rFonts w:eastAsia="Calibri"/>
                <w:sz w:val="20"/>
              </w:rPr>
            </w:pPr>
            <w:r w:rsidRPr="00595BF3">
              <w:rPr>
                <w:rFonts w:eastAsia="Calibri"/>
                <w:sz w:val="20"/>
              </w:rPr>
              <w:t xml:space="preserve">The applicant’s application for a Social Sciences and Humanities Research Council research grant was reviewed by a committee that included professors employed by various universities in  Canada.  A research grant was denied.  The applicant made access-to-information requests to the Research Council and the committee members’ employers.  From the respondent, it requested access to emails containing his name that were sent or received by one of its employees who was a committee member.  Relying on a statement from the employee, the respondent responded to the applicant that there were no responsive records.  The applicant asked the Information and Privacy Commissioner of Alberta to review the response.  An adjudicator was appointed.  The adjudicator refused to allow the applicant to tender fresh evidence </w:t>
            </w:r>
            <w:r w:rsidRPr="00595BF3">
              <w:rPr>
                <w:rFonts w:eastAsia="Calibri"/>
                <w:i/>
                <w:sz w:val="20"/>
              </w:rPr>
              <w:t>in camera</w:t>
            </w:r>
            <w:r w:rsidRPr="00595BF3">
              <w:rPr>
                <w:rFonts w:eastAsia="Calibri"/>
                <w:sz w:val="20"/>
              </w:rPr>
              <w:t xml:space="preserve">.  She then held that there was no evidence that responsive records existed. She held that the University of Calgary had conducted a reasonable search and met its duty under section 10(1) of the </w:t>
            </w:r>
            <w:r w:rsidRPr="00595BF3">
              <w:rPr>
                <w:rFonts w:eastAsia="Calibri"/>
                <w:i/>
                <w:sz w:val="20"/>
              </w:rPr>
              <w:t>Freedom of Information and Protection of Privacy Act</w:t>
            </w:r>
            <w:r w:rsidRPr="00595BF3">
              <w:rPr>
                <w:rFonts w:eastAsia="Calibri"/>
                <w:sz w:val="20"/>
              </w:rPr>
              <w:t>, R.S.A. 2000, c. F-25.  The applicant applied for judicial review and again sought to file fresh evidence.  The applications to file fresh evidence and for judicial review were dismissed.  The applicant appealed. The appeal was dismissed.</w:t>
            </w:r>
          </w:p>
          <w:p w:rsidR="00741B40" w:rsidRPr="00595BF3" w:rsidRDefault="00741B40" w:rsidP="00741B40">
            <w:pPr>
              <w:jc w:val="both"/>
              <w:rPr>
                <w:rFonts w:eastAsia="Calibri"/>
                <w:sz w:val="20"/>
              </w:rPr>
            </w:pPr>
          </w:p>
        </w:tc>
      </w:tr>
      <w:tr w:rsidR="00741B40" w:rsidRPr="00595BF3" w:rsidTr="00741B40">
        <w:tblPrEx>
          <w:tblCellMar>
            <w:bottom w:w="0" w:type="dxa"/>
          </w:tblCellMar>
        </w:tblPrEx>
        <w:tc>
          <w:tcPr>
            <w:tcW w:w="2390" w:type="pct"/>
          </w:tcPr>
          <w:p w:rsidR="00741B40" w:rsidRPr="00595BF3" w:rsidRDefault="00741B40" w:rsidP="00741B40">
            <w:pPr>
              <w:jc w:val="both"/>
              <w:rPr>
                <w:rFonts w:eastAsia="Calibri"/>
                <w:sz w:val="20"/>
              </w:rPr>
            </w:pPr>
            <w:r w:rsidRPr="00595BF3">
              <w:rPr>
                <w:rFonts w:eastAsia="Calibri"/>
                <w:sz w:val="20"/>
              </w:rPr>
              <w:t>March 19, 2012</w:t>
            </w:r>
          </w:p>
          <w:p w:rsidR="00741B40" w:rsidRPr="00595BF3" w:rsidRDefault="00741B40" w:rsidP="00741B40">
            <w:pPr>
              <w:jc w:val="both"/>
              <w:rPr>
                <w:rFonts w:eastAsia="Calibri"/>
                <w:sz w:val="20"/>
              </w:rPr>
            </w:pPr>
            <w:r w:rsidRPr="00595BF3">
              <w:rPr>
                <w:rFonts w:eastAsia="Calibri"/>
                <w:sz w:val="20"/>
              </w:rPr>
              <w:t>Court of Queen’s Bench of Alberta</w:t>
            </w:r>
          </w:p>
          <w:p w:rsidR="00741B40" w:rsidRPr="00595BF3" w:rsidRDefault="00741B40" w:rsidP="00741B40">
            <w:pPr>
              <w:jc w:val="both"/>
              <w:rPr>
                <w:rFonts w:eastAsia="Calibri"/>
                <w:sz w:val="20"/>
              </w:rPr>
            </w:pPr>
            <w:r w:rsidRPr="00595BF3">
              <w:rPr>
                <w:rFonts w:eastAsia="Calibri"/>
                <w:sz w:val="20"/>
              </w:rPr>
              <w:t>(Veit J.)</w:t>
            </w:r>
          </w:p>
          <w:p w:rsidR="00741B40" w:rsidRPr="00595BF3" w:rsidRDefault="00741B40" w:rsidP="00741B40">
            <w:pPr>
              <w:jc w:val="both"/>
              <w:rPr>
                <w:rFonts w:eastAsia="Calibri"/>
                <w:sz w:val="20"/>
              </w:rPr>
            </w:pPr>
            <w:r w:rsidRPr="00595BF3">
              <w:rPr>
                <w:rFonts w:eastAsia="Calibri"/>
                <w:sz w:val="20"/>
              </w:rPr>
              <w:t>2012 ABQB 189</w:t>
            </w:r>
          </w:p>
          <w:p w:rsidR="00741B40" w:rsidRPr="00595BF3" w:rsidRDefault="00741B40" w:rsidP="00741B40">
            <w:pPr>
              <w:jc w:val="both"/>
              <w:rPr>
                <w:rFonts w:eastAsia="Calibri"/>
                <w:sz w:val="20"/>
              </w:rPr>
            </w:pPr>
          </w:p>
        </w:tc>
        <w:tc>
          <w:tcPr>
            <w:tcW w:w="270" w:type="pct"/>
          </w:tcPr>
          <w:p w:rsidR="00741B40" w:rsidRPr="00595BF3" w:rsidRDefault="00741B40" w:rsidP="00741B40">
            <w:pPr>
              <w:jc w:val="both"/>
              <w:rPr>
                <w:rFonts w:eastAsia="Calibri"/>
                <w:sz w:val="20"/>
              </w:rPr>
            </w:pPr>
          </w:p>
        </w:tc>
        <w:tc>
          <w:tcPr>
            <w:tcW w:w="2340" w:type="pct"/>
          </w:tcPr>
          <w:p w:rsidR="00741B40" w:rsidRPr="00595BF3" w:rsidRDefault="00741B40" w:rsidP="00741B40">
            <w:pPr>
              <w:jc w:val="both"/>
              <w:rPr>
                <w:rFonts w:eastAsia="Calibri"/>
                <w:sz w:val="20"/>
              </w:rPr>
            </w:pPr>
            <w:r w:rsidRPr="00595BF3">
              <w:rPr>
                <w:rFonts w:eastAsia="Calibri"/>
                <w:sz w:val="20"/>
              </w:rPr>
              <w:t>Application for judicial review dismissed</w:t>
            </w:r>
          </w:p>
          <w:p w:rsidR="00741B40" w:rsidRPr="00595BF3" w:rsidRDefault="00741B40" w:rsidP="00741B40">
            <w:pPr>
              <w:jc w:val="both"/>
              <w:rPr>
                <w:rFonts w:eastAsia="Calibri"/>
                <w:sz w:val="20"/>
              </w:rPr>
            </w:pPr>
          </w:p>
        </w:tc>
      </w:tr>
      <w:tr w:rsidR="00741B40" w:rsidRPr="00595BF3" w:rsidTr="00741B40">
        <w:tblPrEx>
          <w:tblCellMar>
            <w:bottom w:w="0" w:type="dxa"/>
          </w:tblCellMar>
        </w:tblPrEx>
        <w:tc>
          <w:tcPr>
            <w:tcW w:w="2390" w:type="pct"/>
          </w:tcPr>
          <w:p w:rsidR="00741B40" w:rsidRPr="00595BF3" w:rsidRDefault="00741B40" w:rsidP="00741B40">
            <w:pPr>
              <w:jc w:val="both"/>
              <w:rPr>
                <w:rFonts w:eastAsia="Calibri"/>
                <w:sz w:val="20"/>
              </w:rPr>
            </w:pPr>
            <w:r w:rsidRPr="00595BF3">
              <w:rPr>
                <w:rFonts w:eastAsia="Calibri"/>
                <w:sz w:val="20"/>
              </w:rPr>
              <w:t>March 26, 2013</w:t>
            </w:r>
          </w:p>
          <w:p w:rsidR="00741B40" w:rsidRPr="00595BF3" w:rsidRDefault="00741B40" w:rsidP="00741B40">
            <w:pPr>
              <w:jc w:val="both"/>
              <w:rPr>
                <w:rFonts w:eastAsia="Calibri"/>
                <w:sz w:val="20"/>
              </w:rPr>
            </w:pPr>
            <w:r w:rsidRPr="00595BF3">
              <w:rPr>
                <w:rFonts w:eastAsia="Calibri"/>
                <w:sz w:val="20"/>
              </w:rPr>
              <w:t>Court of Appeal of Alberta (Calgary)</w:t>
            </w:r>
          </w:p>
          <w:p w:rsidR="00741B40" w:rsidRPr="00595BF3" w:rsidRDefault="00741B40" w:rsidP="00741B40">
            <w:pPr>
              <w:jc w:val="both"/>
              <w:rPr>
                <w:rFonts w:eastAsia="Calibri"/>
                <w:sz w:val="20"/>
              </w:rPr>
            </w:pPr>
            <w:r w:rsidRPr="00595BF3">
              <w:rPr>
                <w:rFonts w:eastAsia="Calibri"/>
                <w:sz w:val="20"/>
              </w:rPr>
              <w:t>(Picard, Martin Peter, Watson JJ.A.)</w:t>
            </w:r>
          </w:p>
          <w:p w:rsidR="00741B40" w:rsidRPr="00595BF3" w:rsidRDefault="00741B40" w:rsidP="00741B40">
            <w:pPr>
              <w:jc w:val="both"/>
              <w:rPr>
                <w:rFonts w:eastAsia="Calibri"/>
                <w:sz w:val="20"/>
              </w:rPr>
            </w:pPr>
            <w:r w:rsidRPr="00595BF3">
              <w:rPr>
                <w:rFonts w:eastAsia="Calibri"/>
                <w:sz w:val="20"/>
              </w:rPr>
              <w:t xml:space="preserve">1201-0082-AC; 2013 ABCA 105 </w:t>
            </w:r>
          </w:p>
          <w:p w:rsidR="00741B40" w:rsidRPr="00595BF3" w:rsidRDefault="00741B40" w:rsidP="00741B40">
            <w:pPr>
              <w:jc w:val="both"/>
              <w:rPr>
                <w:rFonts w:eastAsia="Calibri"/>
                <w:sz w:val="20"/>
              </w:rPr>
            </w:pPr>
          </w:p>
        </w:tc>
        <w:tc>
          <w:tcPr>
            <w:tcW w:w="270" w:type="pct"/>
          </w:tcPr>
          <w:p w:rsidR="00741B40" w:rsidRPr="00595BF3" w:rsidRDefault="00741B40" w:rsidP="00741B40">
            <w:pPr>
              <w:jc w:val="both"/>
              <w:rPr>
                <w:rFonts w:eastAsia="Calibri"/>
                <w:sz w:val="20"/>
              </w:rPr>
            </w:pPr>
          </w:p>
        </w:tc>
        <w:tc>
          <w:tcPr>
            <w:tcW w:w="2340" w:type="pct"/>
          </w:tcPr>
          <w:p w:rsidR="00741B40" w:rsidRPr="00595BF3" w:rsidRDefault="00741B40" w:rsidP="00741B40">
            <w:pPr>
              <w:jc w:val="both"/>
              <w:rPr>
                <w:rFonts w:eastAsia="Calibri"/>
                <w:sz w:val="20"/>
              </w:rPr>
            </w:pPr>
            <w:r w:rsidRPr="00595BF3">
              <w:rPr>
                <w:rFonts w:eastAsia="Calibri"/>
                <w:sz w:val="20"/>
              </w:rPr>
              <w:t>Appeal dismissed</w:t>
            </w:r>
          </w:p>
          <w:p w:rsidR="00741B40" w:rsidRPr="00595BF3" w:rsidRDefault="00741B40" w:rsidP="00741B40">
            <w:pPr>
              <w:jc w:val="both"/>
              <w:rPr>
                <w:rFonts w:eastAsia="Calibri"/>
                <w:sz w:val="20"/>
              </w:rPr>
            </w:pPr>
          </w:p>
        </w:tc>
      </w:tr>
      <w:tr w:rsidR="00741B40" w:rsidRPr="00595BF3" w:rsidTr="00741B40">
        <w:tblPrEx>
          <w:tblCellMar>
            <w:bottom w:w="0" w:type="dxa"/>
          </w:tblCellMar>
        </w:tblPrEx>
        <w:tc>
          <w:tcPr>
            <w:tcW w:w="2390" w:type="pct"/>
          </w:tcPr>
          <w:p w:rsidR="00741B40" w:rsidRPr="00595BF3" w:rsidRDefault="00741B40" w:rsidP="00741B40">
            <w:pPr>
              <w:jc w:val="both"/>
              <w:rPr>
                <w:rFonts w:eastAsia="Calibri"/>
                <w:sz w:val="20"/>
              </w:rPr>
            </w:pPr>
            <w:r w:rsidRPr="00595BF3">
              <w:rPr>
                <w:rFonts w:eastAsia="Calibri"/>
                <w:sz w:val="20"/>
              </w:rPr>
              <w:t>April 22, 2013</w:t>
            </w:r>
          </w:p>
          <w:p w:rsidR="00741B40" w:rsidRPr="00595BF3" w:rsidRDefault="00741B40" w:rsidP="00741B40">
            <w:pPr>
              <w:jc w:val="both"/>
              <w:rPr>
                <w:rFonts w:eastAsia="Calibri"/>
                <w:sz w:val="20"/>
              </w:rPr>
            </w:pPr>
            <w:r w:rsidRPr="00595BF3">
              <w:rPr>
                <w:rFonts w:eastAsia="Calibri"/>
                <w:sz w:val="20"/>
              </w:rPr>
              <w:t>Supreme Court of Canada</w:t>
            </w:r>
          </w:p>
        </w:tc>
        <w:tc>
          <w:tcPr>
            <w:tcW w:w="270" w:type="pct"/>
          </w:tcPr>
          <w:p w:rsidR="00741B40" w:rsidRPr="00595BF3" w:rsidRDefault="00741B40" w:rsidP="00741B40">
            <w:pPr>
              <w:jc w:val="both"/>
              <w:rPr>
                <w:rFonts w:eastAsia="Calibri"/>
                <w:sz w:val="20"/>
              </w:rPr>
            </w:pPr>
          </w:p>
        </w:tc>
        <w:tc>
          <w:tcPr>
            <w:tcW w:w="2340" w:type="pct"/>
          </w:tcPr>
          <w:p w:rsidR="00741B40" w:rsidRPr="00595BF3" w:rsidRDefault="00741B40" w:rsidP="00741B40">
            <w:pPr>
              <w:jc w:val="both"/>
              <w:rPr>
                <w:rFonts w:eastAsia="Calibri"/>
                <w:sz w:val="20"/>
              </w:rPr>
            </w:pPr>
            <w:r w:rsidRPr="00595BF3">
              <w:rPr>
                <w:rFonts w:eastAsia="Calibri"/>
                <w:sz w:val="20"/>
              </w:rPr>
              <w:t>Application for leave to appeal filed</w:t>
            </w:r>
          </w:p>
          <w:p w:rsidR="00741B40" w:rsidRPr="00595BF3" w:rsidRDefault="00741B40" w:rsidP="00741B40">
            <w:pPr>
              <w:jc w:val="both"/>
              <w:rPr>
                <w:rFonts w:eastAsia="Calibri"/>
                <w:sz w:val="20"/>
              </w:rPr>
            </w:pPr>
          </w:p>
        </w:tc>
      </w:tr>
    </w:tbl>
    <w:p w:rsidR="0083449C" w:rsidRDefault="0083449C" w:rsidP="0083449C">
      <w:pPr>
        <w:rPr>
          <w:sz w:val="20"/>
          <w:szCs w:val="20"/>
        </w:rPr>
      </w:pPr>
    </w:p>
    <w:p w:rsidR="0083449C" w:rsidRPr="00C50A5C" w:rsidRDefault="00E7787D" w:rsidP="0083449C">
      <w:pPr>
        <w:rPr>
          <w:sz w:val="20"/>
          <w:szCs w:val="20"/>
        </w:rPr>
      </w:pPr>
      <w:r>
        <w:rPr>
          <w:sz w:val="20"/>
          <w:szCs w:val="20"/>
          <w:lang w:val="fr-CA"/>
        </w:rPr>
        <w:pict>
          <v:rect id="_x0000_i1038" style="width:2in;height:1pt" o:hrpct="0" o:hralign="center" o:hrstd="t" o:hrnoshade="t" o:hr="t" fillcolor="black [3213]" stroked="f"/>
        </w:pict>
      </w:r>
    </w:p>
    <w:p w:rsidR="0083449C" w:rsidRDefault="0083449C" w:rsidP="0083449C">
      <w:pPr>
        <w:rPr>
          <w:sz w:val="20"/>
          <w:szCs w:val="20"/>
        </w:rPr>
      </w:pPr>
    </w:p>
    <w:p w:rsidR="00C07D78" w:rsidRDefault="00C07D78">
      <w:pPr>
        <w:rPr>
          <w:sz w:val="20"/>
          <w:szCs w:val="20"/>
          <w:u w:val="single"/>
          <w:lang w:val="fr-CA"/>
        </w:rPr>
      </w:pPr>
      <w:r>
        <w:rPr>
          <w:sz w:val="20"/>
          <w:szCs w:val="20"/>
          <w:u w:val="single"/>
          <w:lang w:val="fr-CA"/>
        </w:rPr>
        <w:br w:type="page"/>
      </w:r>
    </w:p>
    <w:p w:rsidR="0083449C" w:rsidRPr="001B157C" w:rsidRDefault="0083449C" w:rsidP="0083449C">
      <w:pPr>
        <w:rPr>
          <w:sz w:val="20"/>
          <w:szCs w:val="20"/>
          <w:u w:val="single"/>
          <w:lang w:val="fr-CA"/>
        </w:rPr>
      </w:pPr>
      <w:r w:rsidRPr="001B157C">
        <w:rPr>
          <w:sz w:val="20"/>
          <w:szCs w:val="20"/>
          <w:u w:val="single"/>
          <w:lang w:val="fr-CA"/>
        </w:rPr>
        <w:lastRenderedPageBreak/>
        <w:t>RÉSUMÉ DE L’AFFAIRE</w:t>
      </w:r>
    </w:p>
    <w:p w:rsidR="0083449C" w:rsidRDefault="0083449C" w:rsidP="0083449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554"/>
        <w:gridCol w:w="514"/>
        <w:gridCol w:w="4459"/>
      </w:tblGrid>
      <w:tr w:rsidR="00741B40" w:rsidRPr="00E7787D" w:rsidTr="00741B40">
        <w:tc>
          <w:tcPr>
            <w:tcW w:w="5000" w:type="pct"/>
            <w:gridSpan w:val="3"/>
          </w:tcPr>
          <w:p w:rsidR="00741B40" w:rsidRPr="00595BF3" w:rsidRDefault="00741B40" w:rsidP="00741B40">
            <w:pPr>
              <w:jc w:val="both"/>
              <w:rPr>
                <w:rFonts w:eastAsia="Calibri"/>
                <w:sz w:val="20"/>
                <w:lang w:val="fr-CA"/>
              </w:rPr>
            </w:pPr>
            <w:r w:rsidRPr="00595BF3">
              <w:rPr>
                <w:rFonts w:eastAsia="Calibri"/>
                <w:sz w:val="20"/>
                <w:lang w:val="fr-CA"/>
              </w:rPr>
              <w:t>Droit administratif – Contrôle judiciaire – Appel – Autorisation d'appel – Le demandeur soulève-t-il une question de droit? – La question revêt-t-elle de l'importance pour le public?</w:t>
            </w:r>
          </w:p>
        </w:tc>
      </w:tr>
      <w:tr w:rsidR="00741B40" w:rsidRPr="00E7787D" w:rsidTr="00741B40">
        <w:tc>
          <w:tcPr>
            <w:tcW w:w="5000" w:type="pct"/>
            <w:gridSpan w:val="3"/>
          </w:tcPr>
          <w:p w:rsidR="00741B40" w:rsidRPr="00595BF3" w:rsidRDefault="00741B40" w:rsidP="00741B40">
            <w:pPr>
              <w:jc w:val="both"/>
              <w:rPr>
                <w:rFonts w:eastAsia="Calibri"/>
                <w:sz w:val="20"/>
                <w:lang w:val="fr-CA"/>
              </w:rPr>
            </w:pPr>
          </w:p>
        </w:tc>
      </w:tr>
      <w:tr w:rsidR="00741B40" w:rsidRPr="00595BF3" w:rsidTr="00741B40">
        <w:tc>
          <w:tcPr>
            <w:tcW w:w="5000" w:type="pct"/>
            <w:gridSpan w:val="3"/>
          </w:tcPr>
          <w:p w:rsidR="00741B40" w:rsidRPr="00595BF3" w:rsidRDefault="00741B40" w:rsidP="00741B40">
            <w:pPr>
              <w:jc w:val="both"/>
              <w:rPr>
                <w:rFonts w:eastAsia="Calibri"/>
                <w:sz w:val="20"/>
                <w:lang w:val="fr-CA"/>
              </w:rPr>
            </w:pPr>
            <w:r w:rsidRPr="00595BF3">
              <w:rPr>
                <w:rFonts w:eastAsia="Calibri"/>
                <w:sz w:val="20"/>
                <w:lang w:val="fr-CA"/>
              </w:rPr>
              <w:t xml:space="preserve">La demande du demandeur en vue d'obtenir une subvention de recherche du Conseil de recherches en sciences humaines a été examinée par un comité composé notamment de professeurs employés de diverses universités au Canada.  Une subvention de recherche a été refusée.  Le demandeur a présenté des demandes d'accès à l'information au Conseil de recherche et aux employeurs des membres du comité.  À l'intimée, il a demandé l'accès à des courriels renfermant son nom qui avaient été envoyés ou reçus par un de ses employés qui était membre du comité.  S'appuyant sur une déclaration de l'employé, l'intimée a répondu au demandeur qu'il n'y avait aucun document qui répondait à sa demande.  Le demandeur a demandé au commissaire à l'information et à la protection de la vie privée de l'Alberta d'examiner la réponse.  Une arbitre a été nommée.  L'arbitre a refusé de permettre au demandeur de présenter de nouveaux éléments de preuve à huis clos.  L'arbitre a alors statué qu’il n’y avait aucune preuve de l’existence de documents qui répondaient à la demande.  Elle a statué que l'Université de Calgary avait effectué une recherche raisonnable et qu'elle avait satisfait à son obligation en application du paragraphe 10(1) de la </w:t>
            </w:r>
            <w:r w:rsidRPr="00595BF3">
              <w:rPr>
                <w:rFonts w:eastAsia="Calibri"/>
                <w:i/>
                <w:sz w:val="20"/>
                <w:lang w:val="fr-CA"/>
              </w:rPr>
              <w:t>Freedom of Information and Protection of Privacy Act</w:t>
            </w:r>
            <w:r w:rsidRPr="00595BF3">
              <w:rPr>
                <w:rFonts w:eastAsia="Calibri"/>
                <w:sz w:val="20"/>
                <w:lang w:val="fr-CA"/>
              </w:rPr>
              <w:t>, R.S.A. 2000, ch. F-25.  Le demandeur a présenté une demande de contrôle judiciaire et a encore cherché à déposer de nouveaux éléments de preuve.  Les demandes de dépôt de nouveaux éléments de preuve et de contrôle judiciaire ont été rejetées.  Le demandeur a interjeté appel. L'appel a été rejeté.</w:t>
            </w:r>
          </w:p>
          <w:p w:rsidR="00741B40" w:rsidRPr="00595BF3" w:rsidRDefault="00741B40" w:rsidP="00741B40">
            <w:pPr>
              <w:jc w:val="both"/>
              <w:rPr>
                <w:rFonts w:eastAsia="Calibri"/>
                <w:sz w:val="20"/>
                <w:lang w:val="fr-CA"/>
              </w:rPr>
            </w:pPr>
          </w:p>
        </w:tc>
      </w:tr>
      <w:tr w:rsidR="00741B40" w:rsidRPr="00595BF3" w:rsidTr="00741B40">
        <w:tblPrEx>
          <w:tblCellMar>
            <w:bottom w:w="0" w:type="dxa"/>
          </w:tblCellMar>
        </w:tblPrEx>
        <w:tc>
          <w:tcPr>
            <w:tcW w:w="2390" w:type="pct"/>
          </w:tcPr>
          <w:p w:rsidR="00741B40" w:rsidRPr="00595BF3" w:rsidRDefault="00741B40" w:rsidP="00741B40">
            <w:pPr>
              <w:jc w:val="both"/>
              <w:rPr>
                <w:rFonts w:eastAsia="Calibri"/>
                <w:sz w:val="20"/>
                <w:lang w:val="fr-CA"/>
              </w:rPr>
            </w:pPr>
            <w:r w:rsidRPr="00595BF3">
              <w:rPr>
                <w:rFonts w:eastAsia="Calibri"/>
                <w:sz w:val="20"/>
                <w:lang w:val="fr-CA"/>
              </w:rPr>
              <w:t>19 mars 2012</w:t>
            </w:r>
          </w:p>
          <w:p w:rsidR="00741B40" w:rsidRPr="00595BF3" w:rsidRDefault="00741B40" w:rsidP="00741B40">
            <w:pPr>
              <w:jc w:val="both"/>
              <w:rPr>
                <w:rFonts w:eastAsia="Calibri"/>
                <w:sz w:val="20"/>
                <w:lang w:val="fr-CA"/>
              </w:rPr>
            </w:pPr>
            <w:r w:rsidRPr="00595BF3">
              <w:rPr>
                <w:rFonts w:eastAsia="Calibri"/>
                <w:sz w:val="20"/>
                <w:lang w:val="fr-CA"/>
              </w:rPr>
              <w:t xml:space="preserve">Cour du Banc de la Reine de l'Alberta </w:t>
            </w:r>
          </w:p>
          <w:p w:rsidR="00741B40" w:rsidRPr="00595BF3" w:rsidRDefault="00741B40" w:rsidP="00741B40">
            <w:pPr>
              <w:jc w:val="both"/>
              <w:rPr>
                <w:rFonts w:eastAsia="Calibri"/>
                <w:sz w:val="20"/>
                <w:lang w:val="fr-CA"/>
              </w:rPr>
            </w:pPr>
            <w:r w:rsidRPr="00595BF3">
              <w:rPr>
                <w:rFonts w:eastAsia="Calibri"/>
                <w:sz w:val="20"/>
                <w:lang w:val="fr-CA"/>
              </w:rPr>
              <w:t>(Juge Veit)</w:t>
            </w:r>
          </w:p>
          <w:p w:rsidR="00741B40" w:rsidRPr="00595BF3" w:rsidRDefault="00741B40" w:rsidP="00741B40">
            <w:pPr>
              <w:jc w:val="both"/>
              <w:rPr>
                <w:rFonts w:eastAsia="Calibri"/>
                <w:sz w:val="20"/>
                <w:lang w:val="fr-CA"/>
              </w:rPr>
            </w:pPr>
            <w:r w:rsidRPr="00595BF3">
              <w:rPr>
                <w:rFonts w:eastAsia="Calibri"/>
                <w:sz w:val="20"/>
                <w:lang w:val="fr-CA"/>
              </w:rPr>
              <w:t>2012 ABQB 189</w:t>
            </w:r>
          </w:p>
          <w:p w:rsidR="00741B40" w:rsidRPr="00595BF3" w:rsidRDefault="00741B40" w:rsidP="00741B40">
            <w:pPr>
              <w:jc w:val="both"/>
              <w:rPr>
                <w:rFonts w:eastAsia="Calibri"/>
                <w:sz w:val="20"/>
                <w:lang w:val="fr-CA"/>
              </w:rPr>
            </w:pPr>
          </w:p>
        </w:tc>
        <w:tc>
          <w:tcPr>
            <w:tcW w:w="270" w:type="pct"/>
          </w:tcPr>
          <w:p w:rsidR="00741B40" w:rsidRPr="00595BF3" w:rsidRDefault="00741B40" w:rsidP="00741B40">
            <w:pPr>
              <w:jc w:val="both"/>
              <w:rPr>
                <w:rFonts w:eastAsia="Calibri"/>
                <w:sz w:val="20"/>
                <w:lang w:val="fr-CA"/>
              </w:rPr>
            </w:pPr>
          </w:p>
        </w:tc>
        <w:tc>
          <w:tcPr>
            <w:tcW w:w="2340" w:type="pct"/>
          </w:tcPr>
          <w:p w:rsidR="00741B40" w:rsidRPr="00595BF3" w:rsidRDefault="00741B40" w:rsidP="00741B40">
            <w:pPr>
              <w:jc w:val="both"/>
              <w:rPr>
                <w:rFonts w:eastAsia="Calibri"/>
                <w:sz w:val="20"/>
                <w:lang w:val="fr-CA"/>
              </w:rPr>
            </w:pPr>
            <w:r w:rsidRPr="00595BF3">
              <w:rPr>
                <w:rFonts w:eastAsia="Calibri"/>
                <w:sz w:val="20"/>
                <w:lang w:val="fr-CA"/>
              </w:rPr>
              <w:t>Demande de contrôle judiciaire rejetée</w:t>
            </w:r>
          </w:p>
          <w:p w:rsidR="00741B40" w:rsidRPr="00595BF3" w:rsidRDefault="00741B40" w:rsidP="00741B40">
            <w:pPr>
              <w:jc w:val="both"/>
              <w:rPr>
                <w:rFonts w:eastAsia="Calibri"/>
                <w:sz w:val="20"/>
                <w:lang w:val="fr-CA"/>
              </w:rPr>
            </w:pPr>
          </w:p>
        </w:tc>
      </w:tr>
      <w:tr w:rsidR="00741B40" w:rsidRPr="00595BF3" w:rsidTr="00741B40">
        <w:tblPrEx>
          <w:tblCellMar>
            <w:bottom w:w="0" w:type="dxa"/>
          </w:tblCellMar>
        </w:tblPrEx>
        <w:tc>
          <w:tcPr>
            <w:tcW w:w="2390" w:type="pct"/>
          </w:tcPr>
          <w:p w:rsidR="00741B40" w:rsidRPr="00595BF3" w:rsidRDefault="00741B40" w:rsidP="00741B40">
            <w:pPr>
              <w:jc w:val="both"/>
              <w:rPr>
                <w:rFonts w:eastAsia="Calibri"/>
                <w:sz w:val="20"/>
                <w:lang w:val="fr-CA"/>
              </w:rPr>
            </w:pPr>
            <w:r w:rsidRPr="00595BF3">
              <w:rPr>
                <w:rFonts w:eastAsia="Calibri"/>
                <w:sz w:val="20"/>
                <w:lang w:val="fr-CA"/>
              </w:rPr>
              <w:t>26 mars 2013</w:t>
            </w:r>
          </w:p>
          <w:p w:rsidR="00741B40" w:rsidRPr="00595BF3" w:rsidRDefault="00741B40" w:rsidP="00741B40">
            <w:pPr>
              <w:jc w:val="both"/>
              <w:rPr>
                <w:rFonts w:eastAsia="Calibri"/>
                <w:sz w:val="20"/>
                <w:lang w:val="fr-CA"/>
              </w:rPr>
            </w:pPr>
            <w:r w:rsidRPr="00595BF3">
              <w:rPr>
                <w:rFonts w:eastAsia="Calibri"/>
                <w:sz w:val="20"/>
                <w:lang w:val="fr-CA"/>
              </w:rPr>
              <w:t>Cour d'appel de l'Alberta (Calgary)</w:t>
            </w:r>
          </w:p>
          <w:p w:rsidR="00741B40" w:rsidRPr="00595BF3" w:rsidRDefault="00741B40" w:rsidP="00741B40">
            <w:pPr>
              <w:jc w:val="both"/>
              <w:rPr>
                <w:rFonts w:eastAsia="Calibri"/>
                <w:sz w:val="20"/>
              </w:rPr>
            </w:pPr>
            <w:r w:rsidRPr="00595BF3">
              <w:rPr>
                <w:rFonts w:eastAsia="Calibri"/>
                <w:sz w:val="20"/>
              </w:rPr>
              <w:t>(Juges Picard, Martin Peter, Watson)</w:t>
            </w:r>
          </w:p>
          <w:p w:rsidR="00741B40" w:rsidRPr="00595BF3" w:rsidRDefault="00741B40" w:rsidP="00741B40">
            <w:pPr>
              <w:jc w:val="both"/>
              <w:rPr>
                <w:rFonts w:eastAsia="Calibri"/>
                <w:sz w:val="20"/>
                <w:lang w:val="fr-CA"/>
              </w:rPr>
            </w:pPr>
            <w:r w:rsidRPr="00595BF3">
              <w:rPr>
                <w:rFonts w:eastAsia="Calibri"/>
                <w:sz w:val="20"/>
                <w:lang w:val="fr-CA"/>
              </w:rPr>
              <w:t xml:space="preserve">1201-0082-AC; 2013 ABCA 105 </w:t>
            </w:r>
          </w:p>
          <w:p w:rsidR="00741B40" w:rsidRPr="00595BF3" w:rsidRDefault="00741B40" w:rsidP="00741B40">
            <w:pPr>
              <w:jc w:val="both"/>
              <w:rPr>
                <w:rFonts w:eastAsia="Calibri"/>
                <w:sz w:val="20"/>
                <w:lang w:val="fr-CA"/>
              </w:rPr>
            </w:pPr>
          </w:p>
        </w:tc>
        <w:tc>
          <w:tcPr>
            <w:tcW w:w="270" w:type="pct"/>
          </w:tcPr>
          <w:p w:rsidR="00741B40" w:rsidRPr="00595BF3" w:rsidRDefault="00741B40" w:rsidP="00741B40">
            <w:pPr>
              <w:jc w:val="both"/>
              <w:rPr>
                <w:rFonts w:eastAsia="Calibri"/>
                <w:sz w:val="20"/>
                <w:lang w:val="fr-CA"/>
              </w:rPr>
            </w:pPr>
          </w:p>
        </w:tc>
        <w:tc>
          <w:tcPr>
            <w:tcW w:w="2340" w:type="pct"/>
          </w:tcPr>
          <w:p w:rsidR="00741B40" w:rsidRPr="00595BF3" w:rsidRDefault="00741B40" w:rsidP="00741B40">
            <w:pPr>
              <w:jc w:val="both"/>
              <w:rPr>
                <w:rFonts w:eastAsia="Calibri"/>
                <w:sz w:val="20"/>
                <w:lang w:val="fr-CA"/>
              </w:rPr>
            </w:pPr>
            <w:r w:rsidRPr="00595BF3">
              <w:rPr>
                <w:rFonts w:eastAsia="Calibri"/>
                <w:sz w:val="20"/>
                <w:lang w:val="fr-CA"/>
              </w:rPr>
              <w:t>Appel rejeté</w:t>
            </w:r>
          </w:p>
          <w:p w:rsidR="00741B40" w:rsidRPr="00595BF3" w:rsidRDefault="00741B40" w:rsidP="00741B40">
            <w:pPr>
              <w:jc w:val="both"/>
              <w:rPr>
                <w:rFonts w:eastAsia="Calibri"/>
                <w:sz w:val="20"/>
                <w:lang w:val="fr-CA"/>
              </w:rPr>
            </w:pPr>
          </w:p>
        </w:tc>
      </w:tr>
      <w:tr w:rsidR="00741B40" w:rsidRPr="00595BF3" w:rsidTr="00741B40">
        <w:tblPrEx>
          <w:tblCellMar>
            <w:bottom w:w="0" w:type="dxa"/>
          </w:tblCellMar>
        </w:tblPrEx>
        <w:tc>
          <w:tcPr>
            <w:tcW w:w="2390" w:type="pct"/>
          </w:tcPr>
          <w:p w:rsidR="00741B40" w:rsidRPr="00595BF3" w:rsidRDefault="00741B40" w:rsidP="00741B40">
            <w:pPr>
              <w:jc w:val="both"/>
              <w:rPr>
                <w:rFonts w:eastAsia="Calibri"/>
                <w:sz w:val="20"/>
                <w:lang w:val="fr-CA"/>
              </w:rPr>
            </w:pPr>
            <w:r w:rsidRPr="00595BF3">
              <w:rPr>
                <w:rFonts w:eastAsia="Calibri"/>
                <w:sz w:val="20"/>
                <w:lang w:val="fr-CA"/>
              </w:rPr>
              <w:t>22 avril 2013</w:t>
            </w:r>
          </w:p>
          <w:p w:rsidR="00741B40" w:rsidRPr="00595BF3" w:rsidRDefault="00741B40" w:rsidP="00741B40">
            <w:pPr>
              <w:jc w:val="both"/>
              <w:rPr>
                <w:rFonts w:eastAsia="Calibri"/>
                <w:sz w:val="20"/>
                <w:lang w:val="fr-CA"/>
              </w:rPr>
            </w:pPr>
            <w:r w:rsidRPr="00595BF3">
              <w:rPr>
                <w:rFonts w:eastAsia="Calibri"/>
                <w:sz w:val="20"/>
                <w:lang w:val="fr-CA"/>
              </w:rPr>
              <w:t>Cour suprême du Canada</w:t>
            </w:r>
          </w:p>
        </w:tc>
        <w:tc>
          <w:tcPr>
            <w:tcW w:w="270" w:type="pct"/>
          </w:tcPr>
          <w:p w:rsidR="00741B40" w:rsidRPr="00595BF3" w:rsidRDefault="00741B40" w:rsidP="00741B40">
            <w:pPr>
              <w:jc w:val="both"/>
              <w:rPr>
                <w:rFonts w:eastAsia="Calibri"/>
                <w:sz w:val="20"/>
                <w:lang w:val="fr-CA"/>
              </w:rPr>
            </w:pPr>
          </w:p>
        </w:tc>
        <w:tc>
          <w:tcPr>
            <w:tcW w:w="2340" w:type="pct"/>
          </w:tcPr>
          <w:p w:rsidR="00741B40" w:rsidRPr="00595BF3" w:rsidRDefault="00741B40" w:rsidP="00741B40">
            <w:pPr>
              <w:jc w:val="both"/>
              <w:rPr>
                <w:rFonts w:eastAsia="Calibri"/>
                <w:sz w:val="20"/>
                <w:lang w:val="fr-CA"/>
              </w:rPr>
            </w:pPr>
            <w:r w:rsidRPr="00595BF3">
              <w:rPr>
                <w:rFonts w:eastAsia="Calibri"/>
                <w:sz w:val="20"/>
                <w:lang w:val="fr-CA"/>
              </w:rPr>
              <w:t>Demande d'autorisation d'appel, déposée</w:t>
            </w:r>
          </w:p>
          <w:p w:rsidR="00741B40" w:rsidRPr="00595BF3" w:rsidRDefault="00741B40" w:rsidP="00741B40">
            <w:pPr>
              <w:jc w:val="both"/>
              <w:rPr>
                <w:rFonts w:eastAsia="Calibri"/>
                <w:sz w:val="20"/>
                <w:lang w:val="fr-CA"/>
              </w:rPr>
            </w:pPr>
          </w:p>
        </w:tc>
      </w:tr>
    </w:tbl>
    <w:p w:rsidR="0083449C" w:rsidRDefault="0083449C" w:rsidP="000E2959">
      <w:pPr>
        <w:rPr>
          <w:sz w:val="20"/>
          <w:szCs w:val="20"/>
        </w:rPr>
      </w:pPr>
    </w:p>
    <w:p w:rsidR="0083449C" w:rsidRDefault="00E7787D" w:rsidP="000E2959">
      <w:pPr>
        <w:rPr>
          <w:sz w:val="20"/>
          <w:szCs w:val="20"/>
          <w:lang w:val="fr-CA"/>
        </w:rPr>
      </w:pPr>
      <w:r>
        <w:rPr>
          <w:sz w:val="20"/>
          <w:szCs w:val="20"/>
          <w:lang w:val="fr-CA"/>
        </w:rPr>
        <w:pict>
          <v:rect id="_x0000_i1039" style="width:2in;height:1pt" o:hrpct="0" o:hralign="center" o:hrstd="t" o:hrnoshade="t" o:hr="t" fillcolor="black [3213]" stroked="f"/>
        </w:pict>
      </w:r>
    </w:p>
    <w:p w:rsidR="0083449C" w:rsidRDefault="0083449C" w:rsidP="000E2959">
      <w:pPr>
        <w:rPr>
          <w:sz w:val="20"/>
          <w:szCs w:val="20"/>
          <w:lang w:val="fr-CA"/>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C07D78" w:rsidRPr="00B52C2C" w:rsidTr="0080417A">
        <w:trPr>
          <w:cantSplit/>
        </w:trPr>
        <w:tc>
          <w:tcPr>
            <w:tcW w:w="1458" w:type="dxa"/>
          </w:tcPr>
          <w:p w:rsidR="00C07D78" w:rsidRPr="00C07D78" w:rsidRDefault="00C07D78" w:rsidP="00C07D78">
            <w:pPr>
              <w:rPr>
                <w:sz w:val="20"/>
              </w:rPr>
            </w:pPr>
            <w:r w:rsidRPr="00C07D78">
              <w:rPr>
                <w:b/>
                <w:sz w:val="20"/>
                <w:lang w:val="fr-CA"/>
              </w:rPr>
              <w:t>35481</w:t>
            </w:r>
          </w:p>
          <w:p w:rsidR="00C07D78" w:rsidRPr="00C07D78" w:rsidRDefault="00C07D78" w:rsidP="00C07D78">
            <w:pPr>
              <w:rPr>
                <w:b/>
                <w:sz w:val="20"/>
                <w:lang w:val="fr-CA"/>
              </w:rPr>
            </w:pPr>
          </w:p>
        </w:tc>
        <w:tc>
          <w:tcPr>
            <w:tcW w:w="8118" w:type="dxa"/>
          </w:tcPr>
          <w:p w:rsidR="00C07D78" w:rsidRPr="00C07D78" w:rsidRDefault="00C07D78" w:rsidP="00C07D78">
            <w:pPr>
              <w:jc w:val="both"/>
              <w:rPr>
                <w:sz w:val="20"/>
                <w:lang w:val="fr-CA"/>
              </w:rPr>
            </w:pPr>
            <w:r w:rsidRPr="00C07D78">
              <w:rPr>
                <w:b/>
                <w:sz w:val="20"/>
                <w:u w:val="single"/>
                <w:lang w:val="fr-CA"/>
              </w:rPr>
              <w:t>Rachel Parent</w:t>
            </w:r>
            <w:r w:rsidR="0089024C">
              <w:rPr>
                <w:b/>
                <w:sz w:val="20"/>
                <w:u w:val="single"/>
                <w:lang w:val="fr-CA"/>
              </w:rPr>
              <w:t xml:space="preserve"> et</w:t>
            </w:r>
            <w:r w:rsidRPr="00C07D78">
              <w:rPr>
                <w:b/>
                <w:sz w:val="20"/>
                <w:u w:val="single"/>
                <w:lang w:val="fr-CA"/>
              </w:rPr>
              <w:t xml:space="preserve"> Robin Casey c. James Schnob, faisant affaires sous la raison sociale Les Entreprises J. Schnob</w:t>
            </w:r>
            <w:r w:rsidRPr="00C07D78">
              <w:rPr>
                <w:sz w:val="20"/>
                <w:lang w:val="fr-CA"/>
              </w:rPr>
              <w:t xml:space="preserve"> (Qc) (Civile) (Autorisation)</w:t>
            </w:r>
          </w:p>
          <w:p w:rsidR="00C07D78" w:rsidRPr="00C07D78" w:rsidRDefault="00C07D78" w:rsidP="00C07D78">
            <w:pPr>
              <w:jc w:val="both"/>
              <w:rPr>
                <w:sz w:val="20"/>
                <w:lang w:val="fr-CA"/>
              </w:rPr>
            </w:pPr>
          </w:p>
        </w:tc>
      </w:tr>
      <w:tr w:rsidR="00C07D78" w:rsidRPr="00B52C2C" w:rsidTr="0080417A">
        <w:trPr>
          <w:cantSplit/>
        </w:trPr>
        <w:tc>
          <w:tcPr>
            <w:tcW w:w="1458" w:type="dxa"/>
          </w:tcPr>
          <w:p w:rsidR="00C07D78" w:rsidRPr="00C07D78" w:rsidRDefault="00C07D78" w:rsidP="00C07D78">
            <w:pPr>
              <w:rPr>
                <w:sz w:val="20"/>
              </w:rPr>
            </w:pPr>
            <w:r w:rsidRPr="00C07D78">
              <w:rPr>
                <w:sz w:val="20"/>
              </w:rPr>
              <w:t>Coram :</w:t>
            </w:r>
          </w:p>
        </w:tc>
        <w:tc>
          <w:tcPr>
            <w:tcW w:w="8118" w:type="dxa"/>
          </w:tcPr>
          <w:p w:rsidR="00C07D78" w:rsidRPr="00C07D78" w:rsidRDefault="00C07D78" w:rsidP="00C07D78">
            <w:pPr>
              <w:rPr>
                <w:sz w:val="20"/>
                <w:lang w:val="fr-CA"/>
              </w:rPr>
            </w:pPr>
            <w:r w:rsidRPr="00C07D78">
              <w:rPr>
                <w:sz w:val="20"/>
                <w:u w:val="single"/>
                <w:lang w:val="fr-CA"/>
              </w:rPr>
              <w:t>Les juges LeBel, Karakatsanis et Wagner</w:t>
            </w:r>
          </w:p>
          <w:p w:rsidR="00C07D78" w:rsidRPr="00C07D78" w:rsidRDefault="00C07D78" w:rsidP="00C07D78">
            <w:pPr>
              <w:rPr>
                <w:sz w:val="20"/>
                <w:u w:val="single"/>
                <w:lang w:val="fr-CA"/>
              </w:rPr>
            </w:pPr>
          </w:p>
        </w:tc>
      </w:tr>
      <w:tr w:rsidR="00C07D78" w:rsidRPr="00C07D78" w:rsidTr="0080417A">
        <w:trPr>
          <w:cantSplit/>
        </w:trPr>
        <w:tc>
          <w:tcPr>
            <w:tcW w:w="9576" w:type="dxa"/>
            <w:gridSpan w:val="2"/>
          </w:tcPr>
          <w:p w:rsidR="00C07D78" w:rsidRPr="00C07D78" w:rsidRDefault="00C07D78" w:rsidP="00C07D78">
            <w:pPr>
              <w:ind w:firstLine="720"/>
              <w:jc w:val="both"/>
              <w:rPr>
                <w:sz w:val="20"/>
                <w:lang w:val="fr-CA"/>
              </w:rPr>
            </w:pPr>
            <w:r w:rsidRPr="00C07D78">
              <w:rPr>
                <w:sz w:val="20"/>
                <w:lang w:val="fr-CA"/>
              </w:rPr>
              <w:t>La demande d’autorisation d’appel de l’arrêt de la Cour d’appel du Québec (Montréal), numéro 500-09-021592-118, 2013 QCCA 923, daté du 23 mai 2013, est rejetée avec dépens.</w:t>
            </w:r>
          </w:p>
          <w:p w:rsidR="00C07D78" w:rsidRPr="00C07D78" w:rsidRDefault="00C07D78" w:rsidP="00C07D78">
            <w:pPr>
              <w:jc w:val="both"/>
              <w:rPr>
                <w:sz w:val="20"/>
                <w:lang w:val="fr-CA"/>
              </w:rPr>
            </w:pPr>
          </w:p>
          <w:p w:rsidR="00C07D78" w:rsidRPr="00C07D78" w:rsidRDefault="00C07D78" w:rsidP="00C07D78">
            <w:pPr>
              <w:ind w:firstLine="720"/>
              <w:jc w:val="both"/>
              <w:rPr>
                <w:sz w:val="20"/>
              </w:rPr>
            </w:pPr>
            <w:r w:rsidRPr="00C07D78">
              <w:rPr>
                <w:sz w:val="20"/>
              </w:rPr>
              <w:t>The application for leave to appeal from the judgment of the Court of Appeal of Quebec (Montréal), Number 500-09-021592-118, 2013 QCCA 923, dated May 23, 2013, is dismissed with costs.</w:t>
            </w:r>
          </w:p>
        </w:tc>
      </w:tr>
    </w:tbl>
    <w:p w:rsidR="0083449C" w:rsidRDefault="0083449C" w:rsidP="0083449C">
      <w:pPr>
        <w:rPr>
          <w:sz w:val="20"/>
          <w:szCs w:val="20"/>
        </w:rPr>
      </w:pPr>
    </w:p>
    <w:p w:rsidR="0083449C" w:rsidRPr="001B157C" w:rsidRDefault="0083449C" w:rsidP="0083449C">
      <w:pPr>
        <w:rPr>
          <w:sz w:val="20"/>
          <w:szCs w:val="20"/>
          <w:u w:val="single"/>
        </w:rPr>
      </w:pPr>
      <w:r w:rsidRPr="001B157C">
        <w:rPr>
          <w:sz w:val="20"/>
          <w:szCs w:val="20"/>
          <w:u w:val="single"/>
        </w:rPr>
        <w:t>CASE SUMMARY</w:t>
      </w:r>
    </w:p>
    <w:p w:rsidR="0083449C" w:rsidRDefault="0083449C" w:rsidP="0083449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41B40" w:rsidRPr="00595BF3" w:rsidTr="00741B40">
        <w:tc>
          <w:tcPr>
            <w:tcW w:w="5000" w:type="pct"/>
            <w:gridSpan w:val="3"/>
          </w:tcPr>
          <w:p w:rsidR="00741B40" w:rsidRPr="00595BF3" w:rsidRDefault="00741B40" w:rsidP="00741B40">
            <w:pPr>
              <w:jc w:val="both"/>
              <w:rPr>
                <w:rFonts w:eastAsia="Calibri"/>
                <w:sz w:val="20"/>
              </w:rPr>
            </w:pPr>
            <w:r w:rsidRPr="00595BF3">
              <w:rPr>
                <w:rFonts w:eastAsia="Calibri"/>
                <w:sz w:val="20"/>
              </w:rPr>
              <w:t xml:space="preserve">Hypothecs – Legal construction hypothecs – Cancellation – Whether Court of Appeal erred in concluding that it was not necessary for respondent to have held licence required by </w:t>
            </w:r>
            <w:r w:rsidRPr="00595BF3">
              <w:rPr>
                <w:rFonts w:eastAsia="Calibri"/>
                <w:i/>
                <w:sz w:val="20"/>
              </w:rPr>
              <w:t>Building Act</w:t>
            </w:r>
            <w:r w:rsidRPr="00595BF3">
              <w:rPr>
                <w:rFonts w:eastAsia="Calibri"/>
                <w:sz w:val="20"/>
              </w:rPr>
              <w:t xml:space="preserve"> throughout duration of work he performed for applicants in order to be entitled to register notice of legal hypothec on their immovable – </w:t>
            </w:r>
            <w:r w:rsidRPr="00595BF3">
              <w:rPr>
                <w:rFonts w:eastAsia="Calibri"/>
                <w:i/>
                <w:sz w:val="20"/>
              </w:rPr>
              <w:t>Building Act</w:t>
            </w:r>
            <w:r w:rsidRPr="00595BF3">
              <w:rPr>
                <w:rFonts w:eastAsia="Calibri"/>
                <w:sz w:val="20"/>
              </w:rPr>
              <w:t xml:space="preserve">, R.S.Q., c. </w:t>
            </w:r>
            <w:r w:rsidRPr="00595BF3">
              <w:rPr>
                <w:rFonts w:eastAsia="Calibri"/>
                <w:sz w:val="20"/>
              </w:rPr>
              <w:lastRenderedPageBreak/>
              <w:t>B</w:t>
            </w:r>
            <w:r w:rsidRPr="00595BF3">
              <w:rPr>
                <w:rFonts w:eastAsia="Calibri"/>
                <w:sz w:val="20"/>
              </w:rPr>
              <w:noBreakHyphen/>
              <w:t xml:space="preserve">1.1, s. 50 – </w:t>
            </w:r>
            <w:r w:rsidRPr="00595BF3">
              <w:rPr>
                <w:rFonts w:eastAsia="Calibri"/>
                <w:i/>
                <w:sz w:val="20"/>
              </w:rPr>
              <w:t>Civil Code of Québec</w:t>
            </w:r>
            <w:r w:rsidRPr="00595BF3">
              <w:rPr>
                <w:rFonts w:eastAsia="Calibri"/>
                <w:sz w:val="20"/>
              </w:rPr>
              <w:t>, R.S.Q. c. C</w:t>
            </w:r>
            <w:r w:rsidRPr="00595BF3">
              <w:rPr>
                <w:rFonts w:eastAsia="Calibri"/>
                <w:sz w:val="20"/>
              </w:rPr>
              <w:noBreakHyphen/>
              <w:t>1991, art. 3063.</w:t>
            </w:r>
          </w:p>
        </w:tc>
      </w:tr>
      <w:tr w:rsidR="00741B40" w:rsidRPr="00595BF3" w:rsidTr="00741B40">
        <w:tc>
          <w:tcPr>
            <w:tcW w:w="5000" w:type="pct"/>
            <w:gridSpan w:val="3"/>
          </w:tcPr>
          <w:p w:rsidR="00741B40" w:rsidRPr="00595BF3" w:rsidRDefault="00741B40" w:rsidP="00741B40">
            <w:pPr>
              <w:jc w:val="both"/>
              <w:rPr>
                <w:rFonts w:eastAsia="Calibri"/>
                <w:sz w:val="20"/>
              </w:rPr>
            </w:pPr>
          </w:p>
        </w:tc>
      </w:tr>
      <w:tr w:rsidR="00741B40" w:rsidRPr="00595BF3" w:rsidTr="00741B40">
        <w:tc>
          <w:tcPr>
            <w:tcW w:w="5000" w:type="pct"/>
            <w:gridSpan w:val="3"/>
          </w:tcPr>
          <w:p w:rsidR="00741B40" w:rsidRPr="00595BF3" w:rsidRDefault="00741B40" w:rsidP="00741B40">
            <w:pPr>
              <w:jc w:val="both"/>
              <w:rPr>
                <w:rFonts w:eastAsia="Calibri"/>
                <w:sz w:val="20"/>
              </w:rPr>
            </w:pPr>
            <w:r w:rsidRPr="00595BF3">
              <w:rPr>
                <w:rFonts w:eastAsia="Calibri"/>
                <w:sz w:val="20"/>
              </w:rPr>
              <w:t xml:space="preserve">The respondent was a contractor.  The applicants hired him to build the structure of their principal residence and a garage.  At the time the contract was entered into, and unbeknownst to the applicants, the respondent did not hold the contractor’s licence required by the </w:t>
            </w:r>
            <w:r w:rsidRPr="00595BF3">
              <w:rPr>
                <w:rFonts w:eastAsia="Calibri"/>
                <w:i/>
                <w:sz w:val="20"/>
              </w:rPr>
              <w:t>Building Act</w:t>
            </w:r>
            <w:r w:rsidRPr="00595BF3">
              <w:rPr>
                <w:rFonts w:eastAsia="Calibri"/>
                <w:sz w:val="20"/>
              </w:rPr>
              <w:t>, R.S.Q., c. B</w:t>
            </w:r>
            <w:r w:rsidRPr="00595BF3">
              <w:rPr>
                <w:rFonts w:eastAsia="Calibri"/>
                <w:sz w:val="20"/>
              </w:rPr>
              <w:noBreakHyphen/>
              <w:t xml:space="preserve">1.1.  The respondent recovered his licence after a good part of the work had been completed.  When the work was finished, the respondent published a notice of legal construction hypothec on the applicants’ immovable.  He then published a prior notice of the exercise of the hypothecary right of sale by judicial authority.  Upon learning after the work was completed that the respondent had not held the licence required by the </w:t>
            </w:r>
            <w:r w:rsidRPr="00595BF3">
              <w:rPr>
                <w:rFonts w:eastAsia="Calibri"/>
                <w:i/>
                <w:sz w:val="20"/>
              </w:rPr>
              <w:t>Act</w:t>
            </w:r>
            <w:r w:rsidRPr="00595BF3">
              <w:rPr>
                <w:rFonts w:eastAsia="Calibri"/>
                <w:sz w:val="20"/>
              </w:rPr>
              <w:t xml:space="preserve"> at the time the contract was entered into and during part of the work, the applicants applied to the Superior Court for the cancellation of the hypothec and the prior notice pursuant to s. 50 of the </w:t>
            </w:r>
            <w:r w:rsidRPr="00595BF3">
              <w:rPr>
                <w:rFonts w:eastAsia="Calibri"/>
                <w:i/>
                <w:sz w:val="20"/>
              </w:rPr>
              <w:t>Act</w:t>
            </w:r>
            <w:r w:rsidRPr="00595BF3">
              <w:rPr>
                <w:rFonts w:eastAsia="Calibri"/>
                <w:sz w:val="20"/>
              </w:rPr>
              <w:t>.  The Superior Court allowed the motion for cancellation on the ground that it had consistently been held that a contractor is not entitled to publish a legal construction hypothec unless the contractor held a proper and valid licence throughout the process.  The Court of Appeal reversed that decision, finding that a contractor holding a valid licence is entitled to publish and enforce a legal construction hypothec for the value of the work performed by the contractor while holding that licence.</w:t>
            </w:r>
          </w:p>
          <w:p w:rsidR="00741B40" w:rsidRPr="00595BF3" w:rsidRDefault="00741B40" w:rsidP="00741B40">
            <w:pPr>
              <w:jc w:val="both"/>
              <w:rPr>
                <w:rFonts w:eastAsia="Calibri"/>
                <w:sz w:val="20"/>
              </w:rPr>
            </w:pPr>
          </w:p>
        </w:tc>
      </w:tr>
      <w:tr w:rsidR="00741B40" w:rsidRPr="00595BF3" w:rsidTr="00741B40">
        <w:tc>
          <w:tcPr>
            <w:tcW w:w="2427" w:type="pct"/>
          </w:tcPr>
          <w:p w:rsidR="00741B40" w:rsidRPr="00595BF3" w:rsidRDefault="00741B40" w:rsidP="00741B40">
            <w:pPr>
              <w:jc w:val="both"/>
              <w:rPr>
                <w:rFonts w:eastAsia="Calibri"/>
                <w:sz w:val="20"/>
              </w:rPr>
            </w:pPr>
            <w:r w:rsidRPr="00595BF3">
              <w:rPr>
                <w:rFonts w:eastAsia="Calibri"/>
                <w:sz w:val="20"/>
              </w:rPr>
              <w:t>March 1, 2011</w:t>
            </w:r>
          </w:p>
          <w:p w:rsidR="00741B40" w:rsidRPr="00595BF3" w:rsidRDefault="00741B40" w:rsidP="00741B40">
            <w:pPr>
              <w:jc w:val="both"/>
              <w:rPr>
                <w:rFonts w:eastAsia="Calibri"/>
                <w:sz w:val="20"/>
              </w:rPr>
            </w:pPr>
            <w:r w:rsidRPr="00595BF3">
              <w:rPr>
                <w:rFonts w:eastAsia="Calibri"/>
                <w:sz w:val="20"/>
              </w:rPr>
              <w:t>Quebec Superior Court</w:t>
            </w:r>
          </w:p>
          <w:p w:rsidR="00741B40" w:rsidRPr="00595BF3" w:rsidRDefault="00741B40" w:rsidP="00741B40">
            <w:pPr>
              <w:jc w:val="both"/>
              <w:rPr>
                <w:rFonts w:eastAsia="Calibri"/>
                <w:sz w:val="20"/>
              </w:rPr>
            </w:pPr>
            <w:r w:rsidRPr="00595BF3">
              <w:rPr>
                <w:rFonts w:eastAsia="Calibri"/>
                <w:sz w:val="20"/>
              </w:rPr>
              <w:t>(Bédard J.)</w:t>
            </w:r>
          </w:p>
          <w:p w:rsidR="00741B40" w:rsidRPr="00595BF3" w:rsidRDefault="00E7787D" w:rsidP="00741B40">
            <w:pPr>
              <w:jc w:val="both"/>
              <w:rPr>
                <w:rFonts w:eastAsia="Calibri"/>
                <w:sz w:val="20"/>
              </w:rPr>
            </w:pPr>
            <w:hyperlink r:id="rId24" w:history="1">
              <w:r w:rsidR="00741B40" w:rsidRPr="00595BF3">
                <w:rPr>
                  <w:rFonts w:eastAsia="Calibri"/>
                  <w:color w:val="0000FF"/>
                  <w:sz w:val="20"/>
                  <w:u w:val="single"/>
                </w:rPr>
                <w:t>2011 QCCS 918</w:t>
              </w:r>
            </w:hyperlink>
          </w:p>
          <w:p w:rsidR="00741B40" w:rsidRPr="00595BF3" w:rsidRDefault="00741B40" w:rsidP="00741B40">
            <w:pPr>
              <w:jc w:val="both"/>
              <w:rPr>
                <w:rFonts w:eastAsia="Calibri"/>
                <w:sz w:val="20"/>
              </w:rPr>
            </w:pPr>
          </w:p>
        </w:tc>
        <w:tc>
          <w:tcPr>
            <w:tcW w:w="243" w:type="pct"/>
          </w:tcPr>
          <w:p w:rsidR="00741B40" w:rsidRPr="00595BF3" w:rsidRDefault="00741B40" w:rsidP="00741B40">
            <w:pPr>
              <w:jc w:val="both"/>
              <w:rPr>
                <w:rFonts w:eastAsia="Calibri"/>
                <w:sz w:val="20"/>
              </w:rPr>
            </w:pPr>
          </w:p>
        </w:tc>
        <w:tc>
          <w:tcPr>
            <w:tcW w:w="2330" w:type="pct"/>
          </w:tcPr>
          <w:p w:rsidR="00741B40" w:rsidRPr="00595BF3" w:rsidRDefault="00741B40" w:rsidP="00741B40">
            <w:pPr>
              <w:jc w:val="both"/>
              <w:rPr>
                <w:rFonts w:eastAsia="Calibri"/>
                <w:sz w:val="20"/>
              </w:rPr>
            </w:pPr>
            <w:r w:rsidRPr="00595BF3">
              <w:rPr>
                <w:rFonts w:eastAsia="Calibri"/>
                <w:sz w:val="20"/>
              </w:rPr>
              <w:t>Motion for cancellation of legal construction hypothec and prior notice of exercise of hypothecary right allowed</w:t>
            </w:r>
          </w:p>
          <w:p w:rsidR="00741B40" w:rsidRPr="00595BF3" w:rsidRDefault="00741B40" w:rsidP="00741B40">
            <w:pPr>
              <w:jc w:val="both"/>
              <w:rPr>
                <w:rFonts w:eastAsia="Calibri"/>
                <w:sz w:val="20"/>
              </w:rPr>
            </w:pPr>
          </w:p>
        </w:tc>
      </w:tr>
      <w:tr w:rsidR="00741B40" w:rsidRPr="00595BF3" w:rsidTr="00741B40">
        <w:tc>
          <w:tcPr>
            <w:tcW w:w="2427" w:type="pct"/>
          </w:tcPr>
          <w:p w:rsidR="00741B40" w:rsidRPr="00595BF3" w:rsidRDefault="00741B40" w:rsidP="00741B40">
            <w:pPr>
              <w:jc w:val="both"/>
              <w:rPr>
                <w:rFonts w:eastAsia="Calibri"/>
                <w:sz w:val="20"/>
              </w:rPr>
            </w:pPr>
            <w:r w:rsidRPr="00595BF3">
              <w:rPr>
                <w:rFonts w:eastAsia="Calibri"/>
                <w:sz w:val="20"/>
              </w:rPr>
              <w:t>May 23, 2013</w:t>
            </w:r>
          </w:p>
          <w:p w:rsidR="00741B40" w:rsidRPr="00595BF3" w:rsidRDefault="00741B40" w:rsidP="00741B40">
            <w:pPr>
              <w:jc w:val="both"/>
              <w:rPr>
                <w:rFonts w:eastAsia="Calibri"/>
                <w:sz w:val="20"/>
              </w:rPr>
            </w:pPr>
            <w:r w:rsidRPr="00595BF3">
              <w:rPr>
                <w:rFonts w:eastAsia="Calibri"/>
                <w:sz w:val="20"/>
              </w:rPr>
              <w:t>Quebec Court of Appeal (Montréal)</w:t>
            </w:r>
          </w:p>
          <w:p w:rsidR="00741B40" w:rsidRPr="00595BF3" w:rsidRDefault="00741B40" w:rsidP="00741B40">
            <w:pPr>
              <w:jc w:val="both"/>
              <w:rPr>
                <w:rFonts w:eastAsia="Calibri"/>
                <w:sz w:val="20"/>
              </w:rPr>
            </w:pPr>
            <w:r w:rsidRPr="00595BF3">
              <w:rPr>
                <w:rFonts w:eastAsia="Calibri"/>
                <w:sz w:val="20"/>
              </w:rPr>
              <w:t>(Morissette, Hilton and St-Pierre JJ.A.)</w:t>
            </w:r>
          </w:p>
          <w:p w:rsidR="00741B40" w:rsidRPr="00595BF3" w:rsidRDefault="00E7787D" w:rsidP="00741B40">
            <w:pPr>
              <w:jc w:val="both"/>
              <w:rPr>
                <w:rFonts w:eastAsia="Calibri"/>
                <w:sz w:val="20"/>
              </w:rPr>
            </w:pPr>
            <w:hyperlink r:id="rId25" w:history="1">
              <w:r w:rsidR="00741B40" w:rsidRPr="00595BF3">
                <w:rPr>
                  <w:rFonts w:eastAsia="Calibri"/>
                  <w:color w:val="0000FF"/>
                  <w:sz w:val="20"/>
                  <w:u w:val="single"/>
                </w:rPr>
                <w:t>2013 QCCA 923</w:t>
              </w:r>
            </w:hyperlink>
          </w:p>
          <w:p w:rsidR="00741B40" w:rsidRPr="00595BF3" w:rsidRDefault="00741B40" w:rsidP="00741B40">
            <w:pPr>
              <w:jc w:val="both"/>
              <w:rPr>
                <w:rFonts w:eastAsia="Calibri"/>
                <w:sz w:val="20"/>
              </w:rPr>
            </w:pPr>
          </w:p>
        </w:tc>
        <w:tc>
          <w:tcPr>
            <w:tcW w:w="243" w:type="pct"/>
          </w:tcPr>
          <w:p w:rsidR="00741B40" w:rsidRPr="00595BF3" w:rsidRDefault="00741B40" w:rsidP="00741B40">
            <w:pPr>
              <w:jc w:val="both"/>
              <w:rPr>
                <w:rFonts w:eastAsia="Calibri"/>
                <w:sz w:val="20"/>
              </w:rPr>
            </w:pPr>
          </w:p>
        </w:tc>
        <w:tc>
          <w:tcPr>
            <w:tcW w:w="2330" w:type="pct"/>
          </w:tcPr>
          <w:p w:rsidR="00741B40" w:rsidRPr="00595BF3" w:rsidRDefault="00741B40" w:rsidP="00741B40">
            <w:pPr>
              <w:jc w:val="both"/>
              <w:rPr>
                <w:rFonts w:eastAsia="Calibri"/>
                <w:sz w:val="20"/>
              </w:rPr>
            </w:pPr>
            <w:r w:rsidRPr="00595BF3">
              <w:rPr>
                <w:rFonts w:eastAsia="Calibri"/>
                <w:sz w:val="20"/>
              </w:rPr>
              <w:t>Appeal allowed; motion dismissed</w:t>
            </w:r>
          </w:p>
          <w:p w:rsidR="00741B40" w:rsidRPr="00595BF3" w:rsidRDefault="00741B40" w:rsidP="00741B40">
            <w:pPr>
              <w:jc w:val="both"/>
              <w:rPr>
                <w:rFonts w:eastAsia="Calibri"/>
                <w:sz w:val="20"/>
              </w:rPr>
            </w:pPr>
          </w:p>
        </w:tc>
      </w:tr>
      <w:tr w:rsidR="00741B40" w:rsidRPr="00595BF3" w:rsidTr="00741B40">
        <w:tc>
          <w:tcPr>
            <w:tcW w:w="2427" w:type="pct"/>
          </w:tcPr>
          <w:p w:rsidR="00741B40" w:rsidRPr="00595BF3" w:rsidRDefault="00741B40" w:rsidP="00741B40">
            <w:pPr>
              <w:jc w:val="both"/>
              <w:rPr>
                <w:rFonts w:eastAsia="Calibri"/>
                <w:sz w:val="20"/>
              </w:rPr>
            </w:pPr>
            <w:r w:rsidRPr="00595BF3">
              <w:rPr>
                <w:rFonts w:eastAsia="Calibri"/>
                <w:sz w:val="20"/>
              </w:rPr>
              <w:t>August 19, 2013</w:t>
            </w:r>
          </w:p>
          <w:p w:rsidR="00741B40" w:rsidRPr="00595BF3" w:rsidRDefault="00741B40" w:rsidP="00741B40">
            <w:pPr>
              <w:jc w:val="both"/>
              <w:rPr>
                <w:rFonts w:eastAsia="Calibri"/>
                <w:sz w:val="20"/>
              </w:rPr>
            </w:pPr>
            <w:r w:rsidRPr="00595BF3">
              <w:rPr>
                <w:rFonts w:eastAsia="Calibri"/>
                <w:sz w:val="20"/>
              </w:rPr>
              <w:t>Supreme Court of Canada</w:t>
            </w:r>
          </w:p>
        </w:tc>
        <w:tc>
          <w:tcPr>
            <w:tcW w:w="243" w:type="pct"/>
          </w:tcPr>
          <w:p w:rsidR="00741B40" w:rsidRPr="00595BF3" w:rsidRDefault="00741B40" w:rsidP="00741B40">
            <w:pPr>
              <w:jc w:val="both"/>
              <w:rPr>
                <w:rFonts w:eastAsia="Calibri"/>
                <w:sz w:val="20"/>
              </w:rPr>
            </w:pPr>
          </w:p>
        </w:tc>
        <w:tc>
          <w:tcPr>
            <w:tcW w:w="2330" w:type="pct"/>
          </w:tcPr>
          <w:p w:rsidR="00741B40" w:rsidRPr="00595BF3" w:rsidRDefault="00741B40" w:rsidP="00741B40">
            <w:pPr>
              <w:jc w:val="both"/>
              <w:rPr>
                <w:rFonts w:eastAsia="Calibri"/>
                <w:sz w:val="20"/>
              </w:rPr>
            </w:pPr>
            <w:r w:rsidRPr="00595BF3">
              <w:rPr>
                <w:rFonts w:eastAsia="Calibri"/>
                <w:sz w:val="20"/>
              </w:rPr>
              <w:t>Application for leave to appeal filed</w:t>
            </w:r>
          </w:p>
          <w:p w:rsidR="00741B40" w:rsidRPr="00595BF3" w:rsidRDefault="00741B40" w:rsidP="00741B40">
            <w:pPr>
              <w:jc w:val="both"/>
              <w:rPr>
                <w:rFonts w:eastAsia="Calibri"/>
                <w:sz w:val="20"/>
              </w:rPr>
            </w:pPr>
          </w:p>
        </w:tc>
      </w:tr>
    </w:tbl>
    <w:p w:rsidR="0083449C" w:rsidRDefault="0083449C" w:rsidP="0083449C">
      <w:pPr>
        <w:rPr>
          <w:sz w:val="20"/>
          <w:szCs w:val="20"/>
        </w:rPr>
      </w:pPr>
    </w:p>
    <w:p w:rsidR="0083449C" w:rsidRPr="00C50A5C" w:rsidRDefault="00E7787D" w:rsidP="0083449C">
      <w:pPr>
        <w:rPr>
          <w:sz w:val="20"/>
          <w:szCs w:val="20"/>
        </w:rPr>
      </w:pPr>
      <w:r>
        <w:rPr>
          <w:sz w:val="20"/>
          <w:szCs w:val="20"/>
          <w:lang w:val="fr-CA"/>
        </w:rPr>
        <w:pict>
          <v:rect id="_x0000_i1040" style="width:2in;height:1pt" o:hrpct="0" o:hralign="center" o:hrstd="t" o:hrnoshade="t" o:hr="t" fillcolor="black [3213]" stroked="f"/>
        </w:pict>
      </w:r>
    </w:p>
    <w:p w:rsidR="0083449C" w:rsidRDefault="0083449C" w:rsidP="0083449C">
      <w:pPr>
        <w:rPr>
          <w:sz w:val="20"/>
          <w:szCs w:val="20"/>
        </w:rPr>
      </w:pPr>
    </w:p>
    <w:p w:rsidR="0083449C" w:rsidRPr="001B157C" w:rsidRDefault="0083449C" w:rsidP="0083449C">
      <w:pPr>
        <w:rPr>
          <w:sz w:val="20"/>
          <w:szCs w:val="20"/>
          <w:u w:val="single"/>
          <w:lang w:val="fr-CA"/>
        </w:rPr>
      </w:pPr>
      <w:r w:rsidRPr="001B157C">
        <w:rPr>
          <w:sz w:val="20"/>
          <w:szCs w:val="20"/>
          <w:u w:val="single"/>
          <w:lang w:val="fr-CA"/>
        </w:rPr>
        <w:t>RÉSUMÉ DE L’AFFAIRE</w:t>
      </w:r>
    </w:p>
    <w:p w:rsidR="0083449C" w:rsidRDefault="0083449C" w:rsidP="0083449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41B40" w:rsidRPr="00595BF3" w:rsidTr="00741B40">
        <w:tc>
          <w:tcPr>
            <w:tcW w:w="5000" w:type="pct"/>
            <w:gridSpan w:val="3"/>
          </w:tcPr>
          <w:p w:rsidR="00741B40" w:rsidRPr="00595BF3" w:rsidRDefault="00741B40" w:rsidP="00741B40">
            <w:pPr>
              <w:jc w:val="both"/>
              <w:rPr>
                <w:rFonts w:eastAsia="Calibri"/>
                <w:sz w:val="20"/>
                <w:lang w:val="fr-CA"/>
              </w:rPr>
            </w:pPr>
            <w:r w:rsidRPr="00595BF3">
              <w:rPr>
                <w:rFonts w:eastAsia="Calibri"/>
                <w:sz w:val="20"/>
                <w:lang w:val="fr-CA"/>
              </w:rPr>
              <w:t xml:space="preserve">Hypothèques – Hypothèques légales de la construction – Radiation – La Cour d’appel a-t-elle fait erreur en concluant qu’il n’était pas nécessaire que l’intimé ait détenu le permis exigé par la </w:t>
            </w:r>
            <w:r w:rsidRPr="00595BF3">
              <w:rPr>
                <w:rFonts w:eastAsia="Calibri"/>
                <w:i/>
                <w:sz w:val="20"/>
                <w:lang w:val="fr-CA"/>
              </w:rPr>
              <w:t>Loi sur le bâtiment</w:t>
            </w:r>
            <w:r w:rsidRPr="00595BF3">
              <w:rPr>
                <w:rFonts w:eastAsia="Calibri"/>
                <w:sz w:val="20"/>
                <w:lang w:val="fr-CA"/>
              </w:rPr>
              <w:t xml:space="preserve">, pendant toute la durée des travaux qu’il a effectués pour le compte des demandeurs, pour pouvoir jouir du droit d’inscrire un avis d’hypothèque légale sur leur immeuble? – </w:t>
            </w:r>
            <w:r w:rsidRPr="00595BF3">
              <w:rPr>
                <w:rFonts w:eastAsia="Calibri"/>
                <w:i/>
                <w:sz w:val="20"/>
                <w:lang w:val="fr-CA"/>
              </w:rPr>
              <w:t>Loi sur le bâtiment</w:t>
            </w:r>
            <w:r w:rsidRPr="00595BF3">
              <w:rPr>
                <w:rFonts w:eastAsia="Calibri"/>
                <w:sz w:val="20"/>
                <w:lang w:val="fr-CA"/>
              </w:rPr>
              <w:t xml:space="preserve">, L.R.Q., ch. B-1.1, art. 50 – </w:t>
            </w:r>
            <w:r w:rsidRPr="00595BF3">
              <w:rPr>
                <w:rFonts w:eastAsia="Calibri"/>
                <w:i/>
                <w:sz w:val="20"/>
                <w:lang w:val="fr-CA"/>
              </w:rPr>
              <w:t>Code civil du Québec</w:t>
            </w:r>
            <w:r w:rsidRPr="00595BF3">
              <w:rPr>
                <w:rFonts w:eastAsia="Calibri"/>
                <w:sz w:val="20"/>
                <w:lang w:val="fr-CA"/>
              </w:rPr>
              <w:t>, L.R.Q. ch. C-1991, art. 3063.</w:t>
            </w:r>
          </w:p>
        </w:tc>
      </w:tr>
      <w:tr w:rsidR="00741B40" w:rsidRPr="00595BF3" w:rsidTr="00741B40">
        <w:tc>
          <w:tcPr>
            <w:tcW w:w="5000" w:type="pct"/>
            <w:gridSpan w:val="3"/>
          </w:tcPr>
          <w:p w:rsidR="00741B40" w:rsidRPr="00595BF3" w:rsidRDefault="00741B40" w:rsidP="00741B40">
            <w:pPr>
              <w:jc w:val="both"/>
              <w:rPr>
                <w:rFonts w:eastAsia="Calibri"/>
                <w:sz w:val="20"/>
                <w:lang w:val="fr-CA"/>
              </w:rPr>
            </w:pPr>
          </w:p>
        </w:tc>
      </w:tr>
      <w:tr w:rsidR="00741B40" w:rsidRPr="00B52C2C" w:rsidTr="00741B40">
        <w:tc>
          <w:tcPr>
            <w:tcW w:w="5000" w:type="pct"/>
            <w:gridSpan w:val="3"/>
          </w:tcPr>
          <w:p w:rsidR="00741B40" w:rsidRPr="00595BF3" w:rsidRDefault="00741B40" w:rsidP="00741B40">
            <w:pPr>
              <w:jc w:val="both"/>
              <w:rPr>
                <w:rFonts w:eastAsia="Calibri"/>
                <w:sz w:val="20"/>
                <w:lang w:val="fr-CA"/>
              </w:rPr>
            </w:pPr>
            <w:r w:rsidRPr="00595BF3">
              <w:rPr>
                <w:rFonts w:eastAsia="Calibri"/>
                <w:sz w:val="20"/>
                <w:lang w:val="fr-CA"/>
              </w:rPr>
              <w:t xml:space="preserve">L’intimé est entrepreneur.  Les demandeurs ont retenu ses services afin de construire la structure de leur résidence principale ainsi qu’un garage.  Lors de la conclusion du contrat, et à l’insu des demandeurs, l’intimé ne détenait pas la licence d’entrepreneur exigé par la </w:t>
            </w:r>
            <w:r w:rsidRPr="00595BF3">
              <w:rPr>
                <w:rFonts w:eastAsia="Calibri"/>
                <w:i/>
                <w:sz w:val="20"/>
                <w:lang w:val="fr-CA"/>
              </w:rPr>
              <w:t>Loi sur le bâtiment</w:t>
            </w:r>
            <w:r w:rsidRPr="00595BF3">
              <w:rPr>
                <w:rFonts w:eastAsia="Calibri"/>
                <w:sz w:val="20"/>
                <w:lang w:val="fr-CA"/>
              </w:rPr>
              <w:t xml:space="preserve">, L.R.Q., ch. B-1.1.  L’intimé a récupéré sa licence après qu’une </w:t>
            </w:r>
            <w:r w:rsidRPr="00595BF3">
              <w:rPr>
                <w:rFonts w:eastAsia="Calibri"/>
                <w:sz w:val="20"/>
                <w:lang w:val="fr-CA"/>
              </w:rPr>
              <w:lastRenderedPageBreak/>
              <w:t xml:space="preserve">bonne partie des travaux a été complétée.  À la fin des travaux, l’intimé a publié un avis d’hypothèque légale de la construction sur l’immeuble des demandeurs.  Ensuite, il a publié un préavis d’exercice du droit hypothécaire de vente sous contrôle de justice.  Ayant appris après la fin des travaux que l’intimé ne détenait pas la licence requise par la </w:t>
            </w:r>
            <w:r w:rsidRPr="00595BF3">
              <w:rPr>
                <w:rFonts w:eastAsia="Calibri"/>
                <w:i/>
                <w:sz w:val="20"/>
                <w:lang w:val="fr-CA"/>
              </w:rPr>
              <w:t>Loi</w:t>
            </w:r>
            <w:r w:rsidRPr="00595BF3">
              <w:rPr>
                <w:rFonts w:eastAsia="Calibri"/>
                <w:sz w:val="20"/>
                <w:lang w:val="fr-CA"/>
              </w:rPr>
              <w:t xml:space="preserve">, tant au moment de la conclusion du contrat que durant une partie des travaux, les demandeurs ont demandé à la Cour supérieure de radier l’hypothèque et le préavis d’exercice en vertu de l’art. 50 de la </w:t>
            </w:r>
            <w:r w:rsidRPr="00595BF3">
              <w:rPr>
                <w:rFonts w:eastAsia="Calibri"/>
                <w:i/>
                <w:sz w:val="20"/>
                <w:lang w:val="fr-CA"/>
              </w:rPr>
              <w:t xml:space="preserve">Loi. </w:t>
            </w:r>
            <w:r w:rsidRPr="00595BF3">
              <w:rPr>
                <w:rFonts w:eastAsia="Calibri"/>
                <w:sz w:val="20"/>
                <w:lang w:val="fr-CA"/>
              </w:rPr>
              <w:t xml:space="preserve"> La Cour supérieure a accueilli la requête en radiation au motif qu’il est de jurisprudence constante que pour bénéficier du droit de publication d’une hypothèque légale de la construction, l’entrepreneur doit avoir détenu, tout au long du processus, la licence appropriée, en vigueur.  La Cour d’appel a renversé cette décision.  Elle a jugé qu’un entrepreneur qui détient une licence valide a le droit de publier et faire exécuter une hypothèque légale de la construction à l’égard de la valeur des travaux qu’il a effectués alors qu’il détenait cette licence.</w:t>
            </w:r>
          </w:p>
          <w:p w:rsidR="00741B40" w:rsidRPr="00595BF3" w:rsidRDefault="00741B40" w:rsidP="00741B40">
            <w:pPr>
              <w:jc w:val="both"/>
              <w:rPr>
                <w:rFonts w:eastAsia="Calibri"/>
                <w:sz w:val="20"/>
                <w:lang w:val="fr-CA"/>
              </w:rPr>
            </w:pPr>
          </w:p>
        </w:tc>
      </w:tr>
      <w:tr w:rsidR="00741B40" w:rsidRPr="00B52C2C" w:rsidTr="00741B40">
        <w:tc>
          <w:tcPr>
            <w:tcW w:w="2427" w:type="pct"/>
          </w:tcPr>
          <w:p w:rsidR="00741B40" w:rsidRPr="00595BF3" w:rsidRDefault="00741B40" w:rsidP="00741B40">
            <w:pPr>
              <w:jc w:val="both"/>
              <w:rPr>
                <w:rFonts w:eastAsia="Calibri"/>
                <w:sz w:val="20"/>
                <w:lang w:val="fr-CA"/>
              </w:rPr>
            </w:pPr>
            <w:r w:rsidRPr="00595BF3">
              <w:rPr>
                <w:rFonts w:eastAsia="Calibri"/>
                <w:sz w:val="20"/>
                <w:lang w:val="fr-CA"/>
              </w:rPr>
              <w:lastRenderedPageBreak/>
              <w:t>Le 1</w:t>
            </w:r>
            <w:r w:rsidR="008822C1" w:rsidRPr="008822C1">
              <w:rPr>
                <w:rFonts w:eastAsia="Calibri"/>
                <w:sz w:val="20"/>
                <w:vertAlign w:val="superscript"/>
                <w:lang w:val="fr-CA"/>
              </w:rPr>
              <w:t>er</w:t>
            </w:r>
            <w:r w:rsidRPr="00595BF3">
              <w:rPr>
                <w:rFonts w:eastAsia="Calibri"/>
                <w:sz w:val="20"/>
                <w:lang w:val="fr-CA"/>
              </w:rPr>
              <w:t xml:space="preserve"> mars 2011</w:t>
            </w:r>
          </w:p>
          <w:p w:rsidR="00741B40" w:rsidRPr="00595BF3" w:rsidRDefault="00741B40" w:rsidP="00741B40">
            <w:pPr>
              <w:jc w:val="both"/>
              <w:rPr>
                <w:rFonts w:eastAsia="Calibri"/>
                <w:sz w:val="20"/>
                <w:lang w:val="fr-CA"/>
              </w:rPr>
            </w:pPr>
            <w:r w:rsidRPr="00595BF3">
              <w:rPr>
                <w:rFonts w:eastAsia="Calibri"/>
                <w:sz w:val="20"/>
                <w:lang w:val="fr-CA"/>
              </w:rPr>
              <w:t>Cour supérieure du Québec</w:t>
            </w:r>
          </w:p>
          <w:p w:rsidR="00741B40" w:rsidRPr="00595BF3" w:rsidRDefault="00741B40" w:rsidP="00741B40">
            <w:pPr>
              <w:jc w:val="both"/>
              <w:rPr>
                <w:rFonts w:eastAsia="Calibri"/>
                <w:sz w:val="20"/>
                <w:lang w:val="fr-CA"/>
              </w:rPr>
            </w:pPr>
            <w:r w:rsidRPr="00595BF3">
              <w:rPr>
                <w:rFonts w:eastAsia="Calibri"/>
                <w:sz w:val="20"/>
                <w:lang w:val="fr-CA"/>
              </w:rPr>
              <w:t>(Le juge Bédard)</w:t>
            </w:r>
          </w:p>
          <w:p w:rsidR="00741B40" w:rsidRPr="00595BF3" w:rsidRDefault="00E7787D" w:rsidP="00741B40">
            <w:pPr>
              <w:jc w:val="both"/>
              <w:rPr>
                <w:rFonts w:eastAsia="Calibri"/>
                <w:sz w:val="20"/>
                <w:lang w:val="fr-CA"/>
              </w:rPr>
            </w:pPr>
            <w:hyperlink r:id="rId26" w:history="1">
              <w:r w:rsidR="00741B40" w:rsidRPr="00595BF3">
                <w:rPr>
                  <w:rFonts w:eastAsia="Calibri"/>
                  <w:color w:val="0000FF"/>
                  <w:sz w:val="20"/>
                  <w:u w:val="single"/>
                  <w:lang w:val="fr-CA"/>
                </w:rPr>
                <w:t>2011 QCCS 918</w:t>
              </w:r>
            </w:hyperlink>
          </w:p>
          <w:p w:rsidR="00741B40" w:rsidRPr="00595BF3" w:rsidRDefault="00741B40" w:rsidP="00741B40">
            <w:pPr>
              <w:jc w:val="both"/>
              <w:rPr>
                <w:rFonts w:eastAsia="Calibri"/>
                <w:sz w:val="20"/>
              </w:rPr>
            </w:pPr>
          </w:p>
        </w:tc>
        <w:tc>
          <w:tcPr>
            <w:tcW w:w="243" w:type="pct"/>
          </w:tcPr>
          <w:p w:rsidR="00741B40" w:rsidRPr="00595BF3" w:rsidRDefault="00741B40" w:rsidP="00741B40">
            <w:pPr>
              <w:jc w:val="both"/>
              <w:rPr>
                <w:rFonts w:eastAsia="Calibri"/>
                <w:sz w:val="20"/>
              </w:rPr>
            </w:pPr>
          </w:p>
        </w:tc>
        <w:tc>
          <w:tcPr>
            <w:tcW w:w="2330" w:type="pct"/>
          </w:tcPr>
          <w:p w:rsidR="00741B40" w:rsidRPr="00595BF3" w:rsidRDefault="00741B40" w:rsidP="00741B40">
            <w:pPr>
              <w:jc w:val="both"/>
              <w:rPr>
                <w:rFonts w:eastAsia="Calibri"/>
                <w:sz w:val="20"/>
                <w:lang w:val="fr-CA"/>
              </w:rPr>
            </w:pPr>
            <w:r w:rsidRPr="00595BF3">
              <w:rPr>
                <w:rFonts w:eastAsia="Calibri"/>
                <w:sz w:val="20"/>
                <w:lang w:val="fr-CA"/>
              </w:rPr>
              <w:t>Requête en radiation d’une hypothèque légale de la construction et du préavis d’exercice accueillie</w:t>
            </w:r>
          </w:p>
          <w:p w:rsidR="00741B40" w:rsidRPr="00595BF3" w:rsidRDefault="00741B40" w:rsidP="00741B40">
            <w:pPr>
              <w:jc w:val="both"/>
              <w:rPr>
                <w:rFonts w:eastAsia="Calibri"/>
                <w:sz w:val="20"/>
                <w:lang w:val="fr-CA"/>
              </w:rPr>
            </w:pPr>
          </w:p>
        </w:tc>
      </w:tr>
      <w:tr w:rsidR="00741B40" w:rsidRPr="00595BF3" w:rsidTr="00741B40">
        <w:tc>
          <w:tcPr>
            <w:tcW w:w="2427" w:type="pct"/>
          </w:tcPr>
          <w:p w:rsidR="00741B40" w:rsidRPr="00595BF3" w:rsidRDefault="00741B40" w:rsidP="00741B40">
            <w:pPr>
              <w:jc w:val="both"/>
              <w:rPr>
                <w:rFonts w:eastAsia="Calibri"/>
                <w:sz w:val="20"/>
                <w:lang w:val="fr-CA"/>
              </w:rPr>
            </w:pPr>
            <w:r w:rsidRPr="00595BF3">
              <w:rPr>
                <w:rFonts w:eastAsia="Calibri"/>
                <w:sz w:val="20"/>
                <w:lang w:val="fr-CA"/>
              </w:rPr>
              <w:t>Le 23 mai 2013</w:t>
            </w:r>
          </w:p>
          <w:p w:rsidR="00741B40" w:rsidRPr="00595BF3" w:rsidRDefault="00741B40" w:rsidP="00741B40">
            <w:pPr>
              <w:jc w:val="both"/>
              <w:rPr>
                <w:rFonts w:eastAsia="Calibri"/>
                <w:sz w:val="20"/>
                <w:lang w:val="fr-CA"/>
              </w:rPr>
            </w:pPr>
            <w:r w:rsidRPr="00595BF3">
              <w:rPr>
                <w:rFonts w:eastAsia="Calibri"/>
                <w:sz w:val="20"/>
                <w:lang w:val="fr-CA"/>
              </w:rPr>
              <w:t>Cour d’appel du Québec (Montréal)</w:t>
            </w:r>
          </w:p>
          <w:p w:rsidR="00741B40" w:rsidRPr="00595BF3" w:rsidRDefault="00741B40" w:rsidP="00741B40">
            <w:pPr>
              <w:jc w:val="both"/>
              <w:rPr>
                <w:rFonts w:eastAsia="Calibri"/>
                <w:sz w:val="20"/>
                <w:lang w:val="fr-CA"/>
              </w:rPr>
            </w:pPr>
            <w:r w:rsidRPr="00595BF3">
              <w:rPr>
                <w:rFonts w:eastAsia="Calibri"/>
                <w:sz w:val="20"/>
                <w:lang w:val="fr-CA"/>
              </w:rPr>
              <w:t>(Les juges Morissette, Hilton et St-Pierre)</w:t>
            </w:r>
          </w:p>
          <w:p w:rsidR="00741B40" w:rsidRPr="00595BF3" w:rsidRDefault="00E7787D" w:rsidP="00741B40">
            <w:pPr>
              <w:jc w:val="both"/>
              <w:rPr>
                <w:rFonts w:eastAsia="Calibri"/>
                <w:sz w:val="20"/>
                <w:lang w:val="fr-CA"/>
              </w:rPr>
            </w:pPr>
            <w:hyperlink r:id="rId27" w:history="1">
              <w:r w:rsidR="00741B40" w:rsidRPr="00595BF3">
                <w:rPr>
                  <w:rFonts w:eastAsia="Calibri"/>
                  <w:color w:val="0000FF"/>
                  <w:sz w:val="20"/>
                  <w:u w:val="single"/>
                  <w:lang w:val="fr-CA"/>
                </w:rPr>
                <w:t>2013 QCCA 923</w:t>
              </w:r>
            </w:hyperlink>
          </w:p>
          <w:p w:rsidR="00741B40" w:rsidRPr="00595BF3" w:rsidRDefault="00741B40" w:rsidP="00741B40">
            <w:pPr>
              <w:jc w:val="both"/>
              <w:rPr>
                <w:rFonts w:eastAsia="Calibri"/>
                <w:sz w:val="20"/>
                <w:lang w:val="fr-CA"/>
              </w:rPr>
            </w:pPr>
          </w:p>
        </w:tc>
        <w:tc>
          <w:tcPr>
            <w:tcW w:w="243" w:type="pct"/>
          </w:tcPr>
          <w:p w:rsidR="00741B40" w:rsidRPr="00595BF3" w:rsidRDefault="00741B40" w:rsidP="00741B40">
            <w:pPr>
              <w:jc w:val="both"/>
              <w:rPr>
                <w:rFonts w:eastAsia="Calibri"/>
                <w:sz w:val="20"/>
                <w:lang w:val="fr-CA"/>
              </w:rPr>
            </w:pPr>
          </w:p>
        </w:tc>
        <w:tc>
          <w:tcPr>
            <w:tcW w:w="2330" w:type="pct"/>
          </w:tcPr>
          <w:p w:rsidR="00741B40" w:rsidRPr="00595BF3" w:rsidRDefault="00741B40" w:rsidP="00741B40">
            <w:pPr>
              <w:jc w:val="both"/>
              <w:rPr>
                <w:rFonts w:eastAsia="Calibri"/>
                <w:sz w:val="20"/>
                <w:lang w:val="fr-CA"/>
              </w:rPr>
            </w:pPr>
            <w:r w:rsidRPr="00595BF3">
              <w:rPr>
                <w:rFonts w:eastAsia="Calibri"/>
                <w:sz w:val="20"/>
                <w:lang w:val="fr-CA"/>
              </w:rPr>
              <w:t>Appel accueilli; requête rejetée</w:t>
            </w:r>
          </w:p>
          <w:p w:rsidR="00741B40" w:rsidRPr="00595BF3" w:rsidRDefault="00741B40" w:rsidP="00741B40">
            <w:pPr>
              <w:jc w:val="both"/>
              <w:rPr>
                <w:rFonts w:eastAsia="Calibri"/>
                <w:sz w:val="20"/>
                <w:lang w:val="fr-CA"/>
              </w:rPr>
            </w:pPr>
          </w:p>
        </w:tc>
      </w:tr>
      <w:tr w:rsidR="00741B40" w:rsidRPr="00595BF3" w:rsidTr="00741B40">
        <w:tc>
          <w:tcPr>
            <w:tcW w:w="2427" w:type="pct"/>
          </w:tcPr>
          <w:p w:rsidR="00741B40" w:rsidRPr="00595BF3" w:rsidRDefault="00741B40" w:rsidP="00741B40">
            <w:pPr>
              <w:jc w:val="both"/>
              <w:rPr>
                <w:rFonts w:eastAsia="Calibri"/>
                <w:sz w:val="20"/>
                <w:lang w:val="fr-CA"/>
              </w:rPr>
            </w:pPr>
            <w:r w:rsidRPr="00595BF3">
              <w:rPr>
                <w:rFonts w:eastAsia="Calibri"/>
                <w:sz w:val="20"/>
                <w:lang w:val="fr-CA"/>
              </w:rPr>
              <w:t>Le 19 août 2013</w:t>
            </w:r>
          </w:p>
          <w:p w:rsidR="00741B40" w:rsidRPr="00595BF3" w:rsidRDefault="00741B40" w:rsidP="00741B40">
            <w:pPr>
              <w:jc w:val="both"/>
              <w:rPr>
                <w:rFonts w:eastAsia="Calibri"/>
                <w:sz w:val="20"/>
                <w:lang w:val="fr-CA"/>
              </w:rPr>
            </w:pPr>
            <w:r w:rsidRPr="00595BF3">
              <w:rPr>
                <w:rFonts w:eastAsia="Calibri"/>
                <w:sz w:val="20"/>
                <w:lang w:val="fr-CA"/>
              </w:rPr>
              <w:t>Cour suprême du Canada</w:t>
            </w:r>
          </w:p>
        </w:tc>
        <w:tc>
          <w:tcPr>
            <w:tcW w:w="243" w:type="pct"/>
          </w:tcPr>
          <w:p w:rsidR="00741B40" w:rsidRPr="00595BF3" w:rsidRDefault="00741B40" w:rsidP="00741B40">
            <w:pPr>
              <w:jc w:val="both"/>
              <w:rPr>
                <w:rFonts w:eastAsia="Calibri"/>
                <w:sz w:val="20"/>
                <w:lang w:val="fr-CA"/>
              </w:rPr>
            </w:pPr>
          </w:p>
        </w:tc>
        <w:tc>
          <w:tcPr>
            <w:tcW w:w="2330" w:type="pct"/>
          </w:tcPr>
          <w:p w:rsidR="00741B40" w:rsidRPr="00595BF3" w:rsidRDefault="00741B40" w:rsidP="00741B40">
            <w:pPr>
              <w:jc w:val="both"/>
              <w:rPr>
                <w:rFonts w:eastAsia="Calibri"/>
                <w:sz w:val="20"/>
                <w:lang w:val="fr-CA"/>
              </w:rPr>
            </w:pPr>
            <w:r w:rsidRPr="00595BF3">
              <w:rPr>
                <w:rFonts w:eastAsia="Calibri"/>
                <w:sz w:val="20"/>
                <w:lang w:val="fr-CA"/>
              </w:rPr>
              <w:t>Demande d'autorisation d'appel déposée</w:t>
            </w:r>
          </w:p>
          <w:p w:rsidR="00741B40" w:rsidRPr="00595BF3" w:rsidRDefault="00741B40" w:rsidP="00741B40">
            <w:pPr>
              <w:jc w:val="both"/>
              <w:rPr>
                <w:rFonts w:eastAsia="Calibri"/>
                <w:sz w:val="20"/>
                <w:lang w:val="fr-CA"/>
              </w:rPr>
            </w:pPr>
          </w:p>
        </w:tc>
      </w:tr>
    </w:tbl>
    <w:p w:rsidR="0083449C" w:rsidRDefault="0083449C" w:rsidP="0083449C">
      <w:pPr>
        <w:rPr>
          <w:sz w:val="20"/>
          <w:szCs w:val="20"/>
        </w:rPr>
      </w:pPr>
    </w:p>
    <w:p w:rsidR="0083449C" w:rsidRDefault="00E7787D" w:rsidP="0083449C">
      <w:pPr>
        <w:rPr>
          <w:sz w:val="20"/>
          <w:szCs w:val="20"/>
          <w:lang w:val="fr-CA"/>
        </w:rPr>
      </w:pPr>
      <w:r>
        <w:rPr>
          <w:sz w:val="20"/>
          <w:szCs w:val="20"/>
          <w:lang w:val="fr-CA"/>
        </w:rPr>
        <w:pict>
          <v:rect id="_x0000_i1041" style="width:2in;height:1pt" o:hrpct="0" o:hralign="center" o:hrstd="t" o:hrnoshade="t" o:hr="t" fillcolor="black [3213]" stroked="f"/>
        </w:pict>
      </w:r>
    </w:p>
    <w:p w:rsidR="0083449C" w:rsidRDefault="0083449C" w:rsidP="0083449C">
      <w:pPr>
        <w:rPr>
          <w:sz w:val="20"/>
          <w:szCs w:val="20"/>
          <w:lang w:val="fr-CA"/>
        </w:rPr>
      </w:pP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C07D78" w:rsidRPr="00C07D78" w:rsidTr="0080417A">
        <w:trPr>
          <w:cantSplit/>
        </w:trPr>
        <w:tc>
          <w:tcPr>
            <w:tcW w:w="1458" w:type="dxa"/>
          </w:tcPr>
          <w:p w:rsidR="00C07D78" w:rsidRPr="00C07D78" w:rsidRDefault="00C07D78" w:rsidP="00C07D78">
            <w:pPr>
              <w:rPr>
                <w:sz w:val="20"/>
              </w:rPr>
            </w:pPr>
            <w:r w:rsidRPr="00C07D78">
              <w:rPr>
                <w:b/>
                <w:sz w:val="20"/>
                <w:lang w:val="fr-CA"/>
              </w:rPr>
              <w:t>35500</w:t>
            </w:r>
          </w:p>
          <w:p w:rsidR="00C07D78" w:rsidRPr="00C07D78" w:rsidRDefault="00C07D78" w:rsidP="00C07D78">
            <w:pPr>
              <w:rPr>
                <w:b/>
                <w:sz w:val="20"/>
                <w:lang w:val="fr-CA"/>
              </w:rPr>
            </w:pPr>
          </w:p>
        </w:tc>
        <w:tc>
          <w:tcPr>
            <w:tcW w:w="8118" w:type="dxa"/>
          </w:tcPr>
          <w:p w:rsidR="00C07D78" w:rsidRPr="00C07D78" w:rsidRDefault="00C07D78" w:rsidP="00C07D78">
            <w:pPr>
              <w:jc w:val="both"/>
              <w:rPr>
                <w:sz w:val="20"/>
              </w:rPr>
            </w:pPr>
            <w:r w:rsidRPr="00C07D78">
              <w:rPr>
                <w:b/>
                <w:sz w:val="20"/>
                <w:u w:val="single"/>
              </w:rPr>
              <w:t>Matthew Engel v. Detective Bill Allen (Reg. No. 1535) also known as Detective William Allen</w:t>
            </w:r>
            <w:r w:rsidRPr="00C07D78">
              <w:rPr>
                <w:sz w:val="20"/>
              </w:rPr>
              <w:t xml:space="preserve"> (Alta.) (Civil) (By Leave)</w:t>
            </w:r>
          </w:p>
          <w:p w:rsidR="00C07D78" w:rsidRPr="00C07D78" w:rsidRDefault="00C07D78" w:rsidP="00C07D78">
            <w:pPr>
              <w:jc w:val="both"/>
              <w:rPr>
                <w:sz w:val="20"/>
              </w:rPr>
            </w:pPr>
          </w:p>
        </w:tc>
      </w:tr>
      <w:tr w:rsidR="00C07D78" w:rsidRPr="00C07D78" w:rsidTr="0080417A">
        <w:trPr>
          <w:cantSplit/>
        </w:trPr>
        <w:tc>
          <w:tcPr>
            <w:tcW w:w="1458" w:type="dxa"/>
          </w:tcPr>
          <w:p w:rsidR="00C07D78" w:rsidRPr="00C07D78" w:rsidRDefault="00C07D78" w:rsidP="00C07D78">
            <w:pPr>
              <w:rPr>
                <w:sz w:val="20"/>
              </w:rPr>
            </w:pPr>
            <w:r w:rsidRPr="00C07D78">
              <w:rPr>
                <w:sz w:val="20"/>
              </w:rPr>
              <w:t>Coram :</w:t>
            </w:r>
          </w:p>
        </w:tc>
        <w:tc>
          <w:tcPr>
            <w:tcW w:w="8118" w:type="dxa"/>
          </w:tcPr>
          <w:p w:rsidR="00C07D78" w:rsidRPr="00C07D78" w:rsidRDefault="00C07D78" w:rsidP="00C07D78">
            <w:pPr>
              <w:rPr>
                <w:sz w:val="20"/>
              </w:rPr>
            </w:pPr>
            <w:r w:rsidRPr="00C07D78">
              <w:rPr>
                <w:sz w:val="20"/>
                <w:u w:val="single"/>
              </w:rPr>
              <w:t>Abella, Rothstein and Moldaver JJ.</w:t>
            </w:r>
          </w:p>
          <w:p w:rsidR="00C07D78" w:rsidRPr="00C07D78" w:rsidRDefault="00C07D78" w:rsidP="00C07D78">
            <w:pPr>
              <w:rPr>
                <w:sz w:val="20"/>
                <w:u w:val="single"/>
              </w:rPr>
            </w:pPr>
          </w:p>
        </w:tc>
      </w:tr>
      <w:tr w:rsidR="00C07D78" w:rsidRPr="00B52C2C" w:rsidTr="0080417A">
        <w:trPr>
          <w:cantSplit/>
        </w:trPr>
        <w:tc>
          <w:tcPr>
            <w:tcW w:w="9576" w:type="dxa"/>
            <w:gridSpan w:val="2"/>
          </w:tcPr>
          <w:p w:rsidR="00C07D78" w:rsidRPr="00C07D78" w:rsidRDefault="00C07D78" w:rsidP="00C07D78">
            <w:pPr>
              <w:ind w:firstLine="720"/>
              <w:jc w:val="both"/>
              <w:rPr>
                <w:sz w:val="20"/>
              </w:rPr>
            </w:pPr>
            <w:r w:rsidRPr="00C07D78">
              <w:rPr>
                <w:sz w:val="20"/>
              </w:rPr>
              <w:t>The motions of Rod Knecht, Chief of the Edmonton Police Service and the Alberta Law Enforcement Review Board to be added as parties are dismissed.  The application for leave to appeal from the judgment of the Court of Appeal of Alberta (Edmonton), Number 1103-0224-AC, 2013 ABCA 187, dated May 31, 2013, is dismissed with costs.</w:t>
            </w:r>
          </w:p>
          <w:p w:rsidR="00C07D78" w:rsidRPr="00C07D78" w:rsidRDefault="00C07D78" w:rsidP="00C07D78">
            <w:pPr>
              <w:jc w:val="both"/>
              <w:rPr>
                <w:sz w:val="20"/>
              </w:rPr>
            </w:pPr>
          </w:p>
          <w:p w:rsidR="00C07D78" w:rsidRPr="00C07D78" w:rsidRDefault="00C07D78" w:rsidP="00C07D78">
            <w:pPr>
              <w:ind w:firstLine="720"/>
              <w:jc w:val="both"/>
              <w:rPr>
                <w:sz w:val="20"/>
                <w:lang w:val="fr-CA"/>
              </w:rPr>
            </w:pPr>
            <w:r w:rsidRPr="00C07D78">
              <w:rPr>
                <w:sz w:val="20"/>
                <w:lang w:val="fr-CA"/>
              </w:rPr>
              <w:t>Les requêtes de Rod Knecht, chef du service de police d’Edmonton et du Alberta Law Enforcement Review Board en vue d’être ajoutées comme parties sont rejetées.  La demande d’autorisation d’appel de l’arrêt de la Cour d'appel de l’Alberta (Edmonton), numéro 1103-0224-AC, 2013 ABCA 187, daté du 31 mai 2013, est rejeté avec dépens.</w:t>
            </w:r>
          </w:p>
        </w:tc>
      </w:tr>
    </w:tbl>
    <w:p w:rsidR="0083449C" w:rsidRPr="00C07D78" w:rsidRDefault="0083449C" w:rsidP="0083449C">
      <w:pPr>
        <w:rPr>
          <w:sz w:val="20"/>
          <w:szCs w:val="20"/>
          <w:lang w:val="fr-CA"/>
        </w:rPr>
      </w:pPr>
    </w:p>
    <w:p w:rsidR="0083449C" w:rsidRPr="001B157C" w:rsidRDefault="0083449C" w:rsidP="0083449C">
      <w:pPr>
        <w:rPr>
          <w:sz w:val="20"/>
          <w:szCs w:val="20"/>
          <w:u w:val="single"/>
        </w:rPr>
      </w:pPr>
      <w:r w:rsidRPr="001B157C">
        <w:rPr>
          <w:sz w:val="20"/>
          <w:szCs w:val="20"/>
          <w:u w:val="single"/>
        </w:rPr>
        <w:t>CASE SUMMARY</w:t>
      </w:r>
    </w:p>
    <w:p w:rsidR="0083449C" w:rsidRDefault="0083449C" w:rsidP="0083449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554"/>
        <w:gridCol w:w="514"/>
        <w:gridCol w:w="4459"/>
      </w:tblGrid>
      <w:tr w:rsidR="00E0384B" w:rsidRPr="00595BF3" w:rsidTr="0080417A">
        <w:tc>
          <w:tcPr>
            <w:tcW w:w="5000" w:type="pct"/>
            <w:gridSpan w:val="3"/>
          </w:tcPr>
          <w:p w:rsidR="00E0384B" w:rsidRPr="00595BF3" w:rsidRDefault="00E0384B" w:rsidP="0080417A">
            <w:pPr>
              <w:jc w:val="both"/>
              <w:rPr>
                <w:rFonts w:eastAsia="Calibri"/>
                <w:sz w:val="20"/>
              </w:rPr>
            </w:pPr>
            <w:r w:rsidRPr="00595BF3">
              <w:rPr>
                <w:rFonts w:eastAsia="Calibri"/>
                <w:sz w:val="20"/>
              </w:rPr>
              <w:lastRenderedPageBreak/>
              <w:t>Administrative law – Discipline of police officer –</w:t>
            </w:r>
            <w:r w:rsidRPr="00595BF3">
              <w:rPr>
                <w:rFonts w:eastAsia="Calibri"/>
                <w:color w:val="000000"/>
                <w:sz w:val="20"/>
              </w:rPr>
              <w:t xml:space="preserve"> </w:t>
            </w:r>
            <w:r w:rsidRPr="00595BF3">
              <w:rPr>
                <w:rFonts w:eastAsia="Calibri"/>
                <w:sz w:val="20"/>
              </w:rPr>
              <w:t xml:space="preserve">Whether Presiding Officer’s correctly found that a strip search conducted by the respondent police officer was </w:t>
            </w:r>
            <w:r w:rsidRPr="00595BF3">
              <w:rPr>
                <w:rFonts w:eastAsia="Calibri"/>
                <w:color w:val="000000"/>
                <w:sz w:val="20"/>
              </w:rPr>
              <w:t>an unlawful or unnecessary exercise of authority</w:t>
            </w:r>
            <w:r w:rsidRPr="00595BF3">
              <w:rPr>
                <w:rFonts w:eastAsia="Calibri"/>
                <w:sz w:val="20"/>
              </w:rPr>
              <w:t xml:space="preserve"> – Test to determine whether a warrantless strip search was reasonable – Meaning of “reasonable and probable grounds” in context of a strip search – Role of police service policy in determining whether a strip search was reasonable.</w:t>
            </w:r>
          </w:p>
        </w:tc>
      </w:tr>
      <w:tr w:rsidR="00E0384B" w:rsidRPr="00595BF3" w:rsidTr="0080417A">
        <w:tc>
          <w:tcPr>
            <w:tcW w:w="5000" w:type="pct"/>
            <w:gridSpan w:val="3"/>
          </w:tcPr>
          <w:p w:rsidR="00E0384B" w:rsidRPr="00595BF3" w:rsidRDefault="00E0384B" w:rsidP="0080417A">
            <w:pPr>
              <w:jc w:val="both"/>
              <w:rPr>
                <w:rFonts w:eastAsia="Calibri"/>
                <w:sz w:val="20"/>
              </w:rPr>
            </w:pPr>
          </w:p>
        </w:tc>
      </w:tr>
      <w:tr w:rsidR="00E0384B" w:rsidRPr="00595BF3" w:rsidTr="0080417A">
        <w:tc>
          <w:tcPr>
            <w:tcW w:w="5000" w:type="pct"/>
            <w:gridSpan w:val="3"/>
          </w:tcPr>
          <w:p w:rsidR="00E0384B" w:rsidRPr="00595BF3" w:rsidRDefault="00E0384B" w:rsidP="0080417A">
            <w:pPr>
              <w:jc w:val="both"/>
              <w:rPr>
                <w:rFonts w:eastAsia="Calibri"/>
                <w:color w:val="000000"/>
                <w:sz w:val="20"/>
              </w:rPr>
            </w:pPr>
            <w:r w:rsidRPr="00595BF3">
              <w:rPr>
                <w:rFonts w:eastAsia="Calibri"/>
                <w:sz w:val="20"/>
              </w:rPr>
              <w:t xml:space="preserve">The respondent police officer and his partner encountered the complainant smoking marijuana in an alley behind a hotel.  The complainant was uncooperative and refused a frisk search.  He was arrested for possession of a controlled substance, taken to a police station, and directed by the respondent to remove his clothing down to his underwear.  The complainant complied and the respondent searched the complainant’s clothing. The respondent testified that the purpose of the search was to see if the complainant was in possession of more drugs.  The respondent acknowledged that he had no reason to believe that the complainant had more drugs, other than in his experience someone found smoking marihuana might possess more drugs.  The complainant was released without being charged.  </w:t>
            </w:r>
            <w:r w:rsidRPr="00595BF3">
              <w:rPr>
                <w:rFonts w:eastAsia="Calibri"/>
                <w:color w:val="000000"/>
                <w:sz w:val="20"/>
              </w:rPr>
              <w:t>The respondent was charged with the disciplinary offence of unlawful or unnecessary exercise of authority.</w:t>
            </w:r>
          </w:p>
          <w:p w:rsidR="00E0384B" w:rsidRPr="00595BF3" w:rsidRDefault="00E0384B" w:rsidP="0080417A">
            <w:pPr>
              <w:jc w:val="both"/>
              <w:rPr>
                <w:rFonts w:eastAsia="Calibri"/>
                <w:sz w:val="20"/>
              </w:rPr>
            </w:pPr>
          </w:p>
        </w:tc>
      </w:tr>
      <w:tr w:rsidR="00E0384B" w:rsidRPr="00595BF3" w:rsidTr="00C07D78">
        <w:tblPrEx>
          <w:tblCellMar>
            <w:bottom w:w="0" w:type="dxa"/>
          </w:tblCellMar>
        </w:tblPrEx>
        <w:trPr>
          <w:cantSplit/>
        </w:trPr>
        <w:tc>
          <w:tcPr>
            <w:tcW w:w="2390" w:type="pct"/>
          </w:tcPr>
          <w:p w:rsidR="00E0384B" w:rsidRPr="00595BF3" w:rsidRDefault="00E0384B" w:rsidP="0080417A">
            <w:pPr>
              <w:jc w:val="both"/>
              <w:rPr>
                <w:rFonts w:eastAsia="Calibri"/>
                <w:sz w:val="20"/>
              </w:rPr>
            </w:pPr>
            <w:r w:rsidRPr="00595BF3">
              <w:rPr>
                <w:rFonts w:eastAsia="Calibri"/>
                <w:sz w:val="20"/>
              </w:rPr>
              <w:t xml:space="preserve">September 1, 2009 </w:t>
            </w:r>
          </w:p>
          <w:p w:rsidR="00E0384B" w:rsidRPr="00595BF3" w:rsidRDefault="00E0384B" w:rsidP="0080417A">
            <w:pPr>
              <w:jc w:val="both"/>
              <w:rPr>
                <w:rFonts w:eastAsia="Calibri"/>
                <w:sz w:val="20"/>
              </w:rPr>
            </w:pPr>
            <w:r w:rsidRPr="00595BF3">
              <w:rPr>
                <w:rFonts w:eastAsia="Calibri"/>
                <w:sz w:val="20"/>
              </w:rPr>
              <w:t>Presiding Officer</w:t>
            </w:r>
          </w:p>
          <w:p w:rsidR="00E0384B" w:rsidRPr="00595BF3" w:rsidRDefault="00E0384B" w:rsidP="0080417A">
            <w:pPr>
              <w:jc w:val="both"/>
              <w:rPr>
                <w:rFonts w:eastAsia="Calibri"/>
                <w:sz w:val="20"/>
              </w:rPr>
            </w:pPr>
            <w:r w:rsidRPr="00595BF3">
              <w:rPr>
                <w:rFonts w:eastAsia="Calibri"/>
                <w:sz w:val="20"/>
              </w:rPr>
              <w:t xml:space="preserve">(Supt. Grue) </w:t>
            </w:r>
          </w:p>
          <w:p w:rsidR="00E0384B" w:rsidRPr="00595BF3" w:rsidRDefault="00E0384B" w:rsidP="0080417A">
            <w:pPr>
              <w:jc w:val="both"/>
              <w:rPr>
                <w:rFonts w:eastAsia="Calibri"/>
                <w:sz w:val="20"/>
              </w:rPr>
            </w:pPr>
          </w:p>
        </w:tc>
        <w:tc>
          <w:tcPr>
            <w:tcW w:w="270" w:type="pct"/>
          </w:tcPr>
          <w:p w:rsidR="00E0384B" w:rsidRPr="00595BF3" w:rsidRDefault="00E0384B" w:rsidP="0080417A">
            <w:pPr>
              <w:jc w:val="both"/>
              <w:rPr>
                <w:rFonts w:eastAsia="Calibri"/>
                <w:sz w:val="20"/>
              </w:rPr>
            </w:pPr>
          </w:p>
        </w:tc>
        <w:tc>
          <w:tcPr>
            <w:tcW w:w="2340" w:type="pct"/>
          </w:tcPr>
          <w:p w:rsidR="00E0384B" w:rsidRPr="00595BF3" w:rsidRDefault="00E0384B" w:rsidP="0080417A">
            <w:pPr>
              <w:jc w:val="both"/>
              <w:rPr>
                <w:rFonts w:eastAsia="Calibri"/>
                <w:color w:val="000000"/>
                <w:sz w:val="20"/>
              </w:rPr>
            </w:pPr>
            <w:r w:rsidRPr="00595BF3">
              <w:rPr>
                <w:rFonts w:eastAsia="Calibri"/>
                <w:sz w:val="20"/>
              </w:rPr>
              <w:t xml:space="preserve">Disciplinary decision that respondent committed </w:t>
            </w:r>
            <w:r w:rsidRPr="00595BF3">
              <w:rPr>
                <w:rFonts w:eastAsia="Calibri"/>
                <w:color w:val="000000"/>
                <w:sz w:val="20"/>
              </w:rPr>
              <w:t>unlawful or unnecessary exercise of authority and insubordination for failure to take notes</w:t>
            </w:r>
          </w:p>
          <w:p w:rsidR="00E0384B" w:rsidRPr="00595BF3" w:rsidRDefault="00E0384B" w:rsidP="0080417A">
            <w:pPr>
              <w:jc w:val="both"/>
              <w:rPr>
                <w:rFonts w:eastAsia="Calibri"/>
                <w:sz w:val="20"/>
              </w:rPr>
            </w:pPr>
          </w:p>
        </w:tc>
      </w:tr>
      <w:tr w:rsidR="00E0384B" w:rsidRPr="00595BF3" w:rsidTr="00C07D78">
        <w:tblPrEx>
          <w:tblCellMar>
            <w:bottom w:w="0" w:type="dxa"/>
          </w:tblCellMar>
        </w:tblPrEx>
        <w:trPr>
          <w:cantSplit/>
        </w:trPr>
        <w:tc>
          <w:tcPr>
            <w:tcW w:w="2390" w:type="pct"/>
          </w:tcPr>
          <w:p w:rsidR="00E0384B" w:rsidRPr="00595BF3" w:rsidRDefault="00E0384B" w:rsidP="0080417A">
            <w:pPr>
              <w:jc w:val="both"/>
              <w:rPr>
                <w:rFonts w:eastAsia="Calibri"/>
                <w:sz w:val="20"/>
              </w:rPr>
            </w:pPr>
            <w:r w:rsidRPr="00595BF3">
              <w:rPr>
                <w:rFonts w:eastAsia="Calibri"/>
                <w:sz w:val="20"/>
              </w:rPr>
              <w:t>August 2, 2011</w:t>
            </w:r>
          </w:p>
          <w:p w:rsidR="00E0384B" w:rsidRPr="00595BF3" w:rsidRDefault="00E0384B" w:rsidP="0080417A">
            <w:pPr>
              <w:jc w:val="both"/>
              <w:rPr>
                <w:rFonts w:eastAsia="Calibri"/>
                <w:sz w:val="20"/>
              </w:rPr>
            </w:pPr>
            <w:r w:rsidRPr="00595BF3">
              <w:rPr>
                <w:rFonts w:eastAsia="Calibri"/>
                <w:sz w:val="20"/>
              </w:rPr>
              <w:t>Law Enforcement Review Board</w:t>
            </w:r>
          </w:p>
          <w:p w:rsidR="00E0384B" w:rsidRPr="00595BF3" w:rsidRDefault="00E0384B" w:rsidP="0080417A">
            <w:pPr>
              <w:jc w:val="both"/>
              <w:rPr>
                <w:rFonts w:eastAsia="Calibri"/>
                <w:sz w:val="20"/>
              </w:rPr>
            </w:pPr>
            <w:r w:rsidRPr="00595BF3">
              <w:rPr>
                <w:rFonts w:eastAsia="Calibri"/>
                <w:sz w:val="20"/>
              </w:rPr>
              <w:t>(Chair Phillips and Mbr. Rolfe )</w:t>
            </w:r>
          </w:p>
          <w:p w:rsidR="00E0384B" w:rsidRPr="00595BF3" w:rsidRDefault="00E0384B" w:rsidP="0080417A">
            <w:pPr>
              <w:jc w:val="both"/>
              <w:rPr>
                <w:rFonts w:eastAsia="Calibri"/>
                <w:sz w:val="20"/>
              </w:rPr>
            </w:pPr>
            <w:r w:rsidRPr="00595BF3">
              <w:rPr>
                <w:rFonts w:eastAsia="Calibri"/>
                <w:sz w:val="20"/>
              </w:rPr>
              <w:t>020-2011</w:t>
            </w:r>
          </w:p>
          <w:p w:rsidR="00E0384B" w:rsidRPr="00595BF3" w:rsidRDefault="00E0384B" w:rsidP="0080417A">
            <w:pPr>
              <w:jc w:val="both"/>
              <w:rPr>
                <w:rFonts w:eastAsia="Calibri"/>
                <w:sz w:val="20"/>
              </w:rPr>
            </w:pPr>
          </w:p>
        </w:tc>
        <w:tc>
          <w:tcPr>
            <w:tcW w:w="270" w:type="pct"/>
          </w:tcPr>
          <w:p w:rsidR="00E0384B" w:rsidRPr="00595BF3" w:rsidRDefault="00E0384B" w:rsidP="0080417A">
            <w:pPr>
              <w:jc w:val="both"/>
              <w:rPr>
                <w:rFonts w:eastAsia="Calibri"/>
                <w:sz w:val="20"/>
              </w:rPr>
            </w:pPr>
          </w:p>
        </w:tc>
        <w:tc>
          <w:tcPr>
            <w:tcW w:w="2340" w:type="pct"/>
          </w:tcPr>
          <w:p w:rsidR="00E0384B" w:rsidRPr="00595BF3" w:rsidRDefault="00E0384B" w:rsidP="0080417A">
            <w:pPr>
              <w:jc w:val="both"/>
              <w:rPr>
                <w:rFonts w:eastAsia="Calibri"/>
                <w:sz w:val="20"/>
              </w:rPr>
            </w:pPr>
            <w:r w:rsidRPr="00595BF3">
              <w:rPr>
                <w:rFonts w:eastAsia="Calibri"/>
                <w:sz w:val="20"/>
              </w:rPr>
              <w:t xml:space="preserve">Presiding police officer’s finding of </w:t>
            </w:r>
            <w:r w:rsidRPr="00595BF3">
              <w:rPr>
                <w:rFonts w:eastAsia="Calibri"/>
                <w:color w:val="000000"/>
                <w:sz w:val="20"/>
              </w:rPr>
              <w:t>unlawful or unnecessary exercise of authority</w:t>
            </w:r>
            <w:r w:rsidRPr="00595BF3">
              <w:rPr>
                <w:rFonts w:eastAsia="Calibri"/>
                <w:sz w:val="20"/>
              </w:rPr>
              <w:t xml:space="preserve"> upheld</w:t>
            </w:r>
          </w:p>
          <w:p w:rsidR="00E0384B" w:rsidRPr="00595BF3" w:rsidRDefault="00E0384B" w:rsidP="0080417A">
            <w:pPr>
              <w:jc w:val="both"/>
              <w:rPr>
                <w:rFonts w:eastAsia="Calibri"/>
                <w:sz w:val="20"/>
              </w:rPr>
            </w:pPr>
          </w:p>
        </w:tc>
      </w:tr>
      <w:tr w:rsidR="00E0384B" w:rsidRPr="00595BF3" w:rsidTr="00C07D78">
        <w:tblPrEx>
          <w:tblCellMar>
            <w:bottom w:w="0" w:type="dxa"/>
          </w:tblCellMar>
        </w:tblPrEx>
        <w:trPr>
          <w:cantSplit/>
        </w:trPr>
        <w:tc>
          <w:tcPr>
            <w:tcW w:w="2390" w:type="pct"/>
          </w:tcPr>
          <w:p w:rsidR="00E0384B" w:rsidRPr="00595BF3" w:rsidRDefault="00E0384B" w:rsidP="0080417A">
            <w:pPr>
              <w:jc w:val="both"/>
              <w:rPr>
                <w:rFonts w:eastAsia="Calibri"/>
                <w:sz w:val="20"/>
              </w:rPr>
            </w:pPr>
            <w:r w:rsidRPr="00595BF3">
              <w:rPr>
                <w:rFonts w:eastAsia="Calibri"/>
                <w:sz w:val="20"/>
              </w:rPr>
              <w:t>May 31, 2013</w:t>
            </w:r>
          </w:p>
          <w:p w:rsidR="00E0384B" w:rsidRPr="00595BF3" w:rsidRDefault="00E0384B" w:rsidP="0080417A">
            <w:pPr>
              <w:jc w:val="both"/>
              <w:rPr>
                <w:rFonts w:eastAsia="Calibri"/>
                <w:sz w:val="20"/>
              </w:rPr>
            </w:pPr>
            <w:r w:rsidRPr="00595BF3">
              <w:rPr>
                <w:rFonts w:eastAsia="Calibri"/>
                <w:sz w:val="20"/>
              </w:rPr>
              <w:t>Court of Appeal of Alberta (Edmonton)</w:t>
            </w:r>
          </w:p>
          <w:p w:rsidR="00E0384B" w:rsidRPr="00595BF3" w:rsidRDefault="00E0384B" w:rsidP="0080417A">
            <w:pPr>
              <w:jc w:val="both"/>
              <w:rPr>
                <w:rFonts w:eastAsia="Calibri"/>
                <w:sz w:val="20"/>
              </w:rPr>
            </w:pPr>
            <w:r w:rsidRPr="00595BF3">
              <w:rPr>
                <w:rFonts w:eastAsia="Calibri"/>
                <w:sz w:val="20"/>
              </w:rPr>
              <w:t>(Picard, Slatter, Read JJ.A.)</w:t>
            </w:r>
          </w:p>
          <w:p w:rsidR="00E0384B" w:rsidRPr="00595BF3" w:rsidRDefault="00E0384B" w:rsidP="0080417A">
            <w:pPr>
              <w:jc w:val="both"/>
              <w:rPr>
                <w:rFonts w:eastAsia="Calibri"/>
                <w:sz w:val="20"/>
              </w:rPr>
            </w:pPr>
            <w:r w:rsidRPr="00595BF3">
              <w:rPr>
                <w:rFonts w:eastAsia="Calibri"/>
                <w:sz w:val="20"/>
              </w:rPr>
              <w:t>1103-0224-AC; 2013 ABCA 187</w:t>
            </w:r>
          </w:p>
          <w:p w:rsidR="00E0384B" w:rsidRPr="00595BF3" w:rsidRDefault="00E0384B" w:rsidP="0080417A">
            <w:pPr>
              <w:jc w:val="both"/>
              <w:rPr>
                <w:rFonts w:eastAsia="Calibri"/>
                <w:sz w:val="20"/>
              </w:rPr>
            </w:pPr>
          </w:p>
        </w:tc>
        <w:tc>
          <w:tcPr>
            <w:tcW w:w="270" w:type="pct"/>
          </w:tcPr>
          <w:p w:rsidR="00E0384B" w:rsidRPr="00595BF3" w:rsidRDefault="00E0384B" w:rsidP="0080417A">
            <w:pPr>
              <w:jc w:val="both"/>
              <w:rPr>
                <w:rFonts w:eastAsia="Calibri"/>
                <w:sz w:val="20"/>
              </w:rPr>
            </w:pPr>
          </w:p>
        </w:tc>
        <w:tc>
          <w:tcPr>
            <w:tcW w:w="2340" w:type="pct"/>
          </w:tcPr>
          <w:p w:rsidR="00E0384B" w:rsidRPr="00595BF3" w:rsidRDefault="00E0384B" w:rsidP="0080417A">
            <w:pPr>
              <w:jc w:val="both"/>
              <w:rPr>
                <w:rFonts w:eastAsia="Calibri"/>
                <w:sz w:val="20"/>
              </w:rPr>
            </w:pPr>
            <w:r w:rsidRPr="00595BF3">
              <w:rPr>
                <w:rFonts w:eastAsia="Calibri"/>
                <w:sz w:val="20"/>
              </w:rPr>
              <w:t xml:space="preserve">Appeal allowed, Matter of </w:t>
            </w:r>
            <w:r w:rsidRPr="00595BF3">
              <w:rPr>
                <w:rFonts w:eastAsia="Calibri"/>
                <w:color w:val="000000"/>
                <w:sz w:val="20"/>
              </w:rPr>
              <w:t xml:space="preserve">unlawful or unnecessary exercise of authority </w:t>
            </w:r>
            <w:r w:rsidRPr="00595BF3">
              <w:rPr>
                <w:rFonts w:eastAsia="Calibri"/>
                <w:sz w:val="20"/>
              </w:rPr>
              <w:t>remitted back to Law Enforcement Review Board for reconsideration</w:t>
            </w:r>
          </w:p>
          <w:p w:rsidR="00E0384B" w:rsidRPr="00595BF3" w:rsidRDefault="00E0384B" w:rsidP="0080417A">
            <w:pPr>
              <w:jc w:val="both"/>
              <w:rPr>
                <w:rFonts w:eastAsia="Calibri"/>
                <w:sz w:val="20"/>
              </w:rPr>
            </w:pPr>
          </w:p>
        </w:tc>
      </w:tr>
      <w:tr w:rsidR="00E0384B" w:rsidRPr="00595BF3" w:rsidTr="00C07D78">
        <w:tblPrEx>
          <w:tblCellMar>
            <w:bottom w:w="0" w:type="dxa"/>
          </w:tblCellMar>
        </w:tblPrEx>
        <w:trPr>
          <w:cantSplit/>
        </w:trPr>
        <w:tc>
          <w:tcPr>
            <w:tcW w:w="2390" w:type="pct"/>
          </w:tcPr>
          <w:p w:rsidR="00E0384B" w:rsidRPr="00595BF3" w:rsidRDefault="00E0384B" w:rsidP="0080417A">
            <w:pPr>
              <w:jc w:val="both"/>
              <w:rPr>
                <w:rFonts w:eastAsia="Calibri"/>
                <w:sz w:val="20"/>
              </w:rPr>
            </w:pPr>
            <w:r w:rsidRPr="00595BF3">
              <w:rPr>
                <w:rFonts w:eastAsia="Calibri"/>
                <w:sz w:val="20"/>
              </w:rPr>
              <w:t>August 30, 2013</w:t>
            </w:r>
          </w:p>
          <w:p w:rsidR="00E0384B" w:rsidRPr="00595BF3" w:rsidRDefault="00E0384B" w:rsidP="0080417A">
            <w:pPr>
              <w:jc w:val="both"/>
              <w:rPr>
                <w:rFonts w:eastAsia="Calibri"/>
                <w:sz w:val="20"/>
              </w:rPr>
            </w:pPr>
            <w:r w:rsidRPr="00595BF3">
              <w:rPr>
                <w:rFonts w:eastAsia="Calibri"/>
                <w:sz w:val="20"/>
              </w:rPr>
              <w:t>Supreme Court of Canada</w:t>
            </w:r>
          </w:p>
          <w:p w:rsidR="00E0384B" w:rsidRPr="00595BF3" w:rsidRDefault="00E0384B" w:rsidP="0080417A">
            <w:pPr>
              <w:jc w:val="both"/>
              <w:rPr>
                <w:rFonts w:eastAsia="Calibri"/>
                <w:sz w:val="20"/>
              </w:rPr>
            </w:pPr>
          </w:p>
        </w:tc>
        <w:tc>
          <w:tcPr>
            <w:tcW w:w="270" w:type="pct"/>
          </w:tcPr>
          <w:p w:rsidR="00E0384B" w:rsidRPr="00595BF3" w:rsidRDefault="00E0384B" w:rsidP="0080417A">
            <w:pPr>
              <w:jc w:val="both"/>
              <w:rPr>
                <w:rFonts w:eastAsia="Calibri"/>
                <w:sz w:val="20"/>
              </w:rPr>
            </w:pPr>
          </w:p>
        </w:tc>
        <w:tc>
          <w:tcPr>
            <w:tcW w:w="2340" w:type="pct"/>
          </w:tcPr>
          <w:p w:rsidR="00E0384B" w:rsidRPr="00595BF3" w:rsidRDefault="00E0384B" w:rsidP="0080417A">
            <w:pPr>
              <w:jc w:val="both"/>
              <w:rPr>
                <w:rFonts w:eastAsia="Calibri"/>
                <w:sz w:val="20"/>
              </w:rPr>
            </w:pPr>
            <w:r w:rsidRPr="00595BF3">
              <w:rPr>
                <w:rFonts w:eastAsia="Calibri"/>
                <w:sz w:val="20"/>
              </w:rPr>
              <w:t xml:space="preserve">Application for leave to appeal </w:t>
            </w:r>
          </w:p>
          <w:p w:rsidR="00E0384B" w:rsidRPr="00595BF3" w:rsidRDefault="00E0384B" w:rsidP="0080417A">
            <w:pPr>
              <w:jc w:val="both"/>
              <w:rPr>
                <w:rFonts w:eastAsia="Calibri"/>
                <w:sz w:val="20"/>
              </w:rPr>
            </w:pPr>
          </w:p>
        </w:tc>
      </w:tr>
      <w:tr w:rsidR="00E0384B" w:rsidRPr="00595BF3" w:rsidTr="00C07D78">
        <w:tblPrEx>
          <w:tblCellMar>
            <w:bottom w:w="0" w:type="dxa"/>
          </w:tblCellMar>
        </w:tblPrEx>
        <w:trPr>
          <w:cantSplit/>
        </w:trPr>
        <w:tc>
          <w:tcPr>
            <w:tcW w:w="2390" w:type="pct"/>
          </w:tcPr>
          <w:p w:rsidR="00E0384B" w:rsidRPr="00595BF3" w:rsidRDefault="00E0384B" w:rsidP="0080417A">
            <w:pPr>
              <w:jc w:val="both"/>
              <w:rPr>
                <w:rFonts w:eastAsia="Calibri"/>
                <w:sz w:val="20"/>
              </w:rPr>
            </w:pPr>
            <w:r w:rsidRPr="00595BF3">
              <w:rPr>
                <w:rFonts w:eastAsia="Calibri"/>
                <w:sz w:val="20"/>
              </w:rPr>
              <w:t xml:space="preserve">September 26, 2013 </w:t>
            </w:r>
          </w:p>
          <w:p w:rsidR="00E0384B" w:rsidRPr="00595BF3" w:rsidRDefault="00E0384B" w:rsidP="0080417A">
            <w:pPr>
              <w:jc w:val="both"/>
              <w:rPr>
                <w:rFonts w:eastAsia="Calibri"/>
                <w:sz w:val="20"/>
              </w:rPr>
            </w:pPr>
            <w:r w:rsidRPr="00595BF3">
              <w:rPr>
                <w:rFonts w:eastAsia="Calibri"/>
                <w:sz w:val="20"/>
              </w:rPr>
              <w:t>Supreme Court of Canada</w:t>
            </w:r>
          </w:p>
          <w:p w:rsidR="00E0384B" w:rsidRPr="00595BF3" w:rsidRDefault="00E0384B" w:rsidP="0080417A">
            <w:pPr>
              <w:jc w:val="both"/>
              <w:rPr>
                <w:rFonts w:eastAsia="Calibri"/>
                <w:sz w:val="20"/>
              </w:rPr>
            </w:pPr>
          </w:p>
        </w:tc>
        <w:tc>
          <w:tcPr>
            <w:tcW w:w="270" w:type="pct"/>
          </w:tcPr>
          <w:p w:rsidR="00E0384B" w:rsidRPr="00595BF3" w:rsidRDefault="00E0384B" w:rsidP="0080417A">
            <w:pPr>
              <w:jc w:val="both"/>
              <w:rPr>
                <w:rFonts w:eastAsia="Calibri"/>
                <w:sz w:val="20"/>
              </w:rPr>
            </w:pPr>
          </w:p>
        </w:tc>
        <w:tc>
          <w:tcPr>
            <w:tcW w:w="2340" w:type="pct"/>
          </w:tcPr>
          <w:p w:rsidR="00E0384B" w:rsidRPr="00595BF3" w:rsidRDefault="00E0384B" w:rsidP="0080417A">
            <w:pPr>
              <w:jc w:val="both"/>
              <w:rPr>
                <w:rFonts w:eastAsia="Calibri"/>
                <w:sz w:val="20"/>
              </w:rPr>
            </w:pPr>
            <w:r w:rsidRPr="00595BF3">
              <w:rPr>
                <w:rFonts w:eastAsia="Calibri"/>
                <w:sz w:val="20"/>
              </w:rPr>
              <w:t>Motion to be added as party filed</w:t>
            </w:r>
          </w:p>
          <w:p w:rsidR="00E0384B" w:rsidRPr="00595BF3" w:rsidRDefault="00E0384B" w:rsidP="0080417A">
            <w:pPr>
              <w:jc w:val="both"/>
              <w:rPr>
                <w:rFonts w:eastAsia="Calibri"/>
                <w:sz w:val="20"/>
              </w:rPr>
            </w:pPr>
          </w:p>
        </w:tc>
      </w:tr>
      <w:tr w:rsidR="00E0384B" w:rsidRPr="00595BF3" w:rsidTr="00C07D78">
        <w:tblPrEx>
          <w:tblCellMar>
            <w:bottom w:w="0" w:type="dxa"/>
          </w:tblCellMar>
        </w:tblPrEx>
        <w:trPr>
          <w:cantSplit/>
        </w:trPr>
        <w:tc>
          <w:tcPr>
            <w:tcW w:w="2390" w:type="pct"/>
          </w:tcPr>
          <w:p w:rsidR="00E0384B" w:rsidRPr="00595BF3" w:rsidRDefault="00E0384B" w:rsidP="0080417A">
            <w:pPr>
              <w:jc w:val="both"/>
              <w:rPr>
                <w:rFonts w:eastAsia="Calibri"/>
                <w:sz w:val="20"/>
              </w:rPr>
            </w:pPr>
            <w:r w:rsidRPr="00595BF3">
              <w:rPr>
                <w:rFonts w:eastAsia="Calibri"/>
                <w:sz w:val="20"/>
              </w:rPr>
              <w:t xml:space="preserve">October 1, 2013 </w:t>
            </w:r>
          </w:p>
          <w:p w:rsidR="00E0384B" w:rsidRPr="00595BF3" w:rsidRDefault="00E0384B" w:rsidP="0080417A">
            <w:pPr>
              <w:jc w:val="both"/>
              <w:rPr>
                <w:rFonts w:eastAsia="Calibri"/>
                <w:sz w:val="20"/>
              </w:rPr>
            </w:pPr>
            <w:r w:rsidRPr="00595BF3">
              <w:rPr>
                <w:rFonts w:eastAsia="Calibri"/>
                <w:sz w:val="20"/>
              </w:rPr>
              <w:t>Supreme Court of Canada</w:t>
            </w:r>
          </w:p>
        </w:tc>
        <w:tc>
          <w:tcPr>
            <w:tcW w:w="270" w:type="pct"/>
          </w:tcPr>
          <w:p w:rsidR="00E0384B" w:rsidRPr="00595BF3" w:rsidRDefault="00E0384B" w:rsidP="0080417A">
            <w:pPr>
              <w:jc w:val="both"/>
              <w:rPr>
                <w:rFonts w:eastAsia="Calibri"/>
                <w:sz w:val="20"/>
              </w:rPr>
            </w:pPr>
          </w:p>
        </w:tc>
        <w:tc>
          <w:tcPr>
            <w:tcW w:w="2340" w:type="pct"/>
          </w:tcPr>
          <w:p w:rsidR="00E0384B" w:rsidRPr="00595BF3" w:rsidRDefault="00E0384B" w:rsidP="0080417A">
            <w:pPr>
              <w:jc w:val="both"/>
              <w:rPr>
                <w:rFonts w:eastAsia="Calibri"/>
                <w:sz w:val="20"/>
              </w:rPr>
            </w:pPr>
            <w:r w:rsidRPr="00595BF3">
              <w:rPr>
                <w:rFonts w:eastAsia="Calibri"/>
                <w:sz w:val="20"/>
              </w:rPr>
              <w:t>Motion to be added as party filed</w:t>
            </w:r>
          </w:p>
        </w:tc>
      </w:tr>
    </w:tbl>
    <w:p w:rsidR="0083449C" w:rsidRDefault="0083449C" w:rsidP="0083449C">
      <w:pPr>
        <w:rPr>
          <w:sz w:val="20"/>
          <w:szCs w:val="20"/>
        </w:rPr>
      </w:pPr>
    </w:p>
    <w:p w:rsidR="0083449C" w:rsidRPr="00C50A5C" w:rsidRDefault="00E7787D" w:rsidP="0083449C">
      <w:pPr>
        <w:rPr>
          <w:sz w:val="20"/>
          <w:szCs w:val="20"/>
        </w:rPr>
      </w:pPr>
      <w:r>
        <w:rPr>
          <w:sz w:val="20"/>
          <w:szCs w:val="20"/>
          <w:lang w:val="fr-CA"/>
        </w:rPr>
        <w:pict>
          <v:rect id="_x0000_i1042" style="width:2in;height:1pt" o:hrpct="0" o:hralign="center" o:hrstd="t" o:hrnoshade="t" o:hr="t" fillcolor="black [3213]" stroked="f"/>
        </w:pict>
      </w:r>
    </w:p>
    <w:p w:rsidR="0083449C" w:rsidRDefault="0083449C" w:rsidP="0083449C">
      <w:pPr>
        <w:rPr>
          <w:sz w:val="20"/>
          <w:szCs w:val="20"/>
        </w:rPr>
      </w:pPr>
    </w:p>
    <w:p w:rsidR="0083449C" w:rsidRPr="001B157C" w:rsidRDefault="0083449C" w:rsidP="0083449C">
      <w:pPr>
        <w:rPr>
          <w:sz w:val="20"/>
          <w:szCs w:val="20"/>
          <w:u w:val="single"/>
          <w:lang w:val="fr-CA"/>
        </w:rPr>
      </w:pPr>
      <w:r w:rsidRPr="001B157C">
        <w:rPr>
          <w:sz w:val="20"/>
          <w:szCs w:val="20"/>
          <w:u w:val="single"/>
          <w:lang w:val="fr-CA"/>
        </w:rPr>
        <w:t>RÉSUMÉ DE L’AFFAIRE</w:t>
      </w:r>
    </w:p>
    <w:p w:rsidR="0083449C" w:rsidRDefault="0083449C" w:rsidP="0083449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554"/>
        <w:gridCol w:w="514"/>
        <w:gridCol w:w="4459"/>
      </w:tblGrid>
      <w:tr w:rsidR="00E0384B" w:rsidRPr="00B52C2C" w:rsidTr="0080417A">
        <w:tc>
          <w:tcPr>
            <w:tcW w:w="5000" w:type="pct"/>
            <w:gridSpan w:val="3"/>
          </w:tcPr>
          <w:p w:rsidR="00E0384B" w:rsidRPr="00595BF3" w:rsidRDefault="00E0384B" w:rsidP="0080417A">
            <w:pPr>
              <w:jc w:val="both"/>
              <w:rPr>
                <w:rFonts w:eastAsia="Calibri"/>
                <w:sz w:val="20"/>
                <w:lang w:val="fr-CA"/>
              </w:rPr>
            </w:pPr>
            <w:r w:rsidRPr="00595BF3">
              <w:rPr>
                <w:rFonts w:eastAsia="Calibri"/>
                <w:sz w:val="20"/>
                <w:lang w:val="fr-CA"/>
              </w:rPr>
              <w:t>Droit administratif – Imposition d’une mesure disciplinaire à un policier –</w:t>
            </w:r>
            <w:r w:rsidRPr="00595BF3">
              <w:rPr>
                <w:rFonts w:eastAsia="Calibri"/>
                <w:color w:val="000000"/>
                <w:sz w:val="20"/>
                <w:lang w:val="fr-CA"/>
              </w:rPr>
              <w:t xml:space="preserve"> L’officier désigné comme président a-t-il conclu à juste titre qu’une fouille à nu effectuée par le policier intimé constituait un exercice illégal ou inutile de son pouvoir?</w:t>
            </w:r>
            <w:r w:rsidRPr="00595BF3">
              <w:rPr>
                <w:rFonts w:eastAsia="Calibri"/>
                <w:sz w:val="20"/>
                <w:lang w:val="fr-CA"/>
              </w:rPr>
              <w:t xml:space="preserve"> – Critère servant à déterminer le caractère raisonnable d’une fouille à nu effectuée sans mandat – Sens de « motifs raisonnables et probables » dans le contexte d’une fouille à nu – Rôle joué par la politique du service de police dans la détermination du caractère raisonnable d’une fouille à nu.</w:t>
            </w:r>
          </w:p>
        </w:tc>
      </w:tr>
      <w:tr w:rsidR="00E0384B" w:rsidRPr="00B52C2C" w:rsidTr="0080417A">
        <w:tc>
          <w:tcPr>
            <w:tcW w:w="5000" w:type="pct"/>
            <w:gridSpan w:val="3"/>
          </w:tcPr>
          <w:p w:rsidR="00E0384B" w:rsidRPr="00595BF3" w:rsidRDefault="00E0384B" w:rsidP="0080417A">
            <w:pPr>
              <w:jc w:val="both"/>
              <w:rPr>
                <w:rFonts w:eastAsia="Calibri"/>
                <w:sz w:val="20"/>
                <w:lang w:val="fr-CA"/>
              </w:rPr>
            </w:pPr>
          </w:p>
        </w:tc>
      </w:tr>
      <w:tr w:rsidR="00E0384B" w:rsidRPr="00B52C2C" w:rsidTr="0080417A">
        <w:tc>
          <w:tcPr>
            <w:tcW w:w="5000" w:type="pct"/>
            <w:gridSpan w:val="3"/>
          </w:tcPr>
          <w:p w:rsidR="00E0384B" w:rsidRPr="00595BF3" w:rsidRDefault="00E0384B" w:rsidP="0080417A">
            <w:pPr>
              <w:jc w:val="both"/>
              <w:rPr>
                <w:rFonts w:eastAsia="Calibri"/>
                <w:color w:val="000000"/>
                <w:sz w:val="20"/>
                <w:lang w:val="fr-CA"/>
              </w:rPr>
            </w:pPr>
            <w:r w:rsidRPr="00595BF3">
              <w:rPr>
                <w:rFonts w:eastAsia="Calibri"/>
                <w:sz w:val="20"/>
                <w:lang w:val="fr-CA"/>
              </w:rPr>
              <w:t xml:space="preserve">Le policier intimé et son partenaire ont aperçu le plaignant en train de fumer de la marihuana dans une ruelle située derrière un hôtel.  Le plaignant ne coopérait pas et a refusé de se soumettre à une fouille par palpation.  Il a été arrêté pour possession d’une substance réglementée, emmené au poste de police et sommé par l’intimé d’enlever ses vêtements sauf son caleçon.  Le plaignant a obtempéré et l’intimé a fouillé ses vêtements.  L’intimé a affirmé que l’objet de la fouille était de vérifier si le plaignant était en possession d’autres drogues.  L’intimé a admis ne pas avoir </w:t>
            </w:r>
            <w:r w:rsidRPr="00595BF3">
              <w:rPr>
                <w:rFonts w:eastAsia="Calibri"/>
                <w:sz w:val="20"/>
                <w:lang w:val="fr-CA"/>
              </w:rPr>
              <w:lastRenderedPageBreak/>
              <w:t xml:space="preserve">de raison de croire que c’était le cas, à part le fait que, d’après son expérience, une personne vue en train de fumer de la marihuana pourrait avoir d’autres drogues en sa possession.  Le plaignant a été remis en liberté sans qu’aucune accusation ne soit portée contre lui.  Quant à l’intimé, il a été inculpé d’exercice illégal ou inutile de pouvoir, une infraction disciplinaire. </w:t>
            </w:r>
          </w:p>
          <w:p w:rsidR="00E0384B" w:rsidRPr="00595BF3" w:rsidRDefault="00E0384B" w:rsidP="0080417A">
            <w:pPr>
              <w:jc w:val="both"/>
              <w:rPr>
                <w:rFonts w:eastAsia="Calibri"/>
                <w:sz w:val="20"/>
                <w:lang w:val="fr-CA"/>
              </w:rPr>
            </w:pPr>
          </w:p>
        </w:tc>
      </w:tr>
      <w:tr w:rsidR="00E0384B" w:rsidRPr="00B52C2C" w:rsidTr="0080417A">
        <w:tblPrEx>
          <w:tblCellMar>
            <w:bottom w:w="0" w:type="dxa"/>
          </w:tblCellMar>
        </w:tblPrEx>
        <w:tc>
          <w:tcPr>
            <w:tcW w:w="2390" w:type="pct"/>
          </w:tcPr>
          <w:p w:rsidR="00E0384B" w:rsidRPr="00595BF3" w:rsidRDefault="00E0384B" w:rsidP="0080417A">
            <w:pPr>
              <w:jc w:val="both"/>
              <w:rPr>
                <w:rFonts w:eastAsia="Calibri"/>
                <w:sz w:val="20"/>
                <w:lang w:val="fr-CA"/>
              </w:rPr>
            </w:pPr>
            <w:r w:rsidRPr="00595BF3">
              <w:rPr>
                <w:rFonts w:eastAsia="Calibri"/>
                <w:sz w:val="20"/>
                <w:lang w:val="fr-CA"/>
              </w:rPr>
              <w:lastRenderedPageBreak/>
              <w:t>1</w:t>
            </w:r>
            <w:r w:rsidRPr="00595BF3">
              <w:rPr>
                <w:rFonts w:eastAsia="Calibri"/>
                <w:sz w:val="20"/>
                <w:vertAlign w:val="superscript"/>
                <w:lang w:val="fr-CA"/>
              </w:rPr>
              <w:t>er</w:t>
            </w:r>
            <w:r w:rsidRPr="00595BF3">
              <w:rPr>
                <w:rFonts w:eastAsia="Calibri"/>
                <w:sz w:val="20"/>
                <w:lang w:val="fr-CA"/>
              </w:rPr>
              <w:t xml:space="preserve"> septembre 2009 </w:t>
            </w:r>
          </w:p>
          <w:p w:rsidR="00E0384B" w:rsidRPr="00595BF3" w:rsidRDefault="00E0384B" w:rsidP="0080417A">
            <w:pPr>
              <w:jc w:val="both"/>
              <w:rPr>
                <w:rFonts w:eastAsia="Calibri"/>
                <w:sz w:val="20"/>
                <w:lang w:val="fr-CA"/>
              </w:rPr>
            </w:pPr>
            <w:r w:rsidRPr="00595BF3">
              <w:rPr>
                <w:rFonts w:eastAsia="Calibri"/>
                <w:sz w:val="20"/>
                <w:lang w:val="fr-CA"/>
              </w:rPr>
              <w:t>Officier désigné comme président</w:t>
            </w:r>
          </w:p>
          <w:p w:rsidR="00E0384B" w:rsidRPr="00595BF3" w:rsidRDefault="00E0384B" w:rsidP="0080417A">
            <w:pPr>
              <w:jc w:val="both"/>
              <w:rPr>
                <w:rFonts w:eastAsia="Calibri"/>
                <w:sz w:val="20"/>
              </w:rPr>
            </w:pPr>
            <w:r w:rsidRPr="00595BF3">
              <w:rPr>
                <w:rFonts w:eastAsia="Calibri"/>
                <w:sz w:val="20"/>
              </w:rPr>
              <w:t xml:space="preserve">(Surintendant Grue) </w:t>
            </w:r>
          </w:p>
          <w:p w:rsidR="00E0384B" w:rsidRPr="00595BF3" w:rsidRDefault="00E0384B" w:rsidP="0080417A">
            <w:pPr>
              <w:jc w:val="both"/>
              <w:rPr>
                <w:rFonts w:eastAsia="Calibri"/>
                <w:sz w:val="20"/>
              </w:rPr>
            </w:pPr>
          </w:p>
        </w:tc>
        <w:tc>
          <w:tcPr>
            <w:tcW w:w="270" w:type="pct"/>
          </w:tcPr>
          <w:p w:rsidR="00E0384B" w:rsidRPr="00595BF3" w:rsidRDefault="00E0384B" w:rsidP="0080417A">
            <w:pPr>
              <w:jc w:val="both"/>
              <w:rPr>
                <w:rFonts w:eastAsia="Calibri"/>
                <w:sz w:val="20"/>
              </w:rPr>
            </w:pPr>
          </w:p>
        </w:tc>
        <w:tc>
          <w:tcPr>
            <w:tcW w:w="2340" w:type="pct"/>
          </w:tcPr>
          <w:p w:rsidR="00E0384B" w:rsidRPr="00595BF3" w:rsidRDefault="00E0384B" w:rsidP="0080417A">
            <w:pPr>
              <w:jc w:val="both"/>
              <w:rPr>
                <w:rFonts w:eastAsia="Calibri"/>
                <w:color w:val="000000"/>
                <w:sz w:val="20"/>
                <w:lang w:val="fr-CA"/>
              </w:rPr>
            </w:pPr>
            <w:r w:rsidRPr="00595BF3">
              <w:rPr>
                <w:rFonts w:eastAsia="Calibri"/>
                <w:sz w:val="20"/>
                <w:lang w:val="fr-CA"/>
              </w:rPr>
              <w:t xml:space="preserve">Décision disciplinaire selon laquelle l’intimé a exercé illégalement ou inutilement son pouvoir et fait preuve d’insubordination en ne prenant pas de notes </w:t>
            </w:r>
          </w:p>
          <w:p w:rsidR="00E0384B" w:rsidRPr="00595BF3" w:rsidRDefault="00E0384B" w:rsidP="0080417A">
            <w:pPr>
              <w:jc w:val="both"/>
              <w:rPr>
                <w:rFonts w:eastAsia="Calibri"/>
                <w:sz w:val="20"/>
                <w:lang w:val="fr-CA"/>
              </w:rPr>
            </w:pPr>
          </w:p>
        </w:tc>
      </w:tr>
      <w:tr w:rsidR="00E0384B" w:rsidRPr="00B52C2C" w:rsidTr="0080417A">
        <w:tblPrEx>
          <w:tblCellMar>
            <w:bottom w:w="0" w:type="dxa"/>
          </w:tblCellMar>
        </w:tblPrEx>
        <w:tc>
          <w:tcPr>
            <w:tcW w:w="2390" w:type="pct"/>
          </w:tcPr>
          <w:p w:rsidR="00E0384B" w:rsidRPr="00595BF3" w:rsidRDefault="00E0384B" w:rsidP="0080417A">
            <w:pPr>
              <w:jc w:val="both"/>
              <w:rPr>
                <w:rFonts w:eastAsia="Calibri"/>
                <w:sz w:val="20"/>
              </w:rPr>
            </w:pPr>
            <w:r w:rsidRPr="00595BF3">
              <w:rPr>
                <w:rFonts w:eastAsia="Calibri"/>
                <w:sz w:val="20"/>
              </w:rPr>
              <w:t>2 août 2011</w:t>
            </w:r>
          </w:p>
          <w:p w:rsidR="00E0384B" w:rsidRPr="00595BF3" w:rsidRDefault="00E0384B" w:rsidP="0080417A">
            <w:pPr>
              <w:jc w:val="both"/>
              <w:rPr>
                <w:rFonts w:eastAsia="Calibri"/>
                <w:sz w:val="20"/>
              </w:rPr>
            </w:pPr>
            <w:r w:rsidRPr="00595BF3">
              <w:rPr>
                <w:rFonts w:eastAsia="Calibri"/>
                <w:sz w:val="20"/>
              </w:rPr>
              <w:t>Law Enforcement Review Board</w:t>
            </w:r>
          </w:p>
          <w:p w:rsidR="00E0384B" w:rsidRPr="00595BF3" w:rsidRDefault="00E0384B" w:rsidP="0080417A">
            <w:pPr>
              <w:jc w:val="both"/>
              <w:rPr>
                <w:rFonts w:eastAsia="Calibri"/>
                <w:sz w:val="20"/>
                <w:lang w:val="fr-CA"/>
              </w:rPr>
            </w:pPr>
            <w:r w:rsidRPr="00595BF3">
              <w:rPr>
                <w:rFonts w:eastAsia="Calibri"/>
                <w:sz w:val="20"/>
                <w:lang w:val="fr-CA"/>
              </w:rPr>
              <w:t>(Président Phillips et membre Rolfe )</w:t>
            </w:r>
          </w:p>
          <w:p w:rsidR="00E0384B" w:rsidRPr="00595BF3" w:rsidRDefault="00E0384B" w:rsidP="0080417A">
            <w:pPr>
              <w:jc w:val="both"/>
              <w:rPr>
                <w:rFonts w:eastAsia="Calibri"/>
                <w:sz w:val="20"/>
                <w:lang w:val="fr-CA"/>
              </w:rPr>
            </w:pPr>
            <w:r w:rsidRPr="00595BF3">
              <w:rPr>
                <w:rFonts w:eastAsia="Calibri"/>
                <w:sz w:val="20"/>
                <w:lang w:val="fr-CA"/>
              </w:rPr>
              <w:t>020-2011</w:t>
            </w:r>
          </w:p>
          <w:p w:rsidR="00E0384B" w:rsidRPr="00595BF3" w:rsidRDefault="00E0384B" w:rsidP="0080417A">
            <w:pPr>
              <w:jc w:val="both"/>
              <w:rPr>
                <w:rFonts w:eastAsia="Calibri"/>
                <w:sz w:val="20"/>
                <w:lang w:val="fr-CA"/>
              </w:rPr>
            </w:pPr>
          </w:p>
        </w:tc>
        <w:tc>
          <w:tcPr>
            <w:tcW w:w="270" w:type="pct"/>
          </w:tcPr>
          <w:p w:rsidR="00E0384B" w:rsidRPr="00595BF3" w:rsidRDefault="00E0384B" w:rsidP="0080417A">
            <w:pPr>
              <w:jc w:val="both"/>
              <w:rPr>
                <w:rFonts w:eastAsia="Calibri"/>
                <w:sz w:val="20"/>
                <w:lang w:val="fr-CA"/>
              </w:rPr>
            </w:pPr>
          </w:p>
        </w:tc>
        <w:tc>
          <w:tcPr>
            <w:tcW w:w="2340" w:type="pct"/>
          </w:tcPr>
          <w:p w:rsidR="00E0384B" w:rsidRPr="00595BF3" w:rsidRDefault="00E0384B" w:rsidP="0080417A">
            <w:pPr>
              <w:jc w:val="both"/>
              <w:rPr>
                <w:rFonts w:eastAsia="Calibri"/>
                <w:sz w:val="20"/>
                <w:lang w:val="fr-CA"/>
              </w:rPr>
            </w:pPr>
            <w:r w:rsidRPr="00595BF3">
              <w:rPr>
                <w:rFonts w:eastAsia="Calibri"/>
                <w:sz w:val="20"/>
                <w:lang w:val="fr-CA"/>
              </w:rPr>
              <w:t xml:space="preserve">Conclusion de l’officier désigné comme président à l’exercice illégal ou inutile de pouvoir, confirmée </w:t>
            </w:r>
          </w:p>
          <w:p w:rsidR="00E0384B" w:rsidRPr="00595BF3" w:rsidRDefault="00E0384B" w:rsidP="0080417A">
            <w:pPr>
              <w:jc w:val="both"/>
              <w:rPr>
                <w:rFonts w:eastAsia="Calibri"/>
                <w:sz w:val="20"/>
                <w:lang w:val="fr-CA"/>
              </w:rPr>
            </w:pPr>
          </w:p>
        </w:tc>
      </w:tr>
      <w:tr w:rsidR="00E0384B" w:rsidRPr="00B52C2C" w:rsidTr="00C07D78">
        <w:tblPrEx>
          <w:tblCellMar>
            <w:bottom w:w="0" w:type="dxa"/>
          </w:tblCellMar>
        </w:tblPrEx>
        <w:trPr>
          <w:cantSplit/>
        </w:trPr>
        <w:tc>
          <w:tcPr>
            <w:tcW w:w="2390" w:type="pct"/>
          </w:tcPr>
          <w:p w:rsidR="00E0384B" w:rsidRPr="00595BF3" w:rsidRDefault="00E0384B" w:rsidP="0080417A">
            <w:pPr>
              <w:jc w:val="both"/>
              <w:rPr>
                <w:rFonts w:eastAsia="Calibri"/>
                <w:sz w:val="20"/>
                <w:lang w:val="fr-CA"/>
              </w:rPr>
            </w:pPr>
            <w:r w:rsidRPr="00595BF3">
              <w:rPr>
                <w:rFonts w:eastAsia="Calibri"/>
                <w:sz w:val="20"/>
                <w:lang w:val="fr-CA"/>
              </w:rPr>
              <w:t>31 mai 2013</w:t>
            </w:r>
          </w:p>
          <w:p w:rsidR="00E0384B" w:rsidRPr="00595BF3" w:rsidRDefault="00E0384B" w:rsidP="0080417A">
            <w:pPr>
              <w:jc w:val="both"/>
              <w:rPr>
                <w:rFonts w:eastAsia="Calibri"/>
                <w:sz w:val="20"/>
                <w:lang w:val="fr-CA"/>
              </w:rPr>
            </w:pPr>
            <w:r w:rsidRPr="00595BF3">
              <w:rPr>
                <w:rFonts w:eastAsia="Calibri"/>
                <w:sz w:val="20"/>
                <w:lang w:val="fr-CA"/>
              </w:rPr>
              <w:t>Cour d’appel de l’Alberta (Edmonton)</w:t>
            </w:r>
          </w:p>
          <w:p w:rsidR="00E0384B" w:rsidRPr="00595BF3" w:rsidRDefault="00E0384B" w:rsidP="0080417A">
            <w:pPr>
              <w:jc w:val="both"/>
              <w:rPr>
                <w:rFonts w:eastAsia="Calibri"/>
                <w:sz w:val="20"/>
              </w:rPr>
            </w:pPr>
            <w:r w:rsidRPr="00595BF3">
              <w:rPr>
                <w:rFonts w:eastAsia="Calibri"/>
                <w:sz w:val="20"/>
              </w:rPr>
              <w:t>(Juges Picard, Slatter et Read)</w:t>
            </w:r>
          </w:p>
          <w:p w:rsidR="00E0384B" w:rsidRPr="00595BF3" w:rsidRDefault="00E0384B" w:rsidP="0080417A">
            <w:pPr>
              <w:jc w:val="both"/>
              <w:rPr>
                <w:rFonts w:eastAsia="Calibri"/>
                <w:sz w:val="20"/>
              </w:rPr>
            </w:pPr>
            <w:r w:rsidRPr="00595BF3">
              <w:rPr>
                <w:rFonts w:eastAsia="Calibri"/>
                <w:sz w:val="20"/>
              </w:rPr>
              <w:t>1103-0224-AC; 2013 ABCA 187</w:t>
            </w:r>
          </w:p>
          <w:p w:rsidR="00E0384B" w:rsidRPr="00595BF3" w:rsidRDefault="00E0384B" w:rsidP="0080417A">
            <w:pPr>
              <w:jc w:val="both"/>
              <w:rPr>
                <w:rFonts w:eastAsia="Calibri"/>
                <w:sz w:val="20"/>
              </w:rPr>
            </w:pPr>
          </w:p>
        </w:tc>
        <w:tc>
          <w:tcPr>
            <w:tcW w:w="270" w:type="pct"/>
          </w:tcPr>
          <w:p w:rsidR="00E0384B" w:rsidRPr="00595BF3" w:rsidRDefault="00E0384B" w:rsidP="0080417A">
            <w:pPr>
              <w:jc w:val="both"/>
              <w:rPr>
                <w:rFonts w:eastAsia="Calibri"/>
                <w:sz w:val="20"/>
              </w:rPr>
            </w:pPr>
          </w:p>
        </w:tc>
        <w:tc>
          <w:tcPr>
            <w:tcW w:w="2340" w:type="pct"/>
          </w:tcPr>
          <w:p w:rsidR="00E0384B" w:rsidRPr="00595BF3" w:rsidRDefault="00E0384B" w:rsidP="0080417A">
            <w:pPr>
              <w:jc w:val="both"/>
              <w:rPr>
                <w:rFonts w:eastAsia="Calibri"/>
                <w:sz w:val="20"/>
                <w:lang w:val="fr-CA"/>
              </w:rPr>
            </w:pPr>
            <w:r w:rsidRPr="00595BF3">
              <w:rPr>
                <w:rFonts w:eastAsia="Calibri"/>
                <w:sz w:val="20"/>
                <w:lang w:val="fr-CA"/>
              </w:rPr>
              <w:t xml:space="preserve">Appel accueilli, question de l’exercice illégal ou inutile de pouvoir renvoyée pour réexamen au bureau d’enquête sur l’application de la loi </w:t>
            </w:r>
          </w:p>
          <w:p w:rsidR="00E0384B" w:rsidRPr="00595BF3" w:rsidRDefault="00E0384B" w:rsidP="0080417A">
            <w:pPr>
              <w:jc w:val="both"/>
              <w:rPr>
                <w:rFonts w:eastAsia="Calibri"/>
                <w:sz w:val="20"/>
                <w:lang w:val="fr-CA"/>
              </w:rPr>
            </w:pPr>
          </w:p>
        </w:tc>
      </w:tr>
      <w:tr w:rsidR="00E0384B" w:rsidRPr="00595BF3" w:rsidTr="00C07D78">
        <w:tblPrEx>
          <w:tblCellMar>
            <w:bottom w:w="0" w:type="dxa"/>
          </w:tblCellMar>
        </w:tblPrEx>
        <w:trPr>
          <w:cantSplit/>
        </w:trPr>
        <w:tc>
          <w:tcPr>
            <w:tcW w:w="2390" w:type="pct"/>
          </w:tcPr>
          <w:p w:rsidR="00E0384B" w:rsidRPr="00595BF3" w:rsidRDefault="00E0384B" w:rsidP="0080417A">
            <w:pPr>
              <w:jc w:val="both"/>
              <w:rPr>
                <w:rFonts w:eastAsia="Calibri"/>
                <w:sz w:val="20"/>
              </w:rPr>
            </w:pPr>
            <w:r w:rsidRPr="00595BF3">
              <w:rPr>
                <w:rFonts w:eastAsia="Calibri"/>
                <w:sz w:val="20"/>
              </w:rPr>
              <w:t>30 août 2013</w:t>
            </w:r>
          </w:p>
          <w:p w:rsidR="00E0384B" w:rsidRPr="00595BF3" w:rsidRDefault="00E0384B" w:rsidP="0080417A">
            <w:pPr>
              <w:jc w:val="both"/>
              <w:rPr>
                <w:rFonts w:eastAsia="Calibri"/>
                <w:sz w:val="20"/>
              </w:rPr>
            </w:pPr>
            <w:r w:rsidRPr="00595BF3">
              <w:rPr>
                <w:rFonts w:eastAsia="Calibri"/>
                <w:sz w:val="20"/>
              </w:rPr>
              <w:t>Cour suprême du Canada</w:t>
            </w:r>
          </w:p>
          <w:p w:rsidR="00E0384B" w:rsidRPr="00595BF3" w:rsidRDefault="00E0384B" w:rsidP="0080417A">
            <w:pPr>
              <w:jc w:val="both"/>
              <w:rPr>
                <w:rFonts w:eastAsia="Calibri"/>
                <w:sz w:val="20"/>
              </w:rPr>
            </w:pPr>
          </w:p>
        </w:tc>
        <w:tc>
          <w:tcPr>
            <w:tcW w:w="270" w:type="pct"/>
          </w:tcPr>
          <w:p w:rsidR="00E0384B" w:rsidRPr="00595BF3" w:rsidRDefault="00E0384B" w:rsidP="0080417A">
            <w:pPr>
              <w:jc w:val="both"/>
              <w:rPr>
                <w:rFonts w:eastAsia="Calibri"/>
                <w:sz w:val="20"/>
              </w:rPr>
            </w:pPr>
          </w:p>
        </w:tc>
        <w:tc>
          <w:tcPr>
            <w:tcW w:w="2340" w:type="pct"/>
          </w:tcPr>
          <w:p w:rsidR="00E0384B" w:rsidRPr="00595BF3" w:rsidRDefault="00E0384B" w:rsidP="0080417A">
            <w:pPr>
              <w:jc w:val="both"/>
              <w:rPr>
                <w:rFonts w:eastAsia="Calibri"/>
                <w:sz w:val="20"/>
              </w:rPr>
            </w:pPr>
            <w:r w:rsidRPr="00595BF3">
              <w:rPr>
                <w:rFonts w:eastAsia="Calibri"/>
                <w:sz w:val="20"/>
              </w:rPr>
              <w:t xml:space="preserve">Demande d’autorisation d’appel déposée  </w:t>
            </w:r>
          </w:p>
          <w:p w:rsidR="00E0384B" w:rsidRPr="00595BF3" w:rsidRDefault="00E0384B" w:rsidP="0080417A">
            <w:pPr>
              <w:jc w:val="both"/>
              <w:rPr>
                <w:rFonts w:eastAsia="Calibri"/>
                <w:sz w:val="20"/>
              </w:rPr>
            </w:pPr>
          </w:p>
        </w:tc>
      </w:tr>
      <w:tr w:rsidR="00E0384B" w:rsidRPr="00B52C2C" w:rsidTr="00C07D78">
        <w:tblPrEx>
          <w:tblCellMar>
            <w:bottom w:w="0" w:type="dxa"/>
          </w:tblCellMar>
        </w:tblPrEx>
        <w:trPr>
          <w:cantSplit/>
        </w:trPr>
        <w:tc>
          <w:tcPr>
            <w:tcW w:w="2390" w:type="pct"/>
          </w:tcPr>
          <w:p w:rsidR="00E0384B" w:rsidRPr="00595BF3" w:rsidRDefault="00E0384B" w:rsidP="0080417A">
            <w:pPr>
              <w:jc w:val="both"/>
              <w:rPr>
                <w:rFonts w:eastAsia="Calibri"/>
                <w:sz w:val="20"/>
              </w:rPr>
            </w:pPr>
            <w:r w:rsidRPr="00595BF3">
              <w:rPr>
                <w:rFonts w:eastAsia="Calibri"/>
                <w:sz w:val="20"/>
              </w:rPr>
              <w:t xml:space="preserve">26 septembre 2013 </w:t>
            </w:r>
          </w:p>
          <w:p w:rsidR="00E0384B" w:rsidRPr="00595BF3" w:rsidRDefault="00E0384B" w:rsidP="0080417A">
            <w:pPr>
              <w:jc w:val="both"/>
              <w:rPr>
                <w:rFonts w:eastAsia="Calibri"/>
                <w:sz w:val="20"/>
              </w:rPr>
            </w:pPr>
            <w:r w:rsidRPr="00595BF3">
              <w:rPr>
                <w:rFonts w:eastAsia="Calibri"/>
                <w:sz w:val="20"/>
              </w:rPr>
              <w:t>Cour suprême du Canada</w:t>
            </w:r>
          </w:p>
          <w:p w:rsidR="00E0384B" w:rsidRPr="00595BF3" w:rsidRDefault="00E0384B" w:rsidP="0080417A">
            <w:pPr>
              <w:jc w:val="both"/>
              <w:rPr>
                <w:rFonts w:eastAsia="Calibri"/>
                <w:sz w:val="20"/>
              </w:rPr>
            </w:pPr>
          </w:p>
        </w:tc>
        <w:tc>
          <w:tcPr>
            <w:tcW w:w="270" w:type="pct"/>
          </w:tcPr>
          <w:p w:rsidR="00E0384B" w:rsidRPr="00595BF3" w:rsidRDefault="00E0384B" w:rsidP="0080417A">
            <w:pPr>
              <w:jc w:val="both"/>
              <w:rPr>
                <w:rFonts w:eastAsia="Calibri"/>
                <w:sz w:val="20"/>
              </w:rPr>
            </w:pPr>
          </w:p>
        </w:tc>
        <w:tc>
          <w:tcPr>
            <w:tcW w:w="2340" w:type="pct"/>
          </w:tcPr>
          <w:p w:rsidR="00E0384B" w:rsidRPr="00595BF3" w:rsidRDefault="00E0384B" w:rsidP="0080417A">
            <w:pPr>
              <w:jc w:val="both"/>
              <w:rPr>
                <w:rFonts w:eastAsia="Calibri"/>
                <w:sz w:val="20"/>
                <w:lang w:val="fr-CA"/>
              </w:rPr>
            </w:pPr>
            <w:r w:rsidRPr="00595BF3">
              <w:rPr>
                <w:rFonts w:eastAsia="Calibri"/>
                <w:sz w:val="20"/>
                <w:lang w:val="fr-CA"/>
              </w:rPr>
              <w:t>Requête en vue d’être ajouté comme partie à l’instance, déposée</w:t>
            </w:r>
          </w:p>
          <w:p w:rsidR="00E0384B" w:rsidRPr="00595BF3" w:rsidRDefault="00E0384B" w:rsidP="0080417A">
            <w:pPr>
              <w:jc w:val="both"/>
              <w:rPr>
                <w:rFonts w:eastAsia="Calibri"/>
                <w:sz w:val="20"/>
                <w:lang w:val="fr-CA"/>
              </w:rPr>
            </w:pPr>
          </w:p>
        </w:tc>
      </w:tr>
      <w:tr w:rsidR="00E0384B" w:rsidRPr="00B52C2C" w:rsidTr="00C07D78">
        <w:tblPrEx>
          <w:tblCellMar>
            <w:bottom w:w="0" w:type="dxa"/>
          </w:tblCellMar>
        </w:tblPrEx>
        <w:trPr>
          <w:cantSplit/>
        </w:trPr>
        <w:tc>
          <w:tcPr>
            <w:tcW w:w="2390" w:type="pct"/>
          </w:tcPr>
          <w:p w:rsidR="00E0384B" w:rsidRPr="00595BF3" w:rsidRDefault="00E0384B" w:rsidP="0080417A">
            <w:pPr>
              <w:jc w:val="both"/>
              <w:rPr>
                <w:rFonts w:eastAsia="Calibri"/>
                <w:sz w:val="20"/>
                <w:lang w:val="fr-CA"/>
              </w:rPr>
            </w:pPr>
            <w:r w:rsidRPr="00595BF3">
              <w:rPr>
                <w:rFonts w:eastAsia="Calibri"/>
                <w:sz w:val="20"/>
                <w:lang w:val="fr-CA"/>
              </w:rPr>
              <w:t>1</w:t>
            </w:r>
            <w:r w:rsidRPr="00595BF3">
              <w:rPr>
                <w:rFonts w:eastAsia="Calibri"/>
                <w:sz w:val="20"/>
                <w:vertAlign w:val="superscript"/>
                <w:lang w:val="fr-CA"/>
              </w:rPr>
              <w:t>er</w:t>
            </w:r>
            <w:r w:rsidRPr="00595BF3">
              <w:rPr>
                <w:rFonts w:eastAsia="Calibri"/>
                <w:sz w:val="20"/>
                <w:lang w:val="fr-CA"/>
              </w:rPr>
              <w:t xml:space="preserve"> octobre 2013 </w:t>
            </w:r>
          </w:p>
          <w:p w:rsidR="00E0384B" w:rsidRPr="00595BF3" w:rsidRDefault="00E0384B" w:rsidP="0080417A">
            <w:pPr>
              <w:jc w:val="both"/>
              <w:rPr>
                <w:rFonts w:eastAsia="Calibri"/>
                <w:sz w:val="20"/>
                <w:lang w:val="fr-CA"/>
              </w:rPr>
            </w:pPr>
            <w:r w:rsidRPr="00595BF3">
              <w:rPr>
                <w:rFonts w:eastAsia="Calibri"/>
                <w:sz w:val="20"/>
                <w:lang w:val="fr-CA"/>
              </w:rPr>
              <w:t>Cour suprême du Canada</w:t>
            </w:r>
          </w:p>
        </w:tc>
        <w:tc>
          <w:tcPr>
            <w:tcW w:w="270" w:type="pct"/>
          </w:tcPr>
          <w:p w:rsidR="00E0384B" w:rsidRPr="00595BF3" w:rsidRDefault="00E0384B" w:rsidP="0080417A">
            <w:pPr>
              <w:jc w:val="both"/>
              <w:rPr>
                <w:rFonts w:eastAsia="Calibri"/>
                <w:sz w:val="20"/>
                <w:lang w:val="fr-CA"/>
              </w:rPr>
            </w:pPr>
          </w:p>
        </w:tc>
        <w:tc>
          <w:tcPr>
            <w:tcW w:w="2340" w:type="pct"/>
          </w:tcPr>
          <w:p w:rsidR="00E0384B" w:rsidRPr="00595BF3" w:rsidRDefault="00E0384B" w:rsidP="0080417A">
            <w:pPr>
              <w:jc w:val="both"/>
              <w:rPr>
                <w:rFonts w:eastAsia="Calibri"/>
                <w:sz w:val="20"/>
                <w:lang w:val="fr-CA"/>
              </w:rPr>
            </w:pPr>
            <w:r w:rsidRPr="00595BF3">
              <w:rPr>
                <w:rFonts w:eastAsia="Calibri"/>
                <w:sz w:val="20"/>
                <w:lang w:val="fr-CA"/>
              </w:rPr>
              <w:t>Requête en vue d’être ajouté comme partie à l’instance, déposée</w:t>
            </w:r>
          </w:p>
        </w:tc>
      </w:tr>
    </w:tbl>
    <w:p w:rsidR="0083449C" w:rsidRPr="00E0384B" w:rsidRDefault="0083449C" w:rsidP="0083449C">
      <w:pPr>
        <w:rPr>
          <w:sz w:val="20"/>
          <w:szCs w:val="20"/>
          <w:lang w:val="fr-CA"/>
        </w:rPr>
      </w:pPr>
    </w:p>
    <w:p w:rsidR="0083449C" w:rsidRDefault="00E7787D" w:rsidP="0083449C">
      <w:pPr>
        <w:rPr>
          <w:sz w:val="20"/>
          <w:szCs w:val="20"/>
          <w:lang w:val="fr-CA"/>
        </w:rPr>
      </w:pPr>
      <w:r>
        <w:rPr>
          <w:sz w:val="20"/>
          <w:szCs w:val="20"/>
          <w:lang w:val="fr-CA"/>
        </w:rPr>
        <w:pict>
          <v:rect id="_x0000_i1043" style="width:2in;height:1pt" o:hrpct="0" o:hralign="center" o:hrstd="t" o:hrnoshade="t" o:hr="t" fillcolor="black [3213]" stroked="f"/>
        </w:pict>
      </w:r>
    </w:p>
    <w:p w:rsidR="0083449C" w:rsidRDefault="0083449C" w:rsidP="0083449C">
      <w:pPr>
        <w:rPr>
          <w:sz w:val="20"/>
          <w:szCs w:val="20"/>
          <w:lang w:val="fr-CA"/>
        </w:rPr>
      </w:pPr>
    </w:p>
    <w:tbl>
      <w:tblPr>
        <w:tblStyle w:val="TableGrid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C07D78" w:rsidRPr="00C07D78" w:rsidTr="0080417A">
        <w:trPr>
          <w:cantSplit/>
        </w:trPr>
        <w:tc>
          <w:tcPr>
            <w:tcW w:w="1458" w:type="dxa"/>
          </w:tcPr>
          <w:p w:rsidR="00C07D78" w:rsidRPr="00C07D78" w:rsidRDefault="00C07D78" w:rsidP="00C07D78">
            <w:pPr>
              <w:rPr>
                <w:sz w:val="20"/>
              </w:rPr>
            </w:pPr>
            <w:r w:rsidRPr="00C07D78">
              <w:rPr>
                <w:b/>
                <w:sz w:val="20"/>
                <w:lang w:val="fr-CA"/>
              </w:rPr>
              <w:t>35513</w:t>
            </w:r>
          </w:p>
          <w:p w:rsidR="00C07D78" w:rsidRPr="00C07D78" w:rsidRDefault="00C07D78" w:rsidP="00C07D78">
            <w:pPr>
              <w:rPr>
                <w:b/>
                <w:sz w:val="20"/>
                <w:lang w:val="fr-CA"/>
              </w:rPr>
            </w:pPr>
          </w:p>
        </w:tc>
        <w:tc>
          <w:tcPr>
            <w:tcW w:w="8118" w:type="dxa"/>
          </w:tcPr>
          <w:p w:rsidR="00C07D78" w:rsidRPr="00C07D78" w:rsidRDefault="00C07D78" w:rsidP="00C07D78">
            <w:pPr>
              <w:jc w:val="both"/>
              <w:rPr>
                <w:sz w:val="20"/>
              </w:rPr>
            </w:pPr>
            <w:r w:rsidRPr="00C07D78">
              <w:rPr>
                <w:b/>
                <w:sz w:val="20"/>
                <w:u w:val="single"/>
              </w:rPr>
              <w:t>Jones</w:t>
            </w:r>
            <w:r w:rsidR="0080417A">
              <w:rPr>
                <w:b/>
                <w:sz w:val="20"/>
                <w:u w:val="single"/>
              </w:rPr>
              <w:t>’</w:t>
            </w:r>
            <w:r w:rsidRPr="00C07D78">
              <w:rPr>
                <w:b/>
                <w:sz w:val="20"/>
                <w:u w:val="single"/>
              </w:rPr>
              <w:t xml:space="preserve"> Masonry Ltd. v. Labourers</w:t>
            </w:r>
            <w:r w:rsidR="0080417A">
              <w:rPr>
                <w:b/>
                <w:sz w:val="20"/>
                <w:u w:val="single"/>
              </w:rPr>
              <w:t>’</w:t>
            </w:r>
            <w:r w:rsidRPr="00C07D78">
              <w:rPr>
                <w:b/>
                <w:sz w:val="20"/>
                <w:u w:val="single"/>
              </w:rPr>
              <w:t xml:space="preserve"> International Union of North America, Local 900</w:t>
            </w:r>
            <w:r w:rsidRPr="00C07D78">
              <w:rPr>
                <w:sz w:val="20"/>
              </w:rPr>
              <w:t xml:space="preserve"> (N.B.) (Civil) (By Leave)</w:t>
            </w:r>
          </w:p>
          <w:p w:rsidR="00C07D78" w:rsidRPr="00C07D78" w:rsidRDefault="00C07D78" w:rsidP="00C07D78">
            <w:pPr>
              <w:jc w:val="both"/>
              <w:rPr>
                <w:sz w:val="20"/>
              </w:rPr>
            </w:pPr>
          </w:p>
        </w:tc>
      </w:tr>
      <w:tr w:rsidR="00C07D78" w:rsidRPr="00C07D78" w:rsidTr="0080417A">
        <w:trPr>
          <w:cantSplit/>
        </w:trPr>
        <w:tc>
          <w:tcPr>
            <w:tcW w:w="1458" w:type="dxa"/>
          </w:tcPr>
          <w:p w:rsidR="00C07D78" w:rsidRPr="00C07D78" w:rsidRDefault="00C07D78" w:rsidP="00C07D78">
            <w:pPr>
              <w:rPr>
                <w:sz w:val="20"/>
              </w:rPr>
            </w:pPr>
            <w:r w:rsidRPr="00C07D78">
              <w:rPr>
                <w:sz w:val="20"/>
              </w:rPr>
              <w:t>Coram :</w:t>
            </w:r>
          </w:p>
        </w:tc>
        <w:tc>
          <w:tcPr>
            <w:tcW w:w="8118" w:type="dxa"/>
          </w:tcPr>
          <w:p w:rsidR="00C07D78" w:rsidRPr="00C07D78" w:rsidRDefault="00C07D78" w:rsidP="00C07D78">
            <w:pPr>
              <w:rPr>
                <w:sz w:val="20"/>
              </w:rPr>
            </w:pPr>
            <w:r w:rsidRPr="00C07D78">
              <w:rPr>
                <w:sz w:val="20"/>
                <w:u w:val="single"/>
              </w:rPr>
              <w:t>Abella, Rothstein and Moldaver JJ.</w:t>
            </w:r>
          </w:p>
          <w:p w:rsidR="00C07D78" w:rsidRPr="00C07D78" w:rsidRDefault="00C07D78" w:rsidP="00C07D78">
            <w:pPr>
              <w:rPr>
                <w:sz w:val="20"/>
                <w:u w:val="single"/>
              </w:rPr>
            </w:pPr>
          </w:p>
        </w:tc>
      </w:tr>
      <w:tr w:rsidR="00C07D78" w:rsidRPr="00B52C2C" w:rsidTr="0080417A">
        <w:trPr>
          <w:cantSplit/>
        </w:trPr>
        <w:tc>
          <w:tcPr>
            <w:tcW w:w="9576" w:type="dxa"/>
            <w:gridSpan w:val="2"/>
          </w:tcPr>
          <w:p w:rsidR="00C07D78" w:rsidRPr="00C07D78" w:rsidRDefault="00C07D78" w:rsidP="00C07D78">
            <w:pPr>
              <w:ind w:firstLine="720"/>
              <w:jc w:val="both"/>
              <w:rPr>
                <w:sz w:val="20"/>
              </w:rPr>
            </w:pPr>
            <w:r w:rsidRPr="00C07D78">
              <w:rPr>
                <w:sz w:val="20"/>
              </w:rPr>
              <w:t>The application for leave to appeal from the judgment of the Court of Appeal of New Brunswick, Number 8-13-CA, 2013 NBCA 50, dated August 15, 2013, is dismissed with costs.</w:t>
            </w:r>
          </w:p>
          <w:p w:rsidR="00C07D78" w:rsidRPr="00C07D78" w:rsidRDefault="00C07D78" w:rsidP="00C07D78">
            <w:pPr>
              <w:jc w:val="both"/>
              <w:rPr>
                <w:sz w:val="20"/>
              </w:rPr>
            </w:pPr>
          </w:p>
          <w:p w:rsidR="00C07D78" w:rsidRPr="00C07D78" w:rsidRDefault="00C07D78" w:rsidP="00C07D78">
            <w:pPr>
              <w:ind w:firstLine="720"/>
              <w:jc w:val="both"/>
              <w:rPr>
                <w:sz w:val="20"/>
                <w:lang w:val="fr-CA"/>
              </w:rPr>
            </w:pPr>
            <w:r w:rsidRPr="00C07D78">
              <w:rPr>
                <w:sz w:val="20"/>
                <w:lang w:val="fr-CA"/>
              </w:rPr>
              <w:t>La demande d’autorisation d’appel de l’arrêt de la Cour d’appel du Nouveau-Brunswick, numéro 8-13-CA, 2013 NBCA 50, daté du 15 août 2013, est rejeté avec dépens.</w:t>
            </w:r>
          </w:p>
        </w:tc>
      </w:tr>
    </w:tbl>
    <w:p w:rsidR="0083449C" w:rsidRPr="00C07D78" w:rsidRDefault="0083449C" w:rsidP="0083449C">
      <w:pPr>
        <w:rPr>
          <w:sz w:val="20"/>
          <w:szCs w:val="20"/>
          <w:lang w:val="fr-CA"/>
        </w:rPr>
      </w:pPr>
    </w:p>
    <w:p w:rsidR="0083449C" w:rsidRPr="001B157C" w:rsidRDefault="0083449C" w:rsidP="0083449C">
      <w:pPr>
        <w:rPr>
          <w:sz w:val="20"/>
          <w:szCs w:val="20"/>
          <w:u w:val="single"/>
        </w:rPr>
      </w:pPr>
      <w:r w:rsidRPr="001B157C">
        <w:rPr>
          <w:sz w:val="20"/>
          <w:szCs w:val="20"/>
          <w:u w:val="single"/>
        </w:rPr>
        <w:t>CASE SUMMARY</w:t>
      </w:r>
    </w:p>
    <w:p w:rsidR="0083449C" w:rsidRDefault="0083449C" w:rsidP="0083449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0384B" w:rsidRPr="00595BF3" w:rsidTr="0080417A">
        <w:tc>
          <w:tcPr>
            <w:tcW w:w="5000" w:type="pct"/>
            <w:gridSpan w:val="3"/>
          </w:tcPr>
          <w:p w:rsidR="00E0384B" w:rsidRPr="00595BF3" w:rsidRDefault="00E0384B" w:rsidP="0080417A">
            <w:pPr>
              <w:jc w:val="both"/>
              <w:rPr>
                <w:rFonts w:eastAsia="Calibri"/>
                <w:sz w:val="20"/>
              </w:rPr>
            </w:pPr>
            <w:r w:rsidRPr="00595BF3">
              <w:rPr>
                <w:rFonts w:eastAsia="Calibri"/>
                <w:sz w:val="20"/>
              </w:rPr>
              <w:t>Labour Relations – Unions – Certification – Can the Labour Board arbitrarily determine when a union can circumvent the true wishes of the majority of employees in an application for certification.</w:t>
            </w:r>
          </w:p>
        </w:tc>
      </w:tr>
      <w:tr w:rsidR="00E0384B" w:rsidRPr="00595BF3" w:rsidTr="0080417A">
        <w:tc>
          <w:tcPr>
            <w:tcW w:w="5000" w:type="pct"/>
            <w:gridSpan w:val="3"/>
          </w:tcPr>
          <w:p w:rsidR="00E0384B" w:rsidRPr="00595BF3" w:rsidRDefault="00E0384B" w:rsidP="0080417A">
            <w:pPr>
              <w:jc w:val="both"/>
              <w:rPr>
                <w:rFonts w:eastAsia="Calibri"/>
                <w:sz w:val="20"/>
              </w:rPr>
            </w:pPr>
          </w:p>
        </w:tc>
      </w:tr>
      <w:tr w:rsidR="00E0384B" w:rsidRPr="00595BF3" w:rsidTr="0080417A">
        <w:tc>
          <w:tcPr>
            <w:tcW w:w="5000" w:type="pct"/>
            <w:gridSpan w:val="3"/>
          </w:tcPr>
          <w:p w:rsidR="00E0384B" w:rsidRPr="00595BF3" w:rsidRDefault="00E0384B" w:rsidP="0080417A">
            <w:pPr>
              <w:jc w:val="both"/>
              <w:rPr>
                <w:rFonts w:eastAsia="Calibri"/>
                <w:sz w:val="20"/>
              </w:rPr>
            </w:pPr>
            <w:r w:rsidRPr="00595BF3">
              <w:rPr>
                <w:rFonts w:eastAsia="Calibri"/>
                <w:sz w:val="20"/>
              </w:rPr>
              <w:t xml:space="preserve">There were two separate applications for certification involving the same employer, the applicant, Jones’ Masonary Ltd. (“Jones”).  One trade union sought certification with respect to the employer’s labourers (the respondent).  The respondent is the Labourers’ International Union of North America, Local 900 (“Labourers’ Union”).  The other trade union sought certification with respect to the employer’s bricklayers. Common to both applications is the fact that they were filed on a Saturday. In its analysis, the Board confirmed that “the matter in issue here has been addressed many </w:t>
            </w:r>
            <w:r w:rsidRPr="00595BF3">
              <w:rPr>
                <w:rFonts w:eastAsia="Calibri"/>
                <w:sz w:val="20"/>
              </w:rPr>
              <w:lastRenderedPageBreak/>
              <w:t xml:space="preserve">times” and a “practice” has been established of assessing the level of support “on the date of application”.  To be considered for the purposes of a construction certification, the person in question must be both actively at work on the date of the application, </w:t>
            </w:r>
            <w:r w:rsidRPr="00595BF3">
              <w:rPr>
                <w:rFonts w:eastAsia="Calibri"/>
                <w:sz w:val="20"/>
                <w:u w:val="single"/>
              </w:rPr>
              <w:t>and</w:t>
            </w:r>
            <w:r w:rsidRPr="00595BF3">
              <w:rPr>
                <w:rFonts w:eastAsia="Calibri"/>
                <w:sz w:val="20"/>
              </w:rPr>
              <w:t xml:space="preserve"> working in the craft on the date the application for certification is filed.  The Board concluded that Saturday, December 4 was the appropriate date on which to assess the level of support for the Labourers’ Union and it had the necessary level of support to be certified as the bargaining agent.  The Board did not follow its usual practice in the case of the Bricklayers as the application offended the representation principle.  The Bricklayers’ Union did not seek judicial review of the Board’s decision.</w:t>
            </w:r>
          </w:p>
          <w:p w:rsidR="00E0384B" w:rsidRPr="00595BF3" w:rsidRDefault="00E0384B" w:rsidP="0080417A">
            <w:pPr>
              <w:jc w:val="both"/>
              <w:rPr>
                <w:rFonts w:eastAsia="Calibri"/>
                <w:sz w:val="20"/>
              </w:rPr>
            </w:pPr>
          </w:p>
          <w:p w:rsidR="00E0384B" w:rsidRPr="00595BF3" w:rsidRDefault="00E0384B" w:rsidP="0080417A">
            <w:pPr>
              <w:jc w:val="both"/>
              <w:rPr>
                <w:rFonts w:eastAsia="Calibri"/>
                <w:sz w:val="20"/>
              </w:rPr>
            </w:pPr>
            <w:r w:rsidRPr="00595BF3">
              <w:rPr>
                <w:rFonts w:eastAsia="Calibri"/>
                <w:sz w:val="20"/>
              </w:rPr>
              <w:t xml:space="preserve">The Labourers’ Union’s application for judicial review was dismissed.  The appeal was dismissed by a majority of the Court of Appeal. </w:t>
            </w:r>
          </w:p>
          <w:p w:rsidR="00E0384B" w:rsidRPr="00595BF3" w:rsidRDefault="00E0384B" w:rsidP="0080417A">
            <w:pPr>
              <w:jc w:val="both"/>
              <w:rPr>
                <w:rFonts w:eastAsia="Calibri"/>
                <w:sz w:val="20"/>
              </w:rPr>
            </w:pPr>
          </w:p>
        </w:tc>
      </w:tr>
      <w:tr w:rsidR="00E0384B" w:rsidRPr="00595BF3" w:rsidTr="00C07D78">
        <w:trPr>
          <w:cantSplit/>
        </w:trPr>
        <w:tc>
          <w:tcPr>
            <w:tcW w:w="2427" w:type="pct"/>
          </w:tcPr>
          <w:p w:rsidR="00E0384B" w:rsidRPr="00595BF3" w:rsidRDefault="00E0384B" w:rsidP="0080417A">
            <w:pPr>
              <w:jc w:val="both"/>
              <w:rPr>
                <w:rFonts w:eastAsia="Calibri"/>
                <w:sz w:val="20"/>
              </w:rPr>
            </w:pPr>
            <w:r w:rsidRPr="00595BF3">
              <w:rPr>
                <w:rFonts w:eastAsia="Calibri"/>
                <w:sz w:val="20"/>
              </w:rPr>
              <w:lastRenderedPageBreak/>
              <w:t>December 19, 2012</w:t>
            </w:r>
          </w:p>
          <w:p w:rsidR="00E0384B" w:rsidRPr="00595BF3" w:rsidRDefault="00E0384B" w:rsidP="0080417A">
            <w:pPr>
              <w:jc w:val="both"/>
              <w:rPr>
                <w:rFonts w:eastAsia="Calibri"/>
                <w:sz w:val="20"/>
              </w:rPr>
            </w:pPr>
            <w:r w:rsidRPr="00595BF3">
              <w:rPr>
                <w:rFonts w:eastAsia="Calibri"/>
                <w:sz w:val="20"/>
              </w:rPr>
              <w:t>Court of Queen’s Bench of New Brunswick</w:t>
            </w:r>
          </w:p>
          <w:p w:rsidR="00E0384B" w:rsidRPr="00595BF3" w:rsidRDefault="00E0384B" w:rsidP="0080417A">
            <w:pPr>
              <w:jc w:val="both"/>
              <w:rPr>
                <w:rFonts w:eastAsia="Calibri"/>
                <w:sz w:val="20"/>
                <w:lang w:val="fr-FR"/>
              </w:rPr>
            </w:pPr>
            <w:r w:rsidRPr="00595BF3">
              <w:rPr>
                <w:rFonts w:eastAsia="Calibri"/>
                <w:sz w:val="20"/>
                <w:lang w:val="fr-FR"/>
              </w:rPr>
              <w:t>(Garnett J.)</w:t>
            </w:r>
          </w:p>
          <w:p w:rsidR="00E0384B" w:rsidRPr="00595BF3" w:rsidRDefault="00E0384B" w:rsidP="0080417A">
            <w:pPr>
              <w:jc w:val="both"/>
              <w:rPr>
                <w:rFonts w:eastAsia="Calibri"/>
                <w:sz w:val="20"/>
                <w:lang w:val="fr-FR"/>
              </w:rPr>
            </w:pPr>
            <w:r w:rsidRPr="00595BF3">
              <w:rPr>
                <w:rFonts w:eastAsia="Calibri"/>
                <w:sz w:val="20"/>
                <w:lang w:val="fr-FR"/>
              </w:rPr>
              <w:t>2012 NBQB 410</w:t>
            </w:r>
          </w:p>
          <w:p w:rsidR="00E0384B" w:rsidRPr="00595BF3" w:rsidRDefault="00E7787D" w:rsidP="0080417A">
            <w:pPr>
              <w:jc w:val="both"/>
              <w:rPr>
                <w:rFonts w:eastAsia="Calibri"/>
                <w:sz w:val="20"/>
                <w:lang w:val="fr-FR"/>
              </w:rPr>
            </w:pPr>
            <w:hyperlink r:id="rId28" w:history="1">
              <w:r w:rsidR="00E0384B" w:rsidRPr="00595BF3">
                <w:rPr>
                  <w:color w:val="0000FF"/>
                  <w:sz w:val="20"/>
                  <w:u w:val="single"/>
                  <w:lang w:val="fr-FR"/>
                </w:rPr>
                <w:t>http://canlii.ca/t/fvn7x</w:t>
              </w:r>
            </w:hyperlink>
          </w:p>
          <w:p w:rsidR="00E0384B" w:rsidRPr="00595BF3" w:rsidRDefault="00E0384B" w:rsidP="0080417A">
            <w:pPr>
              <w:jc w:val="both"/>
              <w:rPr>
                <w:rFonts w:eastAsia="Calibri"/>
                <w:sz w:val="20"/>
                <w:lang w:val="fr-FR"/>
              </w:rPr>
            </w:pPr>
          </w:p>
        </w:tc>
        <w:tc>
          <w:tcPr>
            <w:tcW w:w="243" w:type="pct"/>
          </w:tcPr>
          <w:p w:rsidR="00E0384B" w:rsidRPr="00595BF3" w:rsidRDefault="00E0384B" w:rsidP="0080417A">
            <w:pPr>
              <w:jc w:val="both"/>
              <w:rPr>
                <w:rFonts w:eastAsia="Calibri"/>
                <w:sz w:val="20"/>
                <w:lang w:val="fr-FR"/>
              </w:rPr>
            </w:pPr>
          </w:p>
        </w:tc>
        <w:tc>
          <w:tcPr>
            <w:tcW w:w="2330" w:type="pct"/>
          </w:tcPr>
          <w:p w:rsidR="00E0384B" w:rsidRPr="00595BF3" w:rsidRDefault="00E0384B" w:rsidP="0080417A">
            <w:pPr>
              <w:jc w:val="both"/>
              <w:rPr>
                <w:rFonts w:eastAsia="Calibri"/>
                <w:sz w:val="20"/>
              </w:rPr>
            </w:pPr>
            <w:r w:rsidRPr="00595BF3">
              <w:rPr>
                <w:rFonts w:eastAsia="Calibri"/>
                <w:sz w:val="20"/>
              </w:rPr>
              <w:t>Application for judicial review dismissed with costs of $2,500.00</w:t>
            </w:r>
          </w:p>
          <w:p w:rsidR="00E0384B" w:rsidRPr="00595BF3" w:rsidRDefault="00E0384B" w:rsidP="0080417A">
            <w:pPr>
              <w:jc w:val="both"/>
              <w:rPr>
                <w:rFonts w:eastAsia="Calibri"/>
                <w:sz w:val="20"/>
              </w:rPr>
            </w:pPr>
          </w:p>
          <w:p w:rsidR="00E0384B" w:rsidRPr="00595BF3" w:rsidRDefault="00E0384B" w:rsidP="0080417A">
            <w:pPr>
              <w:jc w:val="both"/>
              <w:rPr>
                <w:rFonts w:eastAsia="Calibri"/>
                <w:sz w:val="20"/>
              </w:rPr>
            </w:pPr>
          </w:p>
        </w:tc>
      </w:tr>
      <w:tr w:rsidR="00E0384B" w:rsidRPr="00595BF3" w:rsidTr="00C07D78">
        <w:trPr>
          <w:cantSplit/>
        </w:trPr>
        <w:tc>
          <w:tcPr>
            <w:tcW w:w="2427" w:type="pct"/>
          </w:tcPr>
          <w:p w:rsidR="00E0384B" w:rsidRPr="00595BF3" w:rsidRDefault="00E0384B" w:rsidP="0080417A">
            <w:pPr>
              <w:jc w:val="both"/>
              <w:rPr>
                <w:rFonts w:eastAsia="Calibri"/>
                <w:sz w:val="20"/>
              </w:rPr>
            </w:pPr>
            <w:r w:rsidRPr="00595BF3">
              <w:rPr>
                <w:rFonts w:eastAsia="Calibri"/>
                <w:sz w:val="20"/>
              </w:rPr>
              <w:t>August 15, 2013</w:t>
            </w:r>
          </w:p>
          <w:p w:rsidR="00E0384B" w:rsidRPr="00595BF3" w:rsidRDefault="00E0384B" w:rsidP="0080417A">
            <w:pPr>
              <w:jc w:val="both"/>
              <w:rPr>
                <w:rFonts w:eastAsia="Calibri"/>
                <w:sz w:val="20"/>
              </w:rPr>
            </w:pPr>
            <w:r w:rsidRPr="00595BF3">
              <w:rPr>
                <w:rFonts w:eastAsia="Calibri"/>
                <w:sz w:val="20"/>
              </w:rPr>
              <w:t>Court of Appeal of New Brunswick</w:t>
            </w:r>
          </w:p>
          <w:p w:rsidR="00E0384B" w:rsidRPr="00595BF3" w:rsidRDefault="00E0384B" w:rsidP="0080417A">
            <w:pPr>
              <w:jc w:val="both"/>
              <w:rPr>
                <w:rFonts w:eastAsia="Calibri"/>
                <w:sz w:val="20"/>
              </w:rPr>
            </w:pPr>
            <w:r w:rsidRPr="00595BF3">
              <w:rPr>
                <w:rFonts w:eastAsia="Calibri"/>
                <w:sz w:val="20"/>
              </w:rPr>
              <w:t>(Robertson and Green, Bell (dissenting) JJ.A.)</w:t>
            </w:r>
          </w:p>
          <w:p w:rsidR="00E0384B" w:rsidRPr="00595BF3" w:rsidRDefault="00E0384B" w:rsidP="0080417A">
            <w:pPr>
              <w:jc w:val="both"/>
              <w:rPr>
                <w:rFonts w:eastAsia="Calibri"/>
                <w:sz w:val="20"/>
              </w:rPr>
            </w:pPr>
            <w:r w:rsidRPr="00595BF3">
              <w:rPr>
                <w:rFonts w:eastAsia="Calibri"/>
                <w:sz w:val="20"/>
              </w:rPr>
              <w:t>2013 NBCA 50</w:t>
            </w:r>
          </w:p>
          <w:p w:rsidR="00E0384B" w:rsidRPr="00595BF3" w:rsidRDefault="00E7787D" w:rsidP="0080417A">
            <w:pPr>
              <w:jc w:val="both"/>
              <w:rPr>
                <w:rFonts w:eastAsia="Calibri"/>
                <w:sz w:val="20"/>
              </w:rPr>
            </w:pPr>
            <w:hyperlink r:id="rId29" w:history="1">
              <w:r w:rsidR="00E0384B" w:rsidRPr="00595BF3">
                <w:rPr>
                  <w:rFonts w:eastAsia="Calibri"/>
                  <w:color w:val="0000FF"/>
                  <w:sz w:val="20"/>
                  <w:u w:val="single"/>
                </w:rPr>
                <w:t>http://canlii.ca/t/g03kf</w:t>
              </w:r>
            </w:hyperlink>
          </w:p>
          <w:p w:rsidR="00E0384B" w:rsidRPr="00595BF3" w:rsidRDefault="00E0384B" w:rsidP="0080417A">
            <w:pPr>
              <w:jc w:val="both"/>
              <w:rPr>
                <w:rFonts w:eastAsia="Calibri"/>
                <w:sz w:val="20"/>
              </w:rPr>
            </w:pPr>
          </w:p>
        </w:tc>
        <w:tc>
          <w:tcPr>
            <w:tcW w:w="243" w:type="pct"/>
          </w:tcPr>
          <w:p w:rsidR="00E0384B" w:rsidRPr="00595BF3" w:rsidRDefault="00E0384B" w:rsidP="0080417A">
            <w:pPr>
              <w:jc w:val="both"/>
              <w:rPr>
                <w:rFonts w:eastAsia="Calibri"/>
                <w:sz w:val="20"/>
              </w:rPr>
            </w:pPr>
          </w:p>
        </w:tc>
        <w:tc>
          <w:tcPr>
            <w:tcW w:w="2330" w:type="pct"/>
          </w:tcPr>
          <w:p w:rsidR="00E0384B" w:rsidRPr="00595BF3" w:rsidRDefault="00E0384B" w:rsidP="0080417A">
            <w:pPr>
              <w:jc w:val="both"/>
              <w:rPr>
                <w:rFonts w:eastAsia="Calibri"/>
                <w:sz w:val="20"/>
              </w:rPr>
            </w:pPr>
            <w:r w:rsidRPr="00595BF3">
              <w:rPr>
                <w:rFonts w:eastAsia="Calibri"/>
                <w:sz w:val="20"/>
              </w:rPr>
              <w:t>Appeal dismissed with costs</w:t>
            </w:r>
          </w:p>
          <w:p w:rsidR="00E0384B" w:rsidRPr="00595BF3" w:rsidRDefault="00E0384B" w:rsidP="0080417A">
            <w:pPr>
              <w:jc w:val="both"/>
              <w:rPr>
                <w:rFonts w:eastAsia="Calibri"/>
                <w:sz w:val="20"/>
              </w:rPr>
            </w:pPr>
          </w:p>
          <w:p w:rsidR="00E0384B" w:rsidRPr="00595BF3" w:rsidRDefault="00E0384B" w:rsidP="0080417A">
            <w:pPr>
              <w:jc w:val="both"/>
              <w:rPr>
                <w:rFonts w:eastAsia="Calibri"/>
                <w:sz w:val="20"/>
              </w:rPr>
            </w:pPr>
          </w:p>
        </w:tc>
      </w:tr>
      <w:tr w:rsidR="00E0384B" w:rsidRPr="00595BF3" w:rsidTr="00C07D78">
        <w:trPr>
          <w:cantSplit/>
        </w:trPr>
        <w:tc>
          <w:tcPr>
            <w:tcW w:w="2427" w:type="pct"/>
          </w:tcPr>
          <w:p w:rsidR="00E0384B" w:rsidRPr="00595BF3" w:rsidRDefault="00E0384B" w:rsidP="0080417A">
            <w:pPr>
              <w:jc w:val="both"/>
              <w:rPr>
                <w:rFonts w:eastAsia="Calibri"/>
                <w:sz w:val="20"/>
              </w:rPr>
            </w:pPr>
            <w:r w:rsidRPr="00595BF3">
              <w:rPr>
                <w:rFonts w:eastAsia="Calibri"/>
                <w:sz w:val="20"/>
              </w:rPr>
              <w:t>September 6, 2013</w:t>
            </w:r>
          </w:p>
          <w:p w:rsidR="00E0384B" w:rsidRPr="00595BF3" w:rsidRDefault="00E0384B" w:rsidP="0080417A">
            <w:pPr>
              <w:jc w:val="both"/>
              <w:rPr>
                <w:rFonts w:eastAsia="Calibri"/>
                <w:sz w:val="20"/>
              </w:rPr>
            </w:pPr>
            <w:r w:rsidRPr="00595BF3">
              <w:rPr>
                <w:rFonts w:eastAsia="Calibri"/>
                <w:sz w:val="20"/>
              </w:rPr>
              <w:t>Supreme Court of Canada</w:t>
            </w:r>
          </w:p>
        </w:tc>
        <w:tc>
          <w:tcPr>
            <w:tcW w:w="243" w:type="pct"/>
          </w:tcPr>
          <w:p w:rsidR="00E0384B" w:rsidRPr="00595BF3" w:rsidRDefault="00E0384B" w:rsidP="0080417A">
            <w:pPr>
              <w:jc w:val="both"/>
              <w:rPr>
                <w:rFonts w:eastAsia="Calibri"/>
                <w:sz w:val="20"/>
              </w:rPr>
            </w:pPr>
          </w:p>
        </w:tc>
        <w:tc>
          <w:tcPr>
            <w:tcW w:w="2330" w:type="pct"/>
          </w:tcPr>
          <w:p w:rsidR="00E0384B" w:rsidRPr="00595BF3" w:rsidRDefault="00E0384B" w:rsidP="0080417A">
            <w:pPr>
              <w:jc w:val="both"/>
              <w:rPr>
                <w:rFonts w:eastAsia="Calibri"/>
                <w:sz w:val="20"/>
              </w:rPr>
            </w:pPr>
            <w:r w:rsidRPr="00595BF3">
              <w:rPr>
                <w:rFonts w:eastAsia="Calibri"/>
                <w:sz w:val="20"/>
              </w:rPr>
              <w:t>Application for leave to appeal filed</w:t>
            </w:r>
          </w:p>
          <w:p w:rsidR="00E0384B" w:rsidRPr="00595BF3" w:rsidRDefault="00E0384B" w:rsidP="0080417A">
            <w:pPr>
              <w:jc w:val="both"/>
              <w:rPr>
                <w:rFonts w:eastAsia="Calibri"/>
                <w:sz w:val="20"/>
              </w:rPr>
            </w:pPr>
          </w:p>
        </w:tc>
      </w:tr>
    </w:tbl>
    <w:p w:rsidR="0083449C" w:rsidRDefault="0083449C" w:rsidP="0083449C">
      <w:pPr>
        <w:rPr>
          <w:sz w:val="20"/>
          <w:szCs w:val="20"/>
        </w:rPr>
      </w:pPr>
    </w:p>
    <w:p w:rsidR="0083449C" w:rsidRPr="00C50A5C" w:rsidRDefault="00E7787D" w:rsidP="0083449C">
      <w:pPr>
        <w:rPr>
          <w:sz w:val="20"/>
          <w:szCs w:val="20"/>
        </w:rPr>
      </w:pPr>
      <w:r>
        <w:rPr>
          <w:sz w:val="20"/>
          <w:szCs w:val="20"/>
          <w:lang w:val="fr-CA"/>
        </w:rPr>
        <w:pict>
          <v:rect id="_x0000_i1044" style="width:2in;height:1pt" o:hrpct="0" o:hralign="center" o:hrstd="t" o:hrnoshade="t" o:hr="t" fillcolor="black [3213]" stroked="f"/>
        </w:pict>
      </w:r>
    </w:p>
    <w:p w:rsidR="0083449C" w:rsidRDefault="0083449C" w:rsidP="0083449C">
      <w:pPr>
        <w:rPr>
          <w:sz w:val="20"/>
          <w:szCs w:val="20"/>
        </w:rPr>
      </w:pPr>
    </w:p>
    <w:p w:rsidR="0083449C" w:rsidRPr="001B157C" w:rsidRDefault="0083449C" w:rsidP="0083449C">
      <w:pPr>
        <w:rPr>
          <w:sz w:val="20"/>
          <w:szCs w:val="20"/>
          <w:u w:val="single"/>
          <w:lang w:val="fr-CA"/>
        </w:rPr>
      </w:pPr>
      <w:r w:rsidRPr="001B157C">
        <w:rPr>
          <w:sz w:val="20"/>
          <w:szCs w:val="20"/>
          <w:u w:val="single"/>
          <w:lang w:val="fr-CA"/>
        </w:rPr>
        <w:t>RÉSUMÉ DE L’AFFAIRE</w:t>
      </w:r>
    </w:p>
    <w:p w:rsidR="0083449C" w:rsidRDefault="0083449C" w:rsidP="0083449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0384B" w:rsidRPr="00B52C2C" w:rsidTr="0080417A">
        <w:tc>
          <w:tcPr>
            <w:tcW w:w="5000" w:type="pct"/>
            <w:gridSpan w:val="3"/>
          </w:tcPr>
          <w:p w:rsidR="00E0384B" w:rsidRPr="00595BF3" w:rsidRDefault="00E0384B" w:rsidP="0080417A">
            <w:pPr>
              <w:jc w:val="both"/>
              <w:rPr>
                <w:rFonts w:eastAsia="Calibri"/>
                <w:sz w:val="20"/>
                <w:lang w:val="fr-CA"/>
              </w:rPr>
            </w:pPr>
            <w:r w:rsidRPr="00595BF3">
              <w:rPr>
                <w:rFonts w:eastAsia="Calibri"/>
                <w:sz w:val="20"/>
                <w:lang w:val="fr-CA"/>
              </w:rPr>
              <w:t>Relations du travail – Syndicats – Accréditation – La Commission du travail peut-elle arbitrairement déterminer les situations dans lesquelles un syndicat peut passer outre à la volonté réelle de la majorité des salariés dans le cadre d’une demande d’accréditation?</w:t>
            </w:r>
          </w:p>
        </w:tc>
      </w:tr>
      <w:tr w:rsidR="00E0384B" w:rsidRPr="00B52C2C" w:rsidTr="0080417A">
        <w:tc>
          <w:tcPr>
            <w:tcW w:w="5000" w:type="pct"/>
            <w:gridSpan w:val="3"/>
          </w:tcPr>
          <w:p w:rsidR="00E0384B" w:rsidRPr="00595BF3" w:rsidRDefault="00E0384B" w:rsidP="0080417A">
            <w:pPr>
              <w:jc w:val="both"/>
              <w:rPr>
                <w:rFonts w:eastAsia="Calibri"/>
                <w:sz w:val="20"/>
                <w:lang w:val="fr-CA"/>
              </w:rPr>
            </w:pPr>
          </w:p>
        </w:tc>
      </w:tr>
      <w:tr w:rsidR="00E0384B" w:rsidRPr="00B52C2C" w:rsidTr="0080417A">
        <w:tc>
          <w:tcPr>
            <w:tcW w:w="5000" w:type="pct"/>
            <w:gridSpan w:val="3"/>
          </w:tcPr>
          <w:p w:rsidR="00E0384B" w:rsidRPr="00595BF3" w:rsidRDefault="00E0384B" w:rsidP="0080417A">
            <w:pPr>
              <w:jc w:val="both"/>
              <w:rPr>
                <w:rFonts w:eastAsia="Calibri"/>
                <w:sz w:val="20"/>
                <w:lang w:val="fr-CA"/>
              </w:rPr>
            </w:pPr>
            <w:r w:rsidRPr="00595BF3">
              <w:rPr>
                <w:rFonts w:eastAsia="Calibri"/>
                <w:sz w:val="20"/>
                <w:lang w:val="fr-CA"/>
              </w:rPr>
              <w:t xml:space="preserve">Deux syndicats ont présenté des demandes d’accréditation distinctes intéressant le même employeur, la demanderesse, Jones’ Masonry Ltd. (« Jones »).  Un des syndicats, l’Union internationale des journaliers d’Amérique du Nord, section locale 900 (« le syndicat des journaliers »), intimée en l’espèce, a demandé l’accréditation à l’égard des journaliers de l’employeur.  L’autre syndicat a demandé l’accréditation à l’égard des briqueteurs-maçons de l’employeur.  Les deux demandes d’accréditation ont été déposées un samedi.  Dans son analyse, la Commission a confirmé que la question soulevée ici avait été [TRADUCTION] « souvent abordée » et qu’une [TRADUCTION] « pratique » s’était instaurée qui consiste à évaluer l’appui « à la date de la demande ».  Pour être considéré aux fins d’une accréditation dans l’industrie de la construction, l’intéressé doit être activement au travail à la date de la demande d’accréditation </w:t>
            </w:r>
            <w:r w:rsidRPr="00595BF3">
              <w:rPr>
                <w:rFonts w:eastAsia="Calibri"/>
                <w:sz w:val="20"/>
                <w:u w:val="single"/>
                <w:lang w:val="fr-CA"/>
              </w:rPr>
              <w:t>et</w:t>
            </w:r>
            <w:r w:rsidRPr="00595BF3">
              <w:rPr>
                <w:rFonts w:eastAsia="Calibri"/>
                <w:sz w:val="20"/>
                <w:lang w:val="fr-CA"/>
              </w:rPr>
              <w:t xml:space="preserve"> engagé dans l’exercice du métier à la date du dépôt de la demande.  La Commission a conclu que le samedi 4 décembre était la date appropriée pour l’évaluation de l’appui obtenu par le syndicat des journaliers et qu’il avait bel et bien l’appui nécessaire pour être accrédité à titre d’agent négociateur.  La Commission n’a pas suivi sa pratique habituelle dans le cas des briqueteurs-maçons, puisque la demande allait à l’encontre du principe de représentation.  Le syndicat des briqueteurs-maçons n’a pas demandé la révision de la décision de la Commission.</w:t>
            </w:r>
          </w:p>
          <w:p w:rsidR="00E0384B" w:rsidRPr="00595BF3" w:rsidRDefault="00E0384B" w:rsidP="0080417A">
            <w:pPr>
              <w:jc w:val="both"/>
              <w:rPr>
                <w:rFonts w:eastAsia="Calibri"/>
                <w:sz w:val="20"/>
                <w:lang w:val="fr-CA"/>
              </w:rPr>
            </w:pPr>
          </w:p>
          <w:p w:rsidR="00E0384B" w:rsidRPr="00595BF3" w:rsidRDefault="00E0384B" w:rsidP="0080417A">
            <w:pPr>
              <w:jc w:val="both"/>
              <w:rPr>
                <w:rFonts w:eastAsia="Calibri"/>
                <w:sz w:val="20"/>
                <w:lang w:val="fr-CA"/>
              </w:rPr>
            </w:pPr>
            <w:r w:rsidRPr="00595BF3">
              <w:rPr>
                <w:rFonts w:eastAsia="Calibri"/>
                <w:sz w:val="20"/>
                <w:lang w:val="fr-CA"/>
              </w:rPr>
              <w:t xml:space="preserve">La demande de révision présentée par le syndicat des journaliers a été rejetée.  Les juges majoritaires de la Cour d’appel ont rejeté l’appel. </w:t>
            </w:r>
          </w:p>
          <w:p w:rsidR="00E0384B" w:rsidRPr="00595BF3" w:rsidRDefault="00E0384B" w:rsidP="0080417A">
            <w:pPr>
              <w:jc w:val="both"/>
              <w:rPr>
                <w:rFonts w:eastAsia="Calibri"/>
                <w:sz w:val="20"/>
                <w:lang w:val="fr-CA"/>
              </w:rPr>
            </w:pPr>
          </w:p>
        </w:tc>
      </w:tr>
      <w:tr w:rsidR="00E0384B" w:rsidRPr="00B52C2C" w:rsidTr="0080417A">
        <w:tc>
          <w:tcPr>
            <w:tcW w:w="2427" w:type="pct"/>
          </w:tcPr>
          <w:p w:rsidR="00E0384B" w:rsidRPr="00595BF3" w:rsidRDefault="00E0384B" w:rsidP="0080417A">
            <w:pPr>
              <w:jc w:val="both"/>
              <w:rPr>
                <w:rFonts w:eastAsia="Calibri"/>
                <w:sz w:val="20"/>
                <w:lang w:val="fr-CA"/>
              </w:rPr>
            </w:pPr>
            <w:r w:rsidRPr="00595BF3">
              <w:rPr>
                <w:rFonts w:eastAsia="Calibri"/>
                <w:sz w:val="20"/>
                <w:lang w:val="fr-CA"/>
              </w:rPr>
              <w:lastRenderedPageBreak/>
              <w:t>19 décembre 2012</w:t>
            </w:r>
          </w:p>
          <w:p w:rsidR="00E0384B" w:rsidRPr="00595BF3" w:rsidRDefault="00E0384B" w:rsidP="0080417A">
            <w:pPr>
              <w:jc w:val="both"/>
              <w:rPr>
                <w:rFonts w:eastAsia="Calibri"/>
                <w:sz w:val="20"/>
                <w:lang w:val="fr-CA"/>
              </w:rPr>
            </w:pPr>
            <w:r w:rsidRPr="00595BF3">
              <w:rPr>
                <w:rFonts w:eastAsia="Calibri"/>
                <w:sz w:val="20"/>
                <w:lang w:val="fr-CA"/>
              </w:rPr>
              <w:t>Cour du Banc de la Reine du Nouveau-Brunswick</w:t>
            </w:r>
          </w:p>
          <w:p w:rsidR="00E0384B" w:rsidRPr="00595BF3" w:rsidRDefault="00E0384B" w:rsidP="0080417A">
            <w:pPr>
              <w:jc w:val="both"/>
              <w:rPr>
                <w:rFonts w:eastAsia="Calibri"/>
                <w:sz w:val="20"/>
                <w:lang w:val="fr-CA"/>
              </w:rPr>
            </w:pPr>
            <w:r w:rsidRPr="00595BF3">
              <w:rPr>
                <w:rFonts w:eastAsia="Calibri"/>
                <w:sz w:val="20"/>
                <w:lang w:val="fr-CA"/>
              </w:rPr>
              <w:t>(Juge Garnett)</w:t>
            </w:r>
          </w:p>
          <w:p w:rsidR="00E0384B" w:rsidRPr="00595BF3" w:rsidRDefault="00E0384B" w:rsidP="0080417A">
            <w:pPr>
              <w:jc w:val="both"/>
              <w:rPr>
                <w:rFonts w:eastAsia="Calibri"/>
                <w:sz w:val="20"/>
                <w:lang w:val="fr-CA"/>
              </w:rPr>
            </w:pPr>
            <w:r w:rsidRPr="00595BF3">
              <w:rPr>
                <w:rFonts w:eastAsia="Calibri"/>
                <w:sz w:val="20"/>
                <w:lang w:val="fr-CA"/>
              </w:rPr>
              <w:t>2012 NBQB 410</w:t>
            </w:r>
          </w:p>
          <w:p w:rsidR="00E0384B" w:rsidRPr="00595BF3" w:rsidRDefault="00E7787D" w:rsidP="0080417A">
            <w:pPr>
              <w:jc w:val="both"/>
              <w:rPr>
                <w:rFonts w:eastAsia="Calibri"/>
                <w:sz w:val="20"/>
                <w:lang w:val="fr-CA"/>
              </w:rPr>
            </w:pPr>
            <w:hyperlink r:id="rId30" w:history="1">
              <w:r w:rsidR="00E0384B" w:rsidRPr="00595BF3">
                <w:rPr>
                  <w:color w:val="0000FF"/>
                  <w:sz w:val="20"/>
                  <w:u w:val="single"/>
                  <w:lang w:val="fr-CA"/>
                </w:rPr>
                <w:t>http://canlii.ca/t/fvn7x</w:t>
              </w:r>
            </w:hyperlink>
          </w:p>
          <w:p w:rsidR="00E0384B" w:rsidRPr="00595BF3" w:rsidRDefault="00E0384B" w:rsidP="0080417A">
            <w:pPr>
              <w:jc w:val="both"/>
              <w:rPr>
                <w:rFonts w:eastAsia="Calibri"/>
                <w:sz w:val="20"/>
                <w:lang w:val="fr-CA"/>
              </w:rPr>
            </w:pPr>
          </w:p>
        </w:tc>
        <w:tc>
          <w:tcPr>
            <w:tcW w:w="243" w:type="pct"/>
          </w:tcPr>
          <w:p w:rsidR="00E0384B" w:rsidRPr="00595BF3" w:rsidRDefault="00E0384B" w:rsidP="0080417A">
            <w:pPr>
              <w:jc w:val="both"/>
              <w:rPr>
                <w:rFonts w:eastAsia="Calibri"/>
                <w:sz w:val="20"/>
                <w:lang w:val="fr-CA"/>
              </w:rPr>
            </w:pPr>
          </w:p>
        </w:tc>
        <w:tc>
          <w:tcPr>
            <w:tcW w:w="2330" w:type="pct"/>
          </w:tcPr>
          <w:p w:rsidR="00E0384B" w:rsidRPr="00595BF3" w:rsidRDefault="00E0384B" w:rsidP="0080417A">
            <w:pPr>
              <w:jc w:val="both"/>
              <w:rPr>
                <w:rFonts w:eastAsia="Calibri"/>
                <w:sz w:val="20"/>
                <w:lang w:val="fr-CA"/>
              </w:rPr>
            </w:pPr>
            <w:r w:rsidRPr="00595BF3">
              <w:rPr>
                <w:rFonts w:eastAsia="Calibri"/>
                <w:sz w:val="20"/>
                <w:lang w:val="fr-CA"/>
              </w:rPr>
              <w:t>Demande de révision rejetée avec dépens de 2 500 $.</w:t>
            </w:r>
          </w:p>
          <w:p w:rsidR="00E0384B" w:rsidRPr="00595BF3" w:rsidRDefault="00E0384B" w:rsidP="0080417A">
            <w:pPr>
              <w:jc w:val="both"/>
              <w:rPr>
                <w:rFonts w:eastAsia="Calibri"/>
                <w:sz w:val="20"/>
                <w:lang w:val="fr-CA"/>
              </w:rPr>
            </w:pPr>
          </w:p>
          <w:p w:rsidR="00E0384B" w:rsidRPr="00595BF3" w:rsidRDefault="00E0384B" w:rsidP="0080417A">
            <w:pPr>
              <w:jc w:val="both"/>
              <w:rPr>
                <w:rFonts w:eastAsia="Calibri"/>
                <w:sz w:val="20"/>
                <w:lang w:val="fr-CA"/>
              </w:rPr>
            </w:pPr>
          </w:p>
        </w:tc>
      </w:tr>
      <w:tr w:rsidR="00E0384B" w:rsidRPr="00595BF3" w:rsidTr="00C07D78">
        <w:trPr>
          <w:cantSplit/>
        </w:trPr>
        <w:tc>
          <w:tcPr>
            <w:tcW w:w="2427" w:type="pct"/>
          </w:tcPr>
          <w:p w:rsidR="00E0384B" w:rsidRPr="00595BF3" w:rsidRDefault="00E0384B" w:rsidP="0080417A">
            <w:pPr>
              <w:jc w:val="both"/>
              <w:rPr>
                <w:rFonts w:eastAsia="Calibri"/>
                <w:sz w:val="20"/>
                <w:lang w:val="fr-CA"/>
              </w:rPr>
            </w:pPr>
            <w:r w:rsidRPr="00595BF3">
              <w:rPr>
                <w:rFonts w:eastAsia="Calibri"/>
                <w:sz w:val="20"/>
                <w:lang w:val="fr-CA"/>
              </w:rPr>
              <w:t>15 août 2013</w:t>
            </w:r>
          </w:p>
          <w:p w:rsidR="00E0384B" w:rsidRPr="00595BF3" w:rsidRDefault="00E0384B" w:rsidP="0080417A">
            <w:pPr>
              <w:jc w:val="both"/>
              <w:rPr>
                <w:rFonts w:eastAsia="Calibri"/>
                <w:sz w:val="20"/>
                <w:lang w:val="fr-CA"/>
              </w:rPr>
            </w:pPr>
            <w:r w:rsidRPr="00595BF3">
              <w:rPr>
                <w:rFonts w:eastAsia="Calibri"/>
                <w:sz w:val="20"/>
                <w:lang w:val="fr-CA"/>
              </w:rPr>
              <w:t>Cour d’appel du Nouveau-Brunswick</w:t>
            </w:r>
          </w:p>
          <w:p w:rsidR="00E0384B" w:rsidRPr="00595BF3" w:rsidRDefault="00E0384B" w:rsidP="0080417A">
            <w:pPr>
              <w:jc w:val="both"/>
              <w:rPr>
                <w:rFonts w:eastAsia="Calibri"/>
                <w:sz w:val="20"/>
                <w:lang w:val="fr-CA"/>
              </w:rPr>
            </w:pPr>
            <w:r w:rsidRPr="00595BF3">
              <w:rPr>
                <w:rFonts w:eastAsia="Calibri"/>
                <w:sz w:val="20"/>
                <w:lang w:val="fr-CA"/>
              </w:rPr>
              <w:t>(Juges Robertson, Green et Bell (dissident))</w:t>
            </w:r>
          </w:p>
          <w:p w:rsidR="00E0384B" w:rsidRPr="00595BF3" w:rsidRDefault="00E0384B" w:rsidP="0080417A">
            <w:pPr>
              <w:jc w:val="both"/>
              <w:rPr>
                <w:rFonts w:eastAsia="Calibri"/>
                <w:sz w:val="20"/>
                <w:lang w:val="fr-CA"/>
              </w:rPr>
            </w:pPr>
            <w:r w:rsidRPr="00595BF3">
              <w:rPr>
                <w:rFonts w:eastAsia="Calibri"/>
                <w:sz w:val="20"/>
                <w:lang w:val="fr-CA"/>
              </w:rPr>
              <w:t>2013 NBCA 50</w:t>
            </w:r>
          </w:p>
          <w:p w:rsidR="00E0384B" w:rsidRPr="00595BF3" w:rsidRDefault="00E7787D" w:rsidP="0080417A">
            <w:pPr>
              <w:jc w:val="both"/>
              <w:rPr>
                <w:rFonts w:eastAsia="Calibri"/>
                <w:sz w:val="20"/>
                <w:lang w:val="fr-CA"/>
              </w:rPr>
            </w:pPr>
            <w:hyperlink r:id="rId31" w:history="1">
              <w:r w:rsidR="00E0384B" w:rsidRPr="00595BF3">
                <w:rPr>
                  <w:rFonts w:eastAsia="Calibri"/>
                  <w:color w:val="0000FF"/>
                  <w:sz w:val="20"/>
                  <w:u w:val="single"/>
                  <w:lang w:val="fr-CA"/>
                </w:rPr>
                <w:t>http://canlii.ca/t/g03kf</w:t>
              </w:r>
            </w:hyperlink>
          </w:p>
          <w:p w:rsidR="00E0384B" w:rsidRPr="00595BF3" w:rsidRDefault="00E0384B" w:rsidP="0080417A">
            <w:pPr>
              <w:jc w:val="both"/>
              <w:rPr>
                <w:rFonts w:eastAsia="Calibri"/>
                <w:sz w:val="20"/>
                <w:lang w:val="fr-CA"/>
              </w:rPr>
            </w:pPr>
          </w:p>
        </w:tc>
        <w:tc>
          <w:tcPr>
            <w:tcW w:w="243" w:type="pct"/>
          </w:tcPr>
          <w:p w:rsidR="00E0384B" w:rsidRPr="00595BF3" w:rsidRDefault="00E0384B" w:rsidP="0080417A">
            <w:pPr>
              <w:jc w:val="both"/>
              <w:rPr>
                <w:rFonts w:eastAsia="Calibri"/>
                <w:sz w:val="20"/>
                <w:lang w:val="fr-CA"/>
              </w:rPr>
            </w:pPr>
          </w:p>
        </w:tc>
        <w:tc>
          <w:tcPr>
            <w:tcW w:w="2330" w:type="pct"/>
          </w:tcPr>
          <w:p w:rsidR="00E0384B" w:rsidRPr="00595BF3" w:rsidRDefault="00E0384B" w:rsidP="0080417A">
            <w:pPr>
              <w:jc w:val="both"/>
              <w:rPr>
                <w:rFonts w:eastAsia="Calibri"/>
                <w:sz w:val="20"/>
                <w:lang w:val="fr-CA"/>
              </w:rPr>
            </w:pPr>
            <w:r w:rsidRPr="00595BF3">
              <w:rPr>
                <w:rFonts w:eastAsia="Calibri"/>
                <w:sz w:val="20"/>
                <w:lang w:val="fr-CA"/>
              </w:rPr>
              <w:t>Appel rejeté avec dépens</w:t>
            </w:r>
          </w:p>
          <w:p w:rsidR="00E0384B" w:rsidRPr="00595BF3" w:rsidRDefault="00E0384B" w:rsidP="0080417A">
            <w:pPr>
              <w:jc w:val="both"/>
              <w:rPr>
                <w:rFonts w:eastAsia="Calibri"/>
                <w:sz w:val="20"/>
                <w:lang w:val="fr-CA"/>
              </w:rPr>
            </w:pPr>
          </w:p>
          <w:p w:rsidR="00E0384B" w:rsidRPr="00595BF3" w:rsidRDefault="00E0384B" w:rsidP="0080417A">
            <w:pPr>
              <w:jc w:val="both"/>
              <w:rPr>
                <w:rFonts w:eastAsia="Calibri"/>
                <w:sz w:val="20"/>
                <w:lang w:val="fr-CA"/>
              </w:rPr>
            </w:pPr>
          </w:p>
        </w:tc>
      </w:tr>
      <w:tr w:rsidR="00E0384B" w:rsidRPr="00595BF3" w:rsidTr="00C07D78">
        <w:trPr>
          <w:cantSplit/>
        </w:trPr>
        <w:tc>
          <w:tcPr>
            <w:tcW w:w="2427" w:type="pct"/>
          </w:tcPr>
          <w:p w:rsidR="00E0384B" w:rsidRPr="00595BF3" w:rsidRDefault="00E0384B" w:rsidP="0080417A">
            <w:pPr>
              <w:jc w:val="both"/>
              <w:rPr>
                <w:rFonts w:eastAsia="Calibri"/>
                <w:sz w:val="20"/>
                <w:lang w:val="fr-CA"/>
              </w:rPr>
            </w:pPr>
            <w:r w:rsidRPr="00595BF3">
              <w:rPr>
                <w:rFonts w:eastAsia="Calibri"/>
                <w:sz w:val="20"/>
                <w:lang w:val="fr-CA"/>
              </w:rPr>
              <w:t>6 septembre 2013</w:t>
            </w:r>
          </w:p>
          <w:p w:rsidR="00E0384B" w:rsidRPr="00595BF3" w:rsidRDefault="00E0384B" w:rsidP="0080417A">
            <w:pPr>
              <w:jc w:val="both"/>
              <w:rPr>
                <w:rFonts w:eastAsia="Calibri"/>
                <w:sz w:val="20"/>
                <w:lang w:val="fr-CA"/>
              </w:rPr>
            </w:pPr>
            <w:r w:rsidRPr="00595BF3">
              <w:rPr>
                <w:rFonts w:eastAsia="Calibri"/>
                <w:sz w:val="20"/>
                <w:lang w:val="fr-CA"/>
              </w:rPr>
              <w:t>Cour suprême du Canada</w:t>
            </w:r>
          </w:p>
        </w:tc>
        <w:tc>
          <w:tcPr>
            <w:tcW w:w="243" w:type="pct"/>
          </w:tcPr>
          <w:p w:rsidR="00E0384B" w:rsidRPr="00595BF3" w:rsidRDefault="00E0384B" w:rsidP="0080417A">
            <w:pPr>
              <w:jc w:val="both"/>
              <w:rPr>
                <w:rFonts w:eastAsia="Calibri"/>
                <w:sz w:val="20"/>
                <w:lang w:val="fr-CA"/>
              </w:rPr>
            </w:pPr>
          </w:p>
        </w:tc>
        <w:tc>
          <w:tcPr>
            <w:tcW w:w="2330" w:type="pct"/>
          </w:tcPr>
          <w:p w:rsidR="00E0384B" w:rsidRPr="00595BF3" w:rsidRDefault="00E0384B" w:rsidP="0080417A">
            <w:pPr>
              <w:jc w:val="both"/>
              <w:rPr>
                <w:rFonts w:eastAsia="Calibri"/>
                <w:sz w:val="20"/>
                <w:lang w:val="fr-CA"/>
              </w:rPr>
            </w:pPr>
            <w:r w:rsidRPr="00595BF3">
              <w:rPr>
                <w:rFonts w:eastAsia="Calibri"/>
                <w:sz w:val="20"/>
                <w:lang w:val="fr-CA"/>
              </w:rPr>
              <w:t>Demande d’autorisation d’appel, déposée</w:t>
            </w:r>
          </w:p>
          <w:p w:rsidR="00E0384B" w:rsidRPr="00595BF3" w:rsidRDefault="00E0384B" w:rsidP="0080417A">
            <w:pPr>
              <w:jc w:val="both"/>
              <w:rPr>
                <w:rFonts w:eastAsia="Calibri"/>
                <w:sz w:val="20"/>
                <w:lang w:val="fr-CA"/>
              </w:rPr>
            </w:pPr>
          </w:p>
        </w:tc>
      </w:tr>
    </w:tbl>
    <w:p w:rsidR="0083449C" w:rsidRDefault="0083449C" w:rsidP="0083449C">
      <w:pPr>
        <w:rPr>
          <w:sz w:val="20"/>
          <w:szCs w:val="20"/>
        </w:rPr>
      </w:pPr>
    </w:p>
    <w:p w:rsidR="0083449C" w:rsidRDefault="00E7787D" w:rsidP="0083449C">
      <w:pPr>
        <w:rPr>
          <w:sz w:val="20"/>
          <w:szCs w:val="20"/>
          <w:lang w:val="fr-CA"/>
        </w:rPr>
      </w:pPr>
      <w:r>
        <w:rPr>
          <w:sz w:val="20"/>
          <w:szCs w:val="20"/>
          <w:lang w:val="fr-CA"/>
        </w:rPr>
        <w:pict>
          <v:rect id="_x0000_i1045" style="width:2in;height:1pt" o:hrpct="0" o:hralign="center" o:hrstd="t" o:hrnoshade="t" o:hr="t" fillcolor="black [3213]" stroked="f"/>
        </w:pict>
      </w:r>
    </w:p>
    <w:p w:rsidR="0083449C" w:rsidRDefault="0083449C" w:rsidP="0083449C">
      <w:pPr>
        <w:rPr>
          <w:sz w:val="20"/>
          <w:szCs w:val="20"/>
          <w:lang w:val="fr-CA"/>
        </w:rPr>
      </w:pPr>
    </w:p>
    <w:tbl>
      <w:tblPr>
        <w:tblStyle w:val="TableGrid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C07D78" w:rsidRPr="00C07D78" w:rsidTr="0080417A">
        <w:trPr>
          <w:cantSplit/>
        </w:trPr>
        <w:tc>
          <w:tcPr>
            <w:tcW w:w="1458" w:type="dxa"/>
          </w:tcPr>
          <w:p w:rsidR="00C07D78" w:rsidRPr="00C07D78" w:rsidRDefault="00C07D78" w:rsidP="00C07D78">
            <w:pPr>
              <w:rPr>
                <w:sz w:val="20"/>
              </w:rPr>
            </w:pPr>
            <w:r w:rsidRPr="00C07D78">
              <w:rPr>
                <w:b/>
                <w:sz w:val="20"/>
                <w:lang w:val="fr-CA"/>
              </w:rPr>
              <w:t>35536</w:t>
            </w:r>
          </w:p>
          <w:p w:rsidR="00C07D78" w:rsidRPr="00C07D78" w:rsidRDefault="00C07D78" w:rsidP="00C07D78">
            <w:pPr>
              <w:rPr>
                <w:b/>
                <w:sz w:val="20"/>
                <w:lang w:val="fr-CA"/>
              </w:rPr>
            </w:pPr>
          </w:p>
        </w:tc>
        <w:tc>
          <w:tcPr>
            <w:tcW w:w="8118" w:type="dxa"/>
          </w:tcPr>
          <w:p w:rsidR="00C07D78" w:rsidRPr="00C07D78" w:rsidRDefault="00C07D78" w:rsidP="00C07D78">
            <w:pPr>
              <w:jc w:val="both"/>
              <w:rPr>
                <w:sz w:val="20"/>
              </w:rPr>
            </w:pPr>
            <w:r w:rsidRPr="00C07D78">
              <w:rPr>
                <w:b/>
                <w:sz w:val="20"/>
                <w:u w:val="single"/>
              </w:rPr>
              <w:t>Harminder Walia v. University of Manitoba, J.R. Davie, B. Triggs-Raine, R. Bird and P.C. Choy</w:t>
            </w:r>
            <w:r w:rsidRPr="00C07D78">
              <w:rPr>
                <w:sz w:val="20"/>
              </w:rPr>
              <w:t xml:space="preserve"> (Man.) (Civil) (By Leave)</w:t>
            </w:r>
          </w:p>
          <w:p w:rsidR="00C07D78" w:rsidRPr="00C07D78" w:rsidRDefault="00C07D78" w:rsidP="00C07D78">
            <w:pPr>
              <w:jc w:val="both"/>
              <w:rPr>
                <w:sz w:val="20"/>
              </w:rPr>
            </w:pPr>
          </w:p>
        </w:tc>
      </w:tr>
      <w:tr w:rsidR="00C07D78" w:rsidRPr="00C07D78" w:rsidTr="0080417A">
        <w:trPr>
          <w:cantSplit/>
        </w:trPr>
        <w:tc>
          <w:tcPr>
            <w:tcW w:w="1458" w:type="dxa"/>
          </w:tcPr>
          <w:p w:rsidR="00C07D78" w:rsidRPr="00C07D78" w:rsidRDefault="00C07D78" w:rsidP="00C07D78">
            <w:pPr>
              <w:rPr>
                <w:sz w:val="20"/>
              </w:rPr>
            </w:pPr>
            <w:r w:rsidRPr="00C07D78">
              <w:rPr>
                <w:sz w:val="20"/>
              </w:rPr>
              <w:t>Coram :</w:t>
            </w:r>
          </w:p>
        </w:tc>
        <w:tc>
          <w:tcPr>
            <w:tcW w:w="8118" w:type="dxa"/>
          </w:tcPr>
          <w:p w:rsidR="00C07D78" w:rsidRPr="00C07D78" w:rsidRDefault="00C07D78" w:rsidP="00C07D78">
            <w:pPr>
              <w:rPr>
                <w:sz w:val="20"/>
              </w:rPr>
            </w:pPr>
            <w:r w:rsidRPr="00C07D78">
              <w:rPr>
                <w:sz w:val="20"/>
                <w:u w:val="single"/>
              </w:rPr>
              <w:t>Abella, Rothstein and Moldaver JJ.</w:t>
            </w:r>
          </w:p>
          <w:p w:rsidR="00C07D78" w:rsidRPr="00C07D78" w:rsidRDefault="00C07D78" w:rsidP="00C07D78">
            <w:pPr>
              <w:rPr>
                <w:sz w:val="20"/>
                <w:u w:val="single"/>
              </w:rPr>
            </w:pPr>
          </w:p>
        </w:tc>
      </w:tr>
      <w:tr w:rsidR="00C07D78" w:rsidRPr="00B52C2C" w:rsidTr="0080417A">
        <w:trPr>
          <w:cantSplit/>
        </w:trPr>
        <w:tc>
          <w:tcPr>
            <w:tcW w:w="9576" w:type="dxa"/>
            <w:gridSpan w:val="2"/>
          </w:tcPr>
          <w:p w:rsidR="00C07D78" w:rsidRPr="00C07D78" w:rsidRDefault="00C07D78" w:rsidP="00C07D78">
            <w:pPr>
              <w:ind w:firstLine="720"/>
              <w:jc w:val="both"/>
              <w:rPr>
                <w:sz w:val="20"/>
              </w:rPr>
            </w:pPr>
            <w:r w:rsidRPr="00C07D78">
              <w:rPr>
                <w:sz w:val="20"/>
              </w:rPr>
              <w:t>The application for leave to appeal from the judgment of the Court of Appeal of Manitoba, Number AI 12-30-07829, 2013 MBCA 61, dated June 25, 2013, is dismissed with costs.</w:t>
            </w:r>
          </w:p>
          <w:p w:rsidR="00C07D78" w:rsidRPr="00C07D78" w:rsidRDefault="00C07D78" w:rsidP="00C07D78">
            <w:pPr>
              <w:jc w:val="both"/>
              <w:rPr>
                <w:sz w:val="20"/>
              </w:rPr>
            </w:pPr>
          </w:p>
          <w:p w:rsidR="00C07D78" w:rsidRPr="00C07D78" w:rsidRDefault="00C07D78" w:rsidP="00C07D78">
            <w:pPr>
              <w:ind w:firstLine="720"/>
              <w:jc w:val="both"/>
              <w:rPr>
                <w:sz w:val="20"/>
                <w:lang w:val="fr-CA"/>
              </w:rPr>
            </w:pPr>
            <w:r w:rsidRPr="00C07D78">
              <w:rPr>
                <w:sz w:val="20"/>
                <w:lang w:val="fr-CA"/>
              </w:rPr>
              <w:t>La demande d’autorisation d’appel de l’arrêt de la Cour d’appel du Manitoba, numéro AI 12-30-07829, 2013 MBCA 61, daté du 25 juin 2013, est rejeté avec dépens.</w:t>
            </w:r>
          </w:p>
        </w:tc>
      </w:tr>
    </w:tbl>
    <w:p w:rsidR="0083449C" w:rsidRPr="00C07D78" w:rsidRDefault="0083449C" w:rsidP="0083449C">
      <w:pPr>
        <w:rPr>
          <w:sz w:val="20"/>
          <w:szCs w:val="20"/>
          <w:lang w:val="fr-CA"/>
        </w:rPr>
      </w:pPr>
    </w:p>
    <w:p w:rsidR="0083449C" w:rsidRPr="001B157C" w:rsidRDefault="0083449C" w:rsidP="0083449C">
      <w:pPr>
        <w:rPr>
          <w:sz w:val="20"/>
          <w:szCs w:val="20"/>
          <w:u w:val="single"/>
        </w:rPr>
      </w:pPr>
      <w:r w:rsidRPr="001B157C">
        <w:rPr>
          <w:sz w:val="20"/>
          <w:szCs w:val="20"/>
          <w:u w:val="single"/>
        </w:rPr>
        <w:t>CASE SUMMARY</w:t>
      </w:r>
    </w:p>
    <w:p w:rsidR="0083449C" w:rsidRDefault="0083449C" w:rsidP="0083449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0384B" w:rsidRPr="00595BF3" w:rsidTr="0080417A">
        <w:tc>
          <w:tcPr>
            <w:tcW w:w="5000" w:type="pct"/>
            <w:gridSpan w:val="3"/>
          </w:tcPr>
          <w:p w:rsidR="00E0384B" w:rsidRPr="00595BF3" w:rsidRDefault="00E0384B" w:rsidP="0080417A">
            <w:pPr>
              <w:jc w:val="both"/>
              <w:rPr>
                <w:rFonts w:eastAsia="Calibri"/>
                <w:sz w:val="20"/>
              </w:rPr>
            </w:pPr>
            <w:r w:rsidRPr="00595BF3">
              <w:rPr>
                <w:rFonts w:eastAsia="Calibri"/>
                <w:sz w:val="20"/>
              </w:rPr>
              <w:t>Education law — Universities — Courts — Jurisdiction — Does the inherent jurisdiction of the courts include the jurisdiction to address contract or tort claims relating to academic matters — Should a party’s right to examine for discovery have priority over a motion for summary judgment?</w:t>
            </w:r>
          </w:p>
        </w:tc>
      </w:tr>
      <w:tr w:rsidR="00E0384B" w:rsidRPr="00595BF3" w:rsidTr="0080417A">
        <w:tc>
          <w:tcPr>
            <w:tcW w:w="5000" w:type="pct"/>
            <w:gridSpan w:val="3"/>
          </w:tcPr>
          <w:p w:rsidR="00E0384B" w:rsidRPr="00595BF3" w:rsidRDefault="00E0384B" w:rsidP="0080417A">
            <w:pPr>
              <w:jc w:val="both"/>
              <w:rPr>
                <w:rFonts w:eastAsia="Calibri"/>
                <w:sz w:val="20"/>
              </w:rPr>
            </w:pPr>
          </w:p>
        </w:tc>
      </w:tr>
      <w:tr w:rsidR="00E0384B" w:rsidRPr="00595BF3" w:rsidTr="0080417A">
        <w:tc>
          <w:tcPr>
            <w:tcW w:w="5000" w:type="pct"/>
            <w:gridSpan w:val="3"/>
          </w:tcPr>
          <w:p w:rsidR="00E0384B" w:rsidRPr="00595BF3" w:rsidRDefault="00E0384B" w:rsidP="0080417A">
            <w:pPr>
              <w:jc w:val="both"/>
              <w:rPr>
                <w:rFonts w:eastAsia="Calibri"/>
                <w:sz w:val="20"/>
              </w:rPr>
            </w:pPr>
            <w:r w:rsidRPr="00595BF3">
              <w:rPr>
                <w:rFonts w:eastAsia="Calibri"/>
                <w:sz w:val="20"/>
              </w:rPr>
              <w:t>While he was working toward a Master’s degree at the University of Manitoba, Mr. Walia applied to be transitioned to a Ph.D. program.  A Student Affairs Committee denied his request. He appealed to the Board of Graduate Studies Appeal Panel and was awarded a new transition hearing before a new Student Affairs Committee which was not to include any member of the original Committee.  Mr. Walia elected not to pursue the new transition hearing.  Instead, he appealed to Senate Committee on Appeals. It declined to hear the appeal.  In the meantime, Mr. Walia’s status as a Master’s of Science student had been terminated for failure to meet the extended deadline for submission of his Master’s Thesis.</w:t>
            </w:r>
          </w:p>
          <w:p w:rsidR="00E0384B" w:rsidRPr="00595BF3" w:rsidRDefault="00E0384B" w:rsidP="0080417A">
            <w:pPr>
              <w:jc w:val="both"/>
              <w:rPr>
                <w:rFonts w:eastAsia="Calibri"/>
                <w:sz w:val="20"/>
              </w:rPr>
            </w:pPr>
          </w:p>
          <w:p w:rsidR="00E0384B" w:rsidRPr="00595BF3" w:rsidRDefault="00E0384B" w:rsidP="0080417A">
            <w:pPr>
              <w:jc w:val="both"/>
              <w:rPr>
                <w:rFonts w:eastAsia="Calibri"/>
                <w:sz w:val="20"/>
              </w:rPr>
            </w:pPr>
            <w:r w:rsidRPr="00595BF3">
              <w:rPr>
                <w:rFonts w:eastAsia="Calibri"/>
                <w:sz w:val="20"/>
              </w:rPr>
              <w:t xml:space="preserve">In 2002, Mr. Walia commenced an action seeking general and special damages for negligence and breach of contract, as well as for administrative remedies.  The University and the individual respondents moved for summary judgment.  In December 2005, Master Ring denied Mr. Walia’s motion to compel the respondents to attend examination for discovery under Rule 34.04(1) of the Queen’s Bench Rules, concluding that the motion for summary judgment should take priority over any right to discovery:  </w:t>
            </w:r>
            <w:hyperlink r:id="rId32" w:history="1">
              <w:r w:rsidRPr="00595BF3">
                <w:rPr>
                  <w:rFonts w:eastAsia="Calibri"/>
                  <w:color w:val="0000FF"/>
                  <w:sz w:val="20"/>
                  <w:u w:val="single"/>
                </w:rPr>
                <w:t>2005 MBQB 278</w:t>
              </w:r>
            </w:hyperlink>
            <w:r w:rsidRPr="00595BF3">
              <w:rPr>
                <w:rFonts w:eastAsia="Calibri"/>
                <w:sz w:val="20"/>
              </w:rPr>
              <w:t>.  That decision was not appealed.</w:t>
            </w:r>
          </w:p>
          <w:p w:rsidR="00E0384B" w:rsidRPr="00595BF3" w:rsidRDefault="00E0384B" w:rsidP="0080417A">
            <w:pPr>
              <w:jc w:val="both"/>
              <w:rPr>
                <w:rFonts w:eastAsia="Calibri"/>
                <w:sz w:val="20"/>
              </w:rPr>
            </w:pPr>
          </w:p>
          <w:p w:rsidR="00E0384B" w:rsidRPr="00595BF3" w:rsidRDefault="00E0384B" w:rsidP="0080417A">
            <w:pPr>
              <w:jc w:val="both"/>
              <w:rPr>
                <w:rFonts w:eastAsia="Calibri"/>
                <w:sz w:val="20"/>
              </w:rPr>
            </w:pPr>
            <w:r w:rsidRPr="00595BF3">
              <w:rPr>
                <w:rFonts w:eastAsia="Calibri"/>
                <w:sz w:val="20"/>
              </w:rPr>
              <w:t>The motion for summary judgment was set down for hearing in 2007.  A week before it was to be heard, Mr. Walia moved before Master Sharp for an order compelling the respondents to submit to examinations under Rule 39.02 and 39.03 of the Queen’s Bench Rules before the hearing of the motion for summary judgment.  Master Sharp dismissed Mr. Walia’s motion; she heard and granted the motion for summary judgment.  Keyser J. dismissed Mr. Walia’s appeal, and the Court of Appeal dismissed his subsequent appeal.</w:t>
            </w:r>
          </w:p>
          <w:p w:rsidR="00E0384B" w:rsidRPr="00595BF3" w:rsidRDefault="00E0384B" w:rsidP="0080417A">
            <w:pPr>
              <w:jc w:val="both"/>
              <w:rPr>
                <w:rFonts w:eastAsia="Calibri"/>
                <w:sz w:val="20"/>
              </w:rPr>
            </w:pPr>
          </w:p>
        </w:tc>
      </w:tr>
      <w:tr w:rsidR="00E0384B" w:rsidRPr="00595BF3" w:rsidTr="00C07D78">
        <w:trPr>
          <w:cantSplit/>
        </w:trPr>
        <w:tc>
          <w:tcPr>
            <w:tcW w:w="2427" w:type="pct"/>
          </w:tcPr>
          <w:p w:rsidR="00E0384B" w:rsidRPr="00595BF3" w:rsidRDefault="00E0384B" w:rsidP="0080417A">
            <w:pPr>
              <w:jc w:val="both"/>
              <w:rPr>
                <w:rFonts w:eastAsia="Calibri"/>
                <w:sz w:val="20"/>
              </w:rPr>
            </w:pPr>
            <w:r w:rsidRPr="00595BF3">
              <w:rPr>
                <w:rFonts w:eastAsia="Calibri"/>
                <w:sz w:val="20"/>
              </w:rPr>
              <w:lastRenderedPageBreak/>
              <w:t>July 20, 2007</w:t>
            </w:r>
          </w:p>
          <w:p w:rsidR="00E0384B" w:rsidRPr="00595BF3" w:rsidRDefault="00E0384B" w:rsidP="0080417A">
            <w:pPr>
              <w:jc w:val="both"/>
              <w:rPr>
                <w:rFonts w:eastAsia="Calibri"/>
                <w:sz w:val="20"/>
              </w:rPr>
            </w:pPr>
            <w:r w:rsidRPr="00595BF3">
              <w:rPr>
                <w:rFonts w:eastAsia="Calibri"/>
                <w:sz w:val="20"/>
              </w:rPr>
              <w:t>Court of Queen’s Bench of Manitoba</w:t>
            </w:r>
          </w:p>
          <w:p w:rsidR="00E0384B" w:rsidRPr="00595BF3" w:rsidRDefault="00E0384B" w:rsidP="0080417A">
            <w:pPr>
              <w:jc w:val="both"/>
              <w:rPr>
                <w:rFonts w:eastAsia="Calibri"/>
                <w:sz w:val="20"/>
              </w:rPr>
            </w:pPr>
            <w:r w:rsidRPr="00595BF3">
              <w:rPr>
                <w:rFonts w:eastAsia="Calibri"/>
                <w:sz w:val="20"/>
              </w:rPr>
              <w:t>(Master Sharp)</w:t>
            </w:r>
          </w:p>
          <w:p w:rsidR="00E0384B" w:rsidRPr="00595BF3" w:rsidRDefault="00E0384B" w:rsidP="0080417A">
            <w:pPr>
              <w:jc w:val="both"/>
              <w:rPr>
                <w:rFonts w:eastAsia="Calibri"/>
                <w:sz w:val="20"/>
              </w:rPr>
            </w:pPr>
            <w:r w:rsidRPr="00595BF3">
              <w:rPr>
                <w:rFonts w:eastAsia="Calibri"/>
                <w:sz w:val="20"/>
              </w:rPr>
              <w:t xml:space="preserve"> </w:t>
            </w:r>
          </w:p>
        </w:tc>
        <w:tc>
          <w:tcPr>
            <w:tcW w:w="243" w:type="pct"/>
          </w:tcPr>
          <w:p w:rsidR="00E0384B" w:rsidRPr="00595BF3" w:rsidRDefault="00E0384B" w:rsidP="0080417A">
            <w:pPr>
              <w:jc w:val="both"/>
              <w:rPr>
                <w:rFonts w:eastAsia="Calibri"/>
                <w:sz w:val="20"/>
              </w:rPr>
            </w:pPr>
          </w:p>
        </w:tc>
        <w:tc>
          <w:tcPr>
            <w:tcW w:w="2330" w:type="pct"/>
          </w:tcPr>
          <w:p w:rsidR="00E0384B" w:rsidRPr="00595BF3" w:rsidRDefault="00E0384B" w:rsidP="0080417A">
            <w:pPr>
              <w:jc w:val="both"/>
              <w:rPr>
                <w:rFonts w:eastAsia="Calibri"/>
                <w:sz w:val="20"/>
              </w:rPr>
            </w:pPr>
            <w:r w:rsidRPr="00595BF3">
              <w:rPr>
                <w:rFonts w:eastAsia="Calibri"/>
                <w:sz w:val="20"/>
              </w:rPr>
              <w:t>Motion to compel respondents to submit to examinations for discovery dismissed; motion for summary judgment granted</w:t>
            </w:r>
          </w:p>
        </w:tc>
      </w:tr>
      <w:tr w:rsidR="00E0384B" w:rsidRPr="00595BF3" w:rsidTr="00C07D78">
        <w:trPr>
          <w:cantSplit/>
        </w:trPr>
        <w:tc>
          <w:tcPr>
            <w:tcW w:w="2427" w:type="pct"/>
          </w:tcPr>
          <w:p w:rsidR="00E0384B" w:rsidRPr="00595BF3" w:rsidRDefault="00E0384B" w:rsidP="0080417A">
            <w:pPr>
              <w:jc w:val="both"/>
              <w:rPr>
                <w:rFonts w:eastAsia="Calibri"/>
                <w:sz w:val="20"/>
              </w:rPr>
            </w:pPr>
            <w:r w:rsidRPr="00595BF3">
              <w:rPr>
                <w:rFonts w:eastAsia="Calibri"/>
                <w:sz w:val="20"/>
              </w:rPr>
              <w:t>April 4, 2012</w:t>
            </w:r>
          </w:p>
          <w:p w:rsidR="00E0384B" w:rsidRPr="00595BF3" w:rsidRDefault="00E0384B" w:rsidP="0080417A">
            <w:pPr>
              <w:jc w:val="both"/>
              <w:rPr>
                <w:rFonts w:eastAsia="Calibri"/>
                <w:sz w:val="20"/>
              </w:rPr>
            </w:pPr>
            <w:r w:rsidRPr="00595BF3">
              <w:rPr>
                <w:rFonts w:eastAsia="Calibri"/>
                <w:sz w:val="20"/>
              </w:rPr>
              <w:t>Court of Queen’s Bench of Manitoba</w:t>
            </w:r>
          </w:p>
          <w:p w:rsidR="00E0384B" w:rsidRPr="00595BF3" w:rsidRDefault="00E0384B" w:rsidP="0080417A">
            <w:pPr>
              <w:jc w:val="both"/>
              <w:rPr>
                <w:rFonts w:eastAsia="Calibri"/>
                <w:sz w:val="20"/>
              </w:rPr>
            </w:pPr>
            <w:r w:rsidRPr="00595BF3">
              <w:rPr>
                <w:rFonts w:eastAsia="Calibri"/>
                <w:sz w:val="20"/>
              </w:rPr>
              <w:t>(Keyser J.)</w:t>
            </w:r>
          </w:p>
          <w:p w:rsidR="00E0384B" w:rsidRPr="00595BF3" w:rsidRDefault="00E0384B" w:rsidP="0080417A">
            <w:pPr>
              <w:jc w:val="both"/>
              <w:rPr>
                <w:rFonts w:eastAsia="Calibri"/>
                <w:sz w:val="20"/>
              </w:rPr>
            </w:pPr>
            <w:r w:rsidRPr="00595BF3">
              <w:rPr>
                <w:rFonts w:eastAsia="Calibri"/>
                <w:sz w:val="20"/>
              </w:rPr>
              <w:t xml:space="preserve"> </w:t>
            </w:r>
          </w:p>
        </w:tc>
        <w:tc>
          <w:tcPr>
            <w:tcW w:w="243" w:type="pct"/>
          </w:tcPr>
          <w:p w:rsidR="00E0384B" w:rsidRPr="00595BF3" w:rsidRDefault="00E0384B" w:rsidP="0080417A">
            <w:pPr>
              <w:jc w:val="both"/>
              <w:rPr>
                <w:rFonts w:eastAsia="Calibri"/>
                <w:sz w:val="20"/>
              </w:rPr>
            </w:pPr>
          </w:p>
        </w:tc>
        <w:tc>
          <w:tcPr>
            <w:tcW w:w="2330" w:type="pct"/>
          </w:tcPr>
          <w:p w:rsidR="00E0384B" w:rsidRPr="00595BF3" w:rsidRDefault="00E0384B" w:rsidP="0080417A">
            <w:pPr>
              <w:jc w:val="both"/>
              <w:rPr>
                <w:rFonts w:eastAsia="Calibri"/>
                <w:sz w:val="20"/>
              </w:rPr>
            </w:pPr>
            <w:r w:rsidRPr="00595BF3">
              <w:rPr>
                <w:rFonts w:eastAsia="Calibri"/>
                <w:sz w:val="20"/>
              </w:rPr>
              <w:t>Appeal dismissed</w:t>
            </w:r>
          </w:p>
        </w:tc>
      </w:tr>
      <w:tr w:rsidR="00E0384B" w:rsidRPr="00595BF3" w:rsidTr="00C07D78">
        <w:trPr>
          <w:cantSplit/>
        </w:trPr>
        <w:tc>
          <w:tcPr>
            <w:tcW w:w="2427" w:type="pct"/>
          </w:tcPr>
          <w:p w:rsidR="00E0384B" w:rsidRPr="00595BF3" w:rsidRDefault="00E0384B" w:rsidP="0080417A">
            <w:pPr>
              <w:jc w:val="both"/>
              <w:rPr>
                <w:rFonts w:eastAsia="Calibri"/>
                <w:sz w:val="20"/>
              </w:rPr>
            </w:pPr>
            <w:r w:rsidRPr="00595BF3">
              <w:rPr>
                <w:rFonts w:eastAsia="Calibri"/>
                <w:sz w:val="20"/>
              </w:rPr>
              <w:t>June 25, 2013</w:t>
            </w:r>
          </w:p>
          <w:p w:rsidR="00E0384B" w:rsidRPr="00595BF3" w:rsidRDefault="00E0384B" w:rsidP="0080417A">
            <w:pPr>
              <w:jc w:val="both"/>
              <w:rPr>
                <w:rFonts w:eastAsia="Calibri"/>
                <w:sz w:val="20"/>
              </w:rPr>
            </w:pPr>
            <w:r w:rsidRPr="00595BF3">
              <w:rPr>
                <w:rFonts w:eastAsia="Calibri"/>
                <w:sz w:val="20"/>
              </w:rPr>
              <w:t>Court of Appeal of Manitoba</w:t>
            </w:r>
          </w:p>
          <w:p w:rsidR="00E0384B" w:rsidRPr="00595BF3" w:rsidRDefault="00E0384B" w:rsidP="0080417A">
            <w:pPr>
              <w:jc w:val="both"/>
              <w:rPr>
                <w:rFonts w:eastAsia="Calibri"/>
                <w:sz w:val="20"/>
              </w:rPr>
            </w:pPr>
            <w:r w:rsidRPr="00595BF3">
              <w:rPr>
                <w:rFonts w:eastAsia="Calibri"/>
                <w:sz w:val="20"/>
              </w:rPr>
              <w:t>(Monnin, Hamilton, Beard JJ.A.)</w:t>
            </w:r>
          </w:p>
          <w:p w:rsidR="00E0384B" w:rsidRPr="00595BF3" w:rsidRDefault="00E7787D" w:rsidP="0080417A">
            <w:pPr>
              <w:jc w:val="both"/>
              <w:rPr>
                <w:rFonts w:eastAsia="Calibri"/>
                <w:sz w:val="20"/>
              </w:rPr>
            </w:pPr>
            <w:hyperlink r:id="rId33" w:history="1">
              <w:r w:rsidR="00E0384B" w:rsidRPr="00595BF3">
                <w:rPr>
                  <w:rFonts w:eastAsia="Calibri"/>
                  <w:color w:val="0000FF"/>
                  <w:sz w:val="20"/>
                  <w:u w:val="single"/>
                </w:rPr>
                <w:t>2013 MBCA 61</w:t>
              </w:r>
            </w:hyperlink>
          </w:p>
          <w:p w:rsidR="00E0384B" w:rsidRPr="00595BF3" w:rsidRDefault="00E0384B" w:rsidP="0080417A">
            <w:pPr>
              <w:jc w:val="both"/>
              <w:rPr>
                <w:rFonts w:eastAsia="Calibri"/>
                <w:sz w:val="20"/>
              </w:rPr>
            </w:pPr>
            <w:r w:rsidRPr="00595BF3">
              <w:rPr>
                <w:rFonts w:eastAsia="Calibri"/>
                <w:sz w:val="20"/>
              </w:rPr>
              <w:t xml:space="preserve"> </w:t>
            </w:r>
          </w:p>
        </w:tc>
        <w:tc>
          <w:tcPr>
            <w:tcW w:w="243" w:type="pct"/>
          </w:tcPr>
          <w:p w:rsidR="00E0384B" w:rsidRPr="00595BF3" w:rsidRDefault="00E0384B" w:rsidP="0080417A">
            <w:pPr>
              <w:jc w:val="both"/>
              <w:rPr>
                <w:rFonts w:eastAsia="Calibri"/>
                <w:sz w:val="20"/>
              </w:rPr>
            </w:pPr>
          </w:p>
        </w:tc>
        <w:tc>
          <w:tcPr>
            <w:tcW w:w="2330" w:type="pct"/>
          </w:tcPr>
          <w:p w:rsidR="00E0384B" w:rsidRPr="00595BF3" w:rsidRDefault="00E0384B" w:rsidP="0080417A">
            <w:pPr>
              <w:jc w:val="both"/>
              <w:rPr>
                <w:rFonts w:eastAsia="Calibri"/>
                <w:sz w:val="20"/>
              </w:rPr>
            </w:pPr>
            <w:r w:rsidRPr="00595BF3">
              <w:rPr>
                <w:rFonts w:eastAsia="Calibri"/>
                <w:sz w:val="20"/>
              </w:rPr>
              <w:t>Appeal dismissed</w:t>
            </w:r>
          </w:p>
          <w:p w:rsidR="00E0384B" w:rsidRPr="00595BF3" w:rsidRDefault="00E0384B" w:rsidP="0080417A">
            <w:pPr>
              <w:jc w:val="both"/>
              <w:rPr>
                <w:rFonts w:eastAsia="Calibri"/>
                <w:sz w:val="20"/>
              </w:rPr>
            </w:pPr>
          </w:p>
        </w:tc>
      </w:tr>
      <w:tr w:rsidR="00E0384B" w:rsidRPr="00595BF3" w:rsidTr="00C07D78">
        <w:trPr>
          <w:cantSplit/>
        </w:trPr>
        <w:tc>
          <w:tcPr>
            <w:tcW w:w="2427" w:type="pct"/>
          </w:tcPr>
          <w:p w:rsidR="00E0384B" w:rsidRPr="00595BF3" w:rsidRDefault="00E0384B" w:rsidP="0080417A">
            <w:pPr>
              <w:jc w:val="both"/>
              <w:rPr>
                <w:rFonts w:eastAsia="Calibri"/>
                <w:sz w:val="20"/>
              </w:rPr>
            </w:pPr>
            <w:r w:rsidRPr="00595BF3">
              <w:rPr>
                <w:rFonts w:eastAsia="Calibri"/>
                <w:sz w:val="20"/>
              </w:rPr>
              <w:t>September 23, 2013</w:t>
            </w:r>
          </w:p>
          <w:p w:rsidR="00E0384B" w:rsidRPr="00595BF3" w:rsidRDefault="00E0384B" w:rsidP="0080417A">
            <w:pPr>
              <w:jc w:val="both"/>
              <w:rPr>
                <w:rFonts w:eastAsia="Calibri"/>
                <w:sz w:val="20"/>
              </w:rPr>
            </w:pPr>
            <w:r w:rsidRPr="00595BF3">
              <w:rPr>
                <w:rFonts w:eastAsia="Calibri"/>
                <w:sz w:val="20"/>
              </w:rPr>
              <w:t>Supreme Court of Canada</w:t>
            </w:r>
          </w:p>
        </w:tc>
        <w:tc>
          <w:tcPr>
            <w:tcW w:w="243" w:type="pct"/>
          </w:tcPr>
          <w:p w:rsidR="00E0384B" w:rsidRPr="00595BF3" w:rsidRDefault="00E0384B" w:rsidP="0080417A">
            <w:pPr>
              <w:jc w:val="both"/>
              <w:rPr>
                <w:rFonts w:eastAsia="Calibri"/>
                <w:sz w:val="20"/>
              </w:rPr>
            </w:pPr>
          </w:p>
        </w:tc>
        <w:tc>
          <w:tcPr>
            <w:tcW w:w="2330" w:type="pct"/>
          </w:tcPr>
          <w:p w:rsidR="00E0384B" w:rsidRPr="00595BF3" w:rsidRDefault="00E0384B" w:rsidP="0080417A">
            <w:pPr>
              <w:jc w:val="both"/>
              <w:rPr>
                <w:rFonts w:eastAsia="Calibri"/>
                <w:sz w:val="20"/>
              </w:rPr>
            </w:pPr>
            <w:r w:rsidRPr="00595BF3">
              <w:rPr>
                <w:rFonts w:eastAsia="Calibri"/>
                <w:sz w:val="20"/>
              </w:rPr>
              <w:t>Application for leave to appeal filed</w:t>
            </w:r>
          </w:p>
        </w:tc>
      </w:tr>
    </w:tbl>
    <w:p w:rsidR="0083449C" w:rsidRDefault="0083449C" w:rsidP="0083449C">
      <w:pPr>
        <w:rPr>
          <w:sz w:val="20"/>
          <w:szCs w:val="20"/>
        </w:rPr>
      </w:pPr>
    </w:p>
    <w:p w:rsidR="0083449C" w:rsidRPr="00C50A5C" w:rsidRDefault="00E7787D" w:rsidP="0083449C">
      <w:pPr>
        <w:rPr>
          <w:sz w:val="20"/>
          <w:szCs w:val="20"/>
        </w:rPr>
      </w:pPr>
      <w:r>
        <w:rPr>
          <w:sz w:val="20"/>
          <w:szCs w:val="20"/>
          <w:lang w:val="fr-CA"/>
        </w:rPr>
        <w:pict>
          <v:rect id="_x0000_i1046" style="width:2in;height:1pt" o:hrpct="0" o:hralign="center" o:hrstd="t" o:hrnoshade="t" o:hr="t" fillcolor="black [3213]" stroked="f"/>
        </w:pict>
      </w:r>
    </w:p>
    <w:p w:rsidR="0083449C" w:rsidRDefault="0083449C" w:rsidP="0083449C">
      <w:pPr>
        <w:rPr>
          <w:sz w:val="20"/>
          <w:szCs w:val="20"/>
        </w:rPr>
      </w:pPr>
    </w:p>
    <w:p w:rsidR="0083449C" w:rsidRPr="001B157C" w:rsidRDefault="0083449C" w:rsidP="0083449C">
      <w:pPr>
        <w:rPr>
          <w:sz w:val="20"/>
          <w:szCs w:val="20"/>
          <w:u w:val="single"/>
          <w:lang w:val="fr-CA"/>
        </w:rPr>
      </w:pPr>
      <w:r w:rsidRPr="001B157C">
        <w:rPr>
          <w:sz w:val="20"/>
          <w:szCs w:val="20"/>
          <w:u w:val="single"/>
          <w:lang w:val="fr-CA"/>
        </w:rPr>
        <w:t>RÉSUMÉ DE L’AFFAIRE</w:t>
      </w:r>
    </w:p>
    <w:p w:rsidR="0083449C" w:rsidRDefault="0083449C" w:rsidP="0083449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0384B" w:rsidRPr="00B52C2C" w:rsidTr="0080417A">
        <w:tc>
          <w:tcPr>
            <w:tcW w:w="5000" w:type="pct"/>
            <w:gridSpan w:val="3"/>
          </w:tcPr>
          <w:p w:rsidR="00E0384B" w:rsidRPr="00595BF3" w:rsidRDefault="00E0384B" w:rsidP="0080417A">
            <w:pPr>
              <w:jc w:val="both"/>
              <w:rPr>
                <w:rFonts w:eastAsia="Calibri"/>
                <w:sz w:val="20"/>
                <w:lang w:val="fr-CA"/>
              </w:rPr>
            </w:pPr>
            <w:r w:rsidRPr="00595BF3">
              <w:rPr>
                <w:rFonts w:eastAsia="Calibri"/>
                <w:sz w:val="20"/>
                <w:lang w:val="fr-CA"/>
              </w:rPr>
              <w:t>Droit de l’éducation — Universités — Tribunaux — Compétence — La compétence inhérente des tribunaux inclut-elle le pouvoir de statuer sur une action contractuelle ou une action en responsabilité délictuelle en matière universitaire? — Le droit d’une partie aux interrogatoires préalables prime-t-il une motion en vue d’un jugement sommaire?</w:t>
            </w:r>
          </w:p>
        </w:tc>
      </w:tr>
      <w:tr w:rsidR="00E0384B" w:rsidRPr="00B52C2C" w:rsidTr="0080417A">
        <w:tc>
          <w:tcPr>
            <w:tcW w:w="5000" w:type="pct"/>
            <w:gridSpan w:val="3"/>
          </w:tcPr>
          <w:p w:rsidR="00E0384B" w:rsidRPr="00595BF3" w:rsidRDefault="00E0384B" w:rsidP="0080417A">
            <w:pPr>
              <w:jc w:val="both"/>
              <w:rPr>
                <w:rFonts w:eastAsia="Calibri"/>
                <w:sz w:val="20"/>
                <w:lang w:val="fr-CA"/>
              </w:rPr>
            </w:pPr>
          </w:p>
        </w:tc>
      </w:tr>
      <w:tr w:rsidR="00E0384B" w:rsidRPr="00B52C2C" w:rsidTr="0080417A">
        <w:tc>
          <w:tcPr>
            <w:tcW w:w="5000" w:type="pct"/>
            <w:gridSpan w:val="3"/>
          </w:tcPr>
          <w:p w:rsidR="00E0384B" w:rsidRPr="00595BF3" w:rsidRDefault="00E0384B" w:rsidP="0080417A">
            <w:pPr>
              <w:jc w:val="both"/>
              <w:rPr>
                <w:rFonts w:eastAsia="Calibri"/>
                <w:sz w:val="20"/>
                <w:lang w:val="fr-CA"/>
              </w:rPr>
            </w:pPr>
            <w:r w:rsidRPr="00595BF3">
              <w:rPr>
                <w:rFonts w:eastAsia="Calibri"/>
                <w:sz w:val="20"/>
                <w:lang w:val="fr-CA"/>
              </w:rPr>
              <w:t xml:space="preserve">Alors qu’il étudiait en vue d’obtenir un diplôme de maîtrise à l’Université du Manitoba, M. Walia a demandé son transfert dans un programme de doctorat, demande qui a été refusée par un comité des affaires étudiantes.  M. Walia a fait appel au bureau des études supérieures et s’est vu accorder une nouvelle audience portant sur le transfert devant un autre comité des affaires étudiantes, qui ne devait être formé d’aucun membre du comité ayant rendu la décision initiale.  Il a renoncé à la nouvelle audience sur le transfert, interjetant plutôt appel au comité d’appel du Sénat, mais celui-ci refusa d’entendre son appel.  M. Walia perdit entre-temps son statut d’étudiant à la maîtrise en sciences parce qu’il n’avait pas respecté le délai prorogé pour présenter sa thèse de maîtrise. </w:t>
            </w:r>
          </w:p>
          <w:p w:rsidR="00E0384B" w:rsidRPr="00595BF3" w:rsidRDefault="00E0384B" w:rsidP="0080417A">
            <w:pPr>
              <w:jc w:val="both"/>
              <w:rPr>
                <w:rFonts w:eastAsia="Calibri"/>
                <w:sz w:val="20"/>
                <w:lang w:val="fr-CA"/>
              </w:rPr>
            </w:pPr>
          </w:p>
          <w:p w:rsidR="00E0384B" w:rsidRPr="00595BF3" w:rsidRDefault="00E0384B" w:rsidP="0080417A">
            <w:pPr>
              <w:jc w:val="both"/>
              <w:rPr>
                <w:rFonts w:eastAsia="Calibri"/>
                <w:sz w:val="20"/>
                <w:lang w:val="fr-CA"/>
              </w:rPr>
            </w:pPr>
            <w:r w:rsidRPr="00595BF3">
              <w:rPr>
                <w:rFonts w:eastAsia="Calibri"/>
                <w:sz w:val="20"/>
                <w:lang w:val="fr-CA"/>
              </w:rPr>
              <w:t xml:space="preserve">En 2002, M. Walia a intenté une action en vue d’obtenir des dommages-intérêts généraux et spéciaux pour négligence et rupture de contrat, ainsi que des réparations administratives.  L’Université et les particuliers intimés ont demandé par motion un jugement sommaire.  En décembre 2005, le conseiller-maître Ring a rejeté la motion de M. Walia en vue de contraindre les intimés à se présenter pour subir des interrogatoires préalables conformément au par. 34.04(1) des </w:t>
            </w:r>
            <w:r w:rsidRPr="00595BF3">
              <w:rPr>
                <w:rFonts w:eastAsia="Calibri"/>
                <w:i/>
                <w:sz w:val="20"/>
                <w:lang w:val="fr-CA"/>
              </w:rPr>
              <w:t>Règles de la Cour du Banc de la Reine</w:t>
            </w:r>
            <w:r w:rsidRPr="00595BF3">
              <w:rPr>
                <w:rFonts w:eastAsia="Calibri"/>
                <w:sz w:val="20"/>
                <w:lang w:val="fr-CA"/>
              </w:rPr>
              <w:t xml:space="preserve">, estimant que la motion en vue d’un jugement sommaire doit l’emporter sur le droit aux interrogatoires préalables : </w:t>
            </w:r>
            <w:hyperlink r:id="rId34" w:history="1">
              <w:r w:rsidRPr="00595BF3">
                <w:rPr>
                  <w:rFonts w:eastAsia="Calibri"/>
                  <w:color w:val="0000FF"/>
                  <w:sz w:val="20"/>
                  <w:u w:val="single"/>
                  <w:lang w:val="fr-CA"/>
                </w:rPr>
                <w:t>2005 MBQB 278</w:t>
              </w:r>
            </w:hyperlink>
            <w:r w:rsidRPr="00595BF3">
              <w:rPr>
                <w:rFonts w:eastAsia="Calibri"/>
                <w:sz w:val="20"/>
                <w:lang w:val="fr-CA"/>
              </w:rPr>
              <w:t>.  Cette décision n’a pas été portée en appel.</w:t>
            </w:r>
          </w:p>
          <w:p w:rsidR="00E0384B" w:rsidRPr="00595BF3" w:rsidRDefault="00E0384B" w:rsidP="0080417A">
            <w:pPr>
              <w:jc w:val="both"/>
              <w:rPr>
                <w:rFonts w:eastAsia="Calibri"/>
                <w:sz w:val="20"/>
                <w:lang w:val="fr-CA"/>
              </w:rPr>
            </w:pPr>
          </w:p>
          <w:p w:rsidR="00E0384B" w:rsidRPr="00595BF3" w:rsidRDefault="00E0384B" w:rsidP="0080417A">
            <w:pPr>
              <w:jc w:val="both"/>
              <w:rPr>
                <w:rFonts w:eastAsia="Calibri"/>
                <w:sz w:val="20"/>
                <w:lang w:val="fr-CA"/>
              </w:rPr>
            </w:pPr>
            <w:r w:rsidRPr="00595BF3">
              <w:rPr>
                <w:rFonts w:eastAsia="Calibri"/>
                <w:sz w:val="20"/>
                <w:lang w:val="fr-CA"/>
              </w:rPr>
              <w:t xml:space="preserve">La motion en vue d’un jugement sommaire a été inscrite pour audition en 2007.  Une semaine avant l’audition prévue, M. Walia a demandé par motion à la conseillère-maître Sharp de rendre une ordonnance enjoignant aux intimés de se soumettre à des interrogatoires conformément aux  règles 39.02 et 39.03 des </w:t>
            </w:r>
            <w:r w:rsidRPr="00595BF3">
              <w:rPr>
                <w:rFonts w:eastAsia="Calibri"/>
                <w:i/>
                <w:sz w:val="20"/>
                <w:lang w:val="fr-CA"/>
              </w:rPr>
              <w:t>Règles de la Cour du Banc de la Reine</w:t>
            </w:r>
            <w:r w:rsidRPr="00595BF3">
              <w:rPr>
                <w:rFonts w:eastAsia="Calibri"/>
                <w:sz w:val="20"/>
                <w:lang w:val="fr-CA"/>
              </w:rPr>
              <w:t xml:space="preserve"> avant l’audition de la motion en vue d’un jugement sommaire.  La conseillère-maître Sharp a rejeté la motion de M. Walia en plus d’entendre et de faire droit à la motion en vue d’un jugement sommaire.  La juge Keyser a rejeté l’appel interjeté par M. Walia, et la Cour d’appel a rejeté son appel subséquent.</w:t>
            </w:r>
          </w:p>
          <w:p w:rsidR="00E0384B" w:rsidRPr="00595BF3" w:rsidRDefault="00E0384B" w:rsidP="0080417A">
            <w:pPr>
              <w:jc w:val="both"/>
              <w:rPr>
                <w:rFonts w:eastAsia="Calibri"/>
                <w:sz w:val="20"/>
                <w:lang w:val="fr-CA"/>
              </w:rPr>
            </w:pPr>
          </w:p>
        </w:tc>
      </w:tr>
      <w:tr w:rsidR="00E0384B" w:rsidRPr="00B52C2C" w:rsidTr="0080417A">
        <w:tc>
          <w:tcPr>
            <w:tcW w:w="2427" w:type="pct"/>
          </w:tcPr>
          <w:p w:rsidR="00E0384B" w:rsidRPr="00595BF3" w:rsidRDefault="00E0384B" w:rsidP="0080417A">
            <w:pPr>
              <w:jc w:val="both"/>
              <w:rPr>
                <w:rFonts w:eastAsia="Calibri"/>
                <w:sz w:val="20"/>
                <w:lang w:val="fr-CA"/>
              </w:rPr>
            </w:pPr>
            <w:r w:rsidRPr="00595BF3">
              <w:rPr>
                <w:rFonts w:eastAsia="Calibri"/>
                <w:sz w:val="20"/>
                <w:lang w:val="fr-CA"/>
              </w:rPr>
              <w:lastRenderedPageBreak/>
              <w:t>20 juillet 2007</w:t>
            </w:r>
          </w:p>
          <w:p w:rsidR="00E0384B" w:rsidRPr="00595BF3" w:rsidRDefault="00E0384B" w:rsidP="0080417A">
            <w:pPr>
              <w:jc w:val="both"/>
              <w:rPr>
                <w:rFonts w:eastAsia="Calibri"/>
                <w:sz w:val="20"/>
                <w:lang w:val="fr-CA"/>
              </w:rPr>
            </w:pPr>
            <w:r w:rsidRPr="00595BF3">
              <w:rPr>
                <w:rFonts w:eastAsia="Calibri"/>
                <w:sz w:val="20"/>
                <w:lang w:val="fr-CA"/>
              </w:rPr>
              <w:t>Cour du Banc de la Reine du Manitoba</w:t>
            </w:r>
          </w:p>
          <w:p w:rsidR="00E0384B" w:rsidRPr="00595BF3" w:rsidRDefault="00E0384B" w:rsidP="0080417A">
            <w:pPr>
              <w:jc w:val="both"/>
              <w:rPr>
                <w:rFonts w:eastAsia="Calibri"/>
                <w:sz w:val="20"/>
              </w:rPr>
            </w:pPr>
            <w:r w:rsidRPr="00595BF3">
              <w:rPr>
                <w:rFonts w:eastAsia="Calibri"/>
                <w:sz w:val="20"/>
              </w:rPr>
              <w:t>(Conseillère-maître Sharp)</w:t>
            </w:r>
          </w:p>
          <w:p w:rsidR="00E0384B" w:rsidRPr="00595BF3" w:rsidRDefault="00E0384B" w:rsidP="0080417A">
            <w:pPr>
              <w:jc w:val="both"/>
              <w:rPr>
                <w:rFonts w:eastAsia="Calibri"/>
                <w:sz w:val="20"/>
              </w:rPr>
            </w:pPr>
            <w:r w:rsidRPr="00595BF3">
              <w:rPr>
                <w:rFonts w:eastAsia="Calibri"/>
                <w:sz w:val="20"/>
              </w:rPr>
              <w:t xml:space="preserve"> </w:t>
            </w:r>
          </w:p>
        </w:tc>
        <w:tc>
          <w:tcPr>
            <w:tcW w:w="243" w:type="pct"/>
          </w:tcPr>
          <w:p w:rsidR="00E0384B" w:rsidRPr="00595BF3" w:rsidRDefault="00E0384B" w:rsidP="0080417A">
            <w:pPr>
              <w:jc w:val="both"/>
              <w:rPr>
                <w:rFonts w:eastAsia="Calibri"/>
                <w:sz w:val="20"/>
              </w:rPr>
            </w:pPr>
          </w:p>
        </w:tc>
        <w:tc>
          <w:tcPr>
            <w:tcW w:w="2330" w:type="pct"/>
          </w:tcPr>
          <w:p w:rsidR="00E0384B" w:rsidRPr="00595BF3" w:rsidRDefault="00E0384B" w:rsidP="0080417A">
            <w:pPr>
              <w:jc w:val="both"/>
              <w:rPr>
                <w:rFonts w:eastAsia="Calibri"/>
                <w:sz w:val="20"/>
                <w:lang w:val="fr-CA"/>
              </w:rPr>
            </w:pPr>
            <w:r w:rsidRPr="00595BF3">
              <w:rPr>
                <w:rFonts w:eastAsia="Calibri"/>
                <w:sz w:val="20"/>
                <w:lang w:val="fr-CA"/>
              </w:rPr>
              <w:t>Motion visant à contraindre les intimés à se soumettre à des interrogatoires préalables rejetée; motion en vue d’un jugement sommaire accueillie</w:t>
            </w:r>
          </w:p>
          <w:p w:rsidR="00E0384B" w:rsidRPr="00595BF3" w:rsidRDefault="00E0384B" w:rsidP="0080417A">
            <w:pPr>
              <w:jc w:val="both"/>
              <w:rPr>
                <w:rFonts w:eastAsia="Calibri"/>
                <w:sz w:val="20"/>
                <w:lang w:val="fr-CA"/>
              </w:rPr>
            </w:pPr>
          </w:p>
        </w:tc>
      </w:tr>
      <w:tr w:rsidR="00E0384B" w:rsidRPr="00595BF3" w:rsidTr="0080417A">
        <w:tc>
          <w:tcPr>
            <w:tcW w:w="2427" w:type="pct"/>
          </w:tcPr>
          <w:p w:rsidR="00E0384B" w:rsidRPr="00595BF3" w:rsidRDefault="00E0384B" w:rsidP="0080417A">
            <w:pPr>
              <w:jc w:val="both"/>
              <w:rPr>
                <w:rFonts w:eastAsia="Calibri"/>
                <w:sz w:val="20"/>
                <w:lang w:val="fr-CA"/>
              </w:rPr>
            </w:pPr>
            <w:r w:rsidRPr="00595BF3">
              <w:rPr>
                <w:rFonts w:eastAsia="Calibri"/>
                <w:sz w:val="20"/>
                <w:lang w:val="fr-CA"/>
              </w:rPr>
              <w:t>4 avril 2012</w:t>
            </w:r>
          </w:p>
          <w:p w:rsidR="00E0384B" w:rsidRPr="00595BF3" w:rsidRDefault="00E0384B" w:rsidP="0080417A">
            <w:pPr>
              <w:jc w:val="both"/>
              <w:rPr>
                <w:rFonts w:eastAsia="Calibri"/>
                <w:sz w:val="20"/>
                <w:lang w:val="fr-CA"/>
              </w:rPr>
            </w:pPr>
            <w:r w:rsidRPr="00595BF3">
              <w:rPr>
                <w:rFonts w:eastAsia="Calibri"/>
                <w:sz w:val="20"/>
                <w:lang w:val="fr-CA"/>
              </w:rPr>
              <w:t>Cour du Banc de la Reine du Manitoba</w:t>
            </w:r>
          </w:p>
          <w:p w:rsidR="00E0384B" w:rsidRPr="00595BF3" w:rsidRDefault="00E0384B" w:rsidP="0080417A">
            <w:pPr>
              <w:jc w:val="both"/>
              <w:rPr>
                <w:rFonts w:eastAsia="Calibri"/>
                <w:sz w:val="20"/>
              </w:rPr>
            </w:pPr>
            <w:r w:rsidRPr="00595BF3">
              <w:rPr>
                <w:rFonts w:eastAsia="Calibri"/>
                <w:sz w:val="20"/>
              </w:rPr>
              <w:t>(Juge Keyser)</w:t>
            </w:r>
          </w:p>
          <w:p w:rsidR="00E0384B" w:rsidRPr="00595BF3" w:rsidRDefault="00E0384B" w:rsidP="0080417A">
            <w:pPr>
              <w:jc w:val="both"/>
              <w:rPr>
                <w:rFonts w:eastAsia="Calibri"/>
                <w:sz w:val="20"/>
              </w:rPr>
            </w:pPr>
            <w:r w:rsidRPr="00595BF3">
              <w:rPr>
                <w:rFonts w:eastAsia="Calibri"/>
                <w:sz w:val="20"/>
              </w:rPr>
              <w:t xml:space="preserve"> </w:t>
            </w:r>
          </w:p>
        </w:tc>
        <w:tc>
          <w:tcPr>
            <w:tcW w:w="243" w:type="pct"/>
          </w:tcPr>
          <w:p w:rsidR="00E0384B" w:rsidRPr="00595BF3" w:rsidRDefault="00E0384B" w:rsidP="0080417A">
            <w:pPr>
              <w:jc w:val="both"/>
              <w:rPr>
                <w:rFonts w:eastAsia="Calibri"/>
                <w:sz w:val="20"/>
              </w:rPr>
            </w:pPr>
          </w:p>
        </w:tc>
        <w:tc>
          <w:tcPr>
            <w:tcW w:w="2330" w:type="pct"/>
          </w:tcPr>
          <w:p w:rsidR="00E0384B" w:rsidRPr="00595BF3" w:rsidRDefault="00E0384B" w:rsidP="0080417A">
            <w:pPr>
              <w:jc w:val="both"/>
              <w:rPr>
                <w:rFonts w:eastAsia="Calibri"/>
                <w:sz w:val="20"/>
              </w:rPr>
            </w:pPr>
            <w:r w:rsidRPr="00595BF3">
              <w:rPr>
                <w:rFonts w:eastAsia="Calibri"/>
                <w:sz w:val="20"/>
              </w:rPr>
              <w:t>Appel rejeté</w:t>
            </w:r>
          </w:p>
        </w:tc>
      </w:tr>
      <w:tr w:rsidR="00E0384B" w:rsidRPr="00595BF3" w:rsidTr="0080417A">
        <w:tc>
          <w:tcPr>
            <w:tcW w:w="2427" w:type="pct"/>
          </w:tcPr>
          <w:p w:rsidR="00E0384B" w:rsidRPr="00595BF3" w:rsidRDefault="00E0384B" w:rsidP="0080417A">
            <w:pPr>
              <w:jc w:val="both"/>
              <w:rPr>
                <w:rFonts w:eastAsia="Calibri"/>
                <w:sz w:val="20"/>
                <w:lang w:val="fr-CA"/>
              </w:rPr>
            </w:pPr>
            <w:r w:rsidRPr="00595BF3">
              <w:rPr>
                <w:rFonts w:eastAsia="Calibri"/>
                <w:sz w:val="20"/>
                <w:lang w:val="fr-CA"/>
              </w:rPr>
              <w:t>25 juin 2013</w:t>
            </w:r>
          </w:p>
          <w:p w:rsidR="00E0384B" w:rsidRPr="00595BF3" w:rsidRDefault="00E0384B" w:rsidP="0080417A">
            <w:pPr>
              <w:jc w:val="both"/>
              <w:rPr>
                <w:rFonts w:eastAsia="Calibri"/>
                <w:sz w:val="20"/>
                <w:lang w:val="fr-CA"/>
              </w:rPr>
            </w:pPr>
            <w:r w:rsidRPr="00595BF3">
              <w:rPr>
                <w:rFonts w:eastAsia="Calibri"/>
                <w:sz w:val="20"/>
                <w:lang w:val="fr-CA"/>
              </w:rPr>
              <w:t>Cour d’appel du Manitoba</w:t>
            </w:r>
          </w:p>
          <w:p w:rsidR="00E0384B" w:rsidRPr="00595BF3" w:rsidRDefault="00E0384B" w:rsidP="0080417A">
            <w:pPr>
              <w:jc w:val="both"/>
              <w:rPr>
                <w:rFonts w:eastAsia="Calibri"/>
                <w:sz w:val="20"/>
                <w:lang w:val="fr-CA"/>
              </w:rPr>
            </w:pPr>
            <w:r w:rsidRPr="00595BF3">
              <w:rPr>
                <w:rFonts w:eastAsia="Calibri"/>
                <w:sz w:val="20"/>
                <w:lang w:val="fr-CA"/>
              </w:rPr>
              <w:t>(Juges Monnin, Hamilton et Beard)</w:t>
            </w:r>
          </w:p>
          <w:p w:rsidR="00E0384B" w:rsidRPr="00595BF3" w:rsidRDefault="00E7787D" w:rsidP="0080417A">
            <w:pPr>
              <w:jc w:val="both"/>
              <w:rPr>
                <w:rFonts w:eastAsia="Calibri"/>
                <w:sz w:val="20"/>
              </w:rPr>
            </w:pPr>
            <w:hyperlink r:id="rId35" w:history="1">
              <w:r w:rsidR="00E0384B" w:rsidRPr="00595BF3">
                <w:rPr>
                  <w:rFonts w:eastAsia="Calibri"/>
                  <w:color w:val="0000FF"/>
                  <w:sz w:val="20"/>
                  <w:u w:val="single"/>
                </w:rPr>
                <w:t>2013 MBCA 61</w:t>
              </w:r>
            </w:hyperlink>
          </w:p>
          <w:p w:rsidR="00E0384B" w:rsidRPr="00595BF3" w:rsidRDefault="00E0384B" w:rsidP="0080417A">
            <w:pPr>
              <w:jc w:val="both"/>
              <w:rPr>
                <w:rFonts w:eastAsia="Calibri"/>
                <w:sz w:val="20"/>
              </w:rPr>
            </w:pPr>
            <w:r w:rsidRPr="00595BF3">
              <w:rPr>
                <w:rFonts w:eastAsia="Calibri"/>
                <w:sz w:val="20"/>
              </w:rPr>
              <w:t xml:space="preserve"> </w:t>
            </w:r>
          </w:p>
        </w:tc>
        <w:tc>
          <w:tcPr>
            <w:tcW w:w="243" w:type="pct"/>
          </w:tcPr>
          <w:p w:rsidR="00E0384B" w:rsidRPr="00595BF3" w:rsidRDefault="00E0384B" w:rsidP="0080417A">
            <w:pPr>
              <w:jc w:val="both"/>
              <w:rPr>
                <w:rFonts w:eastAsia="Calibri"/>
                <w:sz w:val="20"/>
              </w:rPr>
            </w:pPr>
          </w:p>
        </w:tc>
        <w:tc>
          <w:tcPr>
            <w:tcW w:w="2330" w:type="pct"/>
          </w:tcPr>
          <w:p w:rsidR="00E0384B" w:rsidRPr="00595BF3" w:rsidRDefault="00E0384B" w:rsidP="0080417A">
            <w:pPr>
              <w:jc w:val="both"/>
              <w:rPr>
                <w:rFonts w:eastAsia="Calibri"/>
                <w:sz w:val="20"/>
              </w:rPr>
            </w:pPr>
            <w:r w:rsidRPr="00595BF3">
              <w:rPr>
                <w:rFonts w:eastAsia="Calibri"/>
                <w:sz w:val="20"/>
              </w:rPr>
              <w:t>Appel rejeté</w:t>
            </w:r>
          </w:p>
          <w:p w:rsidR="00E0384B" w:rsidRPr="00595BF3" w:rsidRDefault="00E0384B" w:rsidP="0080417A">
            <w:pPr>
              <w:jc w:val="both"/>
              <w:rPr>
                <w:rFonts w:eastAsia="Calibri"/>
                <w:sz w:val="20"/>
              </w:rPr>
            </w:pPr>
          </w:p>
        </w:tc>
      </w:tr>
      <w:tr w:rsidR="00E0384B" w:rsidRPr="00595BF3" w:rsidTr="0080417A">
        <w:tc>
          <w:tcPr>
            <w:tcW w:w="2427" w:type="pct"/>
          </w:tcPr>
          <w:p w:rsidR="00E0384B" w:rsidRPr="00595BF3" w:rsidRDefault="00E0384B" w:rsidP="0080417A">
            <w:pPr>
              <w:jc w:val="both"/>
              <w:rPr>
                <w:rFonts w:eastAsia="Calibri"/>
                <w:sz w:val="20"/>
                <w:lang w:val="fr-CA"/>
              </w:rPr>
            </w:pPr>
            <w:r w:rsidRPr="00595BF3">
              <w:rPr>
                <w:rFonts w:eastAsia="Calibri"/>
                <w:sz w:val="20"/>
                <w:lang w:val="fr-CA"/>
              </w:rPr>
              <w:t>23 septembre 2013</w:t>
            </w:r>
          </w:p>
          <w:p w:rsidR="00E0384B" w:rsidRPr="00595BF3" w:rsidRDefault="00E0384B" w:rsidP="0080417A">
            <w:pPr>
              <w:jc w:val="both"/>
              <w:rPr>
                <w:rFonts w:eastAsia="Calibri"/>
                <w:sz w:val="20"/>
                <w:lang w:val="fr-CA"/>
              </w:rPr>
            </w:pPr>
            <w:r w:rsidRPr="00595BF3">
              <w:rPr>
                <w:rFonts w:eastAsia="Calibri"/>
                <w:sz w:val="20"/>
                <w:lang w:val="fr-CA"/>
              </w:rPr>
              <w:t>Cour suprême du Canada</w:t>
            </w:r>
          </w:p>
        </w:tc>
        <w:tc>
          <w:tcPr>
            <w:tcW w:w="243" w:type="pct"/>
          </w:tcPr>
          <w:p w:rsidR="00E0384B" w:rsidRPr="00595BF3" w:rsidRDefault="00E0384B" w:rsidP="0080417A">
            <w:pPr>
              <w:jc w:val="both"/>
              <w:rPr>
                <w:rFonts w:eastAsia="Calibri"/>
                <w:sz w:val="20"/>
                <w:lang w:val="fr-CA"/>
              </w:rPr>
            </w:pPr>
          </w:p>
        </w:tc>
        <w:tc>
          <w:tcPr>
            <w:tcW w:w="2330" w:type="pct"/>
          </w:tcPr>
          <w:p w:rsidR="00E0384B" w:rsidRPr="00595BF3" w:rsidRDefault="00E0384B" w:rsidP="0080417A">
            <w:pPr>
              <w:jc w:val="both"/>
              <w:rPr>
                <w:rFonts w:eastAsia="Calibri"/>
                <w:sz w:val="20"/>
              </w:rPr>
            </w:pPr>
            <w:r w:rsidRPr="00595BF3">
              <w:rPr>
                <w:rFonts w:eastAsia="Calibri"/>
                <w:sz w:val="20"/>
              </w:rPr>
              <w:t xml:space="preserve">Demande d’autorisation d’appel déposée </w:t>
            </w:r>
          </w:p>
        </w:tc>
      </w:tr>
    </w:tbl>
    <w:p w:rsidR="0083449C" w:rsidRDefault="0083449C" w:rsidP="0083449C">
      <w:pPr>
        <w:rPr>
          <w:sz w:val="20"/>
          <w:szCs w:val="20"/>
        </w:rPr>
      </w:pPr>
    </w:p>
    <w:p w:rsidR="0083449C" w:rsidRDefault="00E7787D" w:rsidP="0083449C">
      <w:pPr>
        <w:rPr>
          <w:sz w:val="20"/>
          <w:szCs w:val="20"/>
          <w:lang w:val="fr-CA"/>
        </w:rPr>
      </w:pPr>
      <w:r>
        <w:rPr>
          <w:sz w:val="20"/>
          <w:szCs w:val="20"/>
          <w:lang w:val="fr-CA"/>
        </w:rPr>
        <w:pict>
          <v:rect id="_x0000_i1047" style="width:2in;height:1pt" o:hrpct="0" o:hralign="center" o:hrstd="t" o:hrnoshade="t" o:hr="t" fillcolor="black [3213]" stroked="f"/>
        </w:pict>
      </w:r>
    </w:p>
    <w:p w:rsidR="0083449C" w:rsidRDefault="0083449C" w:rsidP="0083449C">
      <w:pPr>
        <w:rPr>
          <w:sz w:val="20"/>
          <w:szCs w:val="20"/>
          <w:lang w:val="fr-CA"/>
        </w:rPr>
      </w:pPr>
    </w:p>
    <w:p w:rsidR="0083449C" w:rsidRDefault="0083449C" w:rsidP="000E2959">
      <w:pPr>
        <w:rPr>
          <w:sz w:val="20"/>
          <w:szCs w:val="20"/>
        </w:rPr>
      </w:pPr>
    </w:p>
    <w:p w:rsidR="0083449C" w:rsidRDefault="0083449C" w:rsidP="000E2959">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36"/>
          <w:headerReference w:type="default" r:id="rId37"/>
          <w:footerReference w:type="even" r:id="rId38"/>
          <w:footerReference w:type="default" r:id="rId39"/>
          <w:headerReference w:type="first" r:id="rId40"/>
          <w:footerReference w:type="first" r:id="rId41"/>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5C1ECC" w:rsidRPr="005C1ECC" w:rsidRDefault="005C1ECC" w:rsidP="005C1ECC">
      <w:pPr>
        <w:tabs>
          <w:tab w:val="left" w:pos="-1440"/>
          <w:tab w:val="left" w:pos="-720"/>
        </w:tabs>
        <w:jc w:val="both"/>
        <w:rPr>
          <w:rFonts w:eastAsia="Times New Roman" w:cs="Times New Roman"/>
          <w:sz w:val="20"/>
          <w:szCs w:val="20"/>
          <w:lang w:val="fr-CA" w:eastAsia="en-CA"/>
        </w:rPr>
      </w:pPr>
      <w:r w:rsidRPr="005C1ECC">
        <w:rPr>
          <w:rFonts w:eastAsia="Times New Roman" w:cs="Times New Roman"/>
          <w:sz w:val="20"/>
          <w:szCs w:val="20"/>
          <w:lang w:val="fr-CA" w:eastAsia="en-CA"/>
        </w:rPr>
        <w:t>22.11.2013</w:t>
      </w:r>
    </w:p>
    <w:p w:rsidR="005C1ECC" w:rsidRPr="005C1ECC" w:rsidRDefault="005C1ECC" w:rsidP="005C1ECC">
      <w:pPr>
        <w:tabs>
          <w:tab w:val="left" w:pos="-1440"/>
          <w:tab w:val="left" w:pos="-720"/>
        </w:tabs>
        <w:jc w:val="both"/>
        <w:rPr>
          <w:rFonts w:eastAsia="Times New Roman" w:cs="Times New Roman"/>
          <w:sz w:val="20"/>
          <w:szCs w:val="20"/>
          <w:lang w:val="fr-CA" w:eastAsia="en-CA"/>
        </w:rPr>
      </w:pPr>
    </w:p>
    <w:p w:rsidR="005C1ECC" w:rsidRPr="005C1ECC" w:rsidRDefault="005C1ECC" w:rsidP="005C1ECC">
      <w:pPr>
        <w:tabs>
          <w:tab w:val="left" w:pos="-1440"/>
          <w:tab w:val="left" w:pos="-720"/>
        </w:tabs>
        <w:jc w:val="both"/>
        <w:rPr>
          <w:rFonts w:eastAsia="Times New Roman" w:cs="Times New Roman"/>
          <w:sz w:val="20"/>
          <w:szCs w:val="20"/>
          <w:lang w:val="fr-CA" w:eastAsia="en-CA"/>
        </w:rPr>
      </w:pPr>
      <w:r w:rsidRPr="005C1ECC">
        <w:rPr>
          <w:rFonts w:eastAsia="Times New Roman" w:cs="Times New Roman"/>
          <w:sz w:val="20"/>
          <w:szCs w:val="20"/>
          <w:lang w:val="fr-CA" w:eastAsia="en-CA"/>
        </w:rPr>
        <w:t>Before / Devant :   THE CHIEF JUSTICE / LA JUGE EN CHEF</w:t>
      </w:r>
    </w:p>
    <w:p w:rsidR="005C1ECC" w:rsidRPr="005C1ECC" w:rsidRDefault="005C1ECC" w:rsidP="005C1ECC">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5C1ECC" w:rsidRPr="00B52C2C" w:rsidTr="00741B40">
        <w:tc>
          <w:tcPr>
            <w:tcW w:w="4338" w:type="dxa"/>
          </w:tcPr>
          <w:p w:rsidR="005C1ECC" w:rsidRPr="005C1ECC" w:rsidRDefault="000C413F" w:rsidP="005C1ECC">
            <w:pPr>
              <w:tabs>
                <w:tab w:val="left" w:pos="-1440"/>
                <w:tab w:val="left" w:pos="-720"/>
              </w:tabs>
              <w:jc w:val="both"/>
              <w:rPr>
                <w:b/>
              </w:rPr>
            </w:pPr>
            <w:r w:rsidRPr="005C1ECC">
              <w:rPr>
                <w:lang w:val="en-US"/>
              </w:rPr>
              <w:fldChar w:fldCharType="begin"/>
            </w:r>
            <w:r w:rsidR="005C1ECC" w:rsidRPr="005C1ECC">
              <w:rPr>
                <w:lang w:val="en-US"/>
              </w:rPr>
              <w:instrText xml:space="preserve"> SEQ CHAPTER \h \r 1</w:instrText>
            </w:r>
            <w:r w:rsidRPr="005C1ECC">
              <w:rPr>
                <w:lang w:val="en-US"/>
              </w:rPr>
              <w:fldChar w:fldCharType="end"/>
            </w:r>
            <w:r w:rsidR="005C1ECC" w:rsidRPr="005C1ECC">
              <w:rPr>
                <w:b/>
                <w:bCs/>
                <w:lang w:val="en-US"/>
              </w:rPr>
              <w:t>Motion to state constitutional questions</w:t>
            </w:r>
          </w:p>
        </w:tc>
        <w:tc>
          <w:tcPr>
            <w:tcW w:w="1170" w:type="dxa"/>
          </w:tcPr>
          <w:p w:rsidR="005C1ECC" w:rsidRPr="005C1ECC" w:rsidRDefault="005C1ECC" w:rsidP="005C1ECC">
            <w:pPr>
              <w:tabs>
                <w:tab w:val="left" w:pos="-1440"/>
                <w:tab w:val="left" w:pos="-720"/>
              </w:tabs>
              <w:jc w:val="both"/>
            </w:pPr>
          </w:p>
          <w:p w:rsidR="005C1ECC" w:rsidRPr="005C1ECC" w:rsidRDefault="005C1ECC" w:rsidP="005C1ECC">
            <w:pPr>
              <w:tabs>
                <w:tab w:val="left" w:pos="-1440"/>
                <w:tab w:val="left" w:pos="-720"/>
              </w:tabs>
              <w:jc w:val="both"/>
            </w:pPr>
          </w:p>
          <w:p w:rsidR="005C1ECC" w:rsidRPr="005C1ECC" w:rsidRDefault="005C1ECC" w:rsidP="005C1ECC">
            <w:pPr>
              <w:tabs>
                <w:tab w:val="left" w:pos="-1440"/>
                <w:tab w:val="left" w:pos="-720"/>
              </w:tabs>
              <w:jc w:val="both"/>
            </w:pPr>
          </w:p>
        </w:tc>
        <w:tc>
          <w:tcPr>
            <w:tcW w:w="4327" w:type="dxa"/>
          </w:tcPr>
          <w:p w:rsidR="005C1ECC" w:rsidRPr="005C1ECC" w:rsidRDefault="000C413F" w:rsidP="005C1ECC">
            <w:pPr>
              <w:tabs>
                <w:tab w:val="left" w:pos="-1440"/>
                <w:tab w:val="left" w:pos="-720"/>
              </w:tabs>
              <w:jc w:val="both"/>
              <w:rPr>
                <w:lang w:val="fr-CA"/>
              </w:rPr>
            </w:pPr>
            <w:r w:rsidRPr="005C1ECC">
              <w:rPr>
                <w:lang w:val="en-US"/>
              </w:rPr>
              <w:fldChar w:fldCharType="begin"/>
            </w:r>
            <w:r w:rsidR="005C1ECC" w:rsidRPr="005C1ECC">
              <w:rPr>
                <w:lang w:val="fr-CA"/>
              </w:rPr>
              <w:instrText xml:space="preserve"> SEQ CHAPTER \h \r 1</w:instrText>
            </w:r>
            <w:r w:rsidRPr="005C1ECC">
              <w:rPr>
                <w:lang w:val="en-US"/>
              </w:rPr>
              <w:fldChar w:fldCharType="end"/>
            </w:r>
            <w:r w:rsidR="005C1ECC" w:rsidRPr="005C1ECC">
              <w:rPr>
                <w:b/>
                <w:bCs/>
                <w:lang w:val="fr-CA"/>
              </w:rPr>
              <w:t>Requête en formulation de questions constitutionnelles</w:t>
            </w:r>
            <w:r w:rsidRPr="005C1ECC">
              <w:rPr>
                <w:lang w:val="en-US"/>
              </w:rPr>
              <w:fldChar w:fldCharType="begin"/>
            </w:r>
            <w:r w:rsidR="005C1ECC" w:rsidRPr="005C1ECC">
              <w:rPr>
                <w:lang w:val="fr-CA"/>
              </w:rPr>
              <w:instrText xml:space="preserve"> SEQ CHAPTER \h \r 1</w:instrText>
            </w:r>
            <w:r w:rsidRPr="005C1ECC">
              <w:rPr>
                <w:lang w:val="en-US"/>
              </w:rPr>
              <w:fldChar w:fldCharType="end"/>
            </w:r>
            <w:r w:rsidRPr="005C1ECC">
              <w:rPr>
                <w:lang w:val="en-US"/>
              </w:rPr>
              <w:fldChar w:fldCharType="begin"/>
            </w:r>
            <w:r w:rsidR="005C1ECC" w:rsidRPr="005C1ECC">
              <w:rPr>
                <w:lang w:val="fr-CA"/>
              </w:rPr>
              <w:instrText xml:space="preserve"> SEQ CHAPTER \h \r 1</w:instrText>
            </w:r>
            <w:r w:rsidRPr="005C1ECC">
              <w:rPr>
                <w:lang w:val="en-US"/>
              </w:rPr>
              <w:fldChar w:fldCharType="end"/>
            </w:r>
            <w:r w:rsidRPr="005C1ECC">
              <w:rPr>
                <w:lang w:val="en-US"/>
              </w:rPr>
              <w:fldChar w:fldCharType="begin"/>
            </w:r>
            <w:r w:rsidR="005C1ECC" w:rsidRPr="005C1ECC">
              <w:rPr>
                <w:lang w:val="fr-CA"/>
              </w:rPr>
              <w:instrText xml:space="preserve"> SEQ CHAPTER \h \r 1</w:instrText>
            </w:r>
            <w:r w:rsidRPr="005C1ECC">
              <w:rPr>
                <w:lang w:val="en-US"/>
              </w:rPr>
              <w:fldChar w:fldCharType="end"/>
            </w:r>
          </w:p>
        </w:tc>
      </w:tr>
      <w:tr w:rsidR="005C1ECC" w:rsidRPr="005C1ECC" w:rsidTr="00741B40">
        <w:tc>
          <w:tcPr>
            <w:tcW w:w="4338" w:type="dxa"/>
          </w:tcPr>
          <w:p w:rsidR="005C1ECC" w:rsidRPr="005C1ECC" w:rsidRDefault="005C1ECC" w:rsidP="005C1ECC">
            <w:pPr>
              <w:tabs>
                <w:tab w:val="left" w:pos="-1440"/>
                <w:tab w:val="left" w:pos="-720"/>
              </w:tabs>
              <w:jc w:val="both"/>
            </w:pPr>
            <w:r w:rsidRPr="005C1ECC">
              <w:t>Saskatchewan Federation of Labour (in its own right and on behalf of the unions and workers in the Province of Saskatchewan) et al.</w:t>
            </w:r>
          </w:p>
          <w:p w:rsidR="005C1ECC" w:rsidRPr="005C1ECC" w:rsidRDefault="005C1ECC" w:rsidP="005C1ECC">
            <w:pPr>
              <w:tabs>
                <w:tab w:val="left" w:pos="-1440"/>
                <w:tab w:val="left" w:pos="-720"/>
              </w:tabs>
              <w:jc w:val="both"/>
            </w:pPr>
          </w:p>
          <w:p w:rsidR="005C1ECC" w:rsidRPr="005C1ECC" w:rsidRDefault="005C1ECC" w:rsidP="005C1ECC">
            <w:pPr>
              <w:tabs>
                <w:tab w:val="left" w:pos="-1440"/>
                <w:tab w:val="left" w:pos="-720"/>
              </w:tabs>
              <w:jc w:val="both"/>
            </w:pPr>
            <w:r w:rsidRPr="005C1ECC">
              <w:tab/>
              <w:t>v. (35423)</w:t>
            </w:r>
          </w:p>
          <w:p w:rsidR="005C1ECC" w:rsidRPr="005C1ECC" w:rsidRDefault="005C1ECC" w:rsidP="005C1ECC">
            <w:pPr>
              <w:tabs>
                <w:tab w:val="left" w:pos="-1440"/>
                <w:tab w:val="left" w:pos="-720"/>
              </w:tabs>
              <w:jc w:val="both"/>
            </w:pPr>
          </w:p>
          <w:p w:rsidR="005C1ECC" w:rsidRPr="005C1ECC" w:rsidRDefault="005C1ECC" w:rsidP="005C1ECC">
            <w:pPr>
              <w:tabs>
                <w:tab w:val="left" w:pos="-1440"/>
                <w:tab w:val="left" w:pos="-720"/>
              </w:tabs>
              <w:jc w:val="both"/>
            </w:pPr>
            <w:r w:rsidRPr="005C1ECC">
              <w:t>Her Majesty the Queen, in Right of the Province of Saskatchewan (Sask.)</w:t>
            </w:r>
          </w:p>
        </w:tc>
        <w:tc>
          <w:tcPr>
            <w:tcW w:w="1170" w:type="dxa"/>
          </w:tcPr>
          <w:p w:rsidR="005C1ECC" w:rsidRPr="005C1ECC" w:rsidRDefault="005C1ECC" w:rsidP="005C1ECC">
            <w:pPr>
              <w:tabs>
                <w:tab w:val="left" w:pos="-1440"/>
                <w:tab w:val="left" w:pos="-720"/>
              </w:tabs>
              <w:jc w:val="both"/>
            </w:pPr>
          </w:p>
        </w:tc>
        <w:tc>
          <w:tcPr>
            <w:tcW w:w="4327" w:type="dxa"/>
          </w:tcPr>
          <w:p w:rsidR="005C1ECC" w:rsidRPr="005C1ECC" w:rsidRDefault="005C1ECC" w:rsidP="005C1ECC">
            <w:pPr>
              <w:tabs>
                <w:tab w:val="left" w:pos="-1440"/>
                <w:tab w:val="left" w:pos="-720"/>
              </w:tabs>
              <w:jc w:val="both"/>
            </w:pPr>
          </w:p>
        </w:tc>
      </w:tr>
    </w:tbl>
    <w:p w:rsidR="005C1ECC" w:rsidRPr="005C1ECC" w:rsidRDefault="005C1ECC" w:rsidP="005C1ECC">
      <w:pPr>
        <w:tabs>
          <w:tab w:val="left" w:pos="-1440"/>
          <w:tab w:val="left" w:pos="-720"/>
        </w:tabs>
        <w:jc w:val="both"/>
        <w:rPr>
          <w:rFonts w:eastAsia="Times New Roman" w:cs="Times New Roman"/>
          <w:sz w:val="20"/>
          <w:szCs w:val="20"/>
          <w:lang w:eastAsia="en-CA"/>
        </w:rPr>
      </w:pPr>
    </w:p>
    <w:p w:rsidR="005C1ECC" w:rsidRPr="00D8017E" w:rsidRDefault="005C1ECC" w:rsidP="005C1ECC">
      <w:pPr>
        <w:tabs>
          <w:tab w:val="left" w:pos="-1440"/>
          <w:tab w:val="left" w:pos="-720"/>
        </w:tabs>
        <w:jc w:val="both"/>
        <w:rPr>
          <w:rFonts w:eastAsia="Times New Roman" w:cs="Times New Roman"/>
          <w:sz w:val="20"/>
          <w:szCs w:val="20"/>
          <w:lang w:eastAsia="en-CA"/>
        </w:rPr>
      </w:pPr>
      <w:r w:rsidRPr="00D8017E">
        <w:rPr>
          <w:rFonts w:eastAsia="Times New Roman" w:cs="Times New Roman"/>
          <w:b/>
          <w:sz w:val="20"/>
          <w:szCs w:val="20"/>
          <w:lang w:eastAsia="en-CA"/>
        </w:rPr>
        <w:t>GRANTED / ACCORDÉE</w:t>
      </w:r>
    </w:p>
    <w:p w:rsidR="005C1ECC" w:rsidRPr="00D8017E" w:rsidRDefault="005C1ECC" w:rsidP="005C1ECC">
      <w:pPr>
        <w:tabs>
          <w:tab w:val="left" w:pos="-1440"/>
          <w:tab w:val="left" w:pos="-720"/>
        </w:tabs>
        <w:jc w:val="both"/>
        <w:rPr>
          <w:rFonts w:eastAsia="Times New Roman" w:cs="Times New Roman"/>
          <w:sz w:val="20"/>
          <w:szCs w:val="20"/>
          <w:lang w:eastAsia="en-CA"/>
        </w:rPr>
      </w:pPr>
    </w:p>
    <w:p w:rsidR="005C1ECC" w:rsidRPr="00D8017E" w:rsidRDefault="005C1ECC" w:rsidP="005C1ECC">
      <w:pPr>
        <w:jc w:val="both"/>
        <w:rPr>
          <w:rFonts w:eastAsia="Times New Roman" w:cs="Times New Roman"/>
          <w:sz w:val="20"/>
          <w:szCs w:val="20"/>
          <w:lang w:eastAsia="en-CA"/>
        </w:rPr>
      </w:pPr>
      <w:r w:rsidRPr="00D8017E">
        <w:rPr>
          <w:rFonts w:eastAsia="Times New Roman" w:cs="Times New Roman"/>
          <w:b/>
          <w:bCs/>
          <w:sz w:val="20"/>
          <w:szCs w:val="20"/>
          <w:lang w:eastAsia="en-CA"/>
        </w:rPr>
        <w:t>UPON APPLICATION</w:t>
      </w:r>
      <w:r w:rsidRPr="00D8017E">
        <w:rPr>
          <w:rFonts w:eastAsia="Times New Roman" w:cs="Times New Roman"/>
          <w:sz w:val="20"/>
          <w:szCs w:val="20"/>
          <w:lang w:eastAsia="en-CA"/>
        </w:rPr>
        <w:t xml:space="preserve"> by the appellants </w:t>
      </w:r>
      <w:r w:rsidR="000C413F" w:rsidRPr="00D8017E">
        <w:rPr>
          <w:rFonts w:eastAsia="Times New Roman" w:cs="Times New Roman"/>
          <w:sz w:val="20"/>
          <w:szCs w:val="20"/>
          <w:lang w:eastAsia="en-CA"/>
        </w:rPr>
        <w:fldChar w:fldCharType="begin"/>
      </w:r>
      <w:r w:rsidRPr="00D8017E">
        <w:rPr>
          <w:rFonts w:eastAsia="Times New Roman" w:cs="Times New Roman"/>
          <w:sz w:val="20"/>
          <w:szCs w:val="20"/>
          <w:lang w:eastAsia="en-CA"/>
        </w:rPr>
        <w:instrText xml:space="preserve"> SEQ CHAPTER \h \r 1</w:instrText>
      </w:r>
      <w:r w:rsidR="000C413F" w:rsidRPr="00D8017E">
        <w:rPr>
          <w:rFonts w:eastAsia="Times New Roman" w:cs="Times New Roman"/>
          <w:sz w:val="20"/>
          <w:szCs w:val="20"/>
          <w:lang w:eastAsia="en-CA"/>
        </w:rPr>
        <w:fldChar w:fldCharType="end"/>
      </w:r>
      <w:r w:rsidRPr="00D8017E">
        <w:rPr>
          <w:rFonts w:eastAsia="Times New Roman" w:cs="Times New Roman"/>
          <w:sz w:val="20"/>
          <w:szCs w:val="20"/>
          <w:lang w:eastAsia="en-CA"/>
        </w:rPr>
        <w:t>for an order stating constitutional questions in the above appeal;</w:t>
      </w:r>
    </w:p>
    <w:p w:rsidR="005C1ECC" w:rsidRPr="00D8017E" w:rsidRDefault="005C1ECC" w:rsidP="005C1ECC">
      <w:pPr>
        <w:jc w:val="both"/>
        <w:rPr>
          <w:rFonts w:eastAsia="Times New Roman" w:cs="Times New Roman"/>
          <w:sz w:val="20"/>
          <w:szCs w:val="20"/>
          <w:lang w:eastAsia="en-CA"/>
        </w:rPr>
      </w:pPr>
    </w:p>
    <w:p w:rsidR="005C1ECC" w:rsidRPr="00D8017E" w:rsidRDefault="005C1ECC" w:rsidP="005C1ECC">
      <w:pPr>
        <w:jc w:val="both"/>
        <w:rPr>
          <w:rFonts w:eastAsia="Times New Roman" w:cs="Times New Roman"/>
          <w:sz w:val="20"/>
          <w:szCs w:val="20"/>
          <w:lang w:eastAsia="en-CA"/>
        </w:rPr>
      </w:pPr>
      <w:r w:rsidRPr="00D8017E">
        <w:rPr>
          <w:rFonts w:eastAsia="Times New Roman" w:cs="Times New Roman"/>
          <w:b/>
          <w:bCs/>
          <w:sz w:val="20"/>
          <w:szCs w:val="20"/>
          <w:lang w:eastAsia="en-CA"/>
        </w:rPr>
        <w:t>AND THE MATERIAL FILED</w:t>
      </w:r>
      <w:r w:rsidRPr="00D8017E">
        <w:rPr>
          <w:rFonts w:eastAsia="Times New Roman" w:cs="Times New Roman"/>
          <w:sz w:val="20"/>
          <w:szCs w:val="20"/>
          <w:lang w:eastAsia="en-CA"/>
        </w:rPr>
        <w:t xml:space="preserve"> having been read;</w:t>
      </w:r>
    </w:p>
    <w:p w:rsidR="005C1ECC" w:rsidRPr="00D8017E" w:rsidRDefault="005C1ECC" w:rsidP="005C1ECC">
      <w:pPr>
        <w:jc w:val="both"/>
        <w:rPr>
          <w:rFonts w:eastAsia="Times New Roman" w:cs="Times New Roman"/>
          <w:sz w:val="20"/>
          <w:szCs w:val="20"/>
          <w:lang w:eastAsia="en-CA"/>
        </w:rPr>
      </w:pPr>
    </w:p>
    <w:p w:rsidR="005C1ECC" w:rsidRPr="00D8017E" w:rsidRDefault="005C1ECC" w:rsidP="005C1ECC">
      <w:pPr>
        <w:jc w:val="both"/>
        <w:rPr>
          <w:rFonts w:eastAsia="Times New Roman" w:cs="Times New Roman"/>
          <w:b/>
          <w:sz w:val="20"/>
          <w:szCs w:val="20"/>
          <w:lang w:eastAsia="en-CA"/>
        </w:rPr>
      </w:pPr>
      <w:r w:rsidRPr="00D8017E">
        <w:rPr>
          <w:rFonts w:eastAsia="Times New Roman" w:cs="Times New Roman"/>
          <w:b/>
          <w:sz w:val="20"/>
          <w:szCs w:val="20"/>
          <w:lang w:eastAsia="en-CA"/>
        </w:rPr>
        <w:t>IT IS HEREBY ORDERED THAT</w:t>
      </w:r>
      <w:r w:rsidRPr="00D8017E">
        <w:rPr>
          <w:rFonts w:eastAsia="Times New Roman" w:cs="Times New Roman"/>
          <w:b/>
          <w:bCs/>
          <w:sz w:val="20"/>
          <w:szCs w:val="20"/>
          <w:lang w:eastAsia="en-CA"/>
        </w:rPr>
        <w:t xml:space="preserve"> THE CONSTITUTIONAL QUESTIONS BE STATED AS FOLLOWS:</w:t>
      </w:r>
    </w:p>
    <w:p w:rsidR="005C1ECC" w:rsidRPr="00D8017E" w:rsidRDefault="005C1ECC" w:rsidP="005C1ECC">
      <w:pPr>
        <w:jc w:val="both"/>
        <w:rPr>
          <w:rFonts w:eastAsia="Times New Roman" w:cs="Times New Roman"/>
          <w:sz w:val="20"/>
          <w:szCs w:val="20"/>
          <w:lang w:eastAsia="en-CA"/>
        </w:rPr>
      </w:pPr>
    </w:p>
    <w:p w:rsidR="005C1ECC" w:rsidRPr="00D8017E" w:rsidRDefault="005C1ECC" w:rsidP="005C1ECC">
      <w:pPr>
        <w:numPr>
          <w:ilvl w:val="0"/>
          <w:numId w:val="7"/>
        </w:numPr>
        <w:autoSpaceDE w:val="0"/>
        <w:autoSpaceDN w:val="0"/>
        <w:adjustRightInd w:val="0"/>
        <w:contextualSpacing/>
        <w:jc w:val="both"/>
        <w:rPr>
          <w:rFonts w:cs="Times New Roman"/>
          <w:bCs/>
          <w:sz w:val="20"/>
          <w:szCs w:val="20"/>
        </w:rPr>
      </w:pPr>
      <w:r w:rsidRPr="00D8017E">
        <w:rPr>
          <w:rFonts w:cs="Times New Roman"/>
          <w:bCs/>
          <w:sz w:val="20"/>
          <w:szCs w:val="20"/>
        </w:rPr>
        <w:t xml:space="preserve">Does the </w:t>
      </w:r>
      <w:r w:rsidRPr="00D8017E">
        <w:rPr>
          <w:rFonts w:cs="Times New Roman"/>
          <w:bCs/>
          <w:i/>
          <w:sz w:val="20"/>
          <w:szCs w:val="20"/>
        </w:rPr>
        <w:t>Public Service Essential Services Act</w:t>
      </w:r>
      <w:r w:rsidRPr="00D8017E">
        <w:rPr>
          <w:rFonts w:cs="Times New Roman"/>
          <w:bCs/>
          <w:sz w:val="20"/>
          <w:szCs w:val="20"/>
        </w:rPr>
        <w:t xml:space="preserve">, S.S. 2008, c. P-42.2, in whole or in part, infringe s. 2(b) of the </w:t>
      </w:r>
      <w:r w:rsidRPr="00D8017E">
        <w:rPr>
          <w:rFonts w:cs="Times New Roman"/>
          <w:bCs/>
          <w:i/>
          <w:sz w:val="20"/>
          <w:szCs w:val="20"/>
        </w:rPr>
        <w:t>Canadian Charter of Rights and Freedoms</w:t>
      </w:r>
      <w:r w:rsidRPr="00D8017E">
        <w:rPr>
          <w:rFonts w:cs="Times New Roman"/>
          <w:bCs/>
          <w:sz w:val="20"/>
          <w:szCs w:val="20"/>
        </w:rPr>
        <w:t>?</w:t>
      </w:r>
    </w:p>
    <w:p w:rsidR="005C1ECC" w:rsidRPr="00D8017E" w:rsidRDefault="005C1ECC" w:rsidP="005C1ECC">
      <w:pPr>
        <w:ind w:left="720"/>
        <w:jc w:val="both"/>
        <w:rPr>
          <w:rFonts w:eastAsia="Times New Roman" w:cs="Times New Roman"/>
          <w:bCs/>
          <w:sz w:val="20"/>
          <w:szCs w:val="20"/>
          <w:lang w:eastAsia="en-CA"/>
        </w:rPr>
      </w:pPr>
    </w:p>
    <w:p w:rsidR="005C1ECC" w:rsidRPr="00D8017E" w:rsidRDefault="005C1ECC" w:rsidP="005C1ECC">
      <w:pPr>
        <w:numPr>
          <w:ilvl w:val="0"/>
          <w:numId w:val="7"/>
        </w:numPr>
        <w:autoSpaceDE w:val="0"/>
        <w:autoSpaceDN w:val="0"/>
        <w:adjustRightInd w:val="0"/>
        <w:contextualSpacing/>
        <w:jc w:val="both"/>
        <w:rPr>
          <w:rFonts w:cs="Times New Roman"/>
          <w:bCs/>
          <w:sz w:val="20"/>
          <w:szCs w:val="20"/>
        </w:rPr>
      </w:pPr>
      <w:r w:rsidRPr="00D8017E">
        <w:rPr>
          <w:rFonts w:cs="Times New Roman"/>
          <w:bCs/>
          <w:sz w:val="20"/>
          <w:szCs w:val="20"/>
        </w:rPr>
        <w:t>If so, is the infringement a reasonable limit prescribed by law as can be demonstrably justified in a free and democratic society under s. 1 of the Canadian Charter of Rights and Freedoms?</w:t>
      </w:r>
    </w:p>
    <w:p w:rsidR="005C1ECC" w:rsidRPr="00D8017E" w:rsidRDefault="005C1ECC" w:rsidP="005C1ECC">
      <w:pPr>
        <w:ind w:left="720"/>
        <w:contextualSpacing/>
        <w:jc w:val="both"/>
        <w:rPr>
          <w:rFonts w:cs="Times New Roman"/>
          <w:bCs/>
          <w:sz w:val="20"/>
          <w:szCs w:val="20"/>
        </w:rPr>
      </w:pPr>
    </w:p>
    <w:p w:rsidR="005C1ECC" w:rsidRPr="00D8017E" w:rsidRDefault="005C1ECC" w:rsidP="005C1ECC">
      <w:pPr>
        <w:numPr>
          <w:ilvl w:val="0"/>
          <w:numId w:val="7"/>
        </w:numPr>
        <w:autoSpaceDE w:val="0"/>
        <w:autoSpaceDN w:val="0"/>
        <w:adjustRightInd w:val="0"/>
        <w:contextualSpacing/>
        <w:jc w:val="both"/>
        <w:rPr>
          <w:rFonts w:cs="Times New Roman"/>
          <w:bCs/>
          <w:sz w:val="20"/>
          <w:szCs w:val="20"/>
        </w:rPr>
      </w:pPr>
      <w:r w:rsidRPr="00D8017E">
        <w:rPr>
          <w:rFonts w:cs="Times New Roman"/>
          <w:bCs/>
          <w:sz w:val="20"/>
          <w:szCs w:val="20"/>
        </w:rPr>
        <w:t xml:space="preserve">Does the </w:t>
      </w:r>
      <w:r w:rsidRPr="00D8017E">
        <w:rPr>
          <w:rFonts w:cs="Times New Roman"/>
          <w:bCs/>
          <w:i/>
          <w:sz w:val="20"/>
          <w:szCs w:val="20"/>
        </w:rPr>
        <w:t>Public Service Essential Services Act</w:t>
      </w:r>
      <w:r w:rsidRPr="00D8017E">
        <w:rPr>
          <w:rFonts w:cs="Times New Roman"/>
          <w:bCs/>
          <w:sz w:val="20"/>
          <w:szCs w:val="20"/>
        </w:rPr>
        <w:t xml:space="preserve">, S.S. 2008, c. P-42.2, in whole or in part, infringe s. 2(d) of the </w:t>
      </w:r>
      <w:r w:rsidRPr="00D8017E">
        <w:rPr>
          <w:rFonts w:cs="Times New Roman"/>
          <w:bCs/>
          <w:i/>
          <w:sz w:val="20"/>
          <w:szCs w:val="20"/>
        </w:rPr>
        <w:t>Canadian Charter of Rights and Freedoms</w:t>
      </w:r>
      <w:r w:rsidRPr="00D8017E">
        <w:rPr>
          <w:rFonts w:cs="Times New Roman"/>
          <w:bCs/>
          <w:sz w:val="20"/>
          <w:szCs w:val="20"/>
        </w:rPr>
        <w:t>?</w:t>
      </w:r>
    </w:p>
    <w:p w:rsidR="005C1ECC" w:rsidRPr="00D8017E" w:rsidRDefault="005C1ECC" w:rsidP="005C1ECC">
      <w:pPr>
        <w:ind w:left="720"/>
        <w:contextualSpacing/>
        <w:jc w:val="both"/>
        <w:rPr>
          <w:rFonts w:cs="Times New Roman"/>
          <w:bCs/>
          <w:sz w:val="20"/>
          <w:szCs w:val="20"/>
        </w:rPr>
      </w:pPr>
    </w:p>
    <w:p w:rsidR="005C1ECC" w:rsidRPr="00D8017E" w:rsidRDefault="005C1ECC" w:rsidP="005C1ECC">
      <w:pPr>
        <w:numPr>
          <w:ilvl w:val="0"/>
          <w:numId w:val="7"/>
        </w:numPr>
        <w:autoSpaceDE w:val="0"/>
        <w:autoSpaceDN w:val="0"/>
        <w:adjustRightInd w:val="0"/>
        <w:contextualSpacing/>
        <w:jc w:val="both"/>
        <w:rPr>
          <w:rFonts w:cs="Times New Roman"/>
          <w:bCs/>
          <w:sz w:val="20"/>
          <w:szCs w:val="20"/>
        </w:rPr>
      </w:pPr>
      <w:r w:rsidRPr="00D8017E">
        <w:rPr>
          <w:rFonts w:cs="Times New Roman"/>
          <w:bCs/>
          <w:sz w:val="20"/>
          <w:szCs w:val="20"/>
        </w:rPr>
        <w:t>If so, is the infringement a reasonable limit prescribed by law as can be demonstrably justified in a free and democratic society under s. 1 of the Canadian Charter of Rights and Freedoms?</w:t>
      </w:r>
    </w:p>
    <w:p w:rsidR="005C1ECC" w:rsidRPr="00D8017E" w:rsidRDefault="005C1ECC" w:rsidP="005C1ECC">
      <w:pPr>
        <w:ind w:left="720"/>
        <w:contextualSpacing/>
        <w:jc w:val="both"/>
        <w:rPr>
          <w:rFonts w:cs="Times New Roman"/>
          <w:bCs/>
          <w:sz w:val="20"/>
          <w:szCs w:val="20"/>
        </w:rPr>
      </w:pPr>
    </w:p>
    <w:p w:rsidR="005C1ECC" w:rsidRPr="00D8017E" w:rsidRDefault="005C1ECC" w:rsidP="005C1ECC">
      <w:pPr>
        <w:numPr>
          <w:ilvl w:val="0"/>
          <w:numId w:val="7"/>
        </w:numPr>
        <w:autoSpaceDE w:val="0"/>
        <w:autoSpaceDN w:val="0"/>
        <w:adjustRightInd w:val="0"/>
        <w:contextualSpacing/>
        <w:jc w:val="both"/>
        <w:rPr>
          <w:rFonts w:cs="Times New Roman"/>
          <w:bCs/>
          <w:sz w:val="20"/>
          <w:szCs w:val="20"/>
        </w:rPr>
      </w:pPr>
      <w:r w:rsidRPr="00D8017E">
        <w:rPr>
          <w:rFonts w:cs="Times New Roman"/>
          <w:bCs/>
          <w:sz w:val="20"/>
          <w:szCs w:val="20"/>
        </w:rPr>
        <w:t xml:space="preserve">Do ss. 3, 6, 7 and 11 of the </w:t>
      </w:r>
      <w:r w:rsidRPr="00D8017E">
        <w:rPr>
          <w:rFonts w:cs="Times New Roman"/>
          <w:bCs/>
          <w:i/>
          <w:sz w:val="20"/>
          <w:szCs w:val="20"/>
        </w:rPr>
        <w:t>Trade Union Amendment Act</w:t>
      </w:r>
      <w:r w:rsidRPr="00D8017E">
        <w:rPr>
          <w:rFonts w:cs="Times New Roman"/>
          <w:bCs/>
          <w:sz w:val="20"/>
          <w:szCs w:val="20"/>
        </w:rPr>
        <w:t xml:space="preserve">, S.S. 2008, c. 26, in whole or in part, infringe s. 2(d) of the </w:t>
      </w:r>
      <w:r w:rsidRPr="00D8017E">
        <w:rPr>
          <w:rFonts w:cs="Times New Roman"/>
          <w:bCs/>
          <w:i/>
          <w:sz w:val="20"/>
          <w:szCs w:val="20"/>
        </w:rPr>
        <w:t>Canadian Charter of Rights and Freedoms</w:t>
      </w:r>
      <w:r w:rsidRPr="00D8017E">
        <w:rPr>
          <w:rFonts w:cs="Times New Roman"/>
          <w:bCs/>
          <w:sz w:val="20"/>
          <w:szCs w:val="20"/>
        </w:rPr>
        <w:t>?</w:t>
      </w:r>
    </w:p>
    <w:p w:rsidR="005C1ECC" w:rsidRPr="00D8017E" w:rsidRDefault="005C1ECC" w:rsidP="005C1ECC">
      <w:pPr>
        <w:ind w:left="720"/>
        <w:contextualSpacing/>
        <w:jc w:val="both"/>
        <w:rPr>
          <w:rFonts w:cs="Times New Roman"/>
          <w:bCs/>
          <w:sz w:val="20"/>
          <w:szCs w:val="20"/>
        </w:rPr>
      </w:pPr>
    </w:p>
    <w:p w:rsidR="005C1ECC" w:rsidRPr="00D8017E" w:rsidRDefault="005C1ECC" w:rsidP="005C1ECC">
      <w:pPr>
        <w:numPr>
          <w:ilvl w:val="0"/>
          <w:numId w:val="7"/>
        </w:numPr>
        <w:autoSpaceDE w:val="0"/>
        <w:autoSpaceDN w:val="0"/>
        <w:adjustRightInd w:val="0"/>
        <w:contextualSpacing/>
        <w:jc w:val="both"/>
        <w:rPr>
          <w:rFonts w:cs="Times New Roman"/>
          <w:bCs/>
          <w:sz w:val="20"/>
          <w:szCs w:val="20"/>
        </w:rPr>
      </w:pPr>
      <w:r w:rsidRPr="00D8017E">
        <w:rPr>
          <w:rFonts w:cs="Times New Roman"/>
          <w:bCs/>
          <w:sz w:val="20"/>
          <w:szCs w:val="20"/>
        </w:rPr>
        <w:t xml:space="preserve">If so, is the infringement a reasonable limit prescribed by law as can be demonstrably justified in a free and democratic society under s. 1 of the </w:t>
      </w:r>
      <w:r w:rsidRPr="00D8017E">
        <w:rPr>
          <w:rFonts w:cs="Times New Roman"/>
          <w:bCs/>
          <w:i/>
          <w:sz w:val="20"/>
          <w:szCs w:val="20"/>
        </w:rPr>
        <w:t>Canadian Charter of Rights and Freedoms</w:t>
      </w:r>
      <w:r w:rsidRPr="00D8017E">
        <w:rPr>
          <w:rFonts w:cs="Times New Roman"/>
          <w:bCs/>
          <w:sz w:val="20"/>
          <w:szCs w:val="20"/>
        </w:rPr>
        <w:t>?</w:t>
      </w:r>
    </w:p>
    <w:p w:rsidR="005C1ECC" w:rsidRPr="00D8017E" w:rsidRDefault="005C1ECC" w:rsidP="005C1ECC">
      <w:pPr>
        <w:jc w:val="both"/>
        <w:rPr>
          <w:rFonts w:eastAsia="Times New Roman" w:cs="Times New Roman"/>
          <w:b/>
          <w:bCs/>
          <w:sz w:val="20"/>
          <w:szCs w:val="20"/>
          <w:lang w:eastAsia="en-CA"/>
        </w:rPr>
      </w:pPr>
    </w:p>
    <w:p w:rsidR="005C1ECC" w:rsidRPr="00D8017E" w:rsidRDefault="005C1ECC" w:rsidP="005C1ECC">
      <w:pPr>
        <w:jc w:val="both"/>
        <w:rPr>
          <w:rFonts w:eastAsia="Times New Roman" w:cs="Times New Roman"/>
          <w:bCs/>
          <w:sz w:val="20"/>
          <w:szCs w:val="20"/>
          <w:lang w:eastAsia="en-CA"/>
        </w:rPr>
      </w:pPr>
      <w:r w:rsidRPr="00D8017E">
        <w:rPr>
          <w:rFonts w:eastAsia="Times New Roman" w:cs="Times New Roman"/>
          <w:bCs/>
          <w:sz w:val="20"/>
          <w:szCs w:val="20"/>
          <w:lang w:eastAsia="en-CA"/>
        </w:rPr>
        <w:t xml:space="preserve">Any attorney general who intervenes pursuant to par. 61(4) of the </w:t>
      </w:r>
      <w:r w:rsidRPr="00D8017E">
        <w:rPr>
          <w:rFonts w:eastAsia="Times New Roman" w:cs="Times New Roman"/>
          <w:bCs/>
          <w:i/>
          <w:sz w:val="20"/>
          <w:szCs w:val="20"/>
          <w:lang w:eastAsia="en-CA"/>
        </w:rPr>
        <w:t>Rules of the Supreme Court of Canada</w:t>
      </w:r>
      <w:r w:rsidRPr="00D8017E">
        <w:rPr>
          <w:rFonts w:eastAsia="Times New Roman" w:cs="Times New Roman"/>
          <w:bCs/>
          <w:sz w:val="20"/>
          <w:szCs w:val="20"/>
          <w:lang w:eastAsia="en-CA"/>
        </w:rPr>
        <w:t xml:space="preserve"> shall pay the appellants and respondent the costs of any additional disbursements they incur as a result of the intervention.</w:t>
      </w:r>
    </w:p>
    <w:p w:rsidR="005C1ECC" w:rsidRPr="00D8017E" w:rsidRDefault="005C1ECC" w:rsidP="005C1ECC">
      <w:pPr>
        <w:jc w:val="both"/>
        <w:rPr>
          <w:rFonts w:eastAsia="Times New Roman" w:cs="Times New Roman"/>
          <w:b/>
          <w:bCs/>
          <w:sz w:val="20"/>
          <w:szCs w:val="20"/>
          <w:lang w:eastAsia="en-CA"/>
        </w:rPr>
      </w:pPr>
    </w:p>
    <w:p w:rsidR="005C1ECC" w:rsidRPr="00D8017E" w:rsidRDefault="005C1ECC" w:rsidP="005C1ECC">
      <w:pPr>
        <w:jc w:val="both"/>
        <w:rPr>
          <w:rFonts w:eastAsia="Times New Roman" w:cs="Times New Roman"/>
          <w:b/>
          <w:bCs/>
          <w:sz w:val="20"/>
          <w:szCs w:val="20"/>
          <w:lang w:eastAsia="en-CA"/>
        </w:rPr>
      </w:pPr>
      <w:r w:rsidRPr="00D8017E">
        <w:rPr>
          <w:rFonts w:eastAsia="Times New Roman" w:cs="Times New Roman"/>
          <w:b/>
          <w:bCs/>
          <w:sz w:val="20"/>
          <w:szCs w:val="20"/>
          <w:lang w:eastAsia="en-CA"/>
        </w:rPr>
        <w:t>IT IS HEREBY FURTHER ORDERED THAT:</w:t>
      </w:r>
    </w:p>
    <w:p w:rsidR="005C1ECC" w:rsidRPr="00D8017E" w:rsidRDefault="005C1ECC" w:rsidP="005C1ECC">
      <w:pPr>
        <w:jc w:val="both"/>
        <w:rPr>
          <w:rFonts w:eastAsia="Times New Roman" w:cs="Times New Roman"/>
          <w:b/>
          <w:bCs/>
          <w:sz w:val="20"/>
          <w:szCs w:val="20"/>
          <w:lang w:eastAsia="en-CA"/>
        </w:rPr>
      </w:pPr>
    </w:p>
    <w:p w:rsidR="005C1ECC" w:rsidRPr="00D8017E" w:rsidRDefault="005C1ECC" w:rsidP="005C1ECC">
      <w:pPr>
        <w:numPr>
          <w:ilvl w:val="0"/>
          <w:numId w:val="8"/>
        </w:numPr>
        <w:autoSpaceDE w:val="0"/>
        <w:autoSpaceDN w:val="0"/>
        <w:adjustRightInd w:val="0"/>
        <w:contextualSpacing/>
        <w:jc w:val="both"/>
        <w:rPr>
          <w:rFonts w:cs="Times New Roman"/>
          <w:bCs/>
          <w:sz w:val="20"/>
          <w:szCs w:val="20"/>
        </w:rPr>
      </w:pPr>
      <w:r w:rsidRPr="00D8017E">
        <w:rPr>
          <w:rFonts w:cs="Times New Roman"/>
          <w:bCs/>
          <w:sz w:val="20"/>
          <w:szCs w:val="20"/>
        </w:rPr>
        <w:t xml:space="preserve">Any person wishing to intervene in this appeal under Rule 55 of the </w:t>
      </w:r>
      <w:r w:rsidRPr="00D8017E">
        <w:rPr>
          <w:rFonts w:cs="Times New Roman"/>
          <w:bCs/>
          <w:i/>
          <w:sz w:val="20"/>
          <w:szCs w:val="20"/>
        </w:rPr>
        <w:t>Rules of the Supreme Court of Canada</w:t>
      </w:r>
      <w:r w:rsidRPr="00D8017E">
        <w:rPr>
          <w:rFonts w:cs="Times New Roman"/>
          <w:bCs/>
          <w:sz w:val="20"/>
          <w:szCs w:val="20"/>
        </w:rPr>
        <w:t xml:space="preserve"> shall serve and file a motion for leave to intervene on or before March 25, 2014. </w:t>
      </w:r>
    </w:p>
    <w:p w:rsidR="005C1ECC" w:rsidRPr="00D8017E" w:rsidRDefault="005C1ECC" w:rsidP="005C1ECC">
      <w:pPr>
        <w:ind w:left="720"/>
        <w:contextualSpacing/>
        <w:jc w:val="both"/>
        <w:rPr>
          <w:rFonts w:cs="Times New Roman"/>
          <w:bCs/>
          <w:sz w:val="20"/>
          <w:szCs w:val="20"/>
        </w:rPr>
      </w:pPr>
    </w:p>
    <w:p w:rsidR="005C1ECC" w:rsidRPr="00D8017E" w:rsidRDefault="005C1ECC" w:rsidP="005C1ECC">
      <w:pPr>
        <w:numPr>
          <w:ilvl w:val="0"/>
          <w:numId w:val="8"/>
        </w:numPr>
        <w:autoSpaceDE w:val="0"/>
        <w:autoSpaceDN w:val="0"/>
        <w:adjustRightInd w:val="0"/>
        <w:contextualSpacing/>
        <w:jc w:val="both"/>
        <w:rPr>
          <w:rFonts w:cs="Times New Roman"/>
          <w:bCs/>
          <w:sz w:val="20"/>
          <w:szCs w:val="20"/>
        </w:rPr>
      </w:pPr>
      <w:r w:rsidRPr="00D8017E">
        <w:rPr>
          <w:rFonts w:cs="Times New Roman"/>
          <w:bCs/>
          <w:sz w:val="20"/>
          <w:szCs w:val="20"/>
        </w:rPr>
        <w:t>The appellants and respondent shall serve and file their responses, if any, to the motions for leave to intervene on or before March 31, 2014.</w:t>
      </w:r>
    </w:p>
    <w:p w:rsidR="005C1ECC" w:rsidRPr="00D8017E" w:rsidRDefault="005C1ECC" w:rsidP="005C1ECC">
      <w:pPr>
        <w:ind w:left="720"/>
        <w:contextualSpacing/>
        <w:jc w:val="both"/>
        <w:rPr>
          <w:rFonts w:cs="Times New Roman"/>
          <w:bCs/>
          <w:sz w:val="20"/>
          <w:szCs w:val="20"/>
        </w:rPr>
      </w:pPr>
    </w:p>
    <w:p w:rsidR="005C1ECC" w:rsidRPr="00D8017E" w:rsidRDefault="005C1ECC" w:rsidP="005C1ECC">
      <w:pPr>
        <w:numPr>
          <w:ilvl w:val="0"/>
          <w:numId w:val="8"/>
        </w:numPr>
        <w:autoSpaceDE w:val="0"/>
        <w:autoSpaceDN w:val="0"/>
        <w:adjustRightInd w:val="0"/>
        <w:contextualSpacing/>
        <w:jc w:val="both"/>
        <w:rPr>
          <w:rFonts w:cs="Times New Roman"/>
          <w:bCs/>
          <w:sz w:val="20"/>
          <w:szCs w:val="20"/>
        </w:rPr>
      </w:pPr>
      <w:r w:rsidRPr="00D8017E">
        <w:rPr>
          <w:rFonts w:cs="Times New Roman"/>
          <w:bCs/>
          <w:sz w:val="20"/>
          <w:szCs w:val="20"/>
        </w:rPr>
        <w:t xml:space="preserve">Replies to the responses, if any, to the motions for leave to intervene shall be served and filed on or before April 2, 2014. </w:t>
      </w:r>
    </w:p>
    <w:p w:rsidR="005C1ECC" w:rsidRPr="00D8017E" w:rsidRDefault="005C1ECC" w:rsidP="005C1ECC">
      <w:pPr>
        <w:ind w:left="720"/>
        <w:jc w:val="both"/>
        <w:rPr>
          <w:rFonts w:eastAsia="Times New Roman" w:cs="Times New Roman"/>
          <w:bCs/>
          <w:sz w:val="20"/>
          <w:szCs w:val="20"/>
          <w:lang w:eastAsia="en-CA"/>
        </w:rPr>
      </w:pPr>
    </w:p>
    <w:p w:rsidR="005C1ECC" w:rsidRPr="00D8017E" w:rsidRDefault="005C1ECC" w:rsidP="00D8017E">
      <w:pPr>
        <w:numPr>
          <w:ilvl w:val="0"/>
          <w:numId w:val="8"/>
        </w:numPr>
        <w:autoSpaceDE w:val="0"/>
        <w:autoSpaceDN w:val="0"/>
        <w:adjustRightInd w:val="0"/>
        <w:contextualSpacing/>
        <w:jc w:val="both"/>
        <w:rPr>
          <w:rFonts w:cs="Times New Roman"/>
          <w:bCs/>
          <w:sz w:val="20"/>
          <w:szCs w:val="20"/>
        </w:rPr>
      </w:pPr>
      <w:r w:rsidRPr="00D8017E">
        <w:rPr>
          <w:rFonts w:cs="Times New Roman"/>
          <w:sz w:val="20"/>
          <w:szCs w:val="20"/>
        </w:rPr>
        <w:t xml:space="preserve">Any attorney general wishing to intervene pursuant to par. 61(4) of the </w:t>
      </w:r>
      <w:r w:rsidRPr="00D8017E">
        <w:rPr>
          <w:rFonts w:cs="Times New Roman"/>
          <w:i/>
          <w:sz w:val="20"/>
          <w:szCs w:val="20"/>
        </w:rPr>
        <w:t>Rules of the Supreme Court of Canada</w:t>
      </w:r>
      <w:r w:rsidRPr="00D8017E">
        <w:rPr>
          <w:rFonts w:cs="Times New Roman"/>
          <w:sz w:val="20"/>
          <w:szCs w:val="20"/>
        </w:rPr>
        <w:t xml:space="preserve"> shall serve and file their factum and book of authorities no later than May 2, 2014.</w:t>
      </w:r>
    </w:p>
    <w:p w:rsidR="005C1ECC" w:rsidRPr="005C1ECC" w:rsidRDefault="005C1ECC" w:rsidP="005C1ECC">
      <w:pPr>
        <w:contextualSpacing/>
        <w:jc w:val="both"/>
        <w:rPr>
          <w:rFonts w:cs="Times New Roman"/>
          <w:b/>
          <w:bCs/>
          <w:sz w:val="20"/>
          <w:szCs w:val="20"/>
        </w:rPr>
      </w:pPr>
    </w:p>
    <w:p w:rsidR="005C1ECC" w:rsidRPr="005C1ECC" w:rsidRDefault="005C1ECC" w:rsidP="005C1ECC">
      <w:pPr>
        <w:jc w:val="both"/>
        <w:rPr>
          <w:rFonts w:eastAsia="Times New Roman" w:cs="Times New Roman"/>
          <w:b/>
          <w:bCs/>
          <w:sz w:val="20"/>
          <w:szCs w:val="20"/>
          <w:lang w:val="en-US" w:eastAsia="en-CA"/>
        </w:rPr>
      </w:pPr>
    </w:p>
    <w:p w:rsidR="005C1ECC" w:rsidRPr="005C1ECC" w:rsidRDefault="005C1ECC" w:rsidP="005C1ECC">
      <w:pPr>
        <w:jc w:val="both"/>
        <w:rPr>
          <w:rFonts w:eastAsia="Times New Roman" w:cs="Times New Roman"/>
          <w:b/>
          <w:bCs/>
          <w:sz w:val="20"/>
          <w:szCs w:val="20"/>
          <w:lang w:val="en-US" w:eastAsia="en-CA"/>
        </w:rPr>
      </w:pPr>
    </w:p>
    <w:p w:rsidR="005C1ECC" w:rsidRPr="00D8017E" w:rsidRDefault="005C1ECC" w:rsidP="005C1ECC">
      <w:pPr>
        <w:jc w:val="both"/>
        <w:rPr>
          <w:rFonts w:eastAsia="Times New Roman" w:cs="Times New Roman"/>
          <w:sz w:val="20"/>
          <w:szCs w:val="20"/>
          <w:lang w:val="fr-CA" w:eastAsia="en-CA"/>
        </w:rPr>
      </w:pPr>
      <w:r w:rsidRPr="00D8017E">
        <w:rPr>
          <w:rFonts w:eastAsia="Times New Roman" w:cs="Times New Roman"/>
          <w:b/>
          <w:bCs/>
          <w:sz w:val="20"/>
          <w:szCs w:val="20"/>
          <w:lang w:val="fr-CA" w:eastAsia="en-CA"/>
        </w:rPr>
        <w:t>À LA SUITE DE LA DEMANDE</w:t>
      </w:r>
      <w:r w:rsidRPr="00D8017E">
        <w:rPr>
          <w:rFonts w:eastAsia="Times New Roman" w:cs="Times New Roman"/>
          <w:sz w:val="20"/>
          <w:szCs w:val="20"/>
          <w:lang w:val="fr-CA" w:eastAsia="en-CA"/>
        </w:rPr>
        <w:t xml:space="preserve"> des appelants visant à obtenir la formulation de questions constitutionnelles dans l'appel susmentionné;</w:t>
      </w:r>
    </w:p>
    <w:p w:rsidR="005C1ECC" w:rsidRPr="00D8017E" w:rsidRDefault="005C1ECC" w:rsidP="005C1ECC">
      <w:pPr>
        <w:jc w:val="both"/>
        <w:rPr>
          <w:rFonts w:eastAsia="Times New Roman" w:cs="Times New Roman"/>
          <w:sz w:val="20"/>
          <w:szCs w:val="20"/>
          <w:lang w:val="fr-CA" w:eastAsia="en-CA"/>
        </w:rPr>
      </w:pPr>
    </w:p>
    <w:p w:rsidR="005C1ECC" w:rsidRPr="00D8017E" w:rsidRDefault="005C1ECC" w:rsidP="005C1ECC">
      <w:pPr>
        <w:jc w:val="both"/>
        <w:rPr>
          <w:rFonts w:eastAsia="Times New Roman" w:cs="Times New Roman"/>
          <w:sz w:val="20"/>
          <w:szCs w:val="20"/>
          <w:lang w:val="fr-CA" w:eastAsia="en-CA"/>
        </w:rPr>
      </w:pPr>
      <w:r w:rsidRPr="00D8017E">
        <w:rPr>
          <w:rFonts w:eastAsia="Times New Roman" w:cs="Times New Roman"/>
          <w:b/>
          <w:bCs/>
          <w:sz w:val="20"/>
          <w:szCs w:val="20"/>
          <w:lang w:val="fr-CA" w:eastAsia="en-CA"/>
        </w:rPr>
        <w:t>ET APRÈS AVOIR LU</w:t>
      </w:r>
      <w:r w:rsidRPr="00D8017E">
        <w:rPr>
          <w:rFonts w:eastAsia="Times New Roman" w:cs="Times New Roman"/>
          <w:sz w:val="20"/>
          <w:szCs w:val="20"/>
          <w:lang w:val="fr-CA" w:eastAsia="en-CA"/>
        </w:rPr>
        <w:t xml:space="preserve"> la documentation déposée;</w:t>
      </w:r>
    </w:p>
    <w:p w:rsidR="005C1ECC" w:rsidRPr="00D8017E" w:rsidRDefault="005C1ECC" w:rsidP="005C1ECC">
      <w:pPr>
        <w:jc w:val="both"/>
        <w:rPr>
          <w:rFonts w:eastAsia="Times New Roman" w:cs="Times New Roman"/>
          <w:sz w:val="20"/>
          <w:szCs w:val="20"/>
          <w:lang w:val="fr-CA" w:eastAsia="en-CA"/>
        </w:rPr>
      </w:pPr>
    </w:p>
    <w:p w:rsidR="005C1ECC" w:rsidRPr="00D8017E" w:rsidRDefault="005C1ECC" w:rsidP="005C1ECC">
      <w:pPr>
        <w:jc w:val="both"/>
        <w:rPr>
          <w:rFonts w:eastAsia="Times New Roman" w:cs="Times New Roman"/>
          <w:b/>
          <w:bCs/>
          <w:sz w:val="20"/>
          <w:szCs w:val="20"/>
          <w:lang w:val="fr-CA" w:eastAsia="en-CA"/>
        </w:rPr>
      </w:pPr>
      <w:r w:rsidRPr="00D8017E">
        <w:rPr>
          <w:rFonts w:eastAsia="Times New Roman" w:cs="Times New Roman"/>
          <w:b/>
          <w:bCs/>
          <w:sz w:val="20"/>
          <w:szCs w:val="20"/>
          <w:lang w:val="fr-CA" w:eastAsia="en-CA"/>
        </w:rPr>
        <w:t>LES QUESTIONS CONSTITUTIONNELLES SUIVANTES SONT FORMULÉES :</w:t>
      </w:r>
    </w:p>
    <w:p w:rsidR="005C1ECC" w:rsidRPr="00D8017E" w:rsidRDefault="005C1ECC" w:rsidP="005C1ECC">
      <w:pPr>
        <w:jc w:val="both"/>
        <w:rPr>
          <w:rFonts w:eastAsia="Times New Roman" w:cs="Times New Roman"/>
          <w:sz w:val="20"/>
          <w:szCs w:val="20"/>
          <w:lang w:val="fr-CA" w:eastAsia="en-CA"/>
        </w:rPr>
      </w:pPr>
    </w:p>
    <w:p w:rsidR="005C1ECC" w:rsidRPr="00D8017E" w:rsidRDefault="005C1ECC" w:rsidP="005C1ECC">
      <w:pPr>
        <w:widowControl w:val="0"/>
        <w:numPr>
          <w:ilvl w:val="0"/>
          <w:numId w:val="10"/>
        </w:numPr>
        <w:autoSpaceDE w:val="0"/>
        <w:autoSpaceDN w:val="0"/>
        <w:adjustRightInd w:val="0"/>
        <w:contextualSpacing/>
        <w:jc w:val="both"/>
        <w:rPr>
          <w:rFonts w:cs="Times New Roman"/>
          <w:sz w:val="20"/>
          <w:szCs w:val="20"/>
          <w:lang w:val="fr-CA"/>
        </w:rPr>
      </w:pPr>
      <w:r w:rsidRPr="00D8017E">
        <w:rPr>
          <w:rFonts w:cs="Times New Roman"/>
          <w:sz w:val="20"/>
          <w:szCs w:val="20"/>
          <w:lang w:val="fr-CA"/>
        </w:rPr>
        <w:t xml:space="preserve">La </w:t>
      </w:r>
      <w:r w:rsidRPr="00D8017E">
        <w:rPr>
          <w:rFonts w:cs="Times New Roman"/>
          <w:i/>
          <w:iCs/>
          <w:sz w:val="20"/>
          <w:szCs w:val="20"/>
          <w:lang w:val="fr-CA"/>
        </w:rPr>
        <w:t>Public Service Essential Services Act</w:t>
      </w:r>
      <w:r w:rsidRPr="00D8017E">
        <w:rPr>
          <w:rFonts w:cs="Times New Roman"/>
          <w:iCs/>
          <w:sz w:val="20"/>
          <w:szCs w:val="20"/>
          <w:lang w:val="fr-CA"/>
        </w:rPr>
        <w:t>, S.S. 2008, ch. P-42.2, en tout ou en partie, viole-t-elle l’alinéa 2</w:t>
      </w:r>
      <w:r w:rsidRPr="00D8017E">
        <w:rPr>
          <w:rFonts w:cs="Times New Roman"/>
          <w:i/>
          <w:iCs/>
          <w:sz w:val="20"/>
          <w:szCs w:val="20"/>
          <w:lang w:val="fr-CA"/>
        </w:rPr>
        <w:t>b</w:t>
      </w:r>
      <w:r w:rsidRPr="00D8017E">
        <w:rPr>
          <w:rFonts w:cs="Times New Roman"/>
          <w:iCs/>
          <w:sz w:val="20"/>
          <w:szCs w:val="20"/>
          <w:lang w:val="fr-CA"/>
        </w:rPr>
        <w:t xml:space="preserve">) de la </w:t>
      </w:r>
      <w:r w:rsidRPr="00D8017E">
        <w:rPr>
          <w:rFonts w:cs="Times New Roman"/>
          <w:i/>
          <w:iCs/>
          <w:sz w:val="20"/>
          <w:szCs w:val="20"/>
          <w:lang w:val="fr-CA"/>
        </w:rPr>
        <w:t>Charte canadienne des droits et libertés</w:t>
      </w:r>
      <w:r w:rsidRPr="00D8017E">
        <w:rPr>
          <w:rFonts w:cs="Times New Roman"/>
          <w:iCs/>
          <w:sz w:val="20"/>
          <w:szCs w:val="20"/>
          <w:lang w:val="fr-CA"/>
        </w:rPr>
        <w:t> ?</w:t>
      </w:r>
    </w:p>
    <w:p w:rsidR="005C1ECC" w:rsidRPr="00D8017E" w:rsidRDefault="005C1ECC" w:rsidP="005C1ECC">
      <w:pPr>
        <w:ind w:left="720"/>
        <w:jc w:val="both"/>
        <w:rPr>
          <w:rFonts w:eastAsia="Times New Roman" w:cs="Times New Roman"/>
          <w:bCs/>
          <w:sz w:val="20"/>
          <w:szCs w:val="20"/>
          <w:highlight w:val="yellow"/>
          <w:lang w:val="fr-CA" w:eastAsia="en-CA"/>
        </w:rPr>
      </w:pPr>
    </w:p>
    <w:p w:rsidR="005C1ECC" w:rsidRPr="00D8017E" w:rsidRDefault="005C1ECC" w:rsidP="005C1ECC">
      <w:pPr>
        <w:widowControl w:val="0"/>
        <w:numPr>
          <w:ilvl w:val="0"/>
          <w:numId w:val="10"/>
        </w:numPr>
        <w:autoSpaceDE w:val="0"/>
        <w:autoSpaceDN w:val="0"/>
        <w:adjustRightInd w:val="0"/>
        <w:spacing w:line="0" w:lineRule="atLeast"/>
        <w:contextualSpacing/>
        <w:jc w:val="both"/>
        <w:rPr>
          <w:rFonts w:cs="Times New Roman"/>
          <w:sz w:val="20"/>
          <w:szCs w:val="20"/>
          <w:lang w:val="fr-CA"/>
        </w:rPr>
      </w:pPr>
      <w:r w:rsidRPr="00D8017E">
        <w:rPr>
          <w:rFonts w:cs="Times New Roman"/>
          <w:sz w:val="20"/>
          <w:szCs w:val="20"/>
          <w:lang w:val="fr-CA"/>
        </w:rPr>
        <w:t xml:space="preserve">Dans l’affirmative, s’agit-il d’une violation constituant une limite raisonnable, établie par une règle de droit et dont la justification peut se démontrer dans le cadre d’une société libre et démocratique conformément à l’article premier de la </w:t>
      </w:r>
      <w:r w:rsidRPr="00D8017E">
        <w:rPr>
          <w:rFonts w:cs="Times New Roman"/>
          <w:i/>
          <w:sz w:val="20"/>
          <w:szCs w:val="20"/>
          <w:lang w:val="fr-CA"/>
        </w:rPr>
        <w:t>Charte canadienne des droits et libertés</w:t>
      </w:r>
      <w:r w:rsidRPr="00D8017E">
        <w:rPr>
          <w:rFonts w:cs="Times New Roman"/>
          <w:sz w:val="20"/>
          <w:szCs w:val="20"/>
          <w:lang w:val="fr-CA"/>
        </w:rPr>
        <w:t> ?</w:t>
      </w:r>
    </w:p>
    <w:p w:rsidR="005C1ECC" w:rsidRPr="00D8017E" w:rsidRDefault="005C1ECC" w:rsidP="005C1ECC">
      <w:pPr>
        <w:ind w:left="720"/>
        <w:contextualSpacing/>
        <w:jc w:val="both"/>
        <w:rPr>
          <w:rFonts w:cs="Times New Roman"/>
          <w:bCs/>
          <w:sz w:val="20"/>
          <w:szCs w:val="20"/>
          <w:highlight w:val="yellow"/>
          <w:lang w:val="fr-CA"/>
        </w:rPr>
      </w:pPr>
    </w:p>
    <w:p w:rsidR="005C1ECC" w:rsidRPr="00D8017E" w:rsidRDefault="005C1ECC" w:rsidP="005C1ECC">
      <w:pPr>
        <w:widowControl w:val="0"/>
        <w:numPr>
          <w:ilvl w:val="0"/>
          <w:numId w:val="10"/>
        </w:numPr>
        <w:autoSpaceDE w:val="0"/>
        <w:autoSpaceDN w:val="0"/>
        <w:adjustRightInd w:val="0"/>
        <w:contextualSpacing/>
        <w:jc w:val="both"/>
        <w:rPr>
          <w:rFonts w:cs="Times New Roman"/>
          <w:sz w:val="20"/>
          <w:szCs w:val="20"/>
          <w:lang w:val="fr-CA"/>
        </w:rPr>
      </w:pPr>
      <w:r w:rsidRPr="00D8017E">
        <w:rPr>
          <w:rFonts w:cs="Times New Roman"/>
          <w:sz w:val="20"/>
          <w:szCs w:val="20"/>
          <w:lang w:val="fr-CA"/>
        </w:rPr>
        <w:t xml:space="preserve">La </w:t>
      </w:r>
      <w:r w:rsidRPr="00D8017E">
        <w:rPr>
          <w:rFonts w:cs="Times New Roman"/>
          <w:i/>
          <w:iCs/>
          <w:sz w:val="20"/>
          <w:szCs w:val="20"/>
          <w:lang w:val="fr-CA"/>
        </w:rPr>
        <w:t>Public Service Essential Services Act</w:t>
      </w:r>
      <w:r w:rsidRPr="00D8017E">
        <w:rPr>
          <w:rFonts w:cs="Times New Roman"/>
          <w:iCs/>
          <w:sz w:val="20"/>
          <w:szCs w:val="20"/>
          <w:lang w:val="fr-CA"/>
        </w:rPr>
        <w:t>, S.S. 2008, ch. P-42.2, en tout ou en partie, viole-t-elle l’alinéa 2</w:t>
      </w:r>
      <w:r w:rsidRPr="00D8017E">
        <w:rPr>
          <w:rFonts w:cs="Times New Roman"/>
          <w:i/>
          <w:iCs/>
          <w:sz w:val="20"/>
          <w:szCs w:val="20"/>
          <w:lang w:val="fr-CA"/>
        </w:rPr>
        <w:t>d</w:t>
      </w:r>
      <w:r w:rsidRPr="00D8017E">
        <w:rPr>
          <w:rFonts w:cs="Times New Roman"/>
          <w:iCs/>
          <w:sz w:val="20"/>
          <w:szCs w:val="20"/>
          <w:lang w:val="fr-CA"/>
        </w:rPr>
        <w:t xml:space="preserve">) de la </w:t>
      </w:r>
      <w:r w:rsidRPr="00D8017E">
        <w:rPr>
          <w:rFonts w:cs="Times New Roman"/>
          <w:i/>
          <w:iCs/>
          <w:sz w:val="20"/>
          <w:szCs w:val="20"/>
          <w:lang w:val="fr-CA"/>
        </w:rPr>
        <w:t>Charte canadienne des droits et libertés</w:t>
      </w:r>
      <w:r w:rsidRPr="00D8017E">
        <w:rPr>
          <w:rFonts w:cs="Times New Roman"/>
          <w:iCs/>
          <w:sz w:val="20"/>
          <w:szCs w:val="20"/>
          <w:lang w:val="fr-CA"/>
        </w:rPr>
        <w:t> ?</w:t>
      </w:r>
    </w:p>
    <w:p w:rsidR="005C1ECC" w:rsidRPr="00D8017E" w:rsidRDefault="005C1ECC" w:rsidP="005C1ECC">
      <w:pPr>
        <w:ind w:left="720"/>
        <w:contextualSpacing/>
        <w:jc w:val="both"/>
        <w:rPr>
          <w:rFonts w:cs="Times New Roman"/>
          <w:bCs/>
          <w:sz w:val="20"/>
          <w:szCs w:val="20"/>
          <w:highlight w:val="yellow"/>
          <w:lang w:val="fr-CA"/>
        </w:rPr>
      </w:pPr>
    </w:p>
    <w:p w:rsidR="005C1ECC" w:rsidRPr="00D8017E" w:rsidRDefault="005C1ECC" w:rsidP="005C1ECC">
      <w:pPr>
        <w:widowControl w:val="0"/>
        <w:numPr>
          <w:ilvl w:val="0"/>
          <w:numId w:val="10"/>
        </w:numPr>
        <w:autoSpaceDE w:val="0"/>
        <w:autoSpaceDN w:val="0"/>
        <w:adjustRightInd w:val="0"/>
        <w:spacing w:line="0" w:lineRule="atLeast"/>
        <w:contextualSpacing/>
        <w:jc w:val="both"/>
        <w:rPr>
          <w:rFonts w:cs="Times New Roman"/>
          <w:sz w:val="20"/>
          <w:szCs w:val="20"/>
          <w:lang w:val="fr-CA"/>
        </w:rPr>
      </w:pPr>
      <w:r w:rsidRPr="00D8017E">
        <w:rPr>
          <w:rFonts w:cs="Times New Roman"/>
          <w:sz w:val="20"/>
          <w:szCs w:val="20"/>
          <w:lang w:val="fr-CA"/>
        </w:rPr>
        <w:t xml:space="preserve">Dans l’affirmative, s’agit-il d’une violation constituant une limite raisonnable, établie par une règle de droit et dont la justification peut se démontrer dans le cadre d’une société libre et démocratique conformément à l’article premier de la </w:t>
      </w:r>
      <w:r w:rsidRPr="00D8017E">
        <w:rPr>
          <w:rFonts w:cs="Times New Roman"/>
          <w:i/>
          <w:sz w:val="20"/>
          <w:szCs w:val="20"/>
          <w:lang w:val="fr-CA"/>
        </w:rPr>
        <w:t>Charte canadienne des droits et libertés</w:t>
      </w:r>
      <w:r w:rsidRPr="00D8017E">
        <w:rPr>
          <w:rFonts w:cs="Times New Roman"/>
          <w:sz w:val="20"/>
          <w:szCs w:val="20"/>
          <w:lang w:val="fr-CA"/>
        </w:rPr>
        <w:t> ?</w:t>
      </w:r>
    </w:p>
    <w:p w:rsidR="005C1ECC" w:rsidRPr="00D8017E" w:rsidRDefault="005C1ECC" w:rsidP="005C1ECC">
      <w:pPr>
        <w:ind w:left="720"/>
        <w:contextualSpacing/>
        <w:jc w:val="both"/>
        <w:rPr>
          <w:rFonts w:cs="Times New Roman"/>
          <w:bCs/>
          <w:sz w:val="20"/>
          <w:szCs w:val="20"/>
          <w:highlight w:val="yellow"/>
          <w:lang w:val="fr-CA"/>
        </w:rPr>
      </w:pPr>
    </w:p>
    <w:p w:rsidR="005C1ECC" w:rsidRPr="00D8017E" w:rsidRDefault="005C1ECC" w:rsidP="005C1ECC">
      <w:pPr>
        <w:widowControl w:val="0"/>
        <w:numPr>
          <w:ilvl w:val="0"/>
          <w:numId w:val="10"/>
        </w:numPr>
        <w:autoSpaceDE w:val="0"/>
        <w:autoSpaceDN w:val="0"/>
        <w:adjustRightInd w:val="0"/>
        <w:contextualSpacing/>
        <w:jc w:val="both"/>
        <w:rPr>
          <w:rFonts w:cs="Times New Roman"/>
          <w:sz w:val="20"/>
          <w:szCs w:val="20"/>
          <w:lang w:val="fr-CA"/>
        </w:rPr>
      </w:pPr>
      <w:r w:rsidRPr="00D8017E">
        <w:rPr>
          <w:rFonts w:cs="Times New Roman"/>
          <w:sz w:val="20"/>
          <w:szCs w:val="20"/>
          <w:lang w:val="fr-CA"/>
        </w:rPr>
        <w:t xml:space="preserve">Les articles 3, 6, 7 et 11 de la </w:t>
      </w:r>
      <w:r w:rsidRPr="00D8017E">
        <w:rPr>
          <w:rFonts w:cs="Times New Roman"/>
          <w:i/>
          <w:iCs/>
          <w:sz w:val="20"/>
          <w:szCs w:val="20"/>
          <w:lang w:val="fr-CA"/>
        </w:rPr>
        <w:t>Trade Union Amendment Act</w:t>
      </w:r>
      <w:r w:rsidRPr="00D8017E">
        <w:rPr>
          <w:rFonts w:cs="Times New Roman"/>
          <w:sz w:val="20"/>
          <w:szCs w:val="20"/>
          <w:lang w:val="fr-CA"/>
        </w:rPr>
        <w:t>, S.S. 2008, ch. 26, en tout ou en partie,</w:t>
      </w:r>
      <w:r w:rsidRPr="00D8017E">
        <w:rPr>
          <w:rFonts w:cs="Times New Roman"/>
          <w:iCs/>
          <w:sz w:val="20"/>
          <w:szCs w:val="20"/>
          <w:lang w:val="fr-CA"/>
        </w:rPr>
        <w:t xml:space="preserve"> violent-t-ils l’alinéa 2</w:t>
      </w:r>
      <w:r w:rsidRPr="00D8017E">
        <w:rPr>
          <w:rFonts w:cs="Times New Roman"/>
          <w:i/>
          <w:iCs/>
          <w:sz w:val="20"/>
          <w:szCs w:val="20"/>
          <w:lang w:val="fr-CA"/>
        </w:rPr>
        <w:t>d</w:t>
      </w:r>
      <w:r w:rsidRPr="00D8017E">
        <w:rPr>
          <w:rFonts w:cs="Times New Roman"/>
          <w:iCs/>
          <w:sz w:val="20"/>
          <w:szCs w:val="20"/>
          <w:lang w:val="fr-CA"/>
        </w:rPr>
        <w:t xml:space="preserve">) de la </w:t>
      </w:r>
      <w:r w:rsidRPr="00D8017E">
        <w:rPr>
          <w:rFonts w:cs="Times New Roman"/>
          <w:i/>
          <w:iCs/>
          <w:sz w:val="20"/>
          <w:szCs w:val="20"/>
          <w:lang w:val="fr-CA"/>
        </w:rPr>
        <w:t>Charte canadienne des droits et libertés</w:t>
      </w:r>
      <w:r w:rsidRPr="00D8017E">
        <w:rPr>
          <w:rFonts w:cs="Times New Roman"/>
          <w:iCs/>
          <w:sz w:val="20"/>
          <w:szCs w:val="20"/>
          <w:lang w:val="fr-CA"/>
        </w:rPr>
        <w:t> ?</w:t>
      </w:r>
    </w:p>
    <w:p w:rsidR="005C1ECC" w:rsidRPr="00D8017E" w:rsidRDefault="005C1ECC" w:rsidP="005C1ECC">
      <w:pPr>
        <w:ind w:left="720"/>
        <w:contextualSpacing/>
        <w:jc w:val="both"/>
        <w:rPr>
          <w:rFonts w:cs="Times New Roman"/>
          <w:bCs/>
          <w:sz w:val="20"/>
          <w:szCs w:val="20"/>
          <w:highlight w:val="yellow"/>
          <w:lang w:val="fr-CA"/>
        </w:rPr>
      </w:pPr>
    </w:p>
    <w:p w:rsidR="005C1ECC" w:rsidRPr="00D8017E" w:rsidRDefault="005C1ECC" w:rsidP="005C1ECC">
      <w:pPr>
        <w:widowControl w:val="0"/>
        <w:numPr>
          <w:ilvl w:val="0"/>
          <w:numId w:val="10"/>
        </w:numPr>
        <w:autoSpaceDE w:val="0"/>
        <w:autoSpaceDN w:val="0"/>
        <w:adjustRightInd w:val="0"/>
        <w:spacing w:line="0" w:lineRule="atLeast"/>
        <w:contextualSpacing/>
        <w:jc w:val="both"/>
        <w:rPr>
          <w:rFonts w:cs="Times New Roman"/>
          <w:sz w:val="20"/>
          <w:szCs w:val="20"/>
          <w:lang w:val="fr-CA"/>
        </w:rPr>
      </w:pPr>
      <w:r w:rsidRPr="00D8017E">
        <w:rPr>
          <w:rFonts w:cs="Times New Roman"/>
          <w:sz w:val="20"/>
          <w:szCs w:val="20"/>
          <w:lang w:val="fr-CA"/>
        </w:rPr>
        <w:t xml:space="preserve">Dans l’affirmative, s’agit-il d’une violation constituant une limite raisonnable, établie par une règle de droit et dont la justification peut se démontrer dans le cadre d’une société libre et démocratique conformément à l’article premier de la </w:t>
      </w:r>
      <w:r w:rsidRPr="00D8017E">
        <w:rPr>
          <w:rFonts w:cs="Times New Roman"/>
          <w:i/>
          <w:sz w:val="20"/>
          <w:szCs w:val="20"/>
          <w:lang w:val="fr-CA"/>
        </w:rPr>
        <w:t>Charte canadienne des droits et libertés</w:t>
      </w:r>
      <w:r w:rsidRPr="00D8017E">
        <w:rPr>
          <w:rFonts w:cs="Times New Roman"/>
          <w:sz w:val="20"/>
          <w:szCs w:val="20"/>
          <w:lang w:val="fr-CA"/>
        </w:rPr>
        <w:t> ?</w:t>
      </w:r>
    </w:p>
    <w:p w:rsidR="005C1ECC" w:rsidRPr="00D8017E" w:rsidRDefault="005C1ECC" w:rsidP="005C1ECC">
      <w:pPr>
        <w:jc w:val="both"/>
        <w:rPr>
          <w:rFonts w:eastAsia="Times New Roman" w:cs="Times New Roman"/>
          <w:sz w:val="20"/>
          <w:szCs w:val="20"/>
          <w:lang w:val="fr-CA" w:eastAsia="en-CA"/>
        </w:rPr>
      </w:pPr>
    </w:p>
    <w:p w:rsidR="005C1ECC" w:rsidRPr="00D8017E" w:rsidRDefault="005C1ECC" w:rsidP="005C1ECC">
      <w:pPr>
        <w:jc w:val="both"/>
        <w:rPr>
          <w:rFonts w:eastAsia="Times New Roman" w:cs="Times New Roman"/>
          <w:sz w:val="20"/>
          <w:szCs w:val="20"/>
          <w:lang w:val="fr-CA" w:eastAsia="en-CA"/>
        </w:rPr>
      </w:pPr>
      <w:r w:rsidRPr="00D8017E">
        <w:rPr>
          <w:rFonts w:eastAsia="Times New Roman" w:cs="Times New Roman"/>
          <w:sz w:val="20"/>
          <w:szCs w:val="20"/>
          <w:lang w:val="fr-CA" w:eastAsia="en-CA"/>
        </w:rPr>
        <w:t xml:space="preserve">Tout procureur général qui interviendra en vertu du par. 61(4) des </w:t>
      </w:r>
      <w:r w:rsidRPr="00D8017E">
        <w:rPr>
          <w:rFonts w:eastAsia="Times New Roman" w:cs="Times New Roman"/>
          <w:i/>
          <w:iCs/>
          <w:sz w:val="20"/>
          <w:szCs w:val="20"/>
          <w:lang w:val="fr-CA" w:eastAsia="en-CA"/>
        </w:rPr>
        <w:t>Règles de la Cour suprême du Canada</w:t>
      </w:r>
      <w:r w:rsidRPr="00D8017E">
        <w:rPr>
          <w:rFonts w:eastAsia="Times New Roman" w:cs="Times New Roman"/>
          <w:sz w:val="20"/>
          <w:szCs w:val="20"/>
          <w:lang w:val="fr-CA" w:eastAsia="en-CA"/>
        </w:rPr>
        <w:t xml:space="preserve"> sera tenu de payer aux appelants et à l’intimée les dépens supplémentaires résultant de son intervention.</w:t>
      </w:r>
    </w:p>
    <w:p w:rsidR="005C1ECC" w:rsidRPr="00D8017E" w:rsidRDefault="005C1ECC" w:rsidP="005C1ECC">
      <w:pPr>
        <w:jc w:val="both"/>
        <w:rPr>
          <w:rFonts w:eastAsia="Times New Roman" w:cs="Times New Roman"/>
          <w:sz w:val="20"/>
          <w:szCs w:val="20"/>
          <w:lang w:val="fr-CA" w:eastAsia="en-CA"/>
        </w:rPr>
      </w:pPr>
    </w:p>
    <w:p w:rsidR="005C1ECC" w:rsidRPr="00D8017E" w:rsidRDefault="005C1ECC" w:rsidP="005C1ECC">
      <w:pPr>
        <w:jc w:val="both"/>
        <w:rPr>
          <w:rFonts w:eastAsia="Times New Roman" w:cs="Times New Roman"/>
          <w:sz w:val="20"/>
          <w:szCs w:val="20"/>
          <w:lang w:val="fr-CA" w:eastAsia="en-CA"/>
        </w:rPr>
      </w:pPr>
      <w:r w:rsidRPr="00D8017E">
        <w:rPr>
          <w:rFonts w:eastAsia="Times New Roman" w:cs="Times New Roman"/>
          <w:b/>
          <w:sz w:val="20"/>
          <w:szCs w:val="20"/>
          <w:lang w:val="fr-CA" w:eastAsia="en-CA"/>
        </w:rPr>
        <w:t>IL EST EN OUTRE ORDONNÉ CE QUI SUIT :</w:t>
      </w:r>
    </w:p>
    <w:p w:rsidR="005C1ECC" w:rsidRPr="00D8017E" w:rsidRDefault="005C1ECC" w:rsidP="005C1ECC">
      <w:pPr>
        <w:ind w:left="720"/>
        <w:contextualSpacing/>
        <w:jc w:val="both"/>
        <w:rPr>
          <w:rFonts w:cs="Times New Roman"/>
          <w:sz w:val="20"/>
          <w:szCs w:val="20"/>
          <w:lang w:val="fr-CA"/>
        </w:rPr>
      </w:pPr>
    </w:p>
    <w:p w:rsidR="005C1ECC" w:rsidRPr="00D8017E" w:rsidRDefault="005C1ECC" w:rsidP="005C1ECC">
      <w:pPr>
        <w:widowControl w:val="0"/>
        <w:numPr>
          <w:ilvl w:val="0"/>
          <w:numId w:val="9"/>
        </w:numPr>
        <w:tabs>
          <w:tab w:val="left" w:pos="-1440"/>
        </w:tabs>
        <w:autoSpaceDE w:val="0"/>
        <w:autoSpaceDN w:val="0"/>
        <w:adjustRightInd w:val="0"/>
        <w:ind w:left="720"/>
        <w:jc w:val="both"/>
        <w:outlineLvl w:val="0"/>
        <w:rPr>
          <w:rFonts w:eastAsia="Times New Roman" w:cs="Times New Roman"/>
          <w:sz w:val="20"/>
          <w:szCs w:val="20"/>
          <w:lang w:val="fr-CA" w:eastAsia="en-CA"/>
        </w:rPr>
      </w:pPr>
      <w:r w:rsidRPr="00D8017E">
        <w:rPr>
          <w:rFonts w:eastAsia="Times New Roman" w:cs="Times New Roman"/>
          <w:sz w:val="20"/>
          <w:szCs w:val="20"/>
          <w:lang w:val="fr-CA" w:eastAsia="en-CA"/>
        </w:rPr>
        <w:t xml:space="preserve">Toute personne qui souhaite intervenir dans le présent appel en vertu de la règle 55 des </w:t>
      </w:r>
      <w:r w:rsidRPr="00D8017E">
        <w:rPr>
          <w:rFonts w:eastAsia="Times New Roman" w:cs="Times New Roman"/>
          <w:i/>
          <w:sz w:val="20"/>
          <w:szCs w:val="20"/>
          <w:lang w:val="fr-CA" w:eastAsia="en-CA"/>
        </w:rPr>
        <w:t xml:space="preserve">Règles de la Cour suprême du Canada </w:t>
      </w:r>
      <w:r w:rsidRPr="00D8017E">
        <w:rPr>
          <w:rFonts w:eastAsia="Times New Roman" w:cs="Times New Roman"/>
          <w:sz w:val="20"/>
          <w:szCs w:val="20"/>
          <w:lang w:val="fr-CA" w:eastAsia="en-CA"/>
        </w:rPr>
        <w:t xml:space="preserve">signifiera et déposera une requête en autorisation d’intervenir au plus tard le 25 mars 2014. </w:t>
      </w:r>
    </w:p>
    <w:p w:rsidR="005C1ECC" w:rsidRPr="00D8017E" w:rsidRDefault="005C1ECC" w:rsidP="005C1ECC">
      <w:pPr>
        <w:widowControl w:val="0"/>
        <w:jc w:val="both"/>
        <w:outlineLvl w:val="0"/>
        <w:rPr>
          <w:rFonts w:eastAsia="Times New Roman" w:cs="Times New Roman"/>
          <w:sz w:val="20"/>
          <w:szCs w:val="20"/>
          <w:lang w:val="fr-CA" w:eastAsia="en-CA"/>
        </w:rPr>
      </w:pPr>
    </w:p>
    <w:p w:rsidR="005C1ECC" w:rsidRPr="00D8017E" w:rsidRDefault="005C1ECC" w:rsidP="005C1ECC">
      <w:pPr>
        <w:widowControl w:val="0"/>
        <w:numPr>
          <w:ilvl w:val="0"/>
          <w:numId w:val="9"/>
        </w:numPr>
        <w:tabs>
          <w:tab w:val="left" w:pos="-1440"/>
        </w:tabs>
        <w:autoSpaceDE w:val="0"/>
        <w:autoSpaceDN w:val="0"/>
        <w:adjustRightInd w:val="0"/>
        <w:ind w:left="720"/>
        <w:jc w:val="both"/>
        <w:outlineLvl w:val="0"/>
        <w:rPr>
          <w:rFonts w:eastAsia="Times New Roman" w:cs="Times New Roman"/>
          <w:sz w:val="20"/>
          <w:szCs w:val="20"/>
          <w:lang w:val="fr-CA" w:eastAsia="en-CA"/>
        </w:rPr>
      </w:pPr>
      <w:r w:rsidRPr="00D8017E">
        <w:rPr>
          <w:rFonts w:eastAsia="Times New Roman" w:cs="Times New Roman"/>
          <w:sz w:val="20"/>
          <w:szCs w:val="20"/>
          <w:lang w:val="fr-CA" w:eastAsia="en-CA"/>
        </w:rPr>
        <w:t xml:space="preserve">Les appelants et l’intimée signifieront et déposeront leurs réponses aux demandes d’autorisation d’intervenir, le cas échéant, au plus tard le 31 mars 2014. </w:t>
      </w:r>
    </w:p>
    <w:p w:rsidR="005C1ECC" w:rsidRPr="00D8017E" w:rsidRDefault="005C1ECC" w:rsidP="005C1ECC">
      <w:pPr>
        <w:widowControl w:val="0"/>
        <w:jc w:val="both"/>
        <w:outlineLvl w:val="0"/>
        <w:rPr>
          <w:rFonts w:eastAsia="Times New Roman" w:cs="Times New Roman"/>
          <w:sz w:val="20"/>
          <w:szCs w:val="20"/>
          <w:lang w:val="fr-CA" w:eastAsia="en-CA"/>
        </w:rPr>
      </w:pPr>
    </w:p>
    <w:p w:rsidR="005C1ECC" w:rsidRPr="00D8017E" w:rsidRDefault="005C1ECC" w:rsidP="005C1ECC">
      <w:pPr>
        <w:widowControl w:val="0"/>
        <w:numPr>
          <w:ilvl w:val="0"/>
          <w:numId w:val="9"/>
        </w:numPr>
        <w:tabs>
          <w:tab w:val="left" w:pos="-1440"/>
        </w:tabs>
        <w:autoSpaceDE w:val="0"/>
        <w:autoSpaceDN w:val="0"/>
        <w:adjustRightInd w:val="0"/>
        <w:ind w:left="720"/>
        <w:jc w:val="both"/>
        <w:outlineLvl w:val="0"/>
        <w:rPr>
          <w:rFonts w:eastAsia="Times New Roman" w:cs="Times New Roman"/>
          <w:sz w:val="20"/>
          <w:szCs w:val="20"/>
          <w:lang w:val="fr-CA" w:eastAsia="en-CA"/>
        </w:rPr>
      </w:pPr>
      <w:r w:rsidRPr="00D8017E">
        <w:rPr>
          <w:rFonts w:eastAsia="Times New Roman" w:cs="Times New Roman"/>
          <w:sz w:val="20"/>
          <w:szCs w:val="20"/>
          <w:lang w:val="fr-CA" w:eastAsia="en-CA"/>
        </w:rPr>
        <w:t xml:space="preserve">Les répliques, le cas échéant, aux réponses aux demandes d’autorisation d’intervenir seront signifiées et déposées au plus tard le 2 avril 2014. </w:t>
      </w:r>
    </w:p>
    <w:p w:rsidR="005C1ECC" w:rsidRPr="00D8017E" w:rsidRDefault="005C1ECC" w:rsidP="005C1ECC">
      <w:pPr>
        <w:ind w:left="720"/>
        <w:contextualSpacing/>
        <w:jc w:val="both"/>
        <w:rPr>
          <w:rFonts w:cs="Times New Roman"/>
          <w:sz w:val="20"/>
          <w:szCs w:val="20"/>
          <w:lang w:val="fr-CA"/>
        </w:rPr>
      </w:pPr>
    </w:p>
    <w:p w:rsidR="005C1ECC" w:rsidRPr="00D8017E" w:rsidRDefault="005C1ECC" w:rsidP="005C1ECC">
      <w:pPr>
        <w:numPr>
          <w:ilvl w:val="0"/>
          <w:numId w:val="9"/>
        </w:numPr>
        <w:ind w:left="720"/>
        <w:jc w:val="both"/>
        <w:rPr>
          <w:rFonts w:cs="Times New Roman"/>
          <w:sz w:val="20"/>
          <w:szCs w:val="20"/>
          <w:lang w:val="fr-CA"/>
        </w:rPr>
      </w:pPr>
      <w:r w:rsidRPr="00D8017E">
        <w:rPr>
          <w:rFonts w:cs="Times New Roman"/>
          <w:sz w:val="20"/>
          <w:szCs w:val="20"/>
          <w:lang w:val="fr-CA"/>
        </w:rPr>
        <w:t xml:space="preserve">Tout procureur général qui interviendra en vertu du par. 61(4) des </w:t>
      </w:r>
      <w:r w:rsidRPr="00D8017E">
        <w:rPr>
          <w:rFonts w:cs="Times New Roman"/>
          <w:i/>
          <w:sz w:val="20"/>
          <w:szCs w:val="20"/>
          <w:lang w:val="fr-CA"/>
        </w:rPr>
        <w:t>Règles de la Cour suprême du Canada</w:t>
      </w:r>
      <w:r w:rsidRPr="00D8017E">
        <w:rPr>
          <w:rFonts w:cs="Times New Roman"/>
          <w:sz w:val="20"/>
          <w:szCs w:val="20"/>
          <w:lang w:val="fr-CA"/>
        </w:rPr>
        <w:t xml:space="preserve"> devra signifier et déposer son mémoire et son recueil de sources au plus tard le 2 mai 2014.</w:t>
      </w:r>
    </w:p>
    <w:p w:rsidR="005C1ECC" w:rsidRPr="005C1ECC" w:rsidRDefault="005C1ECC" w:rsidP="005C1ECC">
      <w:pPr>
        <w:tabs>
          <w:tab w:val="left" w:pos="-1440"/>
          <w:tab w:val="left" w:pos="-720"/>
        </w:tabs>
        <w:jc w:val="both"/>
        <w:rPr>
          <w:rFonts w:eastAsia="Times New Roman" w:cs="Times New Roman"/>
          <w:sz w:val="20"/>
          <w:szCs w:val="20"/>
          <w:lang w:val="fr-CA" w:eastAsia="en-CA"/>
        </w:rPr>
      </w:pPr>
    </w:p>
    <w:p w:rsidR="005C1ECC" w:rsidRPr="005C1ECC" w:rsidRDefault="00E7787D" w:rsidP="005C1ECC">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lastRenderedPageBreak/>
        <w:pict>
          <v:rect id="_x0000_i1050" style="width:2in;height:1pt" o:hrpct="0" o:hralign="center" o:hrstd="t" o:hrnoshade="t" o:hr="t" fillcolor="black [3213]" stroked="f"/>
        </w:pict>
      </w:r>
    </w:p>
    <w:p w:rsidR="005C1ECC" w:rsidRPr="005C1ECC" w:rsidRDefault="005C1ECC" w:rsidP="005C1ECC">
      <w:pPr>
        <w:tabs>
          <w:tab w:val="left" w:pos="-1440"/>
          <w:tab w:val="left" w:pos="-720"/>
        </w:tabs>
        <w:jc w:val="both"/>
        <w:rPr>
          <w:rFonts w:eastAsia="Times New Roman" w:cs="Times New Roman"/>
          <w:sz w:val="20"/>
          <w:szCs w:val="20"/>
          <w:lang w:val="fr-CA" w:eastAsia="en-CA"/>
        </w:rPr>
      </w:pPr>
      <w:r w:rsidRPr="005C1ECC">
        <w:rPr>
          <w:rFonts w:eastAsia="Times New Roman" w:cs="Times New Roman"/>
          <w:sz w:val="20"/>
          <w:szCs w:val="20"/>
          <w:lang w:val="fr-CA" w:eastAsia="en-CA"/>
        </w:rPr>
        <w:t>22.11.2013</w:t>
      </w:r>
    </w:p>
    <w:p w:rsidR="005C1ECC" w:rsidRPr="005C1ECC" w:rsidRDefault="005C1ECC" w:rsidP="005C1ECC">
      <w:pPr>
        <w:tabs>
          <w:tab w:val="left" w:pos="-1440"/>
          <w:tab w:val="left" w:pos="-720"/>
        </w:tabs>
        <w:jc w:val="both"/>
        <w:rPr>
          <w:rFonts w:eastAsia="Times New Roman" w:cs="Times New Roman"/>
          <w:sz w:val="20"/>
          <w:szCs w:val="20"/>
          <w:lang w:val="fr-CA" w:eastAsia="en-CA"/>
        </w:rPr>
      </w:pPr>
    </w:p>
    <w:p w:rsidR="005C1ECC" w:rsidRPr="005C1ECC" w:rsidRDefault="005C1ECC" w:rsidP="005C1ECC">
      <w:pPr>
        <w:tabs>
          <w:tab w:val="left" w:pos="-1440"/>
          <w:tab w:val="left" w:pos="-720"/>
        </w:tabs>
        <w:jc w:val="both"/>
        <w:rPr>
          <w:rFonts w:eastAsia="Times New Roman" w:cs="Times New Roman"/>
          <w:sz w:val="20"/>
          <w:szCs w:val="20"/>
          <w:lang w:val="fr-CA" w:eastAsia="en-CA"/>
        </w:rPr>
      </w:pPr>
      <w:r w:rsidRPr="005C1ECC">
        <w:rPr>
          <w:rFonts w:eastAsia="Times New Roman" w:cs="Times New Roman"/>
          <w:sz w:val="20"/>
          <w:szCs w:val="20"/>
          <w:lang w:val="fr-CA" w:eastAsia="en-CA"/>
        </w:rPr>
        <w:t>Before / Devant :   KARAKATSANIS J. / LA JUGE KARAKATSANIS</w:t>
      </w:r>
    </w:p>
    <w:p w:rsidR="005C1ECC" w:rsidRPr="005C1ECC" w:rsidRDefault="005C1ECC" w:rsidP="005C1ECC">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3060"/>
        <w:gridCol w:w="1170"/>
        <w:gridCol w:w="4327"/>
      </w:tblGrid>
      <w:tr w:rsidR="005C1ECC" w:rsidRPr="00B52C2C" w:rsidTr="00741B40">
        <w:tc>
          <w:tcPr>
            <w:tcW w:w="4338" w:type="dxa"/>
            <w:gridSpan w:val="2"/>
          </w:tcPr>
          <w:p w:rsidR="005C1ECC" w:rsidRPr="005C1ECC" w:rsidRDefault="005C1ECC" w:rsidP="005C1ECC">
            <w:pPr>
              <w:jc w:val="both"/>
              <w:rPr>
                <w:b/>
              </w:rPr>
            </w:pPr>
            <w:r w:rsidRPr="005C1ECC">
              <w:rPr>
                <w:b/>
                <w:lang w:val="en-US"/>
              </w:rPr>
              <w:t xml:space="preserve">Order on intervention with respect to oral argument </w:t>
            </w:r>
            <w:r w:rsidR="000C413F" w:rsidRPr="005C1ECC">
              <w:rPr>
                <w:b/>
                <w:lang w:val="en-US"/>
              </w:rPr>
              <w:fldChar w:fldCharType="begin"/>
            </w:r>
            <w:r w:rsidRPr="005C1ECC">
              <w:rPr>
                <w:b/>
              </w:rPr>
              <w:instrText xml:space="preserve"> SEQ CHAPTER \h \r 1</w:instrText>
            </w:r>
            <w:r w:rsidR="000C413F" w:rsidRPr="005C1ECC">
              <w:rPr>
                <w:b/>
                <w:lang w:val="en-US"/>
              </w:rPr>
              <w:fldChar w:fldCharType="end"/>
            </w:r>
          </w:p>
        </w:tc>
        <w:tc>
          <w:tcPr>
            <w:tcW w:w="1170" w:type="dxa"/>
          </w:tcPr>
          <w:p w:rsidR="005C1ECC" w:rsidRPr="005C1ECC" w:rsidRDefault="005C1ECC" w:rsidP="005C1ECC"/>
          <w:p w:rsidR="005C1ECC" w:rsidRPr="005C1ECC" w:rsidRDefault="005C1ECC" w:rsidP="005C1ECC"/>
          <w:p w:rsidR="005C1ECC" w:rsidRPr="005C1ECC" w:rsidRDefault="005C1ECC" w:rsidP="005C1ECC"/>
        </w:tc>
        <w:tc>
          <w:tcPr>
            <w:tcW w:w="4327" w:type="dxa"/>
          </w:tcPr>
          <w:p w:rsidR="005C1ECC" w:rsidRPr="005C1ECC" w:rsidRDefault="005C1ECC" w:rsidP="005C1ECC">
            <w:pPr>
              <w:jc w:val="both"/>
              <w:rPr>
                <w:b/>
                <w:lang w:val="fr-CA"/>
              </w:rPr>
            </w:pPr>
            <w:r w:rsidRPr="005C1ECC">
              <w:rPr>
                <w:b/>
                <w:lang w:val="fr-CA"/>
              </w:rPr>
              <w:t>Ordonnance relative à la présentation d’une plaidoirie orale par l’intervenant</w:t>
            </w:r>
            <w:r w:rsidR="000C413F" w:rsidRPr="005C1ECC">
              <w:rPr>
                <w:b/>
                <w:lang w:val="en-US"/>
              </w:rPr>
              <w:fldChar w:fldCharType="begin"/>
            </w:r>
            <w:r w:rsidRPr="005C1ECC">
              <w:rPr>
                <w:b/>
                <w:lang w:val="fr-CA"/>
              </w:rPr>
              <w:instrText xml:space="preserve"> SEQ CHAPTER \h \r 1</w:instrText>
            </w:r>
            <w:r w:rsidR="000C413F" w:rsidRPr="005C1ECC">
              <w:rPr>
                <w:b/>
                <w:lang w:val="en-US"/>
              </w:rPr>
              <w:fldChar w:fldCharType="end"/>
            </w:r>
          </w:p>
        </w:tc>
      </w:tr>
      <w:tr w:rsidR="005C1ECC" w:rsidRPr="005C1ECC" w:rsidTr="00741B40">
        <w:tc>
          <w:tcPr>
            <w:tcW w:w="1278" w:type="dxa"/>
          </w:tcPr>
          <w:p w:rsidR="005C1ECC" w:rsidRPr="005C1ECC" w:rsidRDefault="005C1ECC" w:rsidP="005C1ECC">
            <w:r w:rsidRPr="005C1ECC">
              <w:t>RE:</w:t>
            </w:r>
          </w:p>
        </w:tc>
        <w:tc>
          <w:tcPr>
            <w:tcW w:w="3060" w:type="dxa"/>
          </w:tcPr>
          <w:p w:rsidR="005C1ECC" w:rsidRPr="005C1ECC" w:rsidRDefault="005C1ECC" w:rsidP="005C1ECC">
            <w:r w:rsidRPr="005C1ECC">
              <w:rPr>
                <w:lang w:val="en-US"/>
              </w:rPr>
              <w:t>Attorney General of Alberta</w:t>
            </w:r>
          </w:p>
        </w:tc>
        <w:tc>
          <w:tcPr>
            <w:tcW w:w="1170" w:type="dxa"/>
          </w:tcPr>
          <w:p w:rsidR="005C1ECC" w:rsidRPr="005C1ECC" w:rsidRDefault="005C1ECC" w:rsidP="005C1ECC"/>
        </w:tc>
        <w:tc>
          <w:tcPr>
            <w:tcW w:w="4327" w:type="dxa"/>
          </w:tcPr>
          <w:p w:rsidR="005C1ECC" w:rsidRPr="005C1ECC" w:rsidRDefault="005C1ECC" w:rsidP="005C1ECC"/>
        </w:tc>
      </w:tr>
      <w:tr w:rsidR="005C1ECC" w:rsidRPr="005C1ECC" w:rsidTr="00741B40">
        <w:tc>
          <w:tcPr>
            <w:tcW w:w="1278" w:type="dxa"/>
          </w:tcPr>
          <w:p w:rsidR="005C1ECC" w:rsidRPr="005C1ECC" w:rsidRDefault="005C1ECC" w:rsidP="005C1ECC"/>
        </w:tc>
        <w:tc>
          <w:tcPr>
            <w:tcW w:w="3060" w:type="dxa"/>
          </w:tcPr>
          <w:p w:rsidR="005C1ECC" w:rsidRPr="005C1ECC" w:rsidRDefault="005C1ECC" w:rsidP="005C1ECC"/>
        </w:tc>
        <w:tc>
          <w:tcPr>
            <w:tcW w:w="1170" w:type="dxa"/>
          </w:tcPr>
          <w:p w:rsidR="005C1ECC" w:rsidRPr="005C1ECC" w:rsidRDefault="005C1ECC" w:rsidP="005C1ECC"/>
        </w:tc>
        <w:tc>
          <w:tcPr>
            <w:tcW w:w="4327" w:type="dxa"/>
          </w:tcPr>
          <w:p w:rsidR="005C1ECC" w:rsidRPr="005C1ECC" w:rsidRDefault="005C1ECC" w:rsidP="005C1ECC"/>
        </w:tc>
      </w:tr>
      <w:tr w:rsidR="005C1ECC" w:rsidRPr="005C1ECC" w:rsidTr="00741B40">
        <w:tc>
          <w:tcPr>
            <w:tcW w:w="1278" w:type="dxa"/>
          </w:tcPr>
          <w:p w:rsidR="005C1ECC" w:rsidRPr="005C1ECC" w:rsidRDefault="005C1ECC" w:rsidP="005C1ECC">
            <w:r w:rsidRPr="005C1ECC">
              <w:t>IN / DANS :</w:t>
            </w:r>
          </w:p>
        </w:tc>
        <w:tc>
          <w:tcPr>
            <w:tcW w:w="3060" w:type="dxa"/>
          </w:tcPr>
          <w:p w:rsidR="005C1ECC" w:rsidRPr="005C1ECC" w:rsidRDefault="005C1ECC" w:rsidP="005C1ECC">
            <w:pPr>
              <w:rPr>
                <w:lang w:val="fr-CA"/>
              </w:rPr>
            </w:pPr>
            <w:r w:rsidRPr="005C1ECC">
              <w:rPr>
                <w:lang w:val="fr-CA"/>
              </w:rPr>
              <w:t>Sa Majesté la Reine</w:t>
            </w:r>
          </w:p>
          <w:p w:rsidR="005C1ECC" w:rsidRPr="005C1ECC" w:rsidRDefault="005C1ECC" w:rsidP="005C1ECC">
            <w:pPr>
              <w:rPr>
                <w:lang w:val="fr-CA"/>
              </w:rPr>
            </w:pPr>
          </w:p>
          <w:p w:rsidR="005C1ECC" w:rsidRPr="005C1ECC" w:rsidRDefault="005C1ECC" w:rsidP="005C1ECC">
            <w:pPr>
              <w:rPr>
                <w:lang w:val="fr-CA"/>
              </w:rPr>
            </w:pPr>
            <w:r w:rsidRPr="005C1ECC">
              <w:rPr>
                <w:lang w:val="fr-CA"/>
              </w:rPr>
              <w:tab/>
              <w:t>c. (35372)</w:t>
            </w:r>
          </w:p>
          <w:p w:rsidR="005C1ECC" w:rsidRPr="005C1ECC" w:rsidRDefault="005C1ECC" w:rsidP="005C1ECC">
            <w:pPr>
              <w:rPr>
                <w:lang w:val="fr-CA"/>
              </w:rPr>
            </w:pPr>
          </w:p>
          <w:p w:rsidR="005C1ECC" w:rsidRPr="005C1ECC" w:rsidRDefault="005C1ECC" w:rsidP="005C1ECC">
            <w:pPr>
              <w:rPr>
                <w:lang w:val="fr-CA"/>
              </w:rPr>
            </w:pPr>
            <w:r w:rsidRPr="005C1ECC">
              <w:rPr>
                <w:lang w:val="fr-CA"/>
              </w:rPr>
              <w:t>Guy Auclair et autres (Crim.) (Qc)</w:t>
            </w:r>
          </w:p>
        </w:tc>
        <w:tc>
          <w:tcPr>
            <w:tcW w:w="1170" w:type="dxa"/>
          </w:tcPr>
          <w:p w:rsidR="005C1ECC" w:rsidRPr="005C1ECC" w:rsidRDefault="005C1ECC" w:rsidP="005C1ECC">
            <w:pPr>
              <w:rPr>
                <w:lang w:val="fr-CA"/>
              </w:rPr>
            </w:pPr>
          </w:p>
        </w:tc>
        <w:tc>
          <w:tcPr>
            <w:tcW w:w="4327" w:type="dxa"/>
          </w:tcPr>
          <w:p w:rsidR="005C1ECC" w:rsidRPr="005C1ECC" w:rsidRDefault="005C1ECC" w:rsidP="005C1ECC">
            <w:pPr>
              <w:rPr>
                <w:lang w:val="fr-CA"/>
              </w:rPr>
            </w:pPr>
          </w:p>
        </w:tc>
      </w:tr>
    </w:tbl>
    <w:p w:rsidR="005C1ECC" w:rsidRPr="005C1ECC" w:rsidRDefault="005C1ECC" w:rsidP="005C1ECC">
      <w:pPr>
        <w:tabs>
          <w:tab w:val="left" w:pos="-1440"/>
          <w:tab w:val="left" w:pos="-720"/>
        </w:tabs>
        <w:jc w:val="both"/>
        <w:rPr>
          <w:rFonts w:eastAsia="Times New Roman" w:cs="Times New Roman"/>
          <w:sz w:val="20"/>
          <w:szCs w:val="20"/>
          <w:lang w:val="fr-CA" w:eastAsia="en-CA"/>
        </w:rPr>
      </w:pPr>
    </w:p>
    <w:p w:rsidR="005C1ECC" w:rsidRPr="00D8017E" w:rsidRDefault="005C1ECC" w:rsidP="005C1ECC">
      <w:pPr>
        <w:spacing w:line="233" w:lineRule="auto"/>
        <w:jc w:val="both"/>
        <w:rPr>
          <w:rFonts w:eastAsia="Times New Roman" w:cs="Times New Roman"/>
          <w:sz w:val="20"/>
          <w:szCs w:val="20"/>
          <w:lang w:eastAsia="en-CA"/>
        </w:rPr>
      </w:pPr>
      <w:r w:rsidRPr="00D8017E">
        <w:rPr>
          <w:rFonts w:eastAsia="Times New Roman" w:cs="Times New Roman"/>
          <w:b/>
          <w:bCs/>
          <w:sz w:val="20"/>
          <w:szCs w:val="20"/>
          <w:lang w:eastAsia="en-CA"/>
        </w:rPr>
        <w:t xml:space="preserve">FURTHER TO THE ORDER </w:t>
      </w:r>
      <w:r w:rsidRPr="00D8017E">
        <w:rPr>
          <w:rFonts w:eastAsia="Times New Roman" w:cs="Times New Roman"/>
          <w:bCs/>
          <w:sz w:val="20"/>
          <w:szCs w:val="20"/>
          <w:lang w:eastAsia="en-CA"/>
        </w:rPr>
        <w:t xml:space="preserve">dated September 25, 2013, granting leave to intervene to the </w:t>
      </w:r>
      <w:r w:rsidRPr="00D8017E">
        <w:rPr>
          <w:rFonts w:eastAsia="Times New Roman" w:cs="Times New Roman"/>
          <w:sz w:val="20"/>
          <w:szCs w:val="20"/>
          <w:lang w:eastAsia="en-CA"/>
        </w:rPr>
        <w:t>Attorney General of Alberta;</w:t>
      </w:r>
    </w:p>
    <w:p w:rsidR="005C1ECC" w:rsidRPr="00D8017E" w:rsidRDefault="005C1ECC" w:rsidP="005C1ECC">
      <w:pPr>
        <w:spacing w:line="233" w:lineRule="auto"/>
        <w:jc w:val="both"/>
        <w:rPr>
          <w:rFonts w:eastAsia="Times New Roman" w:cs="Times New Roman"/>
          <w:sz w:val="20"/>
          <w:szCs w:val="20"/>
          <w:lang w:eastAsia="en-CA"/>
        </w:rPr>
      </w:pPr>
    </w:p>
    <w:p w:rsidR="005C1ECC" w:rsidRPr="00D8017E" w:rsidRDefault="005C1ECC" w:rsidP="005C1ECC">
      <w:pPr>
        <w:spacing w:line="233" w:lineRule="auto"/>
        <w:jc w:val="both"/>
        <w:rPr>
          <w:rFonts w:eastAsia="Times New Roman" w:cs="Times New Roman"/>
          <w:b/>
          <w:bCs/>
          <w:sz w:val="20"/>
          <w:szCs w:val="20"/>
          <w:lang w:eastAsia="en-CA"/>
        </w:rPr>
      </w:pPr>
      <w:r w:rsidRPr="00D8017E">
        <w:rPr>
          <w:rFonts w:eastAsia="Times New Roman" w:cs="Times New Roman"/>
          <w:b/>
          <w:bCs/>
          <w:sz w:val="20"/>
          <w:szCs w:val="20"/>
          <w:lang w:eastAsia="en-CA"/>
        </w:rPr>
        <w:t xml:space="preserve">IT IS HEREBY FURTHER ORDERED THAT </w:t>
      </w:r>
      <w:r w:rsidRPr="00D8017E">
        <w:rPr>
          <w:rFonts w:eastAsia="Times New Roman" w:cs="Times New Roman"/>
          <w:bCs/>
          <w:sz w:val="20"/>
          <w:szCs w:val="20"/>
          <w:lang w:eastAsia="en-CA"/>
        </w:rPr>
        <w:t>the said intervener is granted permission to present oral argument not exceeding ten (10) minutes at the hearing of the appeal.</w:t>
      </w:r>
    </w:p>
    <w:p w:rsidR="005C1ECC" w:rsidRPr="005C1ECC" w:rsidRDefault="005C1ECC" w:rsidP="005C1ECC">
      <w:pPr>
        <w:spacing w:line="233" w:lineRule="auto"/>
        <w:jc w:val="both"/>
        <w:rPr>
          <w:rFonts w:eastAsia="Times New Roman" w:cs="Times New Roman"/>
          <w:bCs/>
          <w:sz w:val="20"/>
          <w:szCs w:val="20"/>
          <w:lang w:val="en-US" w:eastAsia="en-CA"/>
        </w:rPr>
      </w:pPr>
    </w:p>
    <w:p w:rsidR="005C1ECC" w:rsidRPr="005C1ECC" w:rsidRDefault="005C1ECC" w:rsidP="005C1ECC">
      <w:pPr>
        <w:spacing w:line="233" w:lineRule="auto"/>
        <w:jc w:val="both"/>
        <w:rPr>
          <w:rFonts w:eastAsia="Times New Roman" w:cs="Times New Roman"/>
          <w:bCs/>
          <w:sz w:val="20"/>
          <w:szCs w:val="20"/>
          <w:lang w:val="en-US" w:eastAsia="en-CA"/>
        </w:rPr>
      </w:pPr>
    </w:p>
    <w:p w:rsidR="005C1ECC" w:rsidRPr="005C1ECC" w:rsidRDefault="005C1ECC" w:rsidP="005C1ECC">
      <w:pPr>
        <w:spacing w:line="233" w:lineRule="auto"/>
        <w:jc w:val="both"/>
        <w:rPr>
          <w:rFonts w:eastAsia="Times New Roman" w:cs="Times New Roman"/>
          <w:sz w:val="20"/>
          <w:szCs w:val="20"/>
          <w:lang w:val="en-US" w:eastAsia="en-CA"/>
        </w:rPr>
      </w:pPr>
    </w:p>
    <w:p w:rsidR="005C1ECC" w:rsidRPr="005C1ECC" w:rsidRDefault="005C1ECC" w:rsidP="005C1ECC">
      <w:pPr>
        <w:spacing w:line="233" w:lineRule="auto"/>
        <w:jc w:val="both"/>
        <w:rPr>
          <w:rFonts w:eastAsia="Times New Roman" w:cs="Times New Roman"/>
          <w:sz w:val="20"/>
          <w:szCs w:val="20"/>
          <w:lang w:val="fr-CA" w:eastAsia="en-CA"/>
        </w:rPr>
      </w:pPr>
      <w:r w:rsidRPr="005C1ECC">
        <w:rPr>
          <w:rFonts w:eastAsia="Times New Roman" w:cs="Times New Roman"/>
          <w:b/>
          <w:sz w:val="20"/>
          <w:szCs w:val="20"/>
          <w:lang w:val="fr-CA" w:eastAsia="en-CA"/>
        </w:rPr>
        <w:t>À LA SUITE DE L'ORDONNANCE</w:t>
      </w:r>
      <w:r w:rsidRPr="005C1ECC">
        <w:rPr>
          <w:rFonts w:eastAsia="Times New Roman" w:cs="Times New Roman"/>
          <w:sz w:val="20"/>
          <w:szCs w:val="20"/>
          <w:lang w:val="fr-CA" w:eastAsia="en-CA"/>
        </w:rPr>
        <w:t xml:space="preserve"> datée du 25 septembre 2013 autorisant le Procureur général de l’Alberta à intervenir;</w:t>
      </w:r>
    </w:p>
    <w:p w:rsidR="005C1ECC" w:rsidRPr="005C1ECC" w:rsidRDefault="005C1ECC" w:rsidP="005C1ECC">
      <w:pPr>
        <w:spacing w:line="233" w:lineRule="auto"/>
        <w:jc w:val="both"/>
        <w:rPr>
          <w:rFonts w:eastAsia="Times New Roman" w:cs="Times New Roman"/>
          <w:sz w:val="20"/>
          <w:szCs w:val="20"/>
          <w:lang w:val="fr-CA" w:eastAsia="en-CA"/>
        </w:rPr>
      </w:pPr>
    </w:p>
    <w:p w:rsidR="005C1ECC" w:rsidRPr="005C1ECC" w:rsidRDefault="005C1ECC" w:rsidP="005C1ECC">
      <w:pPr>
        <w:spacing w:line="233" w:lineRule="auto"/>
        <w:jc w:val="both"/>
        <w:rPr>
          <w:rFonts w:eastAsia="Times New Roman" w:cs="Times New Roman"/>
          <w:sz w:val="20"/>
          <w:szCs w:val="20"/>
          <w:lang w:val="fr-CA" w:eastAsia="en-CA"/>
        </w:rPr>
      </w:pPr>
      <w:r w:rsidRPr="005C1ECC">
        <w:rPr>
          <w:rFonts w:eastAsia="Times New Roman" w:cs="Times New Roman"/>
          <w:b/>
          <w:sz w:val="20"/>
          <w:szCs w:val="20"/>
          <w:lang w:val="fr-CA" w:eastAsia="en-CA"/>
        </w:rPr>
        <w:t>IL EST EN OUTRE ORDONNÉ QUE</w:t>
      </w:r>
      <w:r w:rsidRPr="005C1ECC">
        <w:rPr>
          <w:rFonts w:eastAsia="Times New Roman" w:cs="Times New Roman"/>
          <w:sz w:val="20"/>
          <w:szCs w:val="20"/>
          <w:lang w:val="fr-CA" w:eastAsia="en-CA"/>
        </w:rPr>
        <w:t xml:space="preserve"> ledit intervenant est autorisé à présenter une plaidoirie orale d'au plus dix (10) minutes lors de l'audition de l'appel.</w:t>
      </w:r>
    </w:p>
    <w:p w:rsidR="005C1ECC" w:rsidRPr="005C1ECC" w:rsidRDefault="005C1ECC" w:rsidP="005C1ECC">
      <w:pPr>
        <w:spacing w:line="233" w:lineRule="auto"/>
        <w:jc w:val="both"/>
        <w:rPr>
          <w:rFonts w:eastAsia="Times New Roman" w:cs="Times New Roman"/>
          <w:sz w:val="20"/>
          <w:szCs w:val="20"/>
          <w:lang w:val="fr-CA" w:eastAsia="en-CA"/>
        </w:rPr>
      </w:pPr>
    </w:p>
    <w:p w:rsidR="005C1ECC" w:rsidRPr="005C1ECC" w:rsidRDefault="00E7787D" w:rsidP="005C1ECC">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51" style="width:2in;height:1pt" o:hrpct="0" o:hralign="center" o:hrstd="t" o:hrnoshade="t" o:hr="t" fillcolor="black [3213]" stroked="f"/>
        </w:pict>
      </w:r>
    </w:p>
    <w:p w:rsidR="005C1ECC" w:rsidRPr="005C1ECC" w:rsidRDefault="005C1ECC" w:rsidP="005C1ECC">
      <w:pPr>
        <w:tabs>
          <w:tab w:val="left" w:pos="-1440"/>
          <w:tab w:val="left" w:pos="-720"/>
        </w:tabs>
        <w:jc w:val="both"/>
        <w:rPr>
          <w:rFonts w:eastAsia="Times New Roman" w:cs="Times New Roman"/>
          <w:sz w:val="20"/>
          <w:szCs w:val="20"/>
          <w:lang w:val="fr-CA" w:eastAsia="en-CA"/>
        </w:rPr>
      </w:pPr>
    </w:p>
    <w:p w:rsidR="005C1ECC" w:rsidRPr="005C1ECC" w:rsidRDefault="005C1ECC" w:rsidP="005C1ECC">
      <w:pPr>
        <w:tabs>
          <w:tab w:val="left" w:pos="-1440"/>
          <w:tab w:val="left" w:pos="-720"/>
        </w:tabs>
        <w:jc w:val="both"/>
        <w:rPr>
          <w:rFonts w:eastAsia="Times New Roman" w:cs="Times New Roman"/>
          <w:sz w:val="20"/>
          <w:szCs w:val="20"/>
          <w:lang w:eastAsia="en-CA"/>
        </w:rPr>
      </w:pPr>
      <w:r w:rsidRPr="005C1ECC">
        <w:rPr>
          <w:rFonts w:eastAsia="Times New Roman" w:cs="Times New Roman"/>
          <w:sz w:val="20"/>
          <w:szCs w:val="20"/>
          <w:lang w:eastAsia="en-CA"/>
        </w:rPr>
        <w:t>27.11.2013</w:t>
      </w:r>
    </w:p>
    <w:p w:rsidR="005C1ECC" w:rsidRPr="005C1ECC" w:rsidRDefault="005C1ECC" w:rsidP="005C1ECC">
      <w:pPr>
        <w:tabs>
          <w:tab w:val="left" w:pos="-1440"/>
          <w:tab w:val="left" w:pos="-720"/>
        </w:tabs>
        <w:jc w:val="both"/>
        <w:rPr>
          <w:rFonts w:eastAsia="Times New Roman" w:cs="Times New Roman"/>
          <w:sz w:val="20"/>
          <w:szCs w:val="20"/>
          <w:lang w:eastAsia="en-CA"/>
        </w:rPr>
      </w:pPr>
    </w:p>
    <w:p w:rsidR="005C1ECC" w:rsidRPr="005C1ECC" w:rsidRDefault="005C1ECC" w:rsidP="005C1ECC">
      <w:pPr>
        <w:tabs>
          <w:tab w:val="left" w:pos="-1440"/>
          <w:tab w:val="left" w:pos="-720"/>
        </w:tabs>
        <w:jc w:val="both"/>
        <w:rPr>
          <w:rFonts w:eastAsia="Times New Roman" w:cs="Times New Roman"/>
          <w:sz w:val="20"/>
          <w:szCs w:val="20"/>
          <w:lang w:eastAsia="en-CA"/>
        </w:rPr>
      </w:pPr>
      <w:r w:rsidRPr="005C1ECC">
        <w:rPr>
          <w:rFonts w:eastAsia="Times New Roman" w:cs="Times New Roman"/>
          <w:sz w:val="20"/>
          <w:szCs w:val="20"/>
          <w:lang w:eastAsia="en-CA"/>
        </w:rPr>
        <w:t>Before / Devant :   THE DEPUTY REGISTRAR / LA REGISTRAIRE ADJOINTE</w:t>
      </w:r>
    </w:p>
    <w:p w:rsidR="005C1ECC" w:rsidRPr="005C1ECC" w:rsidRDefault="005C1ECC" w:rsidP="005C1ECC">
      <w:pPr>
        <w:tabs>
          <w:tab w:val="left" w:pos="-1440"/>
          <w:tab w:val="left" w:pos="-720"/>
        </w:tabs>
        <w:jc w:val="both"/>
        <w:rPr>
          <w:rFonts w:eastAsia="Times New Roman" w:cs="Times New Roman"/>
          <w:sz w:val="20"/>
          <w:szCs w:val="20"/>
          <w:lang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5C1ECC" w:rsidRPr="005C1ECC" w:rsidTr="00741B40">
        <w:trPr>
          <w:trHeight w:val="151"/>
        </w:trPr>
        <w:tc>
          <w:tcPr>
            <w:tcW w:w="4338" w:type="dxa"/>
          </w:tcPr>
          <w:p w:rsidR="005C1ECC" w:rsidRPr="005C1ECC" w:rsidRDefault="000C413F" w:rsidP="005C1ECC">
            <w:pPr>
              <w:tabs>
                <w:tab w:val="left" w:pos="-1440"/>
                <w:tab w:val="left" w:pos="-720"/>
              </w:tabs>
              <w:jc w:val="both"/>
              <w:rPr>
                <w:lang w:val="fr-CA"/>
              </w:rPr>
            </w:pPr>
            <w:r w:rsidRPr="005C1ECC">
              <w:rPr>
                <w:lang w:val="en-US"/>
              </w:rPr>
              <w:fldChar w:fldCharType="begin"/>
            </w:r>
            <w:r w:rsidR="005C1ECC" w:rsidRPr="005C1ECC">
              <w:rPr>
                <w:lang w:val="fr-CA"/>
              </w:rPr>
              <w:instrText xml:space="preserve"> SEQ CHAPTER \h \r 1</w:instrText>
            </w:r>
            <w:r w:rsidRPr="005C1ECC">
              <w:rPr>
                <w:lang w:val="en-US"/>
              </w:rPr>
              <w:fldChar w:fldCharType="end"/>
            </w:r>
            <w:r w:rsidR="005C1ECC" w:rsidRPr="005C1ECC">
              <w:rPr>
                <w:b/>
                <w:bCs/>
                <w:lang w:val="fr-CA"/>
              </w:rPr>
              <w:t>Miscellaneous motion</w:t>
            </w:r>
          </w:p>
          <w:p w:rsidR="005C1ECC" w:rsidRPr="005C1ECC" w:rsidRDefault="000C413F" w:rsidP="005C1ECC">
            <w:pPr>
              <w:tabs>
                <w:tab w:val="left" w:pos="-1440"/>
                <w:tab w:val="left" w:pos="-720"/>
              </w:tabs>
              <w:jc w:val="both"/>
              <w:rPr>
                <w:lang w:val="fr-CA"/>
              </w:rPr>
            </w:pPr>
            <w:r w:rsidRPr="005C1ECC">
              <w:rPr>
                <w:lang w:val="en-US"/>
              </w:rPr>
              <w:fldChar w:fldCharType="begin"/>
            </w:r>
            <w:r w:rsidR="005C1ECC" w:rsidRPr="005C1ECC">
              <w:rPr>
                <w:lang w:val="fr-CA"/>
              </w:rPr>
              <w:instrText xml:space="preserve"> SEQ CHAPTER \h \r 1</w:instrText>
            </w:r>
            <w:r w:rsidRPr="005C1ECC">
              <w:rPr>
                <w:lang w:val="en-US"/>
              </w:rPr>
              <w:fldChar w:fldCharType="end"/>
            </w:r>
          </w:p>
        </w:tc>
        <w:tc>
          <w:tcPr>
            <w:tcW w:w="1170" w:type="dxa"/>
          </w:tcPr>
          <w:p w:rsidR="005C1ECC" w:rsidRPr="005C1ECC" w:rsidRDefault="005C1ECC" w:rsidP="005C1ECC">
            <w:pPr>
              <w:jc w:val="both"/>
              <w:rPr>
                <w:lang w:val="fr-CA"/>
              </w:rPr>
            </w:pPr>
          </w:p>
          <w:p w:rsidR="005C1ECC" w:rsidRPr="005C1ECC" w:rsidRDefault="005C1ECC" w:rsidP="005C1ECC">
            <w:pPr>
              <w:jc w:val="both"/>
              <w:rPr>
                <w:lang w:val="fr-CA"/>
              </w:rPr>
            </w:pPr>
          </w:p>
        </w:tc>
        <w:tc>
          <w:tcPr>
            <w:tcW w:w="4327" w:type="dxa"/>
          </w:tcPr>
          <w:p w:rsidR="005C1ECC" w:rsidRPr="005C1ECC" w:rsidRDefault="000C413F" w:rsidP="005C1ECC">
            <w:pPr>
              <w:jc w:val="both"/>
              <w:rPr>
                <w:b/>
                <w:lang w:val="fr-CA"/>
              </w:rPr>
            </w:pPr>
            <w:r w:rsidRPr="005C1ECC">
              <w:rPr>
                <w:lang w:val="en-US"/>
              </w:rPr>
              <w:fldChar w:fldCharType="begin"/>
            </w:r>
            <w:r w:rsidR="005C1ECC" w:rsidRPr="005C1ECC">
              <w:rPr>
                <w:lang w:val="fr-CA"/>
              </w:rPr>
              <w:instrText xml:space="preserve"> SEQ CHAPTER \h \r 1</w:instrText>
            </w:r>
            <w:r w:rsidRPr="005C1ECC">
              <w:rPr>
                <w:lang w:val="en-US"/>
              </w:rPr>
              <w:fldChar w:fldCharType="end"/>
            </w:r>
            <w:r w:rsidR="005C1ECC" w:rsidRPr="005C1ECC">
              <w:rPr>
                <w:b/>
                <w:bCs/>
                <w:lang w:val="fr-CA"/>
              </w:rPr>
              <w:t>Requête diverse</w:t>
            </w:r>
          </w:p>
          <w:p w:rsidR="005C1ECC" w:rsidRPr="005C1ECC" w:rsidRDefault="000C413F" w:rsidP="005C1ECC">
            <w:pPr>
              <w:jc w:val="both"/>
              <w:rPr>
                <w:b/>
                <w:lang w:val="fr-CA"/>
              </w:rPr>
            </w:pPr>
            <w:r w:rsidRPr="005C1ECC">
              <w:rPr>
                <w:b/>
                <w:lang w:val="en-US"/>
              </w:rPr>
              <w:fldChar w:fldCharType="begin"/>
            </w:r>
            <w:r w:rsidR="005C1ECC" w:rsidRPr="005C1ECC">
              <w:rPr>
                <w:b/>
                <w:lang w:val="fr-CA"/>
              </w:rPr>
              <w:instrText xml:space="preserve"> SEQ CHAPTER \h \r 1</w:instrText>
            </w:r>
            <w:r w:rsidRPr="005C1ECC">
              <w:rPr>
                <w:b/>
                <w:lang w:val="en-US"/>
              </w:rPr>
              <w:fldChar w:fldCharType="end"/>
            </w:r>
            <w:r w:rsidRPr="005C1ECC">
              <w:rPr>
                <w:b/>
                <w:lang w:val="en-US"/>
              </w:rPr>
              <w:fldChar w:fldCharType="begin"/>
            </w:r>
            <w:r w:rsidR="005C1ECC" w:rsidRPr="005C1ECC">
              <w:rPr>
                <w:b/>
                <w:lang w:val="fr-CA"/>
              </w:rPr>
              <w:instrText xml:space="preserve"> SEQ CHAPTER \h \r 1</w:instrText>
            </w:r>
            <w:r w:rsidRPr="005C1ECC">
              <w:rPr>
                <w:b/>
                <w:lang w:val="en-US"/>
              </w:rPr>
              <w:fldChar w:fldCharType="end"/>
            </w:r>
          </w:p>
        </w:tc>
      </w:tr>
      <w:tr w:rsidR="005C1ECC" w:rsidRPr="005C1ECC" w:rsidTr="00741B40">
        <w:trPr>
          <w:trHeight w:val="150"/>
        </w:trPr>
        <w:tc>
          <w:tcPr>
            <w:tcW w:w="4338" w:type="dxa"/>
          </w:tcPr>
          <w:p w:rsidR="005C1ECC" w:rsidRPr="005C1ECC" w:rsidRDefault="005C1ECC" w:rsidP="005C1ECC">
            <w:pPr>
              <w:tabs>
                <w:tab w:val="left" w:pos="-1440"/>
                <w:tab w:val="left" w:pos="-720"/>
              </w:tabs>
              <w:jc w:val="both"/>
              <w:rPr>
                <w:lang w:val="en-US"/>
              </w:rPr>
            </w:pPr>
            <w:r w:rsidRPr="005C1ECC">
              <w:rPr>
                <w:lang w:val="en-US"/>
              </w:rPr>
              <w:t>Daniel W. Onischuk</w:t>
            </w:r>
          </w:p>
          <w:p w:rsidR="005C1ECC" w:rsidRPr="005C1ECC" w:rsidRDefault="005C1ECC" w:rsidP="005C1ECC">
            <w:pPr>
              <w:tabs>
                <w:tab w:val="left" w:pos="-1440"/>
                <w:tab w:val="left" w:pos="-720"/>
              </w:tabs>
              <w:jc w:val="both"/>
              <w:rPr>
                <w:lang w:val="en-US"/>
              </w:rPr>
            </w:pPr>
          </w:p>
          <w:p w:rsidR="005C1ECC" w:rsidRPr="005C1ECC" w:rsidRDefault="005C1ECC" w:rsidP="005C1ECC">
            <w:pPr>
              <w:tabs>
                <w:tab w:val="left" w:pos="-1440"/>
                <w:tab w:val="left" w:pos="-720"/>
              </w:tabs>
              <w:jc w:val="both"/>
              <w:rPr>
                <w:lang w:val="en-US"/>
              </w:rPr>
            </w:pPr>
            <w:r w:rsidRPr="005C1ECC">
              <w:rPr>
                <w:lang w:val="en-US"/>
              </w:rPr>
              <w:tab/>
              <w:t>v. (35472)</w:t>
            </w:r>
          </w:p>
          <w:p w:rsidR="005C1ECC" w:rsidRPr="005C1ECC" w:rsidRDefault="005C1ECC" w:rsidP="005C1ECC">
            <w:pPr>
              <w:tabs>
                <w:tab w:val="left" w:pos="-1440"/>
                <w:tab w:val="left" w:pos="-720"/>
              </w:tabs>
              <w:jc w:val="both"/>
              <w:rPr>
                <w:lang w:val="en-US"/>
              </w:rPr>
            </w:pPr>
          </w:p>
          <w:p w:rsidR="005C1ECC" w:rsidRPr="005C1ECC" w:rsidRDefault="005C1ECC" w:rsidP="005C1ECC">
            <w:pPr>
              <w:tabs>
                <w:tab w:val="left" w:pos="-1440"/>
                <w:tab w:val="left" w:pos="-720"/>
              </w:tabs>
              <w:jc w:val="both"/>
              <w:rPr>
                <w:lang w:val="en-US"/>
              </w:rPr>
            </w:pPr>
            <w:r w:rsidRPr="005C1ECC">
              <w:rPr>
                <w:lang w:val="en-US"/>
              </w:rPr>
              <w:t>Town of Canmore (Alta.)</w:t>
            </w:r>
          </w:p>
        </w:tc>
        <w:tc>
          <w:tcPr>
            <w:tcW w:w="1170" w:type="dxa"/>
          </w:tcPr>
          <w:p w:rsidR="005C1ECC" w:rsidRPr="005C1ECC" w:rsidRDefault="005C1ECC" w:rsidP="005C1ECC">
            <w:pPr>
              <w:jc w:val="both"/>
              <w:rPr>
                <w:lang w:val="en-US"/>
              </w:rPr>
            </w:pPr>
          </w:p>
        </w:tc>
        <w:tc>
          <w:tcPr>
            <w:tcW w:w="4327" w:type="dxa"/>
          </w:tcPr>
          <w:p w:rsidR="005C1ECC" w:rsidRPr="005C1ECC" w:rsidRDefault="005C1ECC" w:rsidP="005C1ECC">
            <w:pPr>
              <w:jc w:val="both"/>
              <w:rPr>
                <w:lang w:val="en-US"/>
              </w:rPr>
            </w:pPr>
          </w:p>
        </w:tc>
      </w:tr>
    </w:tbl>
    <w:p w:rsidR="005C1ECC" w:rsidRPr="005C1ECC" w:rsidRDefault="005C1ECC" w:rsidP="005C1ECC">
      <w:pPr>
        <w:tabs>
          <w:tab w:val="left" w:pos="-1440"/>
          <w:tab w:val="left" w:pos="-720"/>
        </w:tabs>
        <w:jc w:val="both"/>
        <w:rPr>
          <w:rFonts w:eastAsia="Times New Roman" w:cs="Times New Roman"/>
          <w:sz w:val="20"/>
          <w:szCs w:val="20"/>
          <w:lang w:val="en-US" w:eastAsia="en-CA"/>
        </w:rPr>
      </w:pPr>
    </w:p>
    <w:p w:rsidR="005C1ECC" w:rsidRPr="005C1ECC" w:rsidRDefault="005C1ECC" w:rsidP="005C1ECC">
      <w:pPr>
        <w:tabs>
          <w:tab w:val="left" w:pos="-1440"/>
          <w:tab w:val="left" w:pos="-720"/>
        </w:tabs>
        <w:jc w:val="both"/>
        <w:rPr>
          <w:rFonts w:eastAsia="Times New Roman" w:cs="Times New Roman"/>
          <w:sz w:val="20"/>
          <w:szCs w:val="20"/>
          <w:lang w:val="en-US" w:eastAsia="en-CA"/>
        </w:rPr>
      </w:pPr>
      <w:r w:rsidRPr="005C1ECC">
        <w:rPr>
          <w:rFonts w:eastAsia="Times New Roman" w:cs="Times New Roman"/>
          <w:b/>
          <w:sz w:val="20"/>
          <w:szCs w:val="20"/>
          <w:lang w:val="en-US" w:eastAsia="en-CA"/>
        </w:rPr>
        <w:t>GRANTED / ACCORDÉE</w:t>
      </w:r>
    </w:p>
    <w:p w:rsidR="005C1ECC" w:rsidRPr="005C1ECC" w:rsidRDefault="005C1ECC" w:rsidP="005C1ECC">
      <w:pPr>
        <w:tabs>
          <w:tab w:val="left" w:pos="-1440"/>
          <w:tab w:val="left" w:pos="-720"/>
        </w:tabs>
        <w:jc w:val="both"/>
        <w:rPr>
          <w:rFonts w:eastAsia="Times New Roman" w:cs="Times New Roman"/>
          <w:sz w:val="20"/>
          <w:szCs w:val="20"/>
          <w:lang w:val="en-US" w:eastAsia="en-CA"/>
        </w:rPr>
      </w:pPr>
    </w:p>
    <w:p w:rsidR="005C1ECC" w:rsidRPr="00D8017E" w:rsidRDefault="005C1ECC" w:rsidP="005C1ECC">
      <w:pPr>
        <w:spacing w:before="20" w:after="20"/>
        <w:jc w:val="both"/>
        <w:rPr>
          <w:rFonts w:eastAsia="Times New Roman" w:cs="Times New Roman"/>
          <w:sz w:val="20"/>
          <w:szCs w:val="20"/>
          <w:lang w:eastAsia="en-CA"/>
        </w:rPr>
      </w:pPr>
      <w:r w:rsidRPr="00D8017E">
        <w:rPr>
          <w:rFonts w:eastAsia="Times New Roman" w:cs="Times New Roman"/>
          <w:b/>
          <w:sz w:val="20"/>
          <w:szCs w:val="20"/>
          <w:lang w:eastAsia="en-CA"/>
        </w:rPr>
        <w:t>UPON APPLICATION</w:t>
      </w:r>
      <w:r w:rsidRPr="00D8017E">
        <w:rPr>
          <w:rFonts w:eastAsia="Times New Roman" w:cs="Times New Roman"/>
          <w:sz w:val="20"/>
          <w:szCs w:val="20"/>
          <w:lang w:eastAsia="en-CA"/>
        </w:rPr>
        <w:t xml:space="preserve"> </w:t>
      </w:r>
      <w:r w:rsidR="000C413F" w:rsidRPr="00D8017E">
        <w:rPr>
          <w:rFonts w:eastAsia="Times New Roman" w:cs="Times New Roman"/>
          <w:sz w:val="20"/>
          <w:szCs w:val="20"/>
          <w:lang w:eastAsia="en-CA"/>
        </w:rPr>
        <w:fldChar w:fldCharType="begin"/>
      </w:r>
      <w:r w:rsidRPr="00D8017E">
        <w:rPr>
          <w:rFonts w:eastAsia="Times New Roman" w:cs="Times New Roman"/>
          <w:sz w:val="20"/>
          <w:szCs w:val="20"/>
          <w:lang w:eastAsia="en-CA"/>
        </w:rPr>
        <w:instrText xml:space="preserve"> SEQ CHAPTER \h \r 1</w:instrText>
      </w:r>
      <w:r w:rsidR="000C413F" w:rsidRPr="00D8017E">
        <w:rPr>
          <w:rFonts w:eastAsia="Times New Roman" w:cs="Times New Roman"/>
          <w:sz w:val="20"/>
          <w:szCs w:val="20"/>
          <w:lang w:eastAsia="en-CA"/>
        </w:rPr>
        <w:fldChar w:fldCharType="end"/>
      </w:r>
      <w:r w:rsidRPr="00D8017E">
        <w:rPr>
          <w:rFonts w:eastAsia="Times New Roman" w:cs="Times New Roman"/>
          <w:sz w:val="20"/>
          <w:szCs w:val="20"/>
          <w:lang w:eastAsia="en-CA"/>
        </w:rPr>
        <w:t>made on behalf of the Applicant pursuant to Rule 32(2) for an order to file additional material namely:</w:t>
      </w:r>
    </w:p>
    <w:p w:rsidR="005C1ECC" w:rsidRPr="00D8017E" w:rsidRDefault="005C1ECC" w:rsidP="005C1ECC">
      <w:pPr>
        <w:spacing w:before="20" w:after="20"/>
        <w:jc w:val="both"/>
        <w:rPr>
          <w:rFonts w:eastAsia="Times New Roman" w:cs="Times New Roman"/>
          <w:sz w:val="20"/>
          <w:szCs w:val="20"/>
          <w:lang w:eastAsia="en-CA"/>
        </w:rPr>
      </w:pPr>
    </w:p>
    <w:p w:rsidR="005C1ECC" w:rsidRPr="00D8017E" w:rsidRDefault="005C1ECC" w:rsidP="005C1ECC">
      <w:pPr>
        <w:numPr>
          <w:ilvl w:val="0"/>
          <w:numId w:val="11"/>
        </w:numPr>
        <w:spacing w:before="20" w:after="20"/>
        <w:contextualSpacing/>
        <w:jc w:val="both"/>
        <w:rPr>
          <w:sz w:val="20"/>
          <w:szCs w:val="20"/>
        </w:rPr>
      </w:pPr>
      <w:r w:rsidRPr="00D8017E">
        <w:rPr>
          <w:sz w:val="20"/>
          <w:szCs w:val="20"/>
        </w:rPr>
        <w:t xml:space="preserve">Motion to strike non-served response(s) and/or late responses; </w:t>
      </w:r>
    </w:p>
    <w:p w:rsidR="005C1ECC" w:rsidRPr="00D8017E" w:rsidRDefault="005C1ECC" w:rsidP="005C1ECC">
      <w:pPr>
        <w:spacing w:before="20" w:after="20"/>
        <w:ind w:left="1080"/>
        <w:contextualSpacing/>
        <w:jc w:val="both"/>
        <w:rPr>
          <w:sz w:val="20"/>
          <w:szCs w:val="20"/>
        </w:rPr>
      </w:pPr>
    </w:p>
    <w:p w:rsidR="005C1ECC" w:rsidRPr="00D8017E" w:rsidRDefault="005C1ECC" w:rsidP="005C1ECC">
      <w:pPr>
        <w:numPr>
          <w:ilvl w:val="0"/>
          <w:numId w:val="11"/>
        </w:numPr>
        <w:spacing w:before="20" w:after="20"/>
        <w:contextualSpacing/>
        <w:jc w:val="both"/>
        <w:rPr>
          <w:sz w:val="20"/>
          <w:szCs w:val="20"/>
        </w:rPr>
      </w:pPr>
      <w:r w:rsidRPr="00D8017E">
        <w:rPr>
          <w:sz w:val="20"/>
          <w:szCs w:val="20"/>
        </w:rPr>
        <w:t xml:space="preserve">Motion for interim injunction to stop killing of rabbits and other wildlife in and around Canmore, Alberta; and </w:t>
      </w:r>
    </w:p>
    <w:p w:rsidR="005C1ECC" w:rsidRPr="00D8017E" w:rsidRDefault="005C1ECC" w:rsidP="005C1ECC">
      <w:pPr>
        <w:spacing w:before="20" w:after="20"/>
        <w:ind w:left="1080"/>
        <w:contextualSpacing/>
        <w:jc w:val="both"/>
        <w:rPr>
          <w:sz w:val="20"/>
          <w:szCs w:val="20"/>
        </w:rPr>
      </w:pPr>
    </w:p>
    <w:p w:rsidR="005C1ECC" w:rsidRPr="00D8017E" w:rsidRDefault="005C1ECC" w:rsidP="005C1ECC">
      <w:pPr>
        <w:numPr>
          <w:ilvl w:val="0"/>
          <w:numId w:val="11"/>
        </w:numPr>
        <w:spacing w:before="20" w:after="20"/>
        <w:contextualSpacing/>
        <w:jc w:val="both"/>
        <w:rPr>
          <w:sz w:val="20"/>
          <w:szCs w:val="20"/>
        </w:rPr>
      </w:pPr>
      <w:r w:rsidRPr="00D8017E">
        <w:rPr>
          <w:sz w:val="20"/>
          <w:szCs w:val="20"/>
        </w:rPr>
        <w:t xml:space="preserve">Motion to suspend, strike or modify Canmore bylaws. </w:t>
      </w:r>
    </w:p>
    <w:p w:rsidR="005C1ECC" w:rsidRPr="00D8017E" w:rsidRDefault="005C1ECC" w:rsidP="005C1ECC">
      <w:pPr>
        <w:jc w:val="both"/>
        <w:rPr>
          <w:rFonts w:eastAsia="Times New Roman" w:cs="Times New Roman"/>
          <w:sz w:val="20"/>
          <w:szCs w:val="20"/>
          <w:lang w:eastAsia="en-CA"/>
        </w:rPr>
      </w:pPr>
    </w:p>
    <w:p w:rsidR="005C1ECC" w:rsidRPr="00D8017E" w:rsidRDefault="005C1ECC" w:rsidP="005C1ECC">
      <w:pPr>
        <w:rPr>
          <w:rFonts w:eastAsia="Times New Roman" w:cs="Times New Roman"/>
          <w:sz w:val="20"/>
          <w:szCs w:val="20"/>
          <w:lang w:eastAsia="en-CA"/>
        </w:rPr>
      </w:pPr>
      <w:r w:rsidRPr="00D8017E">
        <w:rPr>
          <w:rFonts w:eastAsia="Times New Roman" w:cs="Times New Roman"/>
          <w:sz w:val="20"/>
          <w:szCs w:val="20"/>
          <w:lang w:eastAsia="en-CA"/>
        </w:rPr>
        <w:br w:type="page"/>
      </w:r>
    </w:p>
    <w:p w:rsidR="005C1ECC" w:rsidRPr="00D8017E" w:rsidRDefault="000C413F" w:rsidP="005C1ECC">
      <w:pPr>
        <w:jc w:val="both"/>
        <w:rPr>
          <w:rFonts w:eastAsia="Times New Roman" w:cs="Times New Roman"/>
          <w:sz w:val="20"/>
          <w:szCs w:val="20"/>
          <w:lang w:eastAsia="en-CA"/>
        </w:rPr>
      </w:pPr>
      <w:r w:rsidRPr="00D8017E">
        <w:rPr>
          <w:rFonts w:eastAsia="Times New Roman" w:cs="Times New Roman"/>
          <w:sz w:val="20"/>
          <w:szCs w:val="20"/>
          <w:lang w:eastAsia="en-CA"/>
        </w:rPr>
        <w:lastRenderedPageBreak/>
        <w:fldChar w:fldCharType="begin"/>
      </w:r>
      <w:r w:rsidR="005C1ECC" w:rsidRPr="00D8017E">
        <w:rPr>
          <w:rFonts w:eastAsia="Times New Roman" w:cs="Times New Roman"/>
          <w:sz w:val="20"/>
          <w:szCs w:val="20"/>
          <w:lang w:eastAsia="en-CA"/>
        </w:rPr>
        <w:instrText xml:space="preserve"> SEQ CHAPTER \h \r 1</w:instrText>
      </w:r>
      <w:r w:rsidRPr="00D8017E">
        <w:rPr>
          <w:rFonts w:eastAsia="Times New Roman" w:cs="Times New Roman"/>
          <w:sz w:val="20"/>
          <w:szCs w:val="20"/>
          <w:lang w:eastAsia="en-CA"/>
        </w:rPr>
        <w:fldChar w:fldCharType="end"/>
      </w:r>
      <w:r w:rsidR="005C1ECC" w:rsidRPr="00D8017E">
        <w:rPr>
          <w:rFonts w:eastAsia="Times New Roman" w:cs="Times New Roman"/>
          <w:b/>
          <w:bCs/>
          <w:sz w:val="20"/>
          <w:szCs w:val="20"/>
          <w:lang w:eastAsia="en-CA"/>
        </w:rPr>
        <w:t>AND HAVING READ</w:t>
      </w:r>
      <w:r w:rsidR="005C1ECC" w:rsidRPr="00D8017E">
        <w:rPr>
          <w:rFonts w:eastAsia="Times New Roman" w:cs="Times New Roman"/>
          <w:sz w:val="20"/>
          <w:szCs w:val="20"/>
          <w:lang w:eastAsia="en-CA"/>
        </w:rPr>
        <w:t xml:space="preserve"> the material filed;</w:t>
      </w:r>
    </w:p>
    <w:p w:rsidR="005C1ECC" w:rsidRPr="00D8017E" w:rsidRDefault="005C1ECC" w:rsidP="005C1ECC">
      <w:pPr>
        <w:jc w:val="both"/>
        <w:rPr>
          <w:rFonts w:eastAsia="Times New Roman" w:cs="Times New Roman"/>
          <w:sz w:val="20"/>
          <w:szCs w:val="20"/>
          <w:lang w:eastAsia="en-CA"/>
        </w:rPr>
      </w:pPr>
    </w:p>
    <w:p w:rsidR="005C1ECC" w:rsidRPr="00D8017E" w:rsidRDefault="005C1ECC" w:rsidP="005C1ECC">
      <w:pPr>
        <w:jc w:val="both"/>
        <w:rPr>
          <w:rFonts w:eastAsia="Times New Roman" w:cs="Times New Roman"/>
          <w:b/>
          <w:sz w:val="20"/>
          <w:szCs w:val="20"/>
          <w:lang w:eastAsia="en-CA"/>
        </w:rPr>
      </w:pPr>
      <w:r w:rsidRPr="00D8017E">
        <w:rPr>
          <w:rFonts w:eastAsia="Times New Roman" w:cs="Times New Roman"/>
          <w:b/>
          <w:sz w:val="20"/>
          <w:szCs w:val="20"/>
          <w:lang w:eastAsia="en-CA"/>
        </w:rPr>
        <w:t>IT IS HEREBY ORDERED THAT:</w:t>
      </w:r>
    </w:p>
    <w:p w:rsidR="005C1ECC" w:rsidRPr="00D8017E" w:rsidRDefault="005C1ECC" w:rsidP="005C1ECC">
      <w:pPr>
        <w:ind w:left="360"/>
        <w:contextualSpacing/>
        <w:jc w:val="both"/>
        <w:rPr>
          <w:sz w:val="20"/>
          <w:szCs w:val="20"/>
        </w:rPr>
      </w:pPr>
    </w:p>
    <w:p w:rsidR="005C1ECC" w:rsidRPr="00D8017E" w:rsidRDefault="005C1ECC" w:rsidP="005C1ECC">
      <w:pPr>
        <w:contextualSpacing/>
        <w:jc w:val="both"/>
        <w:rPr>
          <w:sz w:val="20"/>
          <w:szCs w:val="20"/>
        </w:rPr>
      </w:pPr>
      <w:r w:rsidRPr="00D8017E">
        <w:rPr>
          <w:sz w:val="20"/>
          <w:szCs w:val="20"/>
        </w:rPr>
        <w:t xml:space="preserve">The motion pursuant to Rule 32(2) for an order to file additional material is granted, and the additional material shall be submitted to the panel. </w:t>
      </w:r>
    </w:p>
    <w:p w:rsidR="005C1ECC" w:rsidRPr="00D8017E" w:rsidRDefault="005C1ECC" w:rsidP="005C1ECC">
      <w:pPr>
        <w:contextualSpacing/>
        <w:jc w:val="both"/>
        <w:rPr>
          <w:sz w:val="20"/>
          <w:szCs w:val="20"/>
        </w:rPr>
      </w:pPr>
    </w:p>
    <w:p w:rsidR="005C1ECC" w:rsidRPr="00D8017E" w:rsidRDefault="005C1ECC" w:rsidP="005C1ECC">
      <w:pPr>
        <w:contextualSpacing/>
        <w:jc w:val="both"/>
        <w:rPr>
          <w:sz w:val="20"/>
          <w:szCs w:val="20"/>
        </w:rPr>
      </w:pPr>
      <w:r w:rsidRPr="00D8017E">
        <w:rPr>
          <w:sz w:val="20"/>
          <w:szCs w:val="20"/>
        </w:rPr>
        <w:t>The Respondent shall have 10 days from the date of this order to respond to the additional material filed by the applicant.</w:t>
      </w:r>
    </w:p>
    <w:p w:rsidR="005C1ECC" w:rsidRPr="005C1ECC" w:rsidRDefault="005C1ECC" w:rsidP="005C1ECC">
      <w:pPr>
        <w:jc w:val="both"/>
        <w:rPr>
          <w:rFonts w:eastAsia="Times New Roman" w:cs="Times New Roman"/>
          <w:sz w:val="20"/>
          <w:szCs w:val="20"/>
          <w:lang w:val="en-US" w:eastAsia="en-CA"/>
        </w:rPr>
      </w:pPr>
    </w:p>
    <w:p w:rsidR="005C1ECC" w:rsidRPr="005C1ECC" w:rsidRDefault="005C1ECC" w:rsidP="005C1ECC">
      <w:pPr>
        <w:jc w:val="both"/>
        <w:rPr>
          <w:rFonts w:eastAsia="Times New Roman" w:cs="Times New Roman"/>
          <w:sz w:val="20"/>
          <w:szCs w:val="20"/>
          <w:lang w:val="en-US" w:eastAsia="en-CA"/>
        </w:rPr>
      </w:pPr>
    </w:p>
    <w:p w:rsidR="005C1ECC" w:rsidRPr="005C1ECC" w:rsidRDefault="005C1ECC" w:rsidP="005C1ECC">
      <w:pPr>
        <w:jc w:val="both"/>
        <w:rPr>
          <w:rFonts w:eastAsia="Times New Roman" w:cs="Times New Roman"/>
          <w:sz w:val="20"/>
          <w:szCs w:val="20"/>
          <w:lang w:val="en-US" w:eastAsia="en-CA"/>
        </w:rPr>
      </w:pPr>
    </w:p>
    <w:p w:rsidR="005C1ECC" w:rsidRPr="00D8017E" w:rsidRDefault="005C1ECC" w:rsidP="005C1ECC">
      <w:pPr>
        <w:jc w:val="both"/>
        <w:rPr>
          <w:rFonts w:eastAsia="Times New Roman" w:cs="Times New Roman"/>
          <w:sz w:val="20"/>
          <w:szCs w:val="20"/>
          <w:lang w:val="fr-CA" w:eastAsia="en-CA"/>
        </w:rPr>
      </w:pPr>
      <w:r w:rsidRPr="00D8017E">
        <w:rPr>
          <w:rFonts w:eastAsia="Times New Roman" w:cs="Times New Roman"/>
          <w:b/>
          <w:sz w:val="20"/>
          <w:szCs w:val="20"/>
          <w:lang w:val="fr-CA" w:eastAsia="en-CA"/>
        </w:rPr>
        <w:t xml:space="preserve">À LA SUITE DE LA DEMANDE </w:t>
      </w:r>
      <w:r w:rsidRPr="00D8017E">
        <w:rPr>
          <w:rFonts w:eastAsia="Times New Roman" w:cs="Times New Roman"/>
          <w:sz w:val="20"/>
          <w:szCs w:val="20"/>
          <w:lang w:val="fr-CA" w:eastAsia="en-CA"/>
        </w:rPr>
        <w:t>présentée au nom du demandeur en vertu du par. 32(2) des Règles en vue de déposer des documents additionnels à savoir :</w:t>
      </w:r>
    </w:p>
    <w:p w:rsidR="005C1ECC" w:rsidRPr="00D8017E" w:rsidRDefault="005C1ECC" w:rsidP="005C1ECC">
      <w:pPr>
        <w:jc w:val="both"/>
        <w:rPr>
          <w:rFonts w:eastAsia="Times New Roman" w:cs="Times New Roman"/>
          <w:sz w:val="20"/>
          <w:szCs w:val="20"/>
          <w:lang w:val="fr-CA" w:eastAsia="en-CA"/>
        </w:rPr>
      </w:pPr>
    </w:p>
    <w:p w:rsidR="005C1ECC" w:rsidRPr="00D8017E" w:rsidRDefault="005C1ECC" w:rsidP="005C1ECC">
      <w:pPr>
        <w:numPr>
          <w:ilvl w:val="0"/>
          <w:numId w:val="12"/>
        </w:numPr>
        <w:spacing w:before="20" w:after="20"/>
        <w:contextualSpacing/>
        <w:jc w:val="both"/>
        <w:rPr>
          <w:sz w:val="20"/>
          <w:szCs w:val="20"/>
          <w:lang w:val="fr-CA"/>
        </w:rPr>
      </w:pPr>
      <w:r w:rsidRPr="00D8017E">
        <w:rPr>
          <w:sz w:val="20"/>
          <w:szCs w:val="20"/>
          <w:lang w:val="fr-CA"/>
        </w:rPr>
        <w:t xml:space="preserve">Une requête en radiation des réponses non signifiées et/ou signifiées en retard;  </w:t>
      </w:r>
    </w:p>
    <w:p w:rsidR="005C1ECC" w:rsidRPr="00D8017E" w:rsidRDefault="005C1ECC" w:rsidP="005C1ECC">
      <w:pPr>
        <w:spacing w:before="20" w:after="20"/>
        <w:ind w:left="1080"/>
        <w:contextualSpacing/>
        <w:jc w:val="both"/>
        <w:rPr>
          <w:sz w:val="20"/>
          <w:szCs w:val="20"/>
          <w:lang w:val="fr-CA"/>
        </w:rPr>
      </w:pPr>
    </w:p>
    <w:p w:rsidR="005C1ECC" w:rsidRPr="00D8017E" w:rsidRDefault="005C1ECC" w:rsidP="005C1ECC">
      <w:pPr>
        <w:numPr>
          <w:ilvl w:val="0"/>
          <w:numId w:val="12"/>
        </w:numPr>
        <w:spacing w:before="20" w:after="20"/>
        <w:contextualSpacing/>
        <w:jc w:val="both"/>
        <w:rPr>
          <w:sz w:val="20"/>
          <w:szCs w:val="20"/>
          <w:lang w:val="fr-CA"/>
        </w:rPr>
      </w:pPr>
      <w:r w:rsidRPr="00D8017E">
        <w:rPr>
          <w:sz w:val="20"/>
          <w:szCs w:val="20"/>
          <w:lang w:val="fr-CA"/>
        </w:rPr>
        <w:t xml:space="preserve">Une requête visant le prononcé d’une injonction provisoire de cesser de tuer les lapins ou tout autre membre de la faune à Canmore en Alberta ou dans la région environnante; </w:t>
      </w:r>
    </w:p>
    <w:p w:rsidR="005C1ECC" w:rsidRPr="00D8017E" w:rsidRDefault="005C1ECC" w:rsidP="005C1ECC">
      <w:pPr>
        <w:spacing w:before="20" w:after="20"/>
        <w:jc w:val="both"/>
        <w:rPr>
          <w:rFonts w:eastAsia="Times New Roman" w:cs="Times New Roman"/>
          <w:sz w:val="20"/>
          <w:szCs w:val="20"/>
          <w:lang w:val="fr-CA" w:eastAsia="en-CA"/>
        </w:rPr>
      </w:pPr>
    </w:p>
    <w:p w:rsidR="005C1ECC" w:rsidRPr="00D8017E" w:rsidRDefault="005C1ECC" w:rsidP="005C1ECC">
      <w:pPr>
        <w:numPr>
          <w:ilvl w:val="0"/>
          <w:numId w:val="12"/>
        </w:numPr>
        <w:spacing w:before="20" w:after="20"/>
        <w:contextualSpacing/>
        <w:jc w:val="both"/>
        <w:rPr>
          <w:sz w:val="20"/>
          <w:szCs w:val="20"/>
          <w:lang w:val="fr-CA"/>
        </w:rPr>
      </w:pPr>
      <w:r w:rsidRPr="00D8017E">
        <w:rPr>
          <w:sz w:val="20"/>
          <w:szCs w:val="20"/>
          <w:lang w:val="fr-CA"/>
        </w:rPr>
        <w:t xml:space="preserve">Une requête en suspension, annulation ou modification des règlements municipaux de Canmore. </w:t>
      </w:r>
    </w:p>
    <w:p w:rsidR="005C1ECC" w:rsidRPr="00D8017E" w:rsidRDefault="005C1ECC" w:rsidP="005C1ECC">
      <w:pPr>
        <w:jc w:val="both"/>
        <w:rPr>
          <w:rFonts w:eastAsia="Times New Roman" w:cs="Times New Roman"/>
          <w:sz w:val="20"/>
          <w:szCs w:val="20"/>
          <w:lang w:val="fr-CA" w:eastAsia="en-CA"/>
        </w:rPr>
      </w:pPr>
    </w:p>
    <w:p w:rsidR="005C1ECC" w:rsidRPr="00D8017E" w:rsidRDefault="005C1ECC" w:rsidP="005C1ECC">
      <w:pPr>
        <w:jc w:val="both"/>
        <w:rPr>
          <w:rFonts w:eastAsia="Times New Roman" w:cs="Times New Roman"/>
          <w:sz w:val="20"/>
          <w:szCs w:val="20"/>
          <w:lang w:val="fr-CA" w:eastAsia="en-CA"/>
        </w:rPr>
      </w:pPr>
      <w:r w:rsidRPr="00D8017E">
        <w:rPr>
          <w:rFonts w:eastAsia="Times New Roman" w:cs="Times New Roman"/>
          <w:b/>
          <w:sz w:val="20"/>
          <w:szCs w:val="20"/>
          <w:lang w:val="fr-CA" w:eastAsia="en-CA"/>
        </w:rPr>
        <w:t>ET APRÈS EXAMEN</w:t>
      </w:r>
      <w:r w:rsidRPr="00D8017E">
        <w:rPr>
          <w:rFonts w:eastAsia="Times New Roman" w:cs="Times New Roman"/>
          <w:sz w:val="20"/>
          <w:szCs w:val="20"/>
          <w:lang w:val="fr-CA" w:eastAsia="en-CA"/>
        </w:rPr>
        <w:t xml:space="preserve"> des documents déposés;</w:t>
      </w:r>
    </w:p>
    <w:p w:rsidR="005C1ECC" w:rsidRPr="00D8017E" w:rsidRDefault="005C1ECC" w:rsidP="005C1ECC">
      <w:pPr>
        <w:jc w:val="both"/>
        <w:rPr>
          <w:rFonts w:eastAsia="Times New Roman" w:cs="Times New Roman"/>
          <w:sz w:val="20"/>
          <w:szCs w:val="20"/>
          <w:lang w:val="fr-CA" w:eastAsia="en-CA"/>
        </w:rPr>
      </w:pPr>
    </w:p>
    <w:p w:rsidR="005C1ECC" w:rsidRPr="00D8017E" w:rsidRDefault="005C1ECC" w:rsidP="005C1ECC">
      <w:pPr>
        <w:jc w:val="both"/>
        <w:rPr>
          <w:rFonts w:eastAsia="Times New Roman" w:cs="Times New Roman"/>
          <w:b/>
          <w:sz w:val="20"/>
          <w:szCs w:val="20"/>
          <w:lang w:val="fr-CA" w:eastAsia="en-CA"/>
        </w:rPr>
      </w:pPr>
      <w:r w:rsidRPr="00D8017E">
        <w:rPr>
          <w:rFonts w:eastAsia="Times New Roman" w:cs="Times New Roman"/>
          <w:b/>
          <w:sz w:val="20"/>
          <w:szCs w:val="20"/>
          <w:lang w:val="fr-CA" w:eastAsia="en-CA"/>
        </w:rPr>
        <w:t>IL EST ORDONNÉ CE QUI SUIT :</w:t>
      </w:r>
    </w:p>
    <w:p w:rsidR="005C1ECC" w:rsidRPr="00D8017E" w:rsidRDefault="005C1ECC" w:rsidP="005C1ECC">
      <w:pPr>
        <w:jc w:val="both"/>
        <w:rPr>
          <w:rFonts w:eastAsia="Times New Roman" w:cs="Times New Roman"/>
          <w:sz w:val="20"/>
          <w:szCs w:val="20"/>
          <w:lang w:val="fr-CA" w:eastAsia="en-CA"/>
        </w:rPr>
      </w:pPr>
    </w:p>
    <w:p w:rsidR="005C1ECC" w:rsidRPr="00D8017E" w:rsidRDefault="005C1ECC" w:rsidP="005C1ECC">
      <w:pPr>
        <w:jc w:val="both"/>
        <w:rPr>
          <w:rFonts w:eastAsia="Times New Roman" w:cs="Times New Roman"/>
          <w:sz w:val="20"/>
          <w:szCs w:val="20"/>
          <w:lang w:val="fr-CA" w:eastAsia="en-CA"/>
        </w:rPr>
      </w:pPr>
      <w:r w:rsidRPr="00D8017E">
        <w:rPr>
          <w:rFonts w:eastAsia="Times New Roman" w:cs="Times New Roman"/>
          <w:sz w:val="20"/>
          <w:szCs w:val="20"/>
          <w:lang w:val="fr-CA" w:eastAsia="en-CA"/>
        </w:rPr>
        <w:t>La requête présentée en vertu du par. 32(2) des Règles en vue de déposer des documents additionnels est accueillie, et ces documents seront soumis à la formation de juges.</w:t>
      </w:r>
    </w:p>
    <w:p w:rsidR="005C1ECC" w:rsidRPr="00D8017E" w:rsidRDefault="005C1ECC" w:rsidP="005C1ECC">
      <w:pPr>
        <w:jc w:val="both"/>
        <w:rPr>
          <w:rFonts w:eastAsia="Times New Roman" w:cs="Times New Roman"/>
          <w:sz w:val="20"/>
          <w:szCs w:val="20"/>
          <w:lang w:val="fr-CA" w:eastAsia="en-CA"/>
        </w:rPr>
      </w:pPr>
    </w:p>
    <w:p w:rsidR="005C1ECC" w:rsidRPr="00D8017E" w:rsidRDefault="005C1ECC" w:rsidP="005C1ECC">
      <w:pPr>
        <w:jc w:val="both"/>
        <w:rPr>
          <w:rFonts w:eastAsia="Times New Roman" w:cs="Times New Roman"/>
          <w:sz w:val="20"/>
          <w:szCs w:val="20"/>
          <w:lang w:val="fr-CA" w:eastAsia="en-CA"/>
        </w:rPr>
      </w:pPr>
      <w:r w:rsidRPr="00D8017E">
        <w:rPr>
          <w:rFonts w:eastAsia="Times New Roman" w:cs="Times New Roman"/>
          <w:sz w:val="20"/>
          <w:szCs w:val="20"/>
          <w:lang w:val="fr-CA" w:eastAsia="en-CA"/>
        </w:rPr>
        <w:t>L’intimé a 10 jours à compter de la date de la présente ordonnance pour répondre aux documents additionnels déposés par le demandeur.</w:t>
      </w:r>
    </w:p>
    <w:p w:rsidR="005C1ECC" w:rsidRPr="005C1ECC" w:rsidRDefault="005C1ECC" w:rsidP="005C1ECC">
      <w:pPr>
        <w:tabs>
          <w:tab w:val="left" w:pos="-1440"/>
          <w:tab w:val="left" w:pos="-720"/>
        </w:tabs>
        <w:jc w:val="both"/>
        <w:rPr>
          <w:rFonts w:eastAsia="Times New Roman" w:cs="Times New Roman"/>
          <w:sz w:val="20"/>
          <w:szCs w:val="20"/>
          <w:lang w:val="fr-CA" w:eastAsia="en-CA"/>
        </w:rPr>
      </w:pPr>
    </w:p>
    <w:p w:rsidR="005C1ECC" w:rsidRPr="005C1ECC" w:rsidRDefault="00E7787D" w:rsidP="005C1ECC">
      <w:pPr>
        <w:tabs>
          <w:tab w:val="left" w:pos="-1440"/>
          <w:tab w:val="left" w:pos="-720"/>
        </w:tabs>
        <w:jc w:val="both"/>
        <w:rPr>
          <w:rFonts w:eastAsia="Times New Roman" w:cs="Times New Roman"/>
          <w:sz w:val="20"/>
          <w:szCs w:val="20"/>
          <w:lang w:val="en-US" w:eastAsia="en-CA"/>
        </w:rPr>
      </w:pPr>
      <w:r>
        <w:rPr>
          <w:rFonts w:eastAsia="Times New Roman" w:cs="Times New Roman"/>
          <w:sz w:val="20"/>
          <w:szCs w:val="20"/>
          <w:lang w:val="fr-CA" w:eastAsia="en-CA"/>
        </w:rPr>
        <w:pict>
          <v:rect id="_x0000_i1052" style="width:2in;height:1pt" o:hrpct="0" o:hralign="center" o:hrstd="t" o:hrnoshade="t" o:hr="t" fillcolor="black [3213]" stroked="f"/>
        </w:pict>
      </w:r>
    </w:p>
    <w:p w:rsidR="005C1ECC" w:rsidRPr="005C1ECC" w:rsidRDefault="005C1ECC" w:rsidP="005C1ECC">
      <w:pPr>
        <w:tabs>
          <w:tab w:val="left" w:pos="-1440"/>
          <w:tab w:val="left" w:pos="-720"/>
        </w:tabs>
        <w:jc w:val="both"/>
        <w:rPr>
          <w:rFonts w:eastAsia="Times New Roman" w:cs="Times New Roman"/>
          <w:sz w:val="20"/>
          <w:szCs w:val="20"/>
          <w:lang w:val="en-US" w:eastAsia="en-CA"/>
        </w:rPr>
      </w:pPr>
    </w:p>
    <w:p w:rsidR="005C1ECC" w:rsidRPr="005C1ECC" w:rsidRDefault="005C1ECC" w:rsidP="005C1ECC">
      <w:pPr>
        <w:tabs>
          <w:tab w:val="left" w:pos="-1440"/>
          <w:tab w:val="left" w:pos="-720"/>
        </w:tabs>
        <w:jc w:val="both"/>
        <w:rPr>
          <w:rFonts w:eastAsia="Times New Roman" w:cs="Times New Roman"/>
          <w:sz w:val="20"/>
          <w:szCs w:val="20"/>
          <w:lang w:val="fr-CA" w:eastAsia="en-CA"/>
        </w:rPr>
      </w:pPr>
      <w:r w:rsidRPr="005C1ECC">
        <w:rPr>
          <w:rFonts w:eastAsia="Times New Roman" w:cs="Times New Roman"/>
          <w:sz w:val="20"/>
          <w:szCs w:val="20"/>
          <w:lang w:val="fr-CA" w:eastAsia="en-CA"/>
        </w:rPr>
        <w:t>27.11.2013</w:t>
      </w:r>
    </w:p>
    <w:p w:rsidR="005C1ECC" w:rsidRPr="005C1ECC" w:rsidRDefault="005C1ECC" w:rsidP="005C1ECC">
      <w:pPr>
        <w:tabs>
          <w:tab w:val="left" w:pos="-1440"/>
          <w:tab w:val="left" w:pos="-720"/>
        </w:tabs>
        <w:jc w:val="both"/>
        <w:rPr>
          <w:rFonts w:eastAsia="Times New Roman" w:cs="Times New Roman"/>
          <w:sz w:val="20"/>
          <w:szCs w:val="20"/>
          <w:lang w:val="fr-CA" w:eastAsia="en-CA"/>
        </w:rPr>
      </w:pPr>
    </w:p>
    <w:p w:rsidR="005C1ECC" w:rsidRPr="005C1ECC" w:rsidRDefault="005C1ECC" w:rsidP="005C1ECC">
      <w:pPr>
        <w:tabs>
          <w:tab w:val="left" w:pos="-1440"/>
          <w:tab w:val="left" w:pos="-720"/>
        </w:tabs>
        <w:jc w:val="both"/>
        <w:rPr>
          <w:rFonts w:eastAsia="Times New Roman" w:cs="Times New Roman"/>
          <w:sz w:val="20"/>
          <w:szCs w:val="20"/>
          <w:lang w:val="fr-CA" w:eastAsia="en-CA"/>
        </w:rPr>
      </w:pPr>
      <w:r w:rsidRPr="005C1ECC">
        <w:rPr>
          <w:rFonts w:eastAsia="Times New Roman" w:cs="Times New Roman"/>
          <w:sz w:val="20"/>
          <w:szCs w:val="20"/>
          <w:lang w:val="fr-CA" w:eastAsia="en-CA"/>
        </w:rPr>
        <w:t>Before / Devant :   KARAKATSANIS J. / LA JUGE KARAKATSANIS</w:t>
      </w:r>
    </w:p>
    <w:p w:rsidR="005C1ECC" w:rsidRPr="005C1ECC" w:rsidRDefault="005C1ECC" w:rsidP="005C1ECC">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5C1ECC" w:rsidRPr="005C1ECC" w:rsidTr="00741B40">
        <w:tc>
          <w:tcPr>
            <w:tcW w:w="4338" w:type="dxa"/>
            <w:gridSpan w:val="2"/>
          </w:tcPr>
          <w:p w:rsidR="005C1ECC" w:rsidRPr="005C1ECC" w:rsidRDefault="005C1ECC" w:rsidP="005C1ECC">
            <w:pPr>
              <w:rPr>
                <w:b/>
              </w:rPr>
            </w:pPr>
            <w:r w:rsidRPr="005C1ECC">
              <w:rPr>
                <w:b/>
              </w:rPr>
              <w:t>Motions for leave to intervene</w:t>
            </w:r>
            <w:r w:rsidRPr="005C1ECC">
              <w:rPr>
                <w:lang w:val="en-US"/>
              </w:rPr>
              <w:t xml:space="preserve"> </w:t>
            </w:r>
            <w:r w:rsidR="000C413F" w:rsidRPr="005C1ECC">
              <w:rPr>
                <w:lang w:val="en-US"/>
              </w:rPr>
              <w:fldChar w:fldCharType="begin"/>
            </w:r>
            <w:r w:rsidRPr="005C1ECC">
              <w:instrText xml:space="preserve"> SEQ CHAPTER \h \r 1</w:instrText>
            </w:r>
            <w:r w:rsidR="000C413F" w:rsidRPr="005C1ECC">
              <w:rPr>
                <w:lang w:val="en-US"/>
              </w:rPr>
              <w:fldChar w:fldCharType="end"/>
            </w:r>
          </w:p>
        </w:tc>
        <w:tc>
          <w:tcPr>
            <w:tcW w:w="1170" w:type="dxa"/>
          </w:tcPr>
          <w:p w:rsidR="005C1ECC" w:rsidRPr="005C1ECC" w:rsidRDefault="005C1ECC" w:rsidP="005C1ECC"/>
          <w:p w:rsidR="005C1ECC" w:rsidRPr="005C1ECC" w:rsidRDefault="005C1ECC" w:rsidP="005C1ECC"/>
        </w:tc>
        <w:tc>
          <w:tcPr>
            <w:tcW w:w="4327" w:type="dxa"/>
          </w:tcPr>
          <w:p w:rsidR="005C1ECC" w:rsidRPr="005C1ECC" w:rsidRDefault="005C1ECC" w:rsidP="005C1ECC">
            <w:pPr>
              <w:rPr>
                <w:b/>
              </w:rPr>
            </w:pPr>
            <w:r w:rsidRPr="005C1ECC">
              <w:rPr>
                <w:b/>
                <w:bCs/>
                <w:lang w:val="fr-CA"/>
              </w:rPr>
              <w:t>Requêtes en autorisation d’intervenir</w:t>
            </w:r>
            <w:r w:rsidRPr="005C1ECC">
              <w:rPr>
                <w:lang w:val="en-US"/>
              </w:rPr>
              <w:t xml:space="preserve"> </w:t>
            </w:r>
            <w:r w:rsidR="000C413F" w:rsidRPr="005C1ECC">
              <w:rPr>
                <w:lang w:val="en-US"/>
              </w:rPr>
              <w:fldChar w:fldCharType="begin"/>
            </w:r>
            <w:r w:rsidRPr="005C1ECC">
              <w:instrText xml:space="preserve"> SEQ CHAPTER \h \r 1</w:instrText>
            </w:r>
            <w:r w:rsidR="000C413F" w:rsidRPr="005C1ECC">
              <w:rPr>
                <w:lang w:val="en-US"/>
              </w:rPr>
              <w:fldChar w:fldCharType="end"/>
            </w:r>
          </w:p>
        </w:tc>
      </w:tr>
      <w:tr w:rsidR="005C1ECC" w:rsidRPr="00B52C2C" w:rsidTr="00741B40">
        <w:tc>
          <w:tcPr>
            <w:tcW w:w="1368" w:type="dxa"/>
          </w:tcPr>
          <w:p w:rsidR="005C1ECC" w:rsidRPr="005C1ECC" w:rsidRDefault="005C1ECC" w:rsidP="005C1ECC">
            <w:r w:rsidRPr="005C1ECC">
              <w:t>BY / PAR</w:t>
            </w:r>
          </w:p>
        </w:tc>
        <w:tc>
          <w:tcPr>
            <w:tcW w:w="2970" w:type="dxa"/>
          </w:tcPr>
          <w:p w:rsidR="005C1ECC" w:rsidRPr="005C1ECC" w:rsidRDefault="005C1ECC" w:rsidP="005C1ECC">
            <w:pPr>
              <w:rPr>
                <w:lang w:val="fr-CA"/>
              </w:rPr>
            </w:pPr>
            <w:r w:rsidRPr="005C1ECC">
              <w:rPr>
                <w:lang w:val="fr-CA"/>
              </w:rPr>
              <w:t>Directeur des poursuites criminelles et pénales du Québec;</w:t>
            </w:r>
          </w:p>
        </w:tc>
        <w:tc>
          <w:tcPr>
            <w:tcW w:w="1170" w:type="dxa"/>
          </w:tcPr>
          <w:p w:rsidR="005C1ECC" w:rsidRPr="005C1ECC" w:rsidRDefault="005C1ECC" w:rsidP="005C1ECC">
            <w:pPr>
              <w:rPr>
                <w:lang w:val="fr-CA"/>
              </w:rPr>
            </w:pPr>
          </w:p>
        </w:tc>
        <w:tc>
          <w:tcPr>
            <w:tcW w:w="4327" w:type="dxa"/>
          </w:tcPr>
          <w:p w:rsidR="005C1ECC" w:rsidRPr="005C1ECC" w:rsidRDefault="005C1ECC" w:rsidP="005C1ECC">
            <w:pPr>
              <w:rPr>
                <w:lang w:val="fr-CA"/>
              </w:rPr>
            </w:pPr>
          </w:p>
        </w:tc>
      </w:tr>
      <w:tr w:rsidR="005C1ECC" w:rsidRPr="005C1ECC" w:rsidTr="00741B40">
        <w:tc>
          <w:tcPr>
            <w:tcW w:w="1368" w:type="dxa"/>
          </w:tcPr>
          <w:p w:rsidR="005C1ECC" w:rsidRPr="005C1ECC" w:rsidRDefault="005C1ECC" w:rsidP="005C1ECC">
            <w:pPr>
              <w:rPr>
                <w:lang w:val="fr-CA"/>
              </w:rPr>
            </w:pPr>
          </w:p>
        </w:tc>
        <w:tc>
          <w:tcPr>
            <w:tcW w:w="2970" w:type="dxa"/>
          </w:tcPr>
          <w:p w:rsidR="005C1ECC" w:rsidRPr="005C1ECC" w:rsidRDefault="005C1ECC" w:rsidP="005C1ECC">
            <w:pPr>
              <w:rPr>
                <w:lang w:val="en-US"/>
              </w:rPr>
            </w:pPr>
            <w:r w:rsidRPr="005C1ECC">
              <w:t>John Howard Society of Canada</w:t>
            </w:r>
            <w:r w:rsidRPr="005C1ECC">
              <w:rPr>
                <w:lang w:val="en-US"/>
              </w:rPr>
              <w:t>;</w:t>
            </w:r>
          </w:p>
        </w:tc>
        <w:tc>
          <w:tcPr>
            <w:tcW w:w="1170" w:type="dxa"/>
          </w:tcPr>
          <w:p w:rsidR="005C1ECC" w:rsidRPr="005C1ECC" w:rsidRDefault="005C1ECC" w:rsidP="005C1ECC"/>
        </w:tc>
        <w:tc>
          <w:tcPr>
            <w:tcW w:w="4327" w:type="dxa"/>
          </w:tcPr>
          <w:p w:rsidR="005C1ECC" w:rsidRPr="005C1ECC" w:rsidRDefault="005C1ECC" w:rsidP="005C1ECC"/>
        </w:tc>
      </w:tr>
      <w:tr w:rsidR="005C1ECC" w:rsidRPr="005C1ECC" w:rsidTr="00741B40">
        <w:tc>
          <w:tcPr>
            <w:tcW w:w="1368" w:type="dxa"/>
          </w:tcPr>
          <w:p w:rsidR="005C1ECC" w:rsidRPr="005C1ECC" w:rsidRDefault="005C1ECC" w:rsidP="005C1ECC"/>
        </w:tc>
        <w:tc>
          <w:tcPr>
            <w:tcW w:w="2970" w:type="dxa"/>
          </w:tcPr>
          <w:p w:rsidR="005C1ECC" w:rsidRPr="005C1ECC" w:rsidRDefault="005C1ECC" w:rsidP="005C1ECC">
            <w:pPr>
              <w:rPr>
                <w:lang w:val="en-US"/>
              </w:rPr>
            </w:pPr>
            <w:r w:rsidRPr="005C1ECC">
              <w:t>Canadian Civil Liberties Association</w:t>
            </w:r>
          </w:p>
        </w:tc>
        <w:tc>
          <w:tcPr>
            <w:tcW w:w="1170" w:type="dxa"/>
          </w:tcPr>
          <w:p w:rsidR="005C1ECC" w:rsidRPr="005C1ECC" w:rsidRDefault="005C1ECC" w:rsidP="005C1ECC"/>
        </w:tc>
        <w:tc>
          <w:tcPr>
            <w:tcW w:w="4327" w:type="dxa"/>
          </w:tcPr>
          <w:p w:rsidR="005C1ECC" w:rsidRPr="005C1ECC" w:rsidRDefault="005C1ECC" w:rsidP="005C1ECC"/>
        </w:tc>
      </w:tr>
      <w:tr w:rsidR="005C1ECC" w:rsidRPr="005C1ECC" w:rsidTr="00741B40">
        <w:tc>
          <w:tcPr>
            <w:tcW w:w="1368" w:type="dxa"/>
          </w:tcPr>
          <w:p w:rsidR="005C1ECC" w:rsidRPr="005C1ECC" w:rsidRDefault="005C1ECC" w:rsidP="005C1ECC"/>
        </w:tc>
        <w:tc>
          <w:tcPr>
            <w:tcW w:w="2970" w:type="dxa"/>
          </w:tcPr>
          <w:p w:rsidR="005C1ECC" w:rsidRPr="005C1ECC" w:rsidRDefault="005C1ECC" w:rsidP="005C1ECC">
            <w:pPr>
              <w:rPr>
                <w:lang w:val="en-US"/>
              </w:rPr>
            </w:pPr>
          </w:p>
        </w:tc>
        <w:tc>
          <w:tcPr>
            <w:tcW w:w="1170" w:type="dxa"/>
          </w:tcPr>
          <w:p w:rsidR="005C1ECC" w:rsidRPr="005C1ECC" w:rsidRDefault="005C1ECC" w:rsidP="005C1ECC"/>
        </w:tc>
        <w:tc>
          <w:tcPr>
            <w:tcW w:w="4327" w:type="dxa"/>
          </w:tcPr>
          <w:p w:rsidR="005C1ECC" w:rsidRPr="005C1ECC" w:rsidRDefault="005C1ECC" w:rsidP="005C1ECC"/>
        </w:tc>
      </w:tr>
      <w:tr w:rsidR="005C1ECC" w:rsidRPr="005C1ECC" w:rsidTr="00741B40">
        <w:tc>
          <w:tcPr>
            <w:tcW w:w="1368" w:type="dxa"/>
          </w:tcPr>
          <w:p w:rsidR="005C1ECC" w:rsidRPr="005C1ECC" w:rsidRDefault="005C1ECC" w:rsidP="005C1ECC">
            <w:r w:rsidRPr="005C1ECC">
              <w:t>IN / DANS :</w:t>
            </w:r>
          </w:p>
        </w:tc>
        <w:tc>
          <w:tcPr>
            <w:tcW w:w="2970" w:type="dxa"/>
          </w:tcPr>
          <w:p w:rsidR="005C1ECC" w:rsidRPr="005C1ECC" w:rsidRDefault="005C1ECC" w:rsidP="005C1ECC">
            <w:r w:rsidRPr="005C1ECC">
              <w:t xml:space="preserve">Her Majesty the Queen </w:t>
            </w:r>
          </w:p>
          <w:p w:rsidR="005C1ECC" w:rsidRPr="005C1ECC" w:rsidRDefault="005C1ECC" w:rsidP="005C1ECC"/>
          <w:p w:rsidR="005C1ECC" w:rsidRPr="005C1ECC" w:rsidRDefault="005C1ECC" w:rsidP="005C1ECC">
            <w:r w:rsidRPr="005C1ECC">
              <w:tab/>
              <w:t>v. (35339)</w:t>
            </w:r>
          </w:p>
          <w:p w:rsidR="005C1ECC" w:rsidRPr="005C1ECC" w:rsidRDefault="005C1ECC" w:rsidP="005C1ECC"/>
          <w:p w:rsidR="005C1ECC" w:rsidRPr="005C1ECC" w:rsidRDefault="005C1ECC" w:rsidP="005C1ECC">
            <w:r w:rsidRPr="005C1ECC">
              <w:t>Sean Summers (Crim.) (Ont.)</w:t>
            </w:r>
          </w:p>
        </w:tc>
        <w:tc>
          <w:tcPr>
            <w:tcW w:w="1170" w:type="dxa"/>
          </w:tcPr>
          <w:p w:rsidR="005C1ECC" w:rsidRPr="005C1ECC" w:rsidRDefault="005C1ECC" w:rsidP="005C1ECC"/>
        </w:tc>
        <w:tc>
          <w:tcPr>
            <w:tcW w:w="4327" w:type="dxa"/>
          </w:tcPr>
          <w:p w:rsidR="005C1ECC" w:rsidRPr="005C1ECC" w:rsidRDefault="005C1ECC" w:rsidP="005C1ECC"/>
        </w:tc>
      </w:tr>
    </w:tbl>
    <w:p w:rsidR="005C1ECC" w:rsidRPr="005C1ECC" w:rsidRDefault="005C1ECC" w:rsidP="005C1ECC">
      <w:pPr>
        <w:tabs>
          <w:tab w:val="left" w:pos="-1440"/>
          <w:tab w:val="left" w:pos="-720"/>
        </w:tabs>
        <w:jc w:val="both"/>
        <w:rPr>
          <w:rFonts w:eastAsia="Times New Roman" w:cs="Times New Roman"/>
          <w:sz w:val="20"/>
          <w:szCs w:val="20"/>
          <w:lang w:eastAsia="en-CA"/>
        </w:rPr>
      </w:pPr>
    </w:p>
    <w:p w:rsidR="005C1ECC" w:rsidRPr="005C1ECC" w:rsidRDefault="005C1ECC" w:rsidP="005C1ECC">
      <w:pPr>
        <w:tabs>
          <w:tab w:val="left" w:pos="-1440"/>
          <w:tab w:val="left" w:pos="-720"/>
        </w:tabs>
        <w:jc w:val="both"/>
        <w:rPr>
          <w:rFonts w:eastAsia="Times New Roman" w:cs="Times New Roman"/>
          <w:b/>
          <w:sz w:val="20"/>
          <w:szCs w:val="20"/>
          <w:lang w:eastAsia="en-CA"/>
        </w:rPr>
      </w:pPr>
      <w:r w:rsidRPr="005C1ECC">
        <w:rPr>
          <w:rFonts w:eastAsia="Times New Roman" w:cs="Times New Roman"/>
          <w:b/>
          <w:sz w:val="20"/>
          <w:szCs w:val="20"/>
          <w:lang w:eastAsia="en-CA"/>
        </w:rPr>
        <w:t>GRANTED / ACCORDÉE</w:t>
      </w:r>
    </w:p>
    <w:p w:rsidR="005C1ECC" w:rsidRPr="005C1ECC" w:rsidRDefault="005C1ECC" w:rsidP="005C1ECC">
      <w:pPr>
        <w:tabs>
          <w:tab w:val="left" w:pos="-1440"/>
          <w:tab w:val="left" w:pos="-720"/>
        </w:tabs>
        <w:jc w:val="both"/>
        <w:rPr>
          <w:rFonts w:eastAsia="Times New Roman" w:cs="Times New Roman"/>
          <w:sz w:val="20"/>
          <w:szCs w:val="20"/>
          <w:lang w:eastAsia="en-CA"/>
        </w:rPr>
      </w:pPr>
    </w:p>
    <w:p w:rsidR="005C1ECC" w:rsidRPr="00D8017E" w:rsidRDefault="005C1ECC" w:rsidP="005C1ECC">
      <w:pPr>
        <w:spacing w:line="233" w:lineRule="auto"/>
        <w:jc w:val="both"/>
        <w:rPr>
          <w:rFonts w:eastAsia="Times New Roman" w:cs="Times New Roman"/>
          <w:sz w:val="20"/>
          <w:szCs w:val="20"/>
          <w:lang w:eastAsia="en-CA"/>
        </w:rPr>
      </w:pPr>
      <w:r w:rsidRPr="00D8017E">
        <w:rPr>
          <w:rFonts w:eastAsia="Times New Roman" w:cs="Times New Roman"/>
          <w:b/>
          <w:bCs/>
          <w:sz w:val="20"/>
          <w:szCs w:val="20"/>
          <w:lang w:eastAsia="en-CA"/>
        </w:rPr>
        <w:lastRenderedPageBreak/>
        <w:t xml:space="preserve">UPON APPLICATIONS </w:t>
      </w:r>
      <w:r w:rsidRPr="00D8017E">
        <w:rPr>
          <w:rFonts w:eastAsia="Times New Roman" w:cs="Times New Roman"/>
          <w:sz w:val="20"/>
          <w:szCs w:val="20"/>
          <w:lang w:eastAsia="en-CA"/>
        </w:rPr>
        <w:t>by the Directeur des poursuites criminelles et pénales du Québec, the John Howard Society of Canada and the Canadian Civil Liberties Association for leave to intervene in the above appeal;</w:t>
      </w:r>
    </w:p>
    <w:p w:rsidR="005C1ECC" w:rsidRPr="00D8017E" w:rsidRDefault="005C1ECC" w:rsidP="005C1ECC">
      <w:pPr>
        <w:spacing w:line="233" w:lineRule="auto"/>
        <w:jc w:val="both"/>
        <w:rPr>
          <w:rFonts w:eastAsia="Times New Roman" w:cs="Times New Roman"/>
          <w:sz w:val="20"/>
          <w:szCs w:val="20"/>
          <w:lang w:eastAsia="en-CA"/>
        </w:rPr>
      </w:pPr>
    </w:p>
    <w:p w:rsidR="005C1ECC" w:rsidRPr="00D8017E" w:rsidRDefault="005C1ECC" w:rsidP="005C1ECC">
      <w:pPr>
        <w:spacing w:line="233" w:lineRule="auto"/>
        <w:jc w:val="both"/>
        <w:rPr>
          <w:rFonts w:eastAsia="Times New Roman" w:cs="Times New Roman"/>
          <w:sz w:val="20"/>
          <w:szCs w:val="20"/>
          <w:lang w:eastAsia="en-CA"/>
        </w:rPr>
      </w:pPr>
      <w:r w:rsidRPr="00D8017E">
        <w:rPr>
          <w:rFonts w:eastAsia="Times New Roman" w:cs="Times New Roman"/>
          <w:b/>
          <w:bCs/>
          <w:sz w:val="20"/>
          <w:szCs w:val="20"/>
          <w:lang w:eastAsia="en-CA"/>
        </w:rPr>
        <w:t>AND THE MATERIAL FILED</w:t>
      </w:r>
      <w:r w:rsidRPr="00D8017E">
        <w:rPr>
          <w:rFonts w:eastAsia="Times New Roman" w:cs="Times New Roman"/>
          <w:sz w:val="20"/>
          <w:szCs w:val="20"/>
          <w:lang w:eastAsia="en-CA"/>
        </w:rPr>
        <w:t xml:space="preserve"> having been read;</w:t>
      </w:r>
    </w:p>
    <w:p w:rsidR="005C1ECC" w:rsidRPr="00D8017E" w:rsidRDefault="005C1ECC" w:rsidP="005C1ECC">
      <w:pPr>
        <w:spacing w:line="233" w:lineRule="auto"/>
        <w:jc w:val="both"/>
        <w:rPr>
          <w:rFonts w:eastAsia="Times New Roman" w:cs="Times New Roman"/>
          <w:sz w:val="20"/>
          <w:szCs w:val="20"/>
          <w:lang w:eastAsia="en-CA"/>
        </w:rPr>
      </w:pPr>
    </w:p>
    <w:p w:rsidR="005C1ECC" w:rsidRPr="00D8017E" w:rsidRDefault="005C1ECC" w:rsidP="005C1ECC">
      <w:pPr>
        <w:spacing w:line="233" w:lineRule="auto"/>
        <w:jc w:val="both"/>
        <w:rPr>
          <w:rFonts w:eastAsia="Times New Roman" w:cs="Times New Roman"/>
          <w:sz w:val="20"/>
          <w:szCs w:val="20"/>
          <w:lang w:eastAsia="en-CA"/>
        </w:rPr>
      </w:pPr>
      <w:r w:rsidRPr="00D8017E">
        <w:rPr>
          <w:rFonts w:eastAsia="Times New Roman" w:cs="Times New Roman"/>
          <w:b/>
          <w:bCs/>
          <w:sz w:val="20"/>
          <w:szCs w:val="20"/>
          <w:lang w:eastAsia="en-CA"/>
        </w:rPr>
        <w:t>IT IS HEREBY ORDERED THAT:</w:t>
      </w:r>
    </w:p>
    <w:p w:rsidR="005C1ECC" w:rsidRPr="00D8017E" w:rsidRDefault="005C1ECC" w:rsidP="005C1ECC">
      <w:pPr>
        <w:spacing w:line="233" w:lineRule="auto"/>
        <w:jc w:val="both"/>
        <w:rPr>
          <w:rFonts w:eastAsia="Times New Roman" w:cs="Times New Roman"/>
          <w:sz w:val="20"/>
          <w:szCs w:val="20"/>
          <w:lang w:eastAsia="en-CA"/>
        </w:rPr>
      </w:pPr>
    </w:p>
    <w:p w:rsidR="005C1ECC" w:rsidRPr="00D8017E" w:rsidRDefault="005C1ECC" w:rsidP="005C1ECC">
      <w:pPr>
        <w:spacing w:line="233" w:lineRule="auto"/>
        <w:jc w:val="both"/>
        <w:rPr>
          <w:rFonts w:eastAsia="Times New Roman" w:cs="Times New Roman"/>
          <w:sz w:val="20"/>
          <w:szCs w:val="20"/>
          <w:lang w:eastAsia="en-CA"/>
        </w:rPr>
      </w:pPr>
      <w:r w:rsidRPr="00D8017E">
        <w:rPr>
          <w:rFonts w:eastAsia="Times New Roman" w:cs="Times New Roman"/>
          <w:sz w:val="20"/>
          <w:szCs w:val="20"/>
          <w:lang w:eastAsia="en-CA"/>
        </w:rPr>
        <w:t>The motions for leave to intervene of the Directeur des poursuites criminelles et pénales du Québec, the John Howard Society of Canada and the Canadian Civil Liberties Association are granted and the said interveners shall be entitled to each serve and file a factum not to exceed 10 pages in length in these appeals on or before January 9, 2014.</w:t>
      </w:r>
    </w:p>
    <w:p w:rsidR="005C1ECC" w:rsidRPr="00D8017E" w:rsidRDefault="005C1ECC" w:rsidP="005C1ECC">
      <w:pPr>
        <w:spacing w:line="233" w:lineRule="auto"/>
        <w:jc w:val="both"/>
        <w:rPr>
          <w:rFonts w:eastAsia="Times New Roman" w:cs="Times New Roman"/>
          <w:sz w:val="20"/>
          <w:szCs w:val="20"/>
          <w:lang w:eastAsia="en-CA"/>
        </w:rPr>
      </w:pPr>
    </w:p>
    <w:p w:rsidR="005C1ECC" w:rsidRPr="00D8017E" w:rsidRDefault="005C1ECC" w:rsidP="005C1ECC">
      <w:pPr>
        <w:spacing w:line="233" w:lineRule="auto"/>
        <w:jc w:val="both"/>
        <w:rPr>
          <w:rFonts w:eastAsia="Times New Roman" w:cs="Times New Roman"/>
          <w:sz w:val="20"/>
          <w:szCs w:val="20"/>
          <w:lang w:eastAsia="en-CA"/>
        </w:rPr>
      </w:pPr>
      <w:r w:rsidRPr="00D8017E">
        <w:rPr>
          <w:rFonts w:eastAsia="Times New Roman" w:cs="Times New Roman"/>
          <w:sz w:val="20"/>
          <w:szCs w:val="20"/>
          <w:lang w:eastAsia="en-CA"/>
        </w:rPr>
        <w:t>The requests to present oral argument are deferred to a date following receipt and consideration of the written arguments of the parties and the interveners.</w:t>
      </w:r>
    </w:p>
    <w:p w:rsidR="005C1ECC" w:rsidRPr="00D8017E" w:rsidRDefault="005C1ECC" w:rsidP="005C1ECC">
      <w:pPr>
        <w:spacing w:line="233" w:lineRule="auto"/>
        <w:jc w:val="both"/>
        <w:rPr>
          <w:rFonts w:eastAsia="Times New Roman" w:cs="Times New Roman"/>
          <w:sz w:val="20"/>
          <w:szCs w:val="20"/>
          <w:lang w:eastAsia="en-CA"/>
        </w:rPr>
      </w:pPr>
    </w:p>
    <w:p w:rsidR="005C1ECC" w:rsidRPr="00D8017E" w:rsidRDefault="000C413F" w:rsidP="005C1ECC">
      <w:pPr>
        <w:spacing w:line="233" w:lineRule="auto"/>
        <w:jc w:val="both"/>
        <w:rPr>
          <w:rFonts w:eastAsia="Times New Roman" w:cs="Times New Roman"/>
          <w:sz w:val="20"/>
          <w:szCs w:val="20"/>
          <w:lang w:eastAsia="en-CA"/>
        </w:rPr>
      </w:pPr>
      <w:r w:rsidRPr="00D8017E">
        <w:rPr>
          <w:rFonts w:eastAsia="Times New Roman" w:cs="Times New Roman"/>
          <w:sz w:val="20"/>
          <w:szCs w:val="20"/>
          <w:lang w:eastAsia="en-CA"/>
        </w:rPr>
        <w:fldChar w:fldCharType="begin"/>
      </w:r>
      <w:r w:rsidR="005C1ECC" w:rsidRPr="00D8017E">
        <w:rPr>
          <w:rFonts w:eastAsia="Times New Roman" w:cs="Times New Roman"/>
          <w:sz w:val="20"/>
          <w:szCs w:val="20"/>
          <w:lang w:eastAsia="en-CA"/>
        </w:rPr>
        <w:instrText xml:space="preserve"> SEQ CHAPTER \h \r 1</w:instrText>
      </w:r>
      <w:r w:rsidRPr="00D8017E">
        <w:rPr>
          <w:rFonts w:eastAsia="Times New Roman" w:cs="Times New Roman"/>
          <w:sz w:val="20"/>
          <w:szCs w:val="20"/>
          <w:lang w:eastAsia="en-CA"/>
        </w:rPr>
        <w:fldChar w:fldCharType="end"/>
      </w:r>
      <w:r w:rsidR="005C1ECC" w:rsidRPr="00D8017E">
        <w:rPr>
          <w:rFonts w:eastAsia="Times New Roman" w:cs="Times New Roman"/>
          <w:bCs/>
          <w:sz w:val="20"/>
          <w:szCs w:val="20"/>
          <w:lang w:eastAsia="en-CA"/>
        </w:rPr>
        <w:t>The interveners are not entitled to raise new issues or to adduce further evidence or otherwise to supplement the record of the parties.</w:t>
      </w:r>
    </w:p>
    <w:p w:rsidR="005C1ECC" w:rsidRPr="00D8017E" w:rsidRDefault="005C1ECC" w:rsidP="005C1ECC">
      <w:pPr>
        <w:spacing w:line="233" w:lineRule="auto"/>
        <w:jc w:val="both"/>
        <w:rPr>
          <w:rFonts w:eastAsia="Times New Roman" w:cs="Times New Roman"/>
          <w:sz w:val="20"/>
          <w:szCs w:val="20"/>
          <w:lang w:eastAsia="en-CA"/>
        </w:rPr>
      </w:pPr>
    </w:p>
    <w:p w:rsidR="005C1ECC" w:rsidRPr="00D8017E" w:rsidRDefault="005C1ECC" w:rsidP="005C1ECC">
      <w:pPr>
        <w:spacing w:line="233" w:lineRule="auto"/>
        <w:jc w:val="both"/>
        <w:rPr>
          <w:rFonts w:eastAsia="Times New Roman" w:cs="Times New Roman"/>
          <w:sz w:val="20"/>
          <w:szCs w:val="20"/>
          <w:lang w:eastAsia="en-CA"/>
        </w:rPr>
      </w:pPr>
      <w:r w:rsidRPr="00D8017E">
        <w:rPr>
          <w:rFonts w:eastAsia="Times New Roman" w:cs="Times New Roman"/>
          <w:sz w:val="20"/>
          <w:szCs w:val="20"/>
          <w:lang w:eastAsia="en-CA"/>
        </w:rPr>
        <w:t>Pursuant to Rule 59(1)(</w:t>
      </w:r>
      <w:r w:rsidRPr="00D8017E">
        <w:rPr>
          <w:rFonts w:eastAsia="Times New Roman" w:cs="Times New Roman"/>
          <w:i/>
          <w:iCs/>
          <w:sz w:val="20"/>
          <w:szCs w:val="20"/>
          <w:lang w:eastAsia="en-CA"/>
        </w:rPr>
        <w:t>a</w:t>
      </w:r>
      <w:r w:rsidRPr="00D8017E">
        <w:rPr>
          <w:rFonts w:eastAsia="Times New Roman" w:cs="Times New Roman"/>
          <w:sz w:val="20"/>
          <w:szCs w:val="20"/>
          <w:lang w:eastAsia="en-CA"/>
        </w:rPr>
        <w:t xml:space="preserve">) of the </w:t>
      </w:r>
      <w:r w:rsidRPr="00D8017E">
        <w:rPr>
          <w:rFonts w:eastAsia="Times New Roman" w:cs="Times New Roman"/>
          <w:i/>
          <w:iCs/>
          <w:sz w:val="20"/>
          <w:szCs w:val="20"/>
          <w:lang w:eastAsia="en-CA"/>
        </w:rPr>
        <w:t>Rules of the Supreme Court of Canada</w:t>
      </w:r>
      <w:r w:rsidRPr="00D8017E">
        <w:rPr>
          <w:rFonts w:eastAsia="Times New Roman" w:cs="Times New Roman"/>
          <w:sz w:val="20"/>
          <w:szCs w:val="20"/>
          <w:lang w:eastAsia="en-CA"/>
        </w:rPr>
        <w:t>, the interveners shall pay to the appellant and respondent any additional disbursements occasioned to the appellant and respondent by their interventions.</w:t>
      </w:r>
    </w:p>
    <w:p w:rsidR="005C1ECC" w:rsidRPr="005C1ECC" w:rsidRDefault="005C1ECC" w:rsidP="005C1ECC">
      <w:pPr>
        <w:spacing w:line="233" w:lineRule="auto"/>
        <w:jc w:val="both"/>
        <w:rPr>
          <w:rFonts w:eastAsia="Times New Roman" w:cs="Times New Roman"/>
          <w:sz w:val="20"/>
          <w:szCs w:val="20"/>
          <w:lang w:val="en-US" w:eastAsia="en-CA"/>
        </w:rPr>
      </w:pPr>
    </w:p>
    <w:p w:rsidR="005C1ECC" w:rsidRPr="005C1ECC" w:rsidRDefault="005C1ECC" w:rsidP="005C1ECC">
      <w:pPr>
        <w:spacing w:line="233" w:lineRule="auto"/>
        <w:jc w:val="both"/>
        <w:rPr>
          <w:rFonts w:eastAsia="Times New Roman" w:cs="Times New Roman"/>
          <w:sz w:val="20"/>
          <w:szCs w:val="20"/>
          <w:lang w:val="en-US" w:eastAsia="en-CA"/>
        </w:rPr>
      </w:pPr>
    </w:p>
    <w:p w:rsidR="005C1ECC" w:rsidRPr="005C1ECC" w:rsidRDefault="005C1ECC" w:rsidP="005C1ECC">
      <w:pPr>
        <w:spacing w:line="233" w:lineRule="auto"/>
        <w:jc w:val="both"/>
        <w:rPr>
          <w:rFonts w:eastAsia="Times New Roman" w:cs="Times New Roman"/>
          <w:sz w:val="20"/>
          <w:szCs w:val="20"/>
          <w:lang w:val="en-US" w:eastAsia="en-CA"/>
        </w:rPr>
      </w:pPr>
    </w:p>
    <w:p w:rsidR="005C1ECC" w:rsidRPr="00D8017E" w:rsidRDefault="005C1ECC" w:rsidP="005C1ECC">
      <w:pPr>
        <w:spacing w:line="233" w:lineRule="auto"/>
        <w:jc w:val="both"/>
        <w:rPr>
          <w:rFonts w:eastAsia="Times New Roman" w:cs="Times New Roman"/>
          <w:sz w:val="20"/>
          <w:szCs w:val="20"/>
          <w:lang w:val="fr-CA" w:eastAsia="en-CA"/>
        </w:rPr>
      </w:pPr>
      <w:r w:rsidRPr="00D8017E">
        <w:rPr>
          <w:rFonts w:eastAsia="Times New Roman" w:cs="Times New Roman"/>
          <w:b/>
          <w:sz w:val="20"/>
          <w:szCs w:val="20"/>
          <w:lang w:val="fr-CA" w:eastAsia="en-CA"/>
        </w:rPr>
        <w:t>À LA SUITE DES REQUÊTES</w:t>
      </w:r>
      <w:r w:rsidRPr="00D8017E">
        <w:rPr>
          <w:rFonts w:eastAsia="Times New Roman" w:cs="Times New Roman"/>
          <w:sz w:val="20"/>
          <w:szCs w:val="20"/>
          <w:lang w:val="fr-CA" w:eastAsia="en-CA"/>
        </w:rPr>
        <w:t xml:space="preserve"> présentées par le Directeur des poursuites criminelles et pénales du Québec, la Société John Howard du Canada et l’Association canadienne des libertés civiles en autorisation d’intervenir dans l’appel; </w:t>
      </w:r>
    </w:p>
    <w:p w:rsidR="005C1ECC" w:rsidRPr="00D8017E" w:rsidRDefault="005C1ECC" w:rsidP="005C1ECC">
      <w:pPr>
        <w:spacing w:line="233" w:lineRule="auto"/>
        <w:jc w:val="both"/>
        <w:rPr>
          <w:rFonts w:eastAsia="Times New Roman" w:cs="Times New Roman"/>
          <w:sz w:val="20"/>
          <w:szCs w:val="20"/>
          <w:lang w:val="fr-CA" w:eastAsia="en-CA"/>
        </w:rPr>
      </w:pPr>
    </w:p>
    <w:p w:rsidR="005C1ECC" w:rsidRPr="00D8017E" w:rsidRDefault="005C1ECC" w:rsidP="005C1ECC">
      <w:pPr>
        <w:spacing w:line="233" w:lineRule="auto"/>
        <w:jc w:val="both"/>
        <w:rPr>
          <w:rFonts w:eastAsia="Times New Roman" w:cs="Times New Roman"/>
          <w:sz w:val="20"/>
          <w:szCs w:val="20"/>
          <w:lang w:val="fr-CA" w:eastAsia="en-CA"/>
        </w:rPr>
      </w:pPr>
      <w:r w:rsidRPr="00D8017E">
        <w:rPr>
          <w:rFonts w:eastAsia="Times New Roman" w:cs="Times New Roman"/>
          <w:b/>
          <w:sz w:val="20"/>
          <w:szCs w:val="20"/>
          <w:lang w:val="fr-CA" w:eastAsia="en-CA"/>
        </w:rPr>
        <w:t>ET APRÈS EXAMEN</w:t>
      </w:r>
      <w:r w:rsidRPr="00D8017E">
        <w:rPr>
          <w:rFonts w:eastAsia="Times New Roman" w:cs="Times New Roman"/>
          <w:sz w:val="20"/>
          <w:szCs w:val="20"/>
          <w:lang w:val="fr-CA" w:eastAsia="en-CA"/>
        </w:rPr>
        <w:t xml:space="preserve"> des documents déposés; </w:t>
      </w:r>
    </w:p>
    <w:p w:rsidR="005C1ECC" w:rsidRPr="00D8017E" w:rsidRDefault="005C1ECC" w:rsidP="005C1ECC">
      <w:pPr>
        <w:spacing w:line="233" w:lineRule="auto"/>
        <w:jc w:val="both"/>
        <w:rPr>
          <w:rFonts w:eastAsia="Times New Roman" w:cs="Times New Roman"/>
          <w:sz w:val="20"/>
          <w:szCs w:val="20"/>
          <w:lang w:val="fr-CA" w:eastAsia="en-CA"/>
        </w:rPr>
      </w:pPr>
    </w:p>
    <w:p w:rsidR="005C1ECC" w:rsidRPr="00D8017E" w:rsidRDefault="005C1ECC" w:rsidP="005C1ECC">
      <w:pPr>
        <w:spacing w:line="233" w:lineRule="auto"/>
        <w:jc w:val="both"/>
        <w:rPr>
          <w:rFonts w:eastAsia="Times New Roman" w:cs="Times New Roman"/>
          <w:sz w:val="20"/>
          <w:szCs w:val="20"/>
          <w:lang w:val="fr-CA" w:eastAsia="en-CA"/>
        </w:rPr>
      </w:pPr>
      <w:r w:rsidRPr="00D8017E">
        <w:rPr>
          <w:rFonts w:eastAsia="Times New Roman" w:cs="Times New Roman"/>
          <w:b/>
          <w:sz w:val="20"/>
          <w:szCs w:val="20"/>
          <w:lang w:val="fr-CA" w:eastAsia="en-CA"/>
        </w:rPr>
        <w:t>IL EST ORDONNÉ CE QUI SUIT</w:t>
      </w:r>
      <w:r w:rsidRPr="00D8017E">
        <w:rPr>
          <w:rFonts w:eastAsia="Times New Roman" w:cs="Times New Roman"/>
          <w:sz w:val="20"/>
          <w:szCs w:val="20"/>
          <w:lang w:val="fr-CA" w:eastAsia="en-CA"/>
        </w:rPr>
        <w:t xml:space="preserve"> : </w:t>
      </w:r>
    </w:p>
    <w:p w:rsidR="005C1ECC" w:rsidRPr="00D8017E" w:rsidRDefault="005C1ECC" w:rsidP="005C1ECC">
      <w:pPr>
        <w:spacing w:line="233" w:lineRule="auto"/>
        <w:jc w:val="both"/>
        <w:rPr>
          <w:rFonts w:eastAsia="Times New Roman" w:cs="Times New Roman"/>
          <w:sz w:val="20"/>
          <w:szCs w:val="20"/>
          <w:lang w:val="fr-CA" w:eastAsia="en-CA"/>
        </w:rPr>
      </w:pPr>
    </w:p>
    <w:p w:rsidR="005C1ECC" w:rsidRPr="00D8017E" w:rsidRDefault="005C1ECC" w:rsidP="005C1ECC">
      <w:pPr>
        <w:spacing w:line="233" w:lineRule="auto"/>
        <w:jc w:val="both"/>
        <w:rPr>
          <w:rFonts w:eastAsia="Times New Roman" w:cs="Times New Roman"/>
          <w:sz w:val="20"/>
          <w:szCs w:val="20"/>
          <w:lang w:val="fr-CA" w:eastAsia="en-CA"/>
        </w:rPr>
      </w:pPr>
      <w:r w:rsidRPr="00D8017E">
        <w:rPr>
          <w:rFonts w:eastAsia="Times New Roman" w:cs="Times New Roman"/>
          <w:sz w:val="20"/>
          <w:szCs w:val="20"/>
          <w:lang w:val="fr-CA" w:eastAsia="en-CA"/>
        </w:rPr>
        <w:t>Les requêtes en autorisation d'intervenir présentées par le Directeur des poursuites criminelles et pénales du Québec, la Société John Howard du Canada et l’Association canadienne des libertés civiles sont accueillies et ces intervenants pourront chacun signifier et déposer un mémoire d'au plus dix (10) pages au plus tard le 9 janvier 2014.</w:t>
      </w:r>
    </w:p>
    <w:p w:rsidR="005C1ECC" w:rsidRPr="00D8017E" w:rsidRDefault="005C1ECC" w:rsidP="005C1ECC">
      <w:pPr>
        <w:spacing w:line="233" w:lineRule="auto"/>
        <w:jc w:val="both"/>
        <w:rPr>
          <w:rFonts w:eastAsia="Times New Roman" w:cs="Times New Roman"/>
          <w:sz w:val="20"/>
          <w:szCs w:val="20"/>
          <w:lang w:val="fr-CA" w:eastAsia="en-CA"/>
        </w:rPr>
      </w:pPr>
    </w:p>
    <w:p w:rsidR="005C1ECC" w:rsidRPr="00D8017E" w:rsidRDefault="005C1ECC" w:rsidP="005C1ECC">
      <w:pPr>
        <w:spacing w:line="233" w:lineRule="auto"/>
        <w:jc w:val="both"/>
        <w:rPr>
          <w:rFonts w:eastAsia="Times New Roman" w:cs="Times New Roman"/>
          <w:sz w:val="20"/>
          <w:szCs w:val="20"/>
          <w:lang w:val="fr-CA" w:eastAsia="en-CA"/>
        </w:rPr>
      </w:pPr>
      <w:r w:rsidRPr="00D8017E">
        <w:rPr>
          <w:rFonts w:eastAsia="Times New Roman" w:cs="Times New Roman"/>
          <w:sz w:val="20"/>
          <w:szCs w:val="20"/>
          <w:lang w:val="fr-CA" w:eastAsia="en-CA"/>
        </w:rPr>
        <w:t>Les décisions sur les requêtes en vue de présenter des plaidoiries orales seront rendues après réception et examen des arguments écrits des parties et des intervenants.</w:t>
      </w:r>
    </w:p>
    <w:p w:rsidR="005C1ECC" w:rsidRPr="00D8017E" w:rsidRDefault="005C1ECC" w:rsidP="005C1ECC">
      <w:pPr>
        <w:spacing w:line="233" w:lineRule="auto"/>
        <w:jc w:val="both"/>
        <w:rPr>
          <w:rFonts w:eastAsia="Times New Roman" w:cs="Times New Roman"/>
          <w:sz w:val="20"/>
          <w:szCs w:val="20"/>
          <w:lang w:val="fr-CA" w:eastAsia="en-CA"/>
        </w:rPr>
      </w:pPr>
    </w:p>
    <w:p w:rsidR="005C1ECC" w:rsidRPr="00D8017E" w:rsidRDefault="005C1ECC" w:rsidP="005C1ECC">
      <w:pPr>
        <w:spacing w:line="233" w:lineRule="auto"/>
        <w:jc w:val="both"/>
        <w:rPr>
          <w:rFonts w:eastAsia="Times New Roman" w:cs="Times New Roman"/>
          <w:sz w:val="20"/>
          <w:szCs w:val="20"/>
          <w:lang w:val="fr-CA" w:eastAsia="en-CA"/>
        </w:rPr>
      </w:pPr>
      <w:r w:rsidRPr="00D8017E">
        <w:rPr>
          <w:rFonts w:eastAsia="Times New Roman" w:cs="Times New Roman"/>
          <w:sz w:val="20"/>
          <w:szCs w:val="20"/>
          <w:lang w:val="fr-CA" w:eastAsia="en-CA"/>
        </w:rPr>
        <w:t>Les intervenants n'ont pas le droit de soulever de nouvelles questions, de produire d'autres éléments de preuve ni de compléter de quelque autre façon le dossier des parties.</w:t>
      </w:r>
    </w:p>
    <w:p w:rsidR="005C1ECC" w:rsidRPr="00D8017E" w:rsidRDefault="005C1ECC" w:rsidP="005C1ECC">
      <w:pPr>
        <w:spacing w:line="233" w:lineRule="auto"/>
        <w:jc w:val="both"/>
        <w:rPr>
          <w:rFonts w:eastAsia="Times New Roman" w:cs="Times New Roman"/>
          <w:b/>
          <w:sz w:val="20"/>
          <w:szCs w:val="20"/>
          <w:lang w:val="fr-CA" w:eastAsia="en-CA"/>
        </w:rPr>
      </w:pPr>
    </w:p>
    <w:p w:rsidR="005C1ECC" w:rsidRPr="00D8017E" w:rsidRDefault="005C1ECC" w:rsidP="005C1ECC">
      <w:pPr>
        <w:spacing w:line="233" w:lineRule="auto"/>
        <w:jc w:val="both"/>
        <w:rPr>
          <w:rFonts w:eastAsia="Times New Roman" w:cs="Times New Roman"/>
          <w:sz w:val="20"/>
          <w:szCs w:val="20"/>
          <w:lang w:val="fr-CA" w:eastAsia="en-CA"/>
        </w:rPr>
      </w:pPr>
      <w:r w:rsidRPr="00D8017E">
        <w:rPr>
          <w:rFonts w:eastAsia="Times New Roman" w:cs="Times New Roman"/>
          <w:sz w:val="20"/>
          <w:szCs w:val="20"/>
          <w:lang w:val="fr-CA" w:eastAsia="en-CA"/>
        </w:rPr>
        <w:t>Conformément à l'alinéa 59(1)(</w:t>
      </w:r>
      <w:r w:rsidRPr="00D8017E">
        <w:rPr>
          <w:rFonts w:eastAsia="Times New Roman" w:cs="Times New Roman"/>
          <w:i/>
          <w:sz w:val="20"/>
          <w:szCs w:val="20"/>
          <w:lang w:val="fr-CA" w:eastAsia="en-CA"/>
        </w:rPr>
        <w:t>a</w:t>
      </w:r>
      <w:r w:rsidRPr="00D8017E">
        <w:rPr>
          <w:rFonts w:eastAsia="Times New Roman" w:cs="Times New Roman"/>
          <w:sz w:val="20"/>
          <w:szCs w:val="20"/>
          <w:lang w:val="fr-CA" w:eastAsia="en-CA"/>
        </w:rPr>
        <w:t xml:space="preserve">) des </w:t>
      </w:r>
      <w:r w:rsidRPr="00D8017E">
        <w:rPr>
          <w:rFonts w:eastAsia="Times New Roman" w:cs="Times New Roman"/>
          <w:i/>
          <w:sz w:val="20"/>
          <w:szCs w:val="20"/>
          <w:lang w:val="fr-CA" w:eastAsia="en-CA"/>
        </w:rPr>
        <w:t>Règles de la Cour suprême du Canada</w:t>
      </w:r>
      <w:r w:rsidRPr="00D8017E">
        <w:rPr>
          <w:rFonts w:eastAsia="Times New Roman" w:cs="Times New Roman"/>
          <w:sz w:val="20"/>
          <w:szCs w:val="20"/>
          <w:lang w:val="fr-CA" w:eastAsia="en-CA"/>
        </w:rPr>
        <w:t>, les intervenants paieront à l’appelante et à l'intimé tous débours supplémentaires résultant de leur intervention.</w:t>
      </w:r>
    </w:p>
    <w:p w:rsidR="005C1ECC" w:rsidRPr="005C1ECC" w:rsidRDefault="005C1ECC" w:rsidP="005C1ECC">
      <w:pPr>
        <w:tabs>
          <w:tab w:val="left" w:pos="-1440"/>
          <w:tab w:val="left" w:pos="-720"/>
        </w:tabs>
        <w:jc w:val="both"/>
        <w:rPr>
          <w:rFonts w:eastAsia="Times New Roman" w:cs="Times New Roman"/>
          <w:sz w:val="20"/>
          <w:szCs w:val="20"/>
          <w:lang w:val="fr-CA" w:eastAsia="en-CA"/>
        </w:rPr>
      </w:pPr>
    </w:p>
    <w:p w:rsidR="005C1ECC" w:rsidRPr="005C1ECC" w:rsidRDefault="00E7787D" w:rsidP="005C1ECC">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53" style="width:2in;height:1pt" o:hrpct="0" o:hralign="center" o:hrstd="t" o:hrnoshade="t" o:hr="t" fillcolor="black [3213]" stroked="f"/>
        </w:pict>
      </w:r>
    </w:p>
    <w:p w:rsidR="006A085B" w:rsidRDefault="006A085B" w:rsidP="005C1ECC">
      <w:pPr>
        <w:rPr>
          <w:rFonts w:eastAsia="Times New Roman" w:cs="Times New Roman"/>
          <w:sz w:val="20"/>
          <w:szCs w:val="20"/>
          <w:lang w:val="fr-CA" w:eastAsia="en-CA"/>
        </w:rPr>
      </w:pPr>
    </w:p>
    <w:p w:rsidR="005C1ECC" w:rsidRPr="005C1ECC" w:rsidRDefault="005C1ECC" w:rsidP="005C1ECC">
      <w:pPr>
        <w:tabs>
          <w:tab w:val="left" w:pos="-1440"/>
          <w:tab w:val="left" w:pos="-720"/>
        </w:tabs>
        <w:jc w:val="both"/>
        <w:rPr>
          <w:rFonts w:eastAsia="Times New Roman" w:cs="Times New Roman"/>
          <w:sz w:val="20"/>
          <w:szCs w:val="20"/>
          <w:lang w:val="fr-CA" w:eastAsia="en-CA"/>
        </w:rPr>
      </w:pPr>
      <w:r w:rsidRPr="005C1ECC">
        <w:rPr>
          <w:rFonts w:eastAsia="Times New Roman" w:cs="Times New Roman"/>
          <w:sz w:val="20"/>
          <w:szCs w:val="20"/>
          <w:lang w:val="fr-CA" w:eastAsia="en-CA"/>
        </w:rPr>
        <w:t>27.11.2013</w:t>
      </w:r>
    </w:p>
    <w:p w:rsidR="005C1ECC" w:rsidRPr="005C1ECC" w:rsidRDefault="005C1ECC" w:rsidP="005C1ECC">
      <w:pPr>
        <w:tabs>
          <w:tab w:val="left" w:pos="-1440"/>
          <w:tab w:val="left" w:pos="-720"/>
        </w:tabs>
        <w:jc w:val="both"/>
        <w:rPr>
          <w:rFonts w:eastAsia="Times New Roman" w:cs="Times New Roman"/>
          <w:sz w:val="20"/>
          <w:szCs w:val="20"/>
          <w:lang w:val="fr-CA" w:eastAsia="en-CA"/>
        </w:rPr>
      </w:pPr>
    </w:p>
    <w:p w:rsidR="005C1ECC" w:rsidRPr="005C1ECC" w:rsidRDefault="005C1ECC" w:rsidP="005C1ECC">
      <w:pPr>
        <w:tabs>
          <w:tab w:val="left" w:pos="-1440"/>
          <w:tab w:val="left" w:pos="-720"/>
        </w:tabs>
        <w:jc w:val="both"/>
        <w:rPr>
          <w:rFonts w:eastAsia="Times New Roman" w:cs="Times New Roman"/>
          <w:sz w:val="20"/>
          <w:szCs w:val="20"/>
          <w:lang w:val="fr-CA" w:eastAsia="en-CA"/>
        </w:rPr>
      </w:pPr>
      <w:r w:rsidRPr="005C1ECC">
        <w:rPr>
          <w:rFonts w:eastAsia="Times New Roman" w:cs="Times New Roman"/>
          <w:sz w:val="20"/>
          <w:szCs w:val="20"/>
          <w:lang w:val="fr-CA" w:eastAsia="en-CA"/>
        </w:rPr>
        <w:t>Before / Devant :   KARAKATSANIS J. / LA JUGE KARAKATSANIS</w:t>
      </w:r>
    </w:p>
    <w:p w:rsidR="005C1ECC" w:rsidRPr="005C1ECC" w:rsidRDefault="005C1ECC" w:rsidP="005C1ECC">
      <w:pPr>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2880"/>
        <w:gridCol w:w="1170"/>
        <w:gridCol w:w="4327"/>
      </w:tblGrid>
      <w:tr w:rsidR="005C1ECC" w:rsidRPr="00B52C2C" w:rsidTr="00741B40">
        <w:tc>
          <w:tcPr>
            <w:tcW w:w="4338" w:type="dxa"/>
            <w:gridSpan w:val="2"/>
          </w:tcPr>
          <w:p w:rsidR="005C1ECC" w:rsidRPr="005C1ECC" w:rsidRDefault="005C1ECC" w:rsidP="005C1ECC">
            <w:pPr>
              <w:jc w:val="both"/>
              <w:rPr>
                <w:b/>
              </w:rPr>
            </w:pPr>
            <w:r w:rsidRPr="005C1ECC">
              <w:rPr>
                <w:b/>
                <w:lang w:val="en-US"/>
              </w:rPr>
              <w:t xml:space="preserve">Order on interventions with respect to oral argument </w:t>
            </w:r>
            <w:r w:rsidR="000C413F" w:rsidRPr="005C1ECC">
              <w:rPr>
                <w:szCs w:val="24"/>
                <w:lang w:val="en-US"/>
              </w:rPr>
              <w:fldChar w:fldCharType="begin"/>
            </w:r>
            <w:r w:rsidRPr="005C1ECC">
              <w:rPr>
                <w:szCs w:val="24"/>
              </w:rPr>
              <w:instrText xml:space="preserve"> SEQ CHAPTER \h \r 1</w:instrText>
            </w:r>
            <w:r w:rsidR="000C413F" w:rsidRPr="005C1ECC">
              <w:rPr>
                <w:szCs w:val="24"/>
                <w:lang w:val="en-US"/>
              </w:rPr>
              <w:fldChar w:fldCharType="end"/>
            </w:r>
          </w:p>
        </w:tc>
        <w:tc>
          <w:tcPr>
            <w:tcW w:w="1170" w:type="dxa"/>
          </w:tcPr>
          <w:p w:rsidR="005C1ECC" w:rsidRPr="005C1ECC" w:rsidRDefault="005C1ECC" w:rsidP="005C1ECC"/>
          <w:p w:rsidR="005C1ECC" w:rsidRPr="005C1ECC" w:rsidRDefault="005C1ECC" w:rsidP="005C1ECC"/>
          <w:p w:rsidR="005C1ECC" w:rsidRPr="005C1ECC" w:rsidRDefault="005C1ECC" w:rsidP="005C1ECC"/>
        </w:tc>
        <w:tc>
          <w:tcPr>
            <w:tcW w:w="4327" w:type="dxa"/>
          </w:tcPr>
          <w:p w:rsidR="005C1ECC" w:rsidRPr="005C1ECC" w:rsidRDefault="005C1ECC" w:rsidP="005C1ECC">
            <w:pPr>
              <w:jc w:val="both"/>
              <w:rPr>
                <w:b/>
                <w:lang w:val="fr-CA"/>
              </w:rPr>
            </w:pPr>
            <w:r w:rsidRPr="005C1ECC">
              <w:rPr>
                <w:b/>
                <w:lang w:val="fr-CA"/>
              </w:rPr>
              <w:t>Ordonnance relative à la présentation d’une plaidoirie orale par les intervenants</w:t>
            </w:r>
            <w:r w:rsidRPr="005C1ECC">
              <w:rPr>
                <w:szCs w:val="24"/>
                <w:lang w:val="fr-CA"/>
              </w:rPr>
              <w:t xml:space="preserve"> </w:t>
            </w:r>
            <w:r w:rsidR="000C413F" w:rsidRPr="005C1ECC">
              <w:rPr>
                <w:szCs w:val="24"/>
                <w:lang w:val="en-US"/>
              </w:rPr>
              <w:fldChar w:fldCharType="begin"/>
            </w:r>
            <w:r w:rsidRPr="005C1ECC">
              <w:rPr>
                <w:szCs w:val="24"/>
                <w:lang w:val="fr-CA"/>
              </w:rPr>
              <w:instrText xml:space="preserve"> SEQ CHAPTER \h \r 1</w:instrText>
            </w:r>
            <w:r w:rsidR="000C413F" w:rsidRPr="005C1ECC">
              <w:rPr>
                <w:szCs w:val="24"/>
                <w:lang w:val="en-US"/>
              </w:rPr>
              <w:fldChar w:fldCharType="end"/>
            </w:r>
          </w:p>
        </w:tc>
      </w:tr>
      <w:tr w:rsidR="005C1ECC" w:rsidRPr="005C1ECC" w:rsidTr="00741B40">
        <w:tc>
          <w:tcPr>
            <w:tcW w:w="1458" w:type="dxa"/>
          </w:tcPr>
          <w:p w:rsidR="005C1ECC" w:rsidRPr="005C1ECC" w:rsidRDefault="005C1ECC" w:rsidP="005C1ECC">
            <w:r w:rsidRPr="005C1ECC">
              <w:t>RE:</w:t>
            </w:r>
          </w:p>
        </w:tc>
        <w:tc>
          <w:tcPr>
            <w:tcW w:w="2880" w:type="dxa"/>
          </w:tcPr>
          <w:p w:rsidR="005C1ECC" w:rsidRPr="005C1ECC" w:rsidRDefault="005C1ECC" w:rsidP="005C1ECC">
            <w:r w:rsidRPr="005C1ECC">
              <w:t>Alberta Human Rights Commission;</w:t>
            </w:r>
          </w:p>
        </w:tc>
        <w:tc>
          <w:tcPr>
            <w:tcW w:w="1170" w:type="dxa"/>
          </w:tcPr>
          <w:p w:rsidR="005C1ECC" w:rsidRPr="005C1ECC" w:rsidRDefault="005C1ECC" w:rsidP="005C1ECC"/>
        </w:tc>
        <w:tc>
          <w:tcPr>
            <w:tcW w:w="4327" w:type="dxa"/>
          </w:tcPr>
          <w:p w:rsidR="005C1ECC" w:rsidRPr="005C1ECC" w:rsidRDefault="005C1ECC" w:rsidP="005C1ECC"/>
        </w:tc>
      </w:tr>
      <w:tr w:rsidR="005C1ECC" w:rsidRPr="005C1ECC" w:rsidTr="00741B40">
        <w:tc>
          <w:tcPr>
            <w:tcW w:w="1458" w:type="dxa"/>
          </w:tcPr>
          <w:p w:rsidR="005C1ECC" w:rsidRPr="005C1ECC" w:rsidRDefault="005C1ECC" w:rsidP="005C1ECC"/>
        </w:tc>
        <w:tc>
          <w:tcPr>
            <w:tcW w:w="2880" w:type="dxa"/>
          </w:tcPr>
          <w:p w:rsidR="005C1ECC" w:rsidRPr="005C1ECC" w:rsidRDefault="005C1ECC" w:rsidP="005C1ECC"/>
        </w:tc>
        <w:tc>
          <w:tcPr>
            <w:tcW w:w="1170" w:type="dxa"/>
          </w:tcPr>
          <w:p w:rsidR="005C1ECC" w:rsidRPr="005C1ECC" w:rsidRDefault="005C1ECC" w:rsidP="005C1ECC"/>
        </w:tc>
        <w:tc>
          <w:tcPr>
            <w:tcW w:w="4327" w:type="dxa"/>
          </w:tcPr>
          <w:p w:rsidR="005C1ECC" w:rsidRPr="005C1ECC" w:rsidRDefault="005C1ECC" w:rsidP="005C1ECC"/>
        </w:tc>
      </w:tr>
      <w:tr w:rsidR="005C1ECC" w:rsidRPr="005C1ECC" w:rsidTr="00741B40">
        <w:tc>
          <w:tcPr>
            <w:tcW w:w="1458" w:type="dxa"/>
          </w:tcPr>
          <w:p w:rsidR="005C1ECC" w:rsidRPr="005C1ECC" w:rsidRDefault="005C1ECC" w:rsidP="005C1ECC"/>
        </w:tc>
        <w:tc>
          <w:tcPr>
            <w:tcW w:w="2880" w:type="dxa"/>
          </w:tcPr>
          <w:p w:rsidR="005C1ECC" w:rsidRPr="005C1ECC" w:rsidRDefault="005C1ECC" w:rsidP="005C1ECC">
            <w:r w:rsidRPr="005C1ECC">
              <w:t>British Columbia Human Rights Tribunal;</w:t>
            </w:r>
          </w:p>
        </w:tc>
        <w:tc>
          <w:tcPr>
            <w:tcW w:w="1170" w:type="dxa"/>
          </w:tcPr>
          <w:p w:rsidR="005C1ECC" w:rsidRPr="005C1ECC" w:rsidRDefault="005C1ECC" w:rsidP="005C1ECC"/>
        </w:tc>
        <w:tc>
          <w:tcPr>
            <w:tcW w:w="4327" w:type="dxa"/>
          </w:tcPr>
          <w:p w:rsidR="005C1ECC" w:rsidRPr="005C1ECC" w:rsidRDefault="005C1ECC" w:rsidP="005C1ECC"/>
        </w:tc>
      </w:tr>
      <w:tr w:rsidR="005C1ECC" w:rsidRPr="005C1ECC" w:rsidTr="00741B40">
        <w:tc>
          <w:tcPr>
            <w:tcW w:w="1458" w:type="dxa"/>
          </w:tcPr>
          <w:p w:rsidR="005C1ECC" w:rsidRPr="005C1ECC" w:rsidRDefault="005C1ECC" w:rsidP="005C1ECC"/>
        </w:tc>
        <w:tc>
          <w:tcPr>
            <w:tcW w:w="2880" w:type="dxa"/>
          </w:tcPr>
          <w:p w:rsidR="005C1ECC" w:rsidRPr="005C1ECC" w:rsidRDefault="005C1ECC" w:rsidP="005C1ECC"/>
        </w:tc>
        <w:tc>
          <w:tcPr>
            <w:tcW w:w="1170" w:type="dxa"/>
          </w:tcPr>
          <w:p w:rsidR="005C1ECC" w:rsidRPr="005C1ECC" w:rsidRDefault="005C1ECC" w:rsidP="005C1ECC"/>
        </w:tc>
        <w:tc>
          <w:tcPr>
            <w:tcW w:w="4327" w:type="dxa"/>
          </w:tcPr>
          <w:p w:rsidR="005C1ECC" w:rsidRPr="005C1ECC" w:rsidRDefault="005C1ECC" w:rsidP="005C1ECC"/>
        </w:tc>
      </w:tr>
      <w:tr w:rsidR="005C1ECC" w:rsidRPr="005C1ECC" w:rsidTr="00741B40">
        <w:tc>
          <w:tcPr>
            <w:tcW w:w="1458" w:type="dxa"/>
          </w:tcPr>
          <w:p w:rsidR="005C1ECC" w:rsidRPr="005C1ECC" w:rsidRDefault="005C1ECC" w:rsidP="005C1ECC"/>
        </w:tc>
        <w:tc>
          <w:tcPr>
            <w:tcW w:w="2880" w:type="dxa"/>
          </w:tcPr>
          <w:p w:rsidR="005C1ECC" w:rsidRPr="005C1ECC" w:rsidRDefault="005C1ECC" w:rsidP="005C1ECC">
            <w:r w:rsidRPr="005C1ECC">
              <w:t>Ernst &amp; Young LLP, KPMG LLP, Deloitte LLP, PricewaterhouseCoopers LLP, BDO Canada LLP and Grant Thornton LLP;</w:t>
            </w:r>
          </w:p>
        </w:tc>
        <w:tc>
          <w:tcPr>
            <w:tcW w:w="1170" w:type="dxa"/>
          </w:tcPr>
          <w:p w:rsidR="005C1ECC" w:rsidRPr="005C1ECC" w:rsidRDefault="005C1ECC" w:rsidP="005C1ECC"/>
        </w:tc>
        <w:tc>
          <w:tcPr>
            <w:tcW w:w="4327" w:type="dxa"/>
          </w:tcPr>
          <w:p w:rsidR="005C1ECC" w:rsidRPr="005C1ECC" w:rsidRDefault="005C1ECC" w:rsidP="005C1ECC"/>
        </w:tc>
      </w:tr>
      <w:tr w:rsidR="005C1ECC" w:rsidRPr="005C1ECC" w:rsidTr="00741B40">
        <w:tc>
          <w:tcPr>
            <w:tcW w:w="1458" w:type="dxa"/>
          </w:tcPr>
          <w:p w:rsidR="005C1ECC" w:rsidRPr="005C1ECC" w:rsidRDefault="005C1ECC" w:rsidP="005C1ECC"/>
        </w:tc>
        <w:tc>
          <w:tcPr>
            <w:tcW w:w="2880" w:type="dxa"/>
          </w:tcPr>
          <w:p w:rsidR="005C1ECC" w:rsidRPr="005C1ECC" w:rsidRDefault="005C1ECC" w:rsidP="005C1ECC"/>
        </w:tc>
        <w:tc>
          <w:tcPr>
            <w:tcW w:w="1170" w:type="dxa"/>
          </w:tcPr>
          <w:p w:rsidR="005C1ECC" w:rsidRPr="005C1ECC" w:rsidRDefault="005C1ECC" w:rsidP="005C1ECC"/>
        </w:tc>
        <w:tc>
          <w:tcPr>
            <w:tcW w:w="4327" w:type="dxa"/>
          </w:tcPr>
          <w:p w:rsidR="005C1ECC" w:rsidRPr="005C1ECC" w:rsidRDefault="005C1ECC" w:rsidP="005C1ECC"/>
        </w:tc>
      </w:tr>
      <w:tr w:rsidR="005C1ECC" w:rsidRPr="005C1ECC" w:rsidTr="00741B40">
        <w:tc>
          <w:tcPr>
            <w:tcW w:w="1458" w:type="dxa"/>
          </w:tcPr>
          <w:p w:rsidR="005C1ECC" w:rsidRPr="005C1ECC" w:rsidRDefault="005C1ECC" w:rsidP="005C1ECC"/>
        </w:tc>
        <w:tc>
          <w:tcPr>
            <w:tcW w:w="2880" w:type="dxa"/>
          </w:tcPr>
          <w:p w:rsidR="005C1ECC" w:rsidRPr="005C1ECC" w:rsidRDefault="005C1ECC" w:rsidP="005C1ECC">
            <w:r w:rsidRPr="005C1ECC">
              <w:t>Young Bar Association of Montreal;</w:t>
            </w:r>
          </w:p>
        </w:tc>
        <w:tc>
          <w:tcPr>
            <w:tcW w:w="1170" w:type="dxa"/>
          </w:tcPr>
          <w:p w:rsidR="005C1ECC" w:rsidRPr="005C1ECC" w:rsidRDefault="005C1ECC" w:rsidP="005C1ECC"/>
        </w:tc>
        <w:tc>
          <w:tcPr>
            <w:tcW w:w="4327" w:type="dxa"/>
          </w:tcPr>
          <w:p w:rsidR="005C1ECC" w:rsidRPr="005C1ECC" w:rsidRDefault="005C1ECC" w:rsidP="005C1ECC"/>
        </w:tc>
      </w:tr>
      <w:tr w:rsidR="005C1ECC" w:rsidRPr="005C1ECC" w:rsidTr="00741B40">
        <w:tc>
          <w:tcPr>
            <w:tcW w:w="1458" w:type="dxa"/>
          </w:tcPr>
          <w:p w:rsidR="005C1ECC" w:rsidRPr="005C1ECC" w:rsidRDefault="005C1ECC" w:rsidP="005C1ECC"/>
        </w:tc>
        <w:tc>
          <w:tcPr>
            <w:tcW w:w="2880" w:type="dxa"/>
          </w:tcPr>
          <w:p w:rsidR="005C1ECC" w:rsidRPr="005C1ECC" w:rsidRDefault="005C1ECC" w:rsidP="005C1ECC"/>
        </w:tc>
        <w:tc>
          <w:tcPr>
            <w:tcW w:w="1170" w:type="dxa"/>
          </w:tcPr>
          <w:p w:rsidR="005C1ECC" w:rsidRPr="005C1ECC" w:rsidRDefault="005C1ECC" w:rsidP="005C1ECC"/>
        </w:tc>
        <w:tc>
          <w:tcPr>
            <w:tcW w:w="4327" w:type="dxa"/>
          </w:tcPr>
          <w:p w:rsidR="005C1ECC" w:rsidRPr="005C1ECC" w:rsidRDefault="005C1ECC" w:rsidP="005C1ECC"/>
        </w:tc>
      </w:tr>
      <w:tr w:rsidR="005C1ECC" w:rsidRPr="005C1ECC" w:rsidTr="00741B40">
        <w:tc>
          <w:tcPr>
            <w:tcW w:w="1458" w:type="dxa"/>
          </w:tcPr>
          <w:p w:rsidR="005C1ECC" w:rsidRPr="005C1ECC" w:rsidRDefault="005C1ECC" w:rsidP="005C1ECC"/>
        </w:tc>
        <w:tc>
          <w:tcPr>
            <w:tcW w:w="2880" w:type="dxa"/>
          </w:tcPr>
          <w:p w:rsidR="005C1ECC" w:rsidRPr="005C1ECC" w:rsidRDefault="005C1ECC" w:rsidP="005C1ECC">
            <w:r w:rsidRPr="005C1ECC">
              <w:t>Ontario Human Rights Commission;</w:t>
            </w:r>
          </w:p>
        </w:tc>
        <w:tc>
          <w:tcPr>
            <w:tcW w:w="1170" w:type="dxa"/>
          </w:tcPr>
          <w:p w:rsidR="005C1ECC" w:rsidRPr="005C1ECC" w:rsidRDefault="005C1ECC" w:rsidP="005C1ECC"/>
        </w:tc>
        <w:tc>
          <w:tcPr>
            <w:tcW w:w="4327" w:type="dxa"/>
          </w:tcPr>
          <w:p w:rsidR="005C1ECC" w:rsidRPr="005C1ECC" w:rsidRDefault="005C1ECC" w:rsidP="005C1ECC"/>
        </w:tc>
      </w:tr>
      <w:tr w:rsidR="005C1ECC" w:rsidRPr="005C1ECC" w:rsidTr="00741B40">
        <w:tc>
          <w:tcPr>
            <w:tcW w:w="1458" w:type="dxa"/>
          </w:tcPr>
          <w:p w:rsidR="005C1ECC" w:rsidRPr="005C1ECC" w:rsidRDefault="005C1ECC" w:rsidP="005C1ECC"/>
        </w:tc>
        <w:tc>
          <w:tcPr>
            <w:tcW w:w="2880" w:type="dxa"/>
          </w:tcPr>
          <w:p w:rsidR="005C1ECC" w:rsidRPr="005C1ECC" w:rsidRDefault="005C1ECC" w:rsidP="005C1ECC"/>
        </w:tc>
        <w:tc>
          <w:tcPr>
            <w:tcW w:w="1170" w:type="dxa"/>
          </w:tcPr>
          <w:p w:rsidR="005C1ECC" w:rsidRPr="005C1ECC" w:rsidRDefault="005C1ECC" w:rsidP="005C1ECC"/>
        </w:tc>
        <w:tc>
          <w:tcPr>
            <w:tcW w:w="4327" w:type="dxa"/>
          </w:tcPr>
          <w:p w:rsidR="005C1ECC" w:rsidRPr="005C1ECC" w:rsidRDefault="005C1ECC" w:rsidP="005C1ECC"/>
        </w:tc>
      </w:tr>
      <w:tr w:rsidR="005C1ECC" w:rsidRPr="005C1ECC" w:rsidTr="00741B40">
        <w:tc>
          <w:tcPr>
            <w:tcW w:w="1458" w:type="dxa"/>
          </w:tcPr>
          <w:p w:rsidR="005C1ECC" w:rsidRPr="005C1ECC" w:rsidRDefault="005C1ECC" w:rsidP="005C1ECC"/>
        </w:tc>
        <w:tc>
          <w:tcPr>
            <w:tcW w:w="2880" w:type="dxa"/>
          </w:tcPr>
          <w:p w:rsidR="005C1ECC" w:rsidRPr="005C1ECC" w:rsidRDefault="005C1ECC" w:rsidP="005C1ECC">
            <w:r w:rsidRPr="005C1ECC">
              <w:t>Canadian Human Rights Commission</w:t>
            </w:r>
          </w:p>
        </w:tc>
        <w:tc>
          <w:tcPr>
            <w:tcW w:w="1170" w:type="dxa"/>
          </w:tcPr>
          <w:p w:rsidR="005C1ECC" w:rsidRPr="005C1ECC" w:rsidRDefault="005C1ECC" w:rsidP="005C1ECC"/>
        </w:tc>
        <w:tc>
          <w:tcPr>
            <w:tcW w:w="4327" w:type="dxa"/>
          </w:tcPr>
          <w:p w:rsidR="005C1ECC" w:rsidRPr="005C1ECC" w:rsidRDefault="005C1ECC" w:rsidP="005C1ECC"/>
        </w:tc>
      </w:tr>
      <w:tr w:rsidR="005C1ECC" w:rsidRPr="005C1ECC" w:rsidTr="00741B40">
        <w:tc>
          <w:tcPr>
            <w:tcW w:w="1458" w:type="dxa"/>
          </w:tcPr>
          <w:p w:rsidR="005C1ECC" w:rsidRPr="005C1ECC" w:rsidRDefault="005C1ECC" w:rsidP="005C1ECC"/>
        </w:tc>
        <w:tc>
          <w:tcPr>
            <w:tcW w:w="2880" w:type="dxa"/>
          </w:tcPr>
          <w:p w:rsidR="005C1ECC" w:rsidRPr="005C1ECC" w:rsidRDefault="005C1ECC" w:rsidP="005C1ECC"/>
        </w:tc>
        <w:tc>
          <w:tcPr>
            <w:tcW w:w="1170" w:type="dxa"/>
          </w:tcPr>
          <w:p w:rsidR="005C1ECC" w:rsidRPr="005C1ECC" w:rsidRDefault="005C1ECC" w:rsidP="005C1ECC"/>
        </w:tc>
        <w:tc>
          <w:tcPr>
            <w:tcW w:w="4327" w:type="dxa"/>
          </w:tcPr>
          <w:p w:rsidR="005C1ECC" w:rsidRPr="005C1ECC" w:rsidRDefault="005C1ECC" w:rsidP="005C1ECC"/>
        </w:tc>
      </w:tr>
      <w:tr w:rsidR="005C1ECC" w:rsidRPr="005C1ECC" w:rsidTr="00741B40">
        <w:tc>
          <w:tcPr>
            <w:tcW w:w="1458" w:type="dxa"/>
          </w:tcPr>
          <w:p w:rsidR="005C1ECC" w:rsidRPr="005C1ECC" w:rsidRDefault="005C1ECC" w:rsidP="005C1ECC">
            <w:r w:rsidRPr="005C1ECC">
              <w:t>IN / DANS :</w:t>
            </w:r>
          </w:p>
        </w:tc>
        <w:tc>
          <w:tcPr>
            <w:tcW w:w="2880" w:type="dxa"/>
          </w:tcPr>
          <w:p w:rsidR="005C1ECC" w:rsidRPr="005C1ECC" w:rsidRDefault="005C1ECC" w:rsidP="005C1ECC">
            <w:r w:rsidRPr="005C1ECC">
              <w:t>Michael McCormick</w:t>
            </w:r>
          </w:p>
          <w:p w:rsidR="005C1ECC" w:rsidRPr="005C1ECC" w:rsidRDefault="005C1ECC" w:rsidP="005C1ECC"/>
          <w:p w:rsidR="005C1ECC" w:rsidRPr="005C1ECC" w:rsidRDefault="005C1ECC" w:rsidP="005C1ECC">
            <w:r w:rsidRPr="005C1ECC">
              <w:tab/>
              <w:t>v. (34997)</w:t>
            </w:r>
          </w:p>
          <w:p w:rsidR="005C1ECC" w:rsidRPr="005C1ECC" w:rsidRDefault="005C1ECC" w:rsidP="005C1ECC"/>
          <w:p w:rsidR="005C1ECC" w:rsidRPr="005C1ECC" w:rsidRDefault="005C1ECC" w:rsidP="005C1ECC">
            <w:r w:rsidRPr="005C1ECC">
              <w:t>Fasken Martineau Dumoulin LLP (B.C.)</w:t>
            </w:r>
          </w:p>
        </w:tc>
        <w:tc>
          <w:tcPr>
            <w:tcW w:w="1170" w:type="dxa"/>
          </w:tcPr>
          <w:p w:rsidR="005C1ECC" w:rsidRPr="005C1ECC" w:rsidRDefault="005C1ECC" w:rsidP="005C1ECC"/>
        </w:tc>
        <w:tc>
          <w:tcPr>
            <w:tcW w:w="4327" w:type="dxa"/>
          </w:tcPr>
          <w:p w:rsidR="005C1ECC" w:rsidRPr="005C1ECC" w:rsidRDefault="005C1ECC" w:rsidP="005C1ECC"/>
        </w:tc>
      </w:tr>
    </w:tbl>
    <w:p w:rsidR="005C1ECC" w:rsidRPr="005C1ECC" w:rsidRDefault="005C1ECC" w:rsidP="005C1ECC">
      <w:pPr>
        <w:jc w:val="both"/>
        <w:rPr>
          <w:rFonts w:eastAsia="Times New Roman" w:cs="Times New Roman"/>
          <w:sz w:val="20"/>
          <w:szCs w:val="20"/>
          <w:lang w:eastAsia="en-CA"/>
        </w:rPr>
      </w:pPr>
    </w:p>
    <w:p w:rsidR="005C1ECC" w:rsidRPr="00D8017E" w:rsidRDefault="005C1ECC" w:rsidP="005C1ECC">
      <w:pPr>
        <w:spacing w:line="233" w:lineRule="auto"/>
        <w:jc w:val="both"/>
        <w:rPr>
          <w:rFonts w:eastAsia="Times New Roman" w:cs="Times New Roman"/>
          <w:sz w:val="20"/>
          <w:szCs w:val="20"/>
          <w:lang w:eastAsia="en-CA"/>
        </w:rPr>
      </w:pPr>
      <w:r w:rsidRPr="00D8017E">
        <w:rPr>
          <w:rFonts w:eastAsia="Times New Roman" w:cs="Times New Roman"/>
          <w:b/>
          <w:bCs/>
          <w:sz w:val="20"/>
          <w:szCs w:val="20"/>
          <w:lang w:eastAsia="en-CA"/>
        </w:rPr>
        <w:t xml:space="preserve">FURTHER TO THE ORDER </w:t>
      </w:r>
      <w:r w:rsidRPr="00D8017E">
        <w:rPr>
          <w:rFonts w:eastAsia="Times New Roman" w:cs="Times New Roman"/>
          <w:bCs/>
          <w:sz w:val="20"/>
          <w:szCs w:val="20"/>
          <w:lang w:eastAsia="en-CA"/>
        </w:rPr>
        <w:t>dated</w:t>
      </w:r>
      <w:r w:rsidRPr="00D8017E">
        <w:rPr>
          <w:rFonts w:eastAsia="Times New Roman" w:cs="Times New Roman"/>
          <w:b/>
          <w:bCs/>
          <w:sz w:val="20"/>
          <w:szCs w:val="20"/>
          <w:lang w:eastAsia="en-CA"/>
        </w:rPr>
        <w:t xml:space="preserve"> </w:t>
      </w:r>
      <w:r w:rsidRPr="00D8017E">
        <w:rPr>
          <w:rFonts w:eastAsia="Times New Roman" w:cs="Times New Roman"/>
          <w:bCs/>
          <w:sz w:val="20"/>
          <w:szCs w:val="20"/>
          <w:lang w:eastAsia="en-CA"/>
        </w:rPr>
        <w:t>September 9, 2013, granting leave to intervene to the</w:t>
      </w:r>
      <w:r w:rsidRPr="00D8017E">
        <w:rPr>
          <w:rFonts w:eastAsia="Times New Roman" w:cs="Times New Roman"/>
          <w:sz w:val="20"/>
          <w:szCs w:val="20"/>
          <w:lang w:eastAsia="en-CA"/>
        </w:rPr>
        <w:t xml:space="preserve"> Alberta Human Rights Commission, the British Columbia Human Rights Tribunal, the Ernst &amp; Young LLP, KPMG LLP, Deloitte LLP, PricewaterhouseCoopers LLP, BDO Canada LLP and Grant Thornton LLP, the Young Bar Association of Montreal, the Ontario Human Rights Commission and the Canadian Human Rights Commission;</w:t>
      </w:r>
    </w:p>
    <w:p w:rsidR="005C1ECC" w:rsidRPr="00D8017E" w:rsidRDefault="005C1ECC" w:rsidP="005C1ECC">
      <w:pPr>
        <w:spacing w:line="233" w:lineRule="auto"/>
        <w:jc w:val="both"/>
        <w:rPr>
          <w:rFonts w:eastAsia="Times New Roman" w:cs="Times New Roman"/>
          <w:b/>
          <w:sz w:val="20"/>
          <w:szCs w:val="20"/>
          <w:lang w:eastAsia="en-CA"/>
        </w:rPr>
      </w:pPr>
    </w:p>
    <w:p w:rsidR="005C1ECC" w:rsidRPr="00D8017E" w:rsidRDefault="005C1ECC" w:rsidP="005C1ECC">
      <w:pPr>
        <w:spacing w:line="233" w:lineRule="auto"/>
        <w:jc w:val="both"/>
        <w:rPr>
          <w:rFonts w:eastAsia="Times New Roman" w:cs="Times New Roman"/>
          <w:bCs/>
          <w:sz w:val="20"/>
          <w:szCs w:val="20"/>
          <w:lang w:eastAsia="en-CA"/>
        </w:rPr>
      </w:pPr>
      <w:r w:rsidRPr="00D8017E">
        <w:rPr>
          <w:rFonts w:eastAsia="Times New Roman" w:cs="Times New Roman"/>
          <w:b/>
          <w:bCs/>
          <w:sz w:val="20"/>
          <w:szCs w:val="20"/>
          <w:lang w:eastAsia="en-CA"/>
        </w:rPr>
        <w:t xml:space="preserve">IT IS HEREBY FURTHER ORDERED THAT </w:t>
      </w:r>
      <w:r w:rsidRPr="00D8017E">
        <w:rPr>
          <w:rFonts w:eastAsia="Times New Roman" w:cs="Times New Roman"/>
          <w:bCs/>
          <w:sz w:val="20"/>
          <w:szCs w:val="20"/>
          <w:lang w:eastAsia="en-CA"/>
        </w:rPr>
        <w:t>the British Columbia Human Rights Tribunal is</w:t>
      </w:r>
      <w:r w:rsidRPr="00D8017E">
        <w:rPr>
          <w:rFonts w:eastAsia="Times New Roman" w:cs="Times New Roman"/>
          <w:sz w:val="20"/>
          <w:szCs w:val="20"/>
          <w:lang w:eastAsia="en-CA"/>
        </w:rPr>
        <w:t xml:space="preserve"> granted permission to present oral argument not exceeding ten (10) minutes at the hearing of the appeal.</w:t>
      </w:r>
      <w:r w:rsidRPr="00D8017E">
        <w:rPr>
          <w:rFonts w:eastAsia="Times New Roman" w:cs="Times New Roman"/>
          <w:bCs/>
          <w:sz w:val="20"/>
          <w:szCs w:val="20"/>
          <w:lang w:eastAsia="en-CA"/>
        </w:rPr>
        <w:t xml:space="preserve"> </w:t>
      </w:r>
    </w:p>
    <w:p w:rsidR="005C1ECC" w:rsidRPr="00D8017E" w:rsidRDefault="005C1ECC" w:rsidP="005C1ECC">
      <w:pPr>
        <w:spacing w:line="233" w:lineRule="auto"/>
        <w:jc w:val="both"/>
        <w:rPr>
          <w:rFonts w:eastAsia="Times New Roman" w:cs="Times New Roman"/>
          <w:bCs/>
          <w:sz w:val="20"/>
          <w:szCs w:val="20"/>
          <w:lang w:eastAsia="en-CA"/>
        </w:rPr>
      </w:pPr>
    </w:p>
    <w:p w:rsidR="005C1ECC" w:rsidRPr="00D8017E" w:rsidRDefault="005C1ECC" w:rsidP="005C1ECC">
      <w:pPr>
        <w:spacing w:line="233" w:lineRule="auto"/>
        <w:jc w:val="both"/>
        <w:rPr>
          <w:rFonts w:eastAsia="Times New Roman" w:cs="Times New Roman"/>
          <w:sz w:val="20"/>
          <w:szCs w:val="20"/>
          <w:lang w:eastAsia="en-CA"/>
        </w:rPr>
      </w:pPr>
      <w:r w:rsidRPr="00D8017E">
        <w:rPr>
          <w:rFonts w:eastAsia="Times New Roman" w:cs="Times New Roman"/>
          <w:b/>
          <w:bCs/>
          <w:sz w:val="20"/>
          <w:szCs w:val="20"/>
          <w:lang w:eastAsia="en-CA"/>
        </w:rPr>
        <w:t>AND IT IS HEREBY FURTHER ORDERED THAT</w:t>
      </w:r>
      <w:r w:rsidRPr="00D8017E">
        <w:rPr>
          <w:rFonts w:eastAsia="Times New Roman" w:cs="Times New Roman"/>
          <w:bCs/>
          <w:sz w:val="20"/>
          <w:szCs w:val="20"/>
          <w:lang w:eastAsia="en-CA"/>
        </w:rPr>
        <w:t xml:space="preserve"> the group, Ernst &amp; Young</w:t>
      </w:r>
      <w:r w:rsidRPr="00D8017E">
        <w:rPr>
          <w:rFonts w:eastAsia="Times New Roman" w:cs="Times New Roman"/>
          <w:sz w:val="20"/>
          <w:szCs w:val="20"/>
          <w:lang w:eastAsia="en-CA"/>
        </w:rPr>
        <w:t xml:space="preserve"> LLP, KPMG LLP, Deloitte LLP, PricewaterhouseCoopers LLP, BDO Canada LLP and Grant Thornton LLP is granted permission to present oral argument not exceeding ten (10) minutes at the hearing of the appeal.</w:t>
      </w:r>
    </w:p>
    <w:p w:rsidR="005C1ECC" w:rsidRPr="00D8017E" w:rsidRDefault="005C1ECC" w:rsidP="005C1ECC">
      <w:pPr>
        <w:spacing w:line="233" w:lineRule="auto"/>
        <w:jc w:val="both"/>
        <w:rPr>
          <w:rFonts w:eastAsia="Times New Roman" w:cs="Times New Roman"/>
          <w:sz w:val="20"/>
          <w:szCs w:val="20"/>
          <w:lang w:eastAsia="en-CA"/>
        </w:rPr>
      </w:pPr>
    </w:p>
    <w:p w:rsidR="005C1ECC" w:rsidRPr="00D8017E" w:rsidRDefault="005C1ECC" w:rsidP="005C1ECC">
      <w:pPr>
        <w:spacing w:line="233" w:lineRule="auto"/>
        <w:jc w:val="both"/>
        <w:rPr>
          <w:rFonts w:eastAsia="Times New Roman" w:cs="Times New Roman"/>
          <w:sz w:val="20"/>
          <w:szCs w:val="20"/>
          <w:lang w:eastAsia="en-CA"/>
        </w:rPr>
      </w:pPr>
      <w:r w:rsidRPr="00D8017E">
        <w:rPr>
          <w:rFonts w:eastAsia="Times New Roman" w:cs="Times New Roman"/>
          <w:b/>
          <w:bCs/>
          <w:sz w:val="20"/>
          <w:szCs w:val="20"/>
          <w:lang w:eastAsia="en-CA"/>
        </w:rPr>
        <w:t>AND IT IS HEREBY FURTHER ORDERED THAT</w:t>
      </w:r>
      <w:r w:rsidRPr="00D8017E">
        <w:rPr>
          <w:rFonts w:eastAsia="Times New Roman" w:cs="Times New Roman"/>
          <w:bCs/>
          <w:sz w:val="20"/>
          <w:szCs w:val="20"/>
          <w:lang w:eastAsia="en-CA"/>
        </w:rPr>
        <w:t xml:space="preserve"> the following three interveners, the </w:t>
      </w:r>
      <w:r w:rsidRPr="00D8017E">
        <w:rPr>
          <w:rFonts w:eastAsia="Times New Roman" w:cs="Times New Roman"/>
          <w:sz w:val="20"/>
          <w:szCs w:val="20"/>
          <w:lang w:eastAsia="en-CA"/>
        </w:rPr>
        <w:t>Ontario Human Rights Commission, the Canadian Human Rights Commission and the Alberta Human Rights Commission are granted permission to present a total of ten (10) minutes of oral argument at the hearing of the appeal. They shall consult to determine how the allotted time will be divided among them and shall inform the Court of their determination in writing. The written proposal shall be served and filed no later than December 4, 2013.</w:t>
      </w:r>
    </w:p>
    <w:p w:rsidR="005C1ECC" w:rsidRPr="00D8017E" w:rsidRDefault="005C1ECC" w:rsidP="005C1ECC">
      <w:pPr>
        <w:spacing w:line="233" w:lineRule="auto"/>
        <w:jc w:val="both"/>
        <w:rPr>
          <w:rFonts w:eastAsia="Times New Roman" w:cs="Times New Roman"/>
          <w:bCs/>
          <w:sz w:val="20"/>
          <w:szCs w:val="20"/>
          <w:lang w:eastAsia="en-CA"/>
        </w:rPr>
      </w:pPr>
    </w:p>
    <w:p w:rsidR="005C1ECC" w:rsidRPr="00D8017E" w:rsidRDefault="005C1ECC" w:rsidP="005C1ECC">
      <w:pPr>
        <w:spacing w:line="233" w:lineRule="auto"/>
        <w:jc w:val="both"/>
        <w:rPr>
          <w:rFonts w:eastAsia="Times New Roman" w:cs="Times New Roman"/>
          <w:bCs/>
          <w:sz w:val="20"/>
          <w:szCs w:val="20"/>
          <w:lang w:eastAsia="en-CA"/>
        </w:rPr>
      </w:pPr>
      <w:r w:rsidRPr="00D8017E">
        <w:rPr>
          <w:rFonts w:eastAsia="Times New Roman" w:cs="Times New Roman"/>
          <w:b/>
          <w:bCs/>
          <w:sz w:val="20"/>
          <w:szCs w:val="20"/>
          <w:lang w:eastAsia="en-CA"/>
        </w:rPr>
        <w:t>AND IT IS HEREBY FURTHER ORDERED THAT</w:t>
      </w:r>
      <w:r w:rsidRPr="00D8017E">
        <w:rPr>
          <w:rFonts w:eastAsia="Times New Roman" w:cs="Times New Roman"/>
          <w:bCs/>
          <w:sz w:val="20"/>
          <w:szCs w:val="20"/>
          <w:lang w:eastAsia="en-CA"/>
        </w:rPr>
        <w:t xml:space="preserve"> the Court will consider only the written submission of the Young Bar Association of Montreal as set out in its factum.</w:t>
      </w:r>
    </w:p>
    <w:p w:rsidR="005C1ECC" w:rsidRPr="005C1ECC" w:rsidRDefault="005C1ECC" w:rsidP="005C1ECC">
      <w:pPr>
        <w:spacing w:line="233" w:lineRule="auto"/>
        <w:jc w:val="both"/>
        <w:rPr>
          <w:rFonts w:eastAsia="Times New Roman" w:cs="Times New Roman"/>
          <w:bCs/>
          <w:sz w:val="20"/>
          <w:szCs w:val="20"/>
          <w:lang w:val="en-US" w:eastAsia="en-CA"/>
        </w:rPr>
      </w:pPr>
    </w:p>
    <w:p w:rsidR="005C1ECC" w:rsidRPr="005C1ECC" w:rsidRDefault="005C1ECC" w:rsidP="005C1ECC">
      <w:pPr>
        <w:spacing w:line="233" w:lineRule="auto"/>
        <w:jc w:val="both"/>
        <w:rPr>
          <w:rFonts w:eastAsia="Times New Roman" w:cs="Times New Roman"/>
          <w:b/>
          <w:bCs/>
          <w:sz w:val="20"/>
          <w:szCs w:val="20"/>
          <w:lang w:val="en-US" w:eastAsia="en-CA"/>
        </w:rPr>
      </w:pPr>
    </w:p>
    <w:p w:rsidR="005C1ECC" w:rsidRPr="005C1ECC" w:rsidRDefault="005C1ECC" w:rsidP="005C1ECC">
      <w:pPr>
        <w:spacing w:line="233" w:lineRule="auto"/>
        <w:jc w:val="both"/>
        <w:rPr>
          <w:rFonts w:eastAsia="Times New Roman" w:cs="Times New Roman"/>
          <w:b/>
          <w:bCs/>
          <w:sz w:val="20"/>
          <w:szCs w:val="20"/>
          <w:lang w:val="en-US" w:eastAsia="en-CA"/>
        </w:rPr>
      </w:pPr>
    </w:p>
    <w:p w:rsidR="005C1ECC" w:rsidRPr="005C1ECC" w:rsidRDefault="005C1ECC" w:rsidP="005C1ECC">
      <w:pPr>
        <w:spacing w:line="233" w:lineRule="auto"/>
        <w:jc w:val="both"/>
        <w:rPr>
          <w:rFonts w:eastAsia="Times New Roman" w:cs="Times New Roman"/>
          <w:bCs/>
          <w:sz w:val="20"/>
          <w:szCs w:val="20"/>
          <w:lang w:val="fr-CA" w:eastAsia="en-CA"/>
        </w:rPr>
      </w:pPr>
      <w:r w:rsidRPr="005C1ECC">
        <w:rPr>
          <w:rFonts w:eastAsia="Times New Roman" w:cs="Times New Roman"/>
          <w:b/>
          <w:bCs/>
          <w:sz w:val="20"/>
          <w:szCs w:val="20"/>
          <w:lang w:val="fr-CA" w:eastAsia="en-CA"/>
        </w:rPr>
        <w:t>À LA SUITE DE L’ORDONNANCE</w:t>
      </w:r>
      <w:r w:rsidRPr="005C1ECC">
        <w:rPr>
          <w:rFonts w:eastAsia="Times New Roman" w:cs="Times New Roman"/>
          <w:bCs/>
          <w:sz w:val="20"/>
          <w:szCs w:val="20"/>
          <w:lang w:val="fr-CA" w:eastAsia="en-CA"/>
        </w:rPr>
        <w:t xml:space="preserve"> datée du 9 septembre 2013 autorisant la </w:t>
      </w:r>
      <w:r w:rsidRPr="005C1ECC">
        <w:rPr>
          <w:rFonts w:eastAsia="Times New Roman" w:cs="Times New Roman"/>
          <w:sz w:val="20"/>
          <w:szCs w:val="20"/>
          <w:lang w:val="fr-CA" w:eastAsia="en-CA"/>
        </w:rPr>
        <w:t xml:space="preserve">Alberta Human Rights Commission, le British Columbia Human Rights Tribunal, Ernst &amp; Young LLP, </w:t>
      </w:r>
      <w:r w:rsidRPr="005C1ECC">
        <w:rPr>
          <w:rFonts w:eastAsia="Times New Roman" w:cs="Times New Roman"/>
          <w:bCs/>
          <w:sz w:val="20"/>
          <w:szCs w:val="20"/>
          <w:lang w:val="fr-CA" w:eastAsia="en-CA"/>
        </w:rPr>
        <w:t xml:space="preserve"> </w:t>
      </w:r>
      <w:r w:rsidRPr="005C1ECC">
        <w:rPr>
          <w:rFonts w:eastAsia="Times New Roman" w:cs="Times New Roman"/>
          <w:sz w:val="20"/>
          <w:szCs w:val="20"/>
          <w:lang w:val="fr-CA" w:eastAsia="en-CA"/>
        </w:rPr>
        <w:t>KPMG LLP</w:t>
      </w:r>
      <w:r w:rsidRPr="005C1ECC">
        <w:rPr>
          <w:rFonts w:eastAsia="Times New Roman" w:cs="Times New Roman"/>
          <w:bCs/>
          <w:sz w:val="20"/>
          <w:szCs w:val="20"/>
          <w:lang w:val="fr-CA" w:eastAsia="en-CA"/>
        </w:rPr>
        <w:t xml:space="preserve"> , </w:t>
      </w:r>
      <w:r w:rsidRPr="005C1ECC">
        <w:rPr>
          <w:rFonts w:eastAsia="Times New Roman" w:cs="Times New Roman"/>
          <w:sz w:val="20"/>
          <w:szCs w:val="20"/>
          <w:lang w:val="fr-CA" w:eastAsia="en-CA"/>
        </w:rPr>
        <w:t>Deloitte LLP, PricewaterhouseCoopers LLP, BDO Canada LLP et Grant Thornton LLP, l’Association du Jeune Barreau de Montréal, la Commission ontarienne des droits de la personne et la Commission canadienne des droits de la personne</w:t>
      </w:r>
      <w:r w:rsidRPr="005C1ECC">
        <w:rPr>
          <w:rFonts w:eastAsia="Times New Roman" w:cs="Times New Roman"/>
          <w:bCs/>
          <w:sz w:val="20"/>
          <w:szCs w:val="20"/>
          <w:lang w:val="fr-CA" w:eastAsia="en-CA"/>
        </w:rPr>
        <w:t xml:space="preserve"> à intervenir;</w:t>
      </w:r>
    </w:p>
    <w:p w:rsidR="005C1ECC" w:rsidRPr="005C1ECC" w:rsidRDefault="005C1ECC" w:rsidP="005C1ECC">
      <w:pPr>
        <w:spacing w:line="233" w:lineRule="auto"/>
        <w:jc w:val="both"/>
        <w:rPr>
          <w:rFonts w:eastAsia="Times New Roman" w:cs="Times New Roman"/>
          <w:bCs/>
          <w:sz w:val="20"/>
          <w:szCs w:val="20"/>
          <w:lang w:val="fr-CA" w:eastAsia="en-CA"/>
        </w:rPr>
      </w:pPr>
    </w:p>
    <w:p w:rsidR="005C1ECC" w:rsidRPr="005C1ECC" w:rsidRDefault="005C1ECC" w:rsidP="005C1ECC">
      <w:pPr>
        <w:spacing w:line="233" w:lineRule="auto"/>
        <w:jc w:val="both"/>
        <w:rPr>
          <w:rFonts w:eastAsia="Times New Roman" w:cs="Times New Roman"/>
          <w:bCs/>
          <w:sz w:val="20"/>
          <w:szCs w:val="20"/>
          <w:lang w:val="fr-CA" w:eastAsia="en-CA"/>
        </w:rPr>
      </w:pPr>
      <w:r w:rsidRPr="005C1ECC">
        <w:rPr>
          <w:rFonts w:eastAsia="Times New Roman" w:cs="Times New Roman"/>
          <w:b/>
          <w:bCs/>
          <w:sz w:val="20"/>
          <w:szCs w:val="20"/>
          <w:lang w:val="fr-CA" w:eastAsia="en-CA"/>
        </w:rPr>
        <w:t>IL EST EN OUTRE ORDONNÉ QUE</w:t>
      </w:r>
      <w:r w:rsidRPr="005C1ECC">
        <w:rPr>
          <w:rFonts w:eastAsia="Times New Roman" w:cs="Times New Roman"/>
          <w:bCs/>
          <w:sz w:val="20"/>
          <w:szCs w:val="20"/>
          <w:lang w:val="fr-CA" w:eastAsia="en-CA"/>
        </w:rPr>
        <w:t xml:space="preserve"> </w:t>
      </w:r>
      <w:r w:rsidRPr="005C1ECC">
        <w:rPr>
          <w:rFonts w:eastAsia="Times New Roman" w:cs="Times New Roman"/>
          <w:sz w:val="20"/>
          <w:szCs w:val="20"/>
          <w:lang w:val="fr-CA" w:eastAsia="en-CA"/>
        </w:rPr>
        <w:t>le British Columbia Human Rights Tribunal</w:t>
      </w:r>
      <w:r w:rsidRPr="005C1ECC">
        <w:rPr>
          <w:rFonts w:eastAsia="Times New Roman" w:cs="Times New Roman"/>
          <w:bCs/>
          <w:sz w:val="20"/>
          <w:szCs w:val="20"/>
          <w:lang w:val="fr-CA" w:eastAsia="en-CA"/>
        </w:rPr>
        <w:t xml:space="preserve"> pourra présenter une plaidoirie orale d’au plus dix (10) minutes lors de l’audition de l’appel.</w:t>
      </w:r>
    </w:p>
    <w:p w:rsidR="005C1ECC" w:rsidRPr="005C1ECC" w:rsidRDefault="005C1ECC" w:rsidP="005C1ECC">
      <w:pPr>
        <w:spacing w:line="233" w:lineRule="auto"/>
        <w:jc w:val="both"/>
        <w:rPr>
          <w:rFonts w:eastAsia="Times New Roman" w:cs="Times New Roman"/>
          <w:bCs/>
          <w:sz w:val="20"/>
          <w:szCs w:val="20"/>
          <w:lang w:val="fr-CA" w:eastAsia="en-CA"/>
        </w:rPr>
      </w:pPr>
    </w:p>
    <w:p w:rsidR="005C1ECC" w:rsidRPr="005C1ECC" w:rsidRDefault="005C1ECC" w:rsidP="005C1ECC">
      <w:pPr>
        <w:spacing w:line="233" w:lineRule="auto"/>
        <w:jc w:val="both"/>
        <w:rPr>
          <w:rFonts w:eastAsia="Times New Roman" w:cs="Times New Roman"/>
          <w:bCs/>
          <w:sz w:val="20"/>
          <w:szCs w:val="20"/>
          <w:lang w:val="fr-CA" w:eastAsia="en-CA"/>
        </w:rPr>
      </w:pPr>
      <w:r w:rsidRPr="005C1ECC">
        <w:rPr>
          <w:rFonts w:eastAsia="Times New Roman" w:cs="Times New Roman"/>
          <w:b/>
          <w:bCs/>
          <w:sz w:val="20"/>
          <w:szCs w:val="20"/>
          <w:lang w:val="fr-CA" w:eastAsia="en-CA"/>
        </w:rPr>
        <w:lastRenderedPageBreak/>
        <w:t>ET IL EST EN OUTRE ORDONNÉ QUE</w:t>
      </w:r>
      <w:r w:rsidRPr="005C1ECC">
        <w:rPr>
          <w:rFonts w:eastAsia="Times New Roman" w:cs="Times New Roman"/>
          <w:bCs/>
          <w:sz w:val="20"/>
          <w:szCs w:val="20"/>
          <w:lang w:val="fr-CA" w:eastAsia="en-CA"/>
        </w:rPr>
        <w:t xml:space="preserve"> </w:t>
      </w:r>
      <w:r w:rsidRPr="005C1ECC">
        <w:rPr>
          <w:rFonts w:eastAsia="Times New Roman" w:cs="Times New Roman"/>
          <w:sz w:val="20"/>
          <w:szCs w:val="20"/>
          <w:lang w:val="fr-CA" w:eastAsia="en-CA"/>
        </w:rPr>
        <w:t xml:space="preserve">le groupe d’intervenants formé d’Ernst &amp; Young LLP, </w:t>
      </w:r>
      <w:r w:rsidRPr="005C1ECC">
        <w:rPr>
          <w:rFonts w:eastAsia="Times New Roman" w:cs="Times New Roman"/>
          <w:bCs/>
          <w:sz w:val="20"/>
          <w:szCs w:val="20"/>
          <w:lang w:val="fr-CA" w:eastAsia="en-CA"/>
        </w:rPr>
        <w:t xml:space="preserve"> </w:t>
      </w:r>
      <w:r w:rsidRPr="005C1ECC">
        <w:rPr>
          <w:rFonts w:eastAsia="Times New Roman" w:cs="Times New Roman"/>
          <w:sz w:val="20"/>
          <w:szCs w:val="20"/>
          <w:lang w:val="fr-CA" w:eastAsia="en-CA"/>
        </w:rPr>
        <w:t>KPMG LLP</w:t>
      </w:r>
      <w:r w:rsidRPr="005C1ECC">
        <w:rPr>
          <w:rFonts w:eastAsia="Times New Roman" w:cs="Times New Roman"/>
          <w:bCs/>
          <w:sz w:val="20"/>
          <w:szCs w:val="20"/>
          <w:lang w:val="fr-CA" w:eastAsia="en-CA"/>
        </w:rPr>
        <w:t xml:space="preserve"> , </w:t>
      </w:r>
      <w:r w:rsidRPr="005C1ECC">
        <w:rPr>
          <w:rFonts w:eastAsia="Times New Roman" w:cs="Times New Roman"/>
          <w:sz w:val="20"/>
          <w:szCs w:val="20"/>
          <w:lang w:val="fr-CA" w:eastAsia="en-CA"/>
        </w:rPr>
        <w:t xml:space="preserve">Deloitte LLP, PricewaterhouseCoopers LLP, BDO Canada LLP et Grant Thornton LLP </w:t>
      </w:r>
      <w:r w:rsidRPr="005C1ECC">
        <w:rPr>
          <w:rFonts w:eastAsia="Times New Roman" w:cs="Times New Roman"/>
          <w:bCs/>
          <w:sz w:val="20"/>
          <w:szCs w:val="20"/>
          <w:lang w:val="fr-CA" w:eastAsia="en-CA"/>
        </w:rPr>
        <w:t>pourra présenter une plaidoirie orale d’au plus dix (10) minutes lors de l’audition de l’appel.</w:t>
      </w:r>
    </w:p>
    <w:p w:rsidR="005C1ECC" w:rsidRPr="005C1ECC" w:rsidRDefault="005C1ECC" w:rsidP="005C1ECC">
      <w:pPr>
        <w:spacing w:line="233" w:lineRule="auto"/>
        <w:jc w:val="both"/>
        <w:rPr>
          <w:rFonts w:eastAsia="Times New Roman" w:cs="Times New Roman"/>
          <w:bCs/>
          <w:sz w:val="20"/>
          <w:szCs w:val="20"/>
          <w:lang w:val="fr-CA" w:eastAsia="en-CA"/>
        </w:rPr>
      </w:pPr>
    </w:p>
    <w:p w:rsidR="005C1ECC" w:rsidRPr="005C1ECC" w:rsidRDefault="005C1ECC" w:rsidP="005C1ECC">
      <w:pPr>
        <w:spacing w:line="233" w:lineRule="auto"/>
        <w:jc w:val="both"/>
        <w:rPr>
          <w:rFonts w:eastAsia="Times New Roman" w:cs="Times New Roman"/>
          <w:bCs/>
          <w:sz w:val="20"/>
          <w:szCs w:val="20"/>
          <w:lang w:val="fr-CA" w:eastAsia="en-CA"/>
        </w:rPr>
      </w:pPr>
      <w:r w:rsidRPr="005C1ECC">
        <w:rPr>
          <w:rFonts w:eastAsia="Times New Roman" w:cs="Times New Roman"/>
          <w:b/>
          <w:bCs/>
          <w:sz w:val="20"/>
          <w:szCs w:val="20"/>
          <w:lang w:val="fr-CA" w:eastAsia="en-CA"/>
        </w:rPr>
        <w:t xml:space="preserve">ET IL EST EN OUTRE ORDONNÉ QUE </w:t>
      </w:r>
      <w:r w:rsidRPr="005C1ECC">
        <w:rPr>
          <w:rFonts w:eastAsia="Times New Roman" w:cs="Times New Roman"/>
          <w:bCs/>
          <w:sz w:val="20"/>
          <w:szCs w:val="20"/>
          <w:lang w:val="fr-CA" w:eastAsia="en-CA"/>
        </w:rPr>
        <w:t xml:space="preserve">les trois intervenantes </w:t>
      </w:r>
      <w:r w:rsidRPr="005C1ECC">
        <w:rPr>
          <w:rFonts w:eastAsia="Times New Roman" w:cs="Times New Roman"/>
          <w:sz w:val="20"/>
          <w:szCs w:val="20"/>
          <w:lang w:val="fr-CA" w:eastAsia="en-CA"/>
        </w:rPr>
        <w:t xml:space="preserve">la Commission ontarienne des droits de la personne, la Commission canadienne des droits de la personne et </w:t>
      </w:r>
      <w:r w:rsidRPr="005C1ECC">
        <w:rPr>
          <w:rFonts w:eastAsia="Times New Roman" w:cs="Times New Roman"/>
          <w:bCs/>
          <w:sz w:val="20"/>
          <w:szCs w:val="20"/>
          <w:lang w:val="fr-CA" w:eastAsia="en-CA"/>
        </w:rPr>
        <w:t xml:space="preserve">la </w:t>
      </w:r>
      <w:r w:rsidRPr="005C1ECC">
        <w:rPr>
          <w:rFonts w:eastAsia="Times New Roman" w:cs="Times New Roman"/>
          <w:sz w:val="20"/>
          <w:szCs w:val="20"/>
          <w:lang w:val="fr-CA" w:eastAsia="en-CA"/>
        </w:rPr>
        <w:t>Alberta Human Rights Commission</w:t>
      </w:r>
      <w:r w:rsidRPr="005C1ECC">
        <w:rPr>
          <w:rFonts w:eastAsia="Times New Roman" w:cs="Times New Roman"/>
          <w:bCs/>
          <w:sz w:val="20"/>
          <w:szCs w:val="20"/>
          <w:lang w:val="fr-CA" w:eastAsia="en-CA"/>
        </w:rPr>
        <w:t xml:space="preserve"> pourront présenter une plaidoirie orale d’au plus dix (10) minutes au total lors de l’audition de l’appel.  Elles se consulteront pour déterminer comment elles se répartiront le temps qui leur est alloué et informeront la Cour de leur décision par écrit.  Leur proposition écrite sera déposée et signifiée au plus tard le 4 décembre 2013.</w:t>
      </w:r>
    </w:p>
    <w:p w:rsidR="005C1ECC" w:rsidRPr="005C1ECC" w:rsidRDefault="005C1ECC" w:rsidP="005C1ECC">
      <w:pPr>
        <w:spacing w:line="233" w:lineRule="auto"/>
        <w:jc w:val="both"/>
        <w:rPr>
          <w:rFonts w:eastAsia="Times New Roman" w:cs="Times New Roman"/>
          <w:bCs/>
          <w:sz w:val="20"/>
          <w:szCs w:val="20"/>
          <w:lang w:val="fr-CA" w:eastAsia="en-CA"/>
        </w:rPr>
      </w:pPr>
    </w:p>
    <w:p w:rsidR="005C1ECC" w:rsidRPr="005C1ECC" w:rsidRDefault="005C1ECC" w:rsidP="005C1ECC">
      <w:pPr>
        <w:spacing w:line="233" w:lineRule="auto"/>
        <w:jc w:val="both"/>
        <w:rPr>
          <w:rFonts w:eastAsia="Times New Roman" w:cs="Times New Roman"/>
          <w:bCs/>
          <w:sz w:val="20"/>
          <w:szCs w:val="20"/>
          <w:lang w:val="fr-CA" w:eastAsia="en-CA"/>
        </w:rPr>
      </w:pPr>
      <w:r w:rsidRPr="005C1ECC">
        <w:rPr>
          <w:rFonts w:eastAsia="Times New Roman" w:cs="Times New Roman"/>
          <w:b/>
          <w:bCs/>
          <w:sz w:val="20"/>
          <w:szCs w:val="20"/>
          <w:lang w:val="fr-CA" w:eastAsia="en-CA"/>
        </w:rPr>
        <w:t xml:space="preserve">ET IL EST EN OUTRE ORDONNÉ QUE </w:t>
      </w:r>
      <w:r w:rsidRPr="005C1ECC">
        <w:rPr>
          <w:rFonts w:eastAsia="Times New Roman" w:cs="Times New Roman"/>
          <w:bCs/>
          <w:sz w:val="20"/>
          <w:szCs w:val="20"/>
          <w:lang w:val="fr-CA" w:eastAsia="en-CA"/>
        </w:rPr>
        <w:t>la Cour n’examinera que les observations écrites de l’Association du Jeune Barreau de Montréal tel qu’elles sont énoncées dans son mémoire.</w:t>
      </w:r>
    </w:p>
    <w:p w:rsidR="005C1ECC" w:rsidRPr="005C1ECC" w:rsidRDefault="005C1ECC" w:rsidP="005C1ECC">
      <w:pPr>
        <w:rPr>
          <w:rFonts w:eastAsia="Times New Roman" w:cs="Times New Roman"/>
          <w:sz w:val="20"/>
          <w:szCs w:val="20"/>
          <w:lang w:val="fr-CA" w:eastAsia="en-CA"/>
        </w:rPr>
      </w:pPr>
    </w:p>
    <w:p w:rsidR="005C1ECC" w:rsidRPr="005C1ECC" w:rsidRDefault="00E7787D" w:rsidP="005C1ECC">
      <w:pPr>
        <w:rPr>
          <w:rFonts w:eastAsia="Times New Roman" w:cs="Times New Roman"/>
          <w:sz w:val="20"/>
          <w:szCs w:val="20"/>
          <w:lang w:eastAsia="en-CA"/>
        </w:rPr>
      </w:pPr>
      <w:r>
        <w:rPr>
          <w:rFonts w:eastAsia="Times New Roman" w:cs="Times New Roman"/>
          <w:sz w:val="20"/>
          <w:szCs w:val="20"/>
          <w:lang w:val="fr-CA" w:eastAsia="en-CA"/>
        </w:rPr>
        <w:pict>
          <v:rect id="_x0000_i1054" style="width:2in;height:1pt" o:hrpct="0" o:hralign="center" o:hrstd="t" o:hrnoshade="t" o:hr="t" fillcolor="black [3213]" stroked="f"/>
        </w:pict>
      </w:r>
    </w:p>
    <w:p w:rsidR="005C1ECC" w:rsidRPr="005C1ECC" w:rsidRDefault="005C1ECC" w:rsidP="005C1ECC">
      <w:pPr>
        <w:tabs>
          <w:tab w:val="left" w:pos="-1440"/>
          <w:tab w:val="left" w:pos="-720"/>
        </w:tabs>
        <w:jc w:val="both"/>
        <w:rPr>
          <w:rFonts w:eastAsia="Times New Roman" w:cs="Times New Roman"/>
          <w:sz w:val="20"/>
          <w:szCs w:val="20"/>
          <w:lang w:val="fr-CA"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42"/>
          <w:headerReference w:type="default" r:id="rId43"/>
          <w:footerReference w:type="even" r:id="rId44"/>
          <w:footerReference w:type="default" r:id="rId45"/>
          <w:headerReference w:type="first" r:id="rId46"/>
          <w:footerReference w:type="first" r:id="rId47"/>
          <w:pgSz w:w="12240" w:h="15840"/>
          <w:pgMar w:top="720" w:right="965" w:bottom="1080" w:left="1656" w:header="720" w:footer="965" w:gutter="0"/>
          <w:cols w:space="720"/>
          <w:titlePg/>
          <w:docGrid w:linePitch="326"/>
        </w:sectPr>
      </w:pPr>
    </w:p>
    <w:tbl>
      <w:tblPr>
        <w:tblW w:w="9720" w:type="dxa"/>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080"/>
        <w:gridCol w:w="4410"/>
      </w:tblGrid>
      <w:tr w:rsidR="00802863" w:rsidRPr="00B52C2C" w:rsidTr="0085476B">
        <w:tc>
          <w:tcPr>
            <w:tcW w:w="4230" w:type="dxa"/>
            <w:shd w:val="clear" w:color="auto" w:fill="auto"/>
            <w:tcMar>
              <w:left w:w="0" w:type="dxa"/>
              <w:right w:w="0" w:type="dxa"/>
            </w:tcMar>
          </w:tcPr>
          <w:p w:rsidR="00802863" w:rsidRPr="00C1697B" w:rsidRDefault="00802863" w:rsidP="00697C62">
            <w:pPr>
              <w:rPr>
                <w:b/>
                <w:szCs w:val="24"/>
              </w:rPr>
            </w:pPr>
            <w:r w:rsidRPr="00C1697B">
              <w:rPr>
                <w:b/>
                <w:szCs w:val="24"/>
              </w:rPr>
              <w:lastRenderedPageBreak/>
              <w:t>NOTICES OF DISCONTINUANCE FILED SINCE LAST ISSUE</w:t>
            </w:r>
          </w:p>
        </w:tc>
        <w:tc>
          <w:tcPr>
            <w:tcW w:w="1080" w:type="dxa"/>
            <w:shd w:val="clear" w:color="auto" w:fill="auto"/>
            <w:tcMar>
              <w:left w:w="0" w:type="dxa"/>
              <w:right w:w="0" w:type="dxa"/>
            </w:tcMar>
          </w:tcPr>
          <w:p w:rsidR="00802863" w:rsidRPr="00C1697B" w:rsidRDefault="00802863" w:rsidP="00802863">
            <w:pPr>
              <w:jc w:val="center"/>
              <w:rPr>
                <w:b/>
                <w:szCs w:val="24"/>
              </w:rPr>
            </w:pPr>
          </w:p>
          <w:p w:rsidR="00802863" w:rsidRPr="00C1697B" w:rsidRDefault="00802863" w:rsidP="00802863">
            <w:pPr>
              <w:jc w:val="center"/>
              <w:rPr>
                <w:b/>
                <w:szCs w:val="24"/>
              </w:rPr>
            </w:pPr>
          </w:p>
          <w:p w:rsidR="00802863" w:rsidRPr="00C1697B" w:rsidRDefault="00802863" w:rsidP="00802863">
            <w:pPr>
              <w:jc w:val="center"/>
              <w:rPr>
                <w:b/>
                <w:szCs w:val="24"/>
              </w:rPr>
            </w:pPr>
          </w:p>
        </w:tc>
        <w:tc>
          <w:tcPr>
            <w:tcW w:w="4410" w:type="dxa"/>
            <w:shd w:val="clear" w:color="auto" w:fill="auto"/>
            <w:tcMar>
              <w:left w:w="0" w:type="dxa"/>
              <w:right w:w="0" w:type="dxa"/>
            </w:tcMar>
          </w:tcPr>
          <w:p w:rsidR="00802863" w:rsidRPr="00C1697B" w:rsidRDefault="00802863" w:rsidP="00697C62">
            <w:pPr>
              <w:rPr>
                <w:b/>
                <w:szCs w:val="24"/>
                <w:lang w:val="fr-CA"/>
              </w:rPr>
            </w:pPr>
            <w:r w:rsidRPr="00C1697B">
              <w:rPr>
                <w:b/>
                <w:szCs w:val="24"/>
                <w:lang w:val="fr-CA"/>
              </w:rPr>
              <w:t>AVIS DE DÉSISTEMENT DÉPOSÉS DEPUIS LA DERNIÈRE PARUTION</w:t>
            </w:r>
          </w:p>
        </w:tc>
      </w:tr>
    </w:tbl>
    <w:p w:rsidR="00802863" w:rsidRPr="00C50A5C" w:rsidRDefault="00802863" w:rsidP="00802863">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080"/>
        <w:gridCol w:w="4417"/>
      </w:tblGrid>
      <w:tr w:rsidR="00802863" w:rsidRPr="00C50A5C" w:rsidTr="00C1697B">
        <w:trPr>
          <w:cantSplit/>
        </w:trPr>
        <w:tc>
          <w:tcPr>
            <w:tcW w:w="4338" w:type="dxa"/>
            <w:shd w:val="clear" w:color="auto" w:fill="auto"/>
          </w:tcPr>
          <w:p w:rsidR="00C1697B" w:rsidRPr="00C50A5C" w:rsidRDefault="00C018C5" w:rsidP="00C1697B">
            <w:pPr>
              <w:rPr>
                <w:sz w:val="20"/>
                <w:szCs w:val="20"/>
              </w:rPr>
            </w:pPr>
            <w:r>
              <w:rPr>
                <w:sz w:val="20"/>
                <w:szCs w:val="20"/>
              </w:rPr>
              <w:t>28</w:t>
            </w:r>
            <w:r w:rsidR="00C1697B" w:rsidRPr="00C50A5C">
              <w:rPr>
                <w:sz w:val="20"/>
                <w:szCs w:val="20"/>
              </w:rPr>
              <w:t>.</w:t>
            </w:r>
            <w:r>
              <w:rPr>
                <w:sz w:val="20"/>
                <w:szCs w:val="20"/>
              </w:rPr>
              <w:t>11</w:t>
            </w:r>
            <w:r w:rsidR="00C1697B" w:rsidRPr="00C50A5C">
              <w:rPr>
                <w:sz w:val="20"/>
                <w:szCs w:val="20"/>
              </w:rPr>
              <w:t>.201</w:t>
            </w:r>
            <w:r>
              <w:rPr>
                <w:sz w:val="20"/>
                <w:szCs w:val="20"/>
              </w:rPr>
              <w:t>3</w:t>
            </w:r>
          </w:p>
          <w:p w:rsidR="00C1697B" w:rsidRPr="00C50A5C" w:rsidRDefault="00C1697B" w:rsidP="00C1697B">
            <w:pPr>
              <w:rPr>
                <w:sz w:val="20"/>
                <w:szCs w:val="20"/>
              </w:rPr>
            </w:pPr>
          </w:p>
          <w:p w:rsidR="00C1697B" w:rsidRDefault="00C018C5" w:rsidP="00C1697B">
            <w:pPr>
              <w:rPr>
                <w:b/>
                <w:sz w:val="20"/>
                <w:szCs w:val="20"/>
              </w:rPr>
            </w:pPr>
            <w:r w:rsidRPr="00C50A5C">
              <w:rPr>
                <w:b/>
                <w:sz w:val="20"/>
                <w:szCs w:val="20"/>
              </w:rPr>
              <w:t xml:space="preserve">Her Majesty the Queen </w:t>
            </w:r>
          </w:p>
          <w:p w:rsidR="00C018C5" w:rsidRPr="00C1697B" w:rsidRDefault="00C018C5" w:rsidP="00C1697B">
            <w:pPr>
              <w:rPr>
                <w:b/>
                <w:sz w:val="20"/>
                <w:szCs w:val="20"/>
              </w:rPr>
            </w:pPr>
          </w:p>
          <w:p w:rsidR="00C1697B" w:rsidRPr="00C1697B" w:rsidRDefault="00C1697B" w:rsidP="00C1697B">
            <w:pPr>
              <w:rPr>
                <w:b/>
                <w:sz w:val="20"/>
                <w:szCs w:val="20"/>
              </w:rPr>
            </w:pPr>
            <w:r w:rsidRPr="00C1697B">
              <w:rPr>
                <w:b/>
                <w:sz w:val="20"/>
                <w:szCs w:val="20"/>
              </w:rPr>
              <w:tab/>
              <w:t>v. (3</w:t>
            </w:r>
            <w:r w:rsidR="00C018C5">
              <w:rPr>
                <w:b/>
                <w:sz w:val="20"/>
                <w:szCs w:val="20"/>
              </w:rPr>
              <w:t>5475</w:t>
            </w:r>
            <w:r w:rsidRPr="00C1697B">
              <w:rPr>
                <w:b/>
                <w:sz w:val="20"/>
                <w:szCs w:val="20"/>
              </w:rPr>
              <w:t>)</w:t>
            </w:r>
          </w:p>
          <w:p w:rsidR="00C1697B" w:rsidRPr="00C1697B" w:rsidRDefault="00C1697B" w:rsidP="00C1697B">
            <w:pPr>
              <w:rPr>
                <w:b/>
                <w:sz w:val="20"/>
                <w:szCs w:val="20"/>
              </w:rPr>
            </w:pPr>
          </w:p>
          <w:p w:rsidR="00C1697B" w:rsidRPr="00C1697B" w:rsidRDefault="00C018C5" w:rsidP="00C1697B">
            <w:pPr>
              <w:rPr>
                <w:b/>
                <w:sz w:val="20"/>
                <w:szCs w:val="20"/>
              </w:rPr>
            </w:pPr>
            <w:r>
              <w:rPr>
                <w:b/>
                <w:sz w:val="20"/>
                <w:szCs w:val="20"/>
              </w:rPr>
              <w:t>C</w:t>
            </w:r>
            <w:r w:rsidR="00C1697B" w:rsidRPr="00C1697B">
              <w:rPr>
                <w:b/>
                <w:sz w:val="20"/>
                <w:szCs w:val="20"/>
              </w:rPr>
              <w:t>li</w:t>
            </w:r>
            <w:r>
              <w:rPr>
                <w:b/>
                <w:sz w:val="20"/>
                <w:szCs w:val="20"/>
              </w:rPr>
              <w:t>fford Kokopen</w:t>
            </w:r>
            <w:r w:rsidR="00C1697B" w:rsidRPr="00C1697B">
              <w:rPr>
                <w:b/>
                <w:sz w:val="20"/>
                <w:szCs w:val="20"/>
              </w:rPr>
              <w:t>a</w:t>
            </w:r>
            <w:r>
              <w:rPr>
                <w:b/>
                <w:sz w:val="20"/>
                <w:szCs w:val="20"/>
              </w:rPr>
              <w:t>ce</w:t>
            </w:r>
            <w:r w:rsidR="00C1697B" w:rsidRPr="00C1697B">
              <w:rPr>
                <w:b/>
                <w:sz w:val="20"/>
                <w:szCs w:val="20"/>
              </w:rPr>
              <w:t xml:space="preserve"> (Ont.) </w:t>
            </w:r>
          </w:p>
          <w:p w:rsidR="00C1697B" w:rsidRPr="00C50A5C" w:rsidRDefault="00C1697B" w:rsidP="00C1697B">
            <w:pPr>
              <w:rPr>
                <w:sz w:val="20"/>
                <w:szCs w:val="20"/>
              </w:rPr>
            </w:pPr>
          </w:p>
          <w:p w:rsidR="00C1697B" w:rsidRPr="00C50A5C" w:rsidRDefault="00C1697B" w:rsidP="00C1697B">
            <w:pPr>
              <w:rPr>
                <w:sz w:val="20"/>
                <w:szCs w:val="20"/>
              </w:rPr>
            </w:pPr>
            <w:r w:rsidRPr="00C50A5C">
              <w:rPr>
                <w:sz w:val="20"/>
                <w:szCs w:val="20"/>
              </w:rPr>
              <w:t>(</w:t>
            </w:r>
            <w:r w:rsidR="00C018C5">
              <w:rPr>
                <w:sz w:val="20"/>
                <w:szCs w:val="20"/>
              </w:rPr>
              <w:t>As of Right</w:t>
            </w:r>
            <w:r w:rsidRPr="00C50A5C">
              <w:rPr>
                <w:sz w:val="20"/>
                <w:szCs w:val="20"/>
              </w:rPr>
              <w:t>)</w:t>
            </w:r>
          </w:p>
          <w:p w:rsidR="00802863" w:rsidRPr="00C50A5C" w:rsidRDefault="00802863" w:rsidP="00697C62">
            <w:pPr>
              <w:rPr>
                <w:sz w:val="20"/>
                <w:szCs w:val="20"/>
              </w:rPr>
            </w:pPr>
          </w:p>
          <w:p w:rsidR="00802863" w:rsidRPr="00C50A5C" w:rsidRDefault="00E7787D" w:rsidP="00697C62">
            <w:pPr>
              <w:rPr>
                <w:sz w:val="20"/>
                <w:szCs w:val="20"/>
                <w:lang w:val="fr-CA"/>
              </w:rPr>
            </w:pPr>
            <w:r>
              <w:rPr>
                <w:sz w:val="20"/>
                <w:szCs w:val="20"/>
                <w:lang w:val="fr-CA"/>
              </w:rPr>
              <w:pict>
                <v:rect id="_x0000_i1057" style="width:108pt;height:1pt" o:hrpct="0" o:hralign="center" o:hrstd="t" o:hrnoshade="t" o:hr="t" fillcolor="black [3213]" stroked="f"/>
              </w:pict>
            </w:r>
          </w:p>
        </w:tc>
        <w:tc>
          <w:tcPr>
            <w:tcW w:w="1080" w:type="dxa"/>
            <w:shd w:val="clear" w:color="auto" w:fill="auto"/>
          </w:tcPr>
          <w:p w:rsidR="00802863" w:rsidRDefault="00802863"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Pr="00C50A5C" w:rsidRDefault="003B3977" w:rsidP="00802863">
            <w:pPr>
              <w:jc w:val="center"/>
              <w:rPr>
                <w:sz w:val="20"/>
                <w:szCs w:val="20"/>
                <w:lang w:val="fr-CA"/>
              </w:rPr>
            </w:pPr>
          </w:p>
        </w:tc>
        <w:tc>
          <w:tcPr>
            <w:tcW w:w="4417" w:type="dxa"/>
            <w:shd w:val="clear" w:color="auto" w:fill="auto"/>
          </w:tcPr>
          <w:p w:rsidR="00802863" w:rsidRPr="00C50A5C" w:rsidRDefault="00802863" w:rsidP="00802863">
            <w:pPr>
              <w:rPr>
                <w:sz w:val="20"/>
                <w:szCs w:val="20"/>
                <w:lang w:val="fr-CA"/>
              </w:rPr>
            </w:pPr>
          </w:p>
        </w:tc>
      </w:tr>
    </w:tbl>
    <w:p w:rsidR="00802863" w:rsidRDefault="00802863" w:rsidP="00802863">
      <w:pPr>
        <w:rPr>
          <w:sz w:val="20"/>
          <w:szCs w:val="20"/>
          <w:lang w:val="fr-CA"/>
        </w:rPr>
      </w:pPr>
    </w:p>
    <w:p w:rsidR="00D94028" w:rsidRPr="00C50A5C" w:rsidRDefault="00D94028" w:rsidP="00802863">
      <w:pPr>
        <w:rPr>
          <w:sz w:val="20"/>
          <w:szCs w:val="20"/>
          <w:lang w:val="fr-CA"/>
        </w:rPr>
      </w:pPr>
    </w:p>
    <w:p w:rsidR="00802863" w:rsidRPr="00C50A5C" w:rsidRDefault="00802863" w:rsidP="00802863">
      <w:pPr>
        <w:rPr>
          <w:sz w:val="20"/>
          <w:szCs w:val="20"/>
        </w:rPr>
      </w:pPr>
    </w:p>
    <w:p w:rsidR="00802863" w:rsidRPr="00C50A5C" w:rsidRDefault="00802863" w:rsidP="00831CA9">
      <w:pPr>
        <w:jc w:val="both"/>
        <w:rPr>
          <w:sz w:val="20"/>
          <w:szCs w:val="20"/>
        </w:rPr>
        <w:sectPr w:rsidR="00802863" w:rsidRPr="00C50A5C" w:rsidSect="00802863">
          <w:headerReference w:type="even" r:id="rId48"/>
          <w:headerReference w:type="default" r:id="rId49"/>
          <w:footerReference w:type="even" r:id="rId50"/>
          <w:footerReference w:type="default" r:id="rId51"/>
          <w:headerReference w:type="first" r:id="rId52"/>
          <w:footerReference w:type="first" r:id="rId53"/>
          <w:pgSz w:w="12240" w:h="15840"/>
          <w:pgMar w:top="720" w:right="965" w:bottom="1080" w:left="1656" w:header="720" w:footer="965"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B52C2C"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32DB7" w:rsidRPr="00C50A5C" w:rsidRDefault="0083449C" w:rsidP="00732DB7">
      <w:pPr>
        <w:widowControl w:val="0"/>
        <w:rPr>
          <w:sz w:val="20"/>
          <w:szCs w:val="20"/>
        </w:rPr>
      </w:pPr>
      <w:r>
        <w:rPr>
          <w:sz w:val="20"/>
          <w:szCs w:val="20"/>
        </w:rPr>
        <w:t>03</w:t>
      </w:r>
      <w:r w:rsidR="00732DB7" w:rsidRPr="00C50A5C">
        <w:rPr>
          <w:sz w:val="20"/>
          <w:szCs w:val="20"/>
        </w:rPr>
        <w:t>.</w:t>
      </w:r>
      <w:r>
        <w:rPr>
          <w:sz w:val="20"/>
          <w:szCs w:val="20"/>
        </w:rPr>
        <w:t>12</w:t>
      </w:r>
      <w:r w:rsidR="00732DB7" w:rsidRPr="00C50A5C">
        <w:rPr>
          <w:sz w:val="20"/>
          <w:szCs w:val="20"/>
        </w:rPr>
        <w:t>.201</w:t>
      </w:r>
      <w:r>
        <w:rPr>
          <w:sz w:val="20"/>
          <w:szCs w:val="20"/>
        </w:rPr>
        <w:t>3</w:t>
      </w:r>
    </w:p>
    <w:p w:rsidR="00732DB7" w:rsidRPr="00C50A5C" w:rsidRDefault="00732DB7" w:rsidP="00732DB7">
      <w:pPr>
        <w:widowControl w:val="0"/>
        <w:rPr>
          <w:sz w:val="20"/>
          <w:szCs w:val="20"/>
        </w:rPr>
      </w:pPr>
    </w:p>
    <w:p w:rsidR="00732DB7" w:rsidRPr="00C50A5C" w:rsidRDefault="00732DB7" w:rsidP="00732DB7">
      <w:pPr>
        <w:widowControl w:val="0"/>
        <w:ind w:left="720" w:hanging="720"/>
        <w:rPr>
          <w:b/>
          <w:sz w:val="20"/>
          <w:szCs w:val="20"/>
        </w:rPr>
      </w:pPr>
      <w:r w:rsidRPr="00C50A5C">
        <w:rPr>
          <w:sz w:val="20"/>
          <w:szCs w:val="20"/>
        </w:rPr>
        <w:t xml:space="preserve">Coram: </w:t>
      </w:r>
      <w:r w:rsidRPr="00C50A5C">
        <w:rPr>
          <w:sz w:val="20"/>
          <w:szCs w:val="20"/>
        </w:rPr>
        <w:tab/>
      </w:r>
      <w:r w:rsidRPr="00C50A5C">
        <w:rPr>
          <w:sz w:val="20"/>
          <w:szCs w:val="20"/>
          <w:u w:val="single"/>
        </w:rPr>
        <w:t>McLachlin C.J. and LeBel, Abella, Cromwell</w:t>
      </w:r>
      <w:r w:rsidR="0083449C">
        <w:rPr>
          <w:sz w:val="20"/>
          <w:szCs w:val="20"/>
          <w:u w:val="single"/>
        </w:rPr>
        <w:t>, Moldaver, Karakatsanis and</w:t>
      </w:r>
      <w:r w:rsidRPr="00C50A5C">
        <w:rPr>
          <w:sz w:val="20"/>
          <w:szCs w:val="20"/>
          <w:u w:val="single"/>
        </w:rPr>
        <w:t xml:space="preserve"> </w:t>
      </w:r>
      <w:r w:rsidR="0083449C">
        <w:rPr>
          <w:sz w:val="20"/>
          <w:szCs w:val="20"/>
          <w:u w:val="single"/>
        </w:rPr>
        <w:t xml:space="preserve">Wagner </w:t>
      </w:r>
      <w:r w:rsidRPr="00C50A5C">
        <w:rPr>
          <w:sz w:val="20"/>
          <w:szCs w:val="20"/>
          <w:u w:val="single"/>
        </w:rPr>
        <w:t>JJ.</w:t>
      </w:r>
      <w:r w:rsidRPr="00C50A5C">
        <w:rPr>
          <w:sz w:val="20"/>
          <w:szCs w:val="20"/>
        </w:rPr>
        <w:t xml:space="preserve"> </w:t>
      </w:r>
    </w:p>
    <w:p w:rsidR="00732DB7" w:rsidRPr="00C50A5C" w:rsidRDefault="00732DB7" w:rsidP="00732DB7">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32DB7" w:rsidRPr="00C50A5C" w:rsidTr="00697C62">
        <w:tc>
          <w:tcPr>
            <w:tcW w:w="4380" w:type="dxa"/>
            <w:tcMar>
              <w:left w:w="0" w:type="dxa"/>
              <w:right w:w="0" w:type="dxa"/>
            </w:tcMar>
          </w:tcPr>
          <w:p w:rsidR="00732DB7" w:rsidRPr="00C50A5C" w:rsidRDefault="00F27109" w:rsidP="00C1697B">
            <w:pPr>
              <w:widowControl w:val="0"/>
              <w:jc w:val="both"/>
              <w:rPr>
                <w:b/>
                <w:sz w:val="20"/>
                <w:szCs w:val="20"/>
              </w:rPr>
            </w:pPr>
            <w:r>
              <w:rPr>
                <w:b/>
                <w:sz w:val="20"/>
                <w:szCs w:val="20"/>
              </w:rPr>
              <w:t>Her Majesty the Queen</w:t>
            </w:r>
          </w:p>
          <w:p w:rsidR="00732DB7" w:rsidRPr="00C50A5C" w:rsidRDefault="00732DB7" w:rsidP="00C1697B">
            <w:pPr>
              <w:widowControl w:val="0"/>
              <w:jc w:val="both"/>
              <w:rPr>
                <w:b/>
                <w:sz w:val="20"/>
                <w:szCs w:val="20"/>
              </w:rPr>
            </w:pPr>
          </w:p>
          <w:p w:rsidR="00732DB7" w:rsidRPr="00C50A5C" w:rsidRDefault="00732DB7" w:rsidP="00C1697B">
            <w:pPr>
              <w:widowControl w:val="0"/>
              <w:tabs>
                <w:tab w:val="left" w:pos="736"/>
              </w:tabs>
              <w:jc w:val="both"/>
              <w:rPr>
                <w:b/>
                <w:sz w:val="20"/>
                <w:szCs w:val="20"/>
              </w:rPr>
            </w:pPr>
            <w:r w:rsidRPr="00C50A5C">
              <w:rPr>
                <w:b/>
                <w:sz w:val="20"/>
                <w:szCs w:val="20"/>
              </w:rPr>
              <w:tab/>
              <w:t xml:space="preserve">v. </w:t>
            </w:r>
            <w:r w:rsidR="00683CFF" w:rsidRPr="00FE34CF">
              <w:rPr>
                <w:sz w:val="20"/>
                <w:szCs w:val="20"/>
              </w:rPr>
              <w:t>(</w:t>
            </w:r>
            <w:hyperlink r:id="rId54" w:history="1">
              <w:r w:rsidR="00683CFF" w:rsidRPr="00FE34CF">
                <w:rPr>
                  <w:rStyle w:val="Hyperlink"/>
                  <w:sz w:val="20"/>
                  <w:szCs w:val="20"/>
                </w:rPr>
                <w:t>35049</w:t>
              </w:r>
            </w:hyperlink>
            <w:r w:rsidR="00683CFF" w:rsidRPr="00FE34CF">
              <w:rPr>
                <w:sz w:val="20"/>
                <w:szCs w:val="20"/>
              </w:rPr>
              <w:t>)</w:t>
            </w:r>
          </w:p>
          <w:p w:rsidR="00732DB7" w:rsidRPr="00C50A5C" w:rsidRDefault="00732DB7" w:rsidP="00C1697B">
            <w:pPr>
              <w:widowControl w:val="0"/>
              <w:jc w:val="both"/>
              <w:rPr>
                <w:b/>
                <w:sz w:val="20"/>
                <w:szCs w:val="20"/>
              </w:rPr>
            </w:pPr>
          </w:p>
          <w:p w:rsidR="00732DB7" w:rsidRPr="00C50A5C" w:rsidRDefault="00F27109" w:rsidP="003E5773">
            <w:pPr>
              <w:widowControl w:val="0"/>
              <w:jc w:val="both"/>
              <w:rPr>
                <w:sz w:val="20"/>
                <w:szCs w:val="20"/>
                <w:lang w:val="fr-CA"/>
              </w:rPr>
            </w:pPr>
            <w:r>
              <w:rPr>
                <w:b/>
                <w:sz w:val="20"/>
                <w:szCs w:val="20"/>
              </w:rPr>
              <w:t>N</w:t>
            </w:r>
            <w:r w:rsidR="00732DB7" w:rsidRPr="00C50A5C">
              <w:rPr>
                <w:b/>
                <w:sz w:val="20"/>
                <w:szCs w:val="20"/>
              </w:rPr>
              <w:t>e</w:t>
            </w:r>
            <w:r>
              <w:rPr>
                <w:b/>
                <w:sz w:val="20"/>
                <w:szCs w:val="20"/>
              </w:rPr>
              <w:t>lso</w:t>
            </w:r>
            <w:r w:rsidR="00732DB7" w:rsidRPr="00C50A5C">
              <w:rPr>
                <w:b/>
                <w:sz w:val="20"/>
                <w:szCs w:val="20"/>
              </w:rPr>
              <w:t>n</w:t>
            </w:r>
            <w:r w:rsidR="003E5773">
              <w:rPr>
                <w:b/>
                <w:sz w:val="20"/>
                <w:szCs w:val="20"/>
              </w:rPr>
              <w:t xml:space="preserve"> Ll</w:t>
            </w:r>
            <w:r w:rsidR="00732DB7" w:rsidRPr="00C50A5C">
              <w:rPr>
                <w:b/>
                <w:sz w:val="20"/>
                <w:szCs w:val="20"/>
              </w:rPr>
              <w:t>o</w:t>
            </w:r>
            <w:r w:rsidR="003E5773">
              <w:rPr>
                <w:b/>
                <w:sz w:val="20"/>
                <w:szCs w:val="20"/>
              </w:rPr>
              <w:t>yd Hart</w:t>
            </w:r>
            <w:r w:rsidR="00732DB7" w:rsidRPr="00C50A5C">
              <w:rPr>
                <w:b/>
                <w:sz w:val="20"/>
                <w:szCs w:val="20"/>
              </w:rPr>
              <w:t xml:space="preserve"> (</w:t>
            </w:r>
            <w:r w:rsidR="003E5773">
              <w:rPr>
                <w:b/>
                <w:sz w:val="20"/>
                <w:szCs w:val="20"/>
              </w:rPr>
              <w:t>N</w:t>
            </w:r>
            <w:r w:rsidR="00732DB7" w:rsidRPr="00C50A5C">
              <w:rPr>
                <w:b/>
                <w:sz w:val="20"/>
                <w:szCs w:val="20"/>
              </w:rPr>
              <w:t>.</w:t>
            </w:r>
            <w:r w:rsidR="003E5773">
              <w:rPr>
                <w:b/>
                <w:sz w:val="20"/>
                <w:szCs w:val="20"/>
              </w:rPr>
              <w:t>L</w:t>
            </w:r>
            <w:r w:rsidR="00732DB7" w:rsidRPr="00C50A5C">
              <w:rPr>
                <w:b/>
                <w:sz w:val="20"/>
                <w:szCs w:val="20"/>
              </w:rPr>
              <w:t>.) (C</w:t>
            </w:r>
            <w:r w:rsidR="003E5773">
              <w:rPr>
                <w:b/>
                <w:sz w:val="20"/>
                <w:szCs w:val="20"/>
              </w:rPr>
              <w:t>r</w:t>
            </w:r>
            <w:r w:rsidR="00732DB7" w:rsidRPr="00C50A5C">
              <w:rPr>
                <w:b/>
                <w:sz w:val="20"/>
                <w:szCs w:val="20"/>
              </w:rPr>
              <w:t>i</w:t>
            </w:r>
            <w:r w:rsidR="003E5773">
              <w:rPr>
                <w:b/>
                <w:sz w:val="20"/>
                <w:szCs w:val="20"/>
              </w:rPr>
              <w:t>m</w:t>
            </w:r>
            <w:r w:rsidR="00732DB7" w:rsidRPr="00C50A5C">
              <w:rPr>
                <w:b/>
                <w:sz w:val="20"/>
                <w:szCs w:val="20"/>
              </w:rPr>
              <w:t>i</w:t>
            </w:r>
            <w:r w:rsidR="003E5773">
              <w:rPr>
                <w:b/>
                <w:sz w:val="20"/>
                <w:szCs w:val="20"/>
              </w:rPr>
              <w:t>na</w:t>
            </w:r>
            <w:r w:rsidR="00732DB7" w:rsidRPr="00C50A5C">
              <w:rPr>
                <w:b/>
                <w:sz w:val="20"/>
                <w:szCs w:val="20"/>
              </w:rPr>
              <w:t>l) (By Leave)</w:t>
            </w:r>
          </w:p>
        </w:tc>
        <w:tc>
          <w:tcPr>
            <w:tcW w:w="720" w:type="dxa"/>
            <w:tcMar>
              <w:left w:w="0" w:type="dxa"/>
              <w:right w:w="0" w:type="dxa"/>
            </w:tcMar>
          </w:tcPr>
          <w:p w:rsidR="00732DB7" w:rsidRPr="00C50A5C" w:rsidRDefault="00732DB7" w:rsidP="00732DB7">
            <w:pPr>
              <w:widowControl w:val="0"/>
              <w:jc w:val="center"/>
              <w:rPr>
                <w:sz w:val="20"/>
                <w:szCs w:val="20"/>
                <w:lang w:val="fr-CA"/>
              </w:rPr>
            </w:pPr>
          </w:p>
        </w:tc>
        <w:tc>
          <w:tcPr>
            <w:tcW w:w="4380" w:type="dxa"/>
            <w:tcMar>
              <w:left w:w="0" w:type="dxa"/>
              <w:right w:w="0" w:type="dxa"/>
            </w:tcMar>
          </w:tcPr>
          <w:p w:rsidR="008713A0" w:rsidRPr="0046207A" w:rsidRDefault="008713A0" w:rsidP="008713A0">
            <w:pPr>
              <w:jc w:val="both"/>
              <w:rPr>
                <w:sz w:val="20"/>
                <w:szCs w:val="20"/>
              </w:rPr>
            </w:pPr>
            <w:r w:rsidRPr="0046207A">
              <w:rPr>
                <w:sz w:val="20"/>
                <w:szCs w:val="20"/>
              </w:rPr>
              <w:t>Frances J. Knickle, Q.C.</w:t>
            </w:r>
            <w:r>
              <w:rPr>
                <w:sz w:val="20"/>
                <w:szCs w:val="20"/>
              </w:rPr>
              <w:t xml:space="preserve"> and </w:t>
            </w:r>
            <w:r w:rsidRPr="0046207A">
              <w:rPr>
                <w:sz w:val="20"/>
                <w:szCs w:val="20"/>
              </w:rPr>
              <w:t>Elaine Reid</w:t>
            </w:r>
            <w:r>
              <w:rPr>
                <w:sz w:val="20"/>
                <w:szCs w:val="20"/>
              </w:rPr>
              <w:t xml:space="preserve"> f</w:t>
            </w:r>
            <w:r w:rsidRPr="0046207A">
              <w:rPr>
                <w:sz w:val="20"/>
                <w:szCs w:val="20"/>
              </w:rPr>
              <w:t xml:space="preserve">or the </w:t>
            </w:r>
            <w:r>
              <w:rPr>
                <w:sz w:val="20"/>
                <w:szCs w:val="20"/>
              </w:rPr>
              <w:t>a</w:t>
            </w:r>
            <w:r w:rsidRPr="0046207A">
              <w:rPr>
                <w:sz w:val="20"/>
                <w:szCs w:val="20"/>
              </w:rPr>
              <w:t>ppellant (35049).</w:t>
            </w:r>
          </w:p>
          <w:p w:rsidR="008713A0" w:rsidRPr="0046207A" w:rsidRDefault="008713A0" w:rsidP="008713A0">
            <w:pPr>
              <w:jc w:val="both"/>
              <w:rPr>
                <w:sz w:val="20"/>
                <w:szCs w:val="20"/>
              </w:rPr>
            </w:pPr>
          </w:p>
          <w:p w:rsidR="008713A0" w:rsidRPr="0046207A" w:rsidRDefault="008713A0" w:rsidP="008713A0">
            <w:pPr>
              <w:jc w:val="both"/>
              <w:rPr>
                <w:sz w:val="20"/>
                <w:szCs w:val="20"/>
              </w:rPr>
            </w:pPr>
            <w:r w:rsidRPr="0046207A">
              <w:rPr>
                <w:sz w:val="20"/>
                <w:szCs w:val="20"/>
              </w:rPr>
              <w:t>Marie Henein</w:t>
            </w:r>
            <w:r>
              <w:rPr>
                <w:sz w:val="20"/>
                <w:szCs w:val="20"/>
              </w:rPr>
              <w:t xml:space="preserve"> and </w:t>
            </w:r>
            <w:r w:rsidRPr="0046207A">
              <w:rPr>
                <w:sz w:val="20"/>
                <w:szCs w:val="20"/>
              </w:rPr>
              <w:t>Matthew Gourlay</w:t>
            </w:r>
            <w:r>
              <w:rPr>
                <w:sz w:val="20"/>
                <w:szCs w:val="20"/>
              </w:rPr>
              <w:t xml:space="preserve"> f</w:t>
            </w:r>
            <w:r w:rsidRPr="0046207A">
              <w:rPr>
                <w:sz w:val="20"/>
                <w:szCs w:val="20"/>
              </w:rPr>
              <w:t>or the Amicus Curiae (35049)</w:t>
            </w:r>
            <w:r>
              <w:rPr>
                <w:sz w:val="20"/>
                <w:szCs w:val="20"/>
              </w:rPr>
              <w:t>.</w:t>
            </w:r>
          </w:p>
          <w:p w:rsidR="008713A0" w:rsidRPr="0046207A" w:rsidRDefault="008713A0" w:rsidP="008713A0">
            <w:pPr>
              <w:jc w:val="both"/>
              <w:rPr>
                <w:sz w:val="20"/>
                <w:szCs w:val="20"/>
              </w:rPr>
            </w:pPr>
          </w:p>
          <w:p w:rsidR="008713A0" w:rsidRDefault="008713A0" w:rsidP="008713A0">
            <w:pPr>
              <w:jc w:val="both"/>
              <w:rPr>
                <w:sz w:val="20"/>
                <w:szCs w:val="20"/>
                <w:lang w:val="en-US"/>
              </w:rPr>
            </w:pPr>
            <w:r w:rsidRPr="0046207A">
              <w:rPr>
                <w:sz w:val="20"/>
                <w:szCs w:val="20"/>
                <w:lang w:val="en-US"/>
              </w:rPr>
              <w:t>Jamie Merrigan</w:t>
            </w:r>
            <w:r>
              <w:rPr>
                <w:sz w:val="20"/>
                <w:szCs w:val="20"/>
                <w:lang w:val="en-US"/>
              </w:rPr>
              <w:t xml:space="preserve"> and </w:t>
            </w:r>
            <w:r w:rsidRPr="0046207A">
              <w:rPr>
                <w:sz w:val="20"/>
                <w:szCs w:val="20"/>
                <w:lang w:val="en-US"/>
              </w:rPr>
              <w:t>Robby D. Ash</w:t>
            </w:r>
            <w:r>
              <w:rPr>
                <w:sz w:val="20"/>
                <w:szCs w:val="20"/>
                <w:lang w:val="en-US"/>
              </w:rPr>
              <w:t xml:space="preserve"> f</w:t>
            </w:r>
            <w:r w:rsidRPr="0046207A">
              <w:rPr>
                <w:sz w:val="20"/>
                <w:szCs w:val="20"/>
                <w:lang w:val="en-US"/>
              </w:rPr>
              <w:t xml:space="preserve">or the </w:t>
            </w:r>
            <w:r>
              <w:rPr>
                <w:sz w:val="20"/>
                <w:szCs w:val="20"/>
                <w:lang w:val="en-US"/>
              </w:rPr>
              <w:t>r</w:t>
            </w:r>
            <w:r w:rsidRPr="0046207A">
              <w:rPr>
                <w:sz w:val="20"/>
                <w:szCs w:val="20"/>
                <w:lang w:val="en-US"/>
              </w:rPr>
              <w:t>espondent (35049).</w:t>
            </w:r>
          </w:p>
          <w:p w:rsidR="008713A0" w:rsidRDefault="008713A0" w:rsidP="008713A0">
            <w:pPr>
              <w:jc w:val="both"/>
              <w:rPr>
                <w:sz w:val="20"/>
                <w:szCs w:val="20"/>
              </w:rPr>
            </w:pPr>
          </w:p>
          <w:p w:rsidR="008713A0" w:rsidRDefault="008713A0" w:rsidP="008713A0">
            <w:pPr>
              <w:jc w:val="both"/>
              <w:rPr>
                <w:sz w:val="20"/>
                <w:szCs w:val="20"/>
              </w:rPr>
            </w:pPr>
            <w:r w:rsidRPr="0046207A">
              <w:rPr>
                <w:sz w:val="20"/>
                <w:szCs w:val="20"/>
              </w:rPr>
              <w:t>Laura K. Stevens, Q.C.</w:t>
            </w:r>
            <w:r>
              <w:rPr>
                <w:sz w:val="20"/>
                <w:szCs w:val="20"/>
              </w:rPr>
              <w:t xml:space="preserve"> and </w:t>
            </w:r>
            <w:r w:rsidRPr="0046207A">
              <w:rPr>
                <w:sz w:val="20"/>
                <w:szCs w:val="20"/>
              </w:rPr>
              <w:t>Sarah N. DeSouza</w:t>
            </w:r>
            <w:r>
              <w:rPr>
                <w:sz w:val="20"/>
                <w:szCs w:val="20"/>
              </w:rPr>
              <w:t xml:space="preserve"> f</w:t>
            </w:r>
            <w:r w:rsidRPr="0046207A">
              <w:rPr>
                <w:sz w:val="20"/>
                <w:szCs w:val="20"/>
              </w:rPr>
              <w:t xml:space="preserve">or the </w:t>
            </w:r>
            <w:r>
              <w:rPr>
                <w:sz w:val="20"/>
                <w:szCs w:val="20"/>
              </w:rPr>
              <w:t>a</w:t>
            </w:r>
            <w:r w:rsidRPr="0046207A">
              <w:rPr>
                <w:sz w:val="20"/>
                <w:szCs w:val="20"/>
              </w:rPr>
              <w:t>ppellant (35093).</w:t>
            </w:r>
          </w:p>
          <w:p w:rsidR="008713A0" w:rsidRPr="0046207A" w:rsidRDefault="008713A0" w:rsidP="008713A0">
            <w:pPr>
              <w:jc w:val="both"/>
              <w:rPr>
                <w:sz w:val="20"/>
                <w:szCs w:val="20"/>
              </w:rPr>
            </w:pPr>
          </w:p>
          <w:p w:rsidR="008713A0" w:rsidRPr="0046207A" w:rsidRDefault="008713A0" w:rsidP="008713A0">
            <w:pPr>
              <w:jc w:val="both"/>
              <w:rPr>
                <w:sz w:val="20"/>
                <w:szCs w:val="20"/>
                <w:lang w:val="en-US"/>
              </w:rPr>
            </w:pPr>
            <w:r w:rsidRPr="0046207A">
              <w:rPr>
                <w:sz w:val="20"/>
                <w:szCs w:val="20"/>
              </w:rPr>
              <w:t xml:space="preserve">James C. Robb, Q.C. and </w:t>
            </w:r>
            <w:r w:rsidRPr="0046207A">
              <w:rPr>
                <w:sz w:val="20"/>
                <w:szCs w:val="20"/>
                <w:lang w:val="en-US"/>
              </w:rPr>
              <w:t>David A. Labrenz, Q.C.</w:t>
            </w:r>
            <w:r>
              <w:rPr>
                <w:sz w:val="20"/>
                <w:szCs w:val="20"/>
                <w:lang w:val="en-US"/>
              </w:rPr>
              <w:t xml:space="preserve"> f</w:t>
            </w:r>
            <w:r w:rsidRPr="0046207A">
              <w:rPr>
                <w:sz w:val="20"/>
                <w:szCs w:val="20"/>
                <w:lang w:val="en-US"/>
              </w:rPr>
              <w:t xml:space="preserve">or the </w:t>
            </w:r>
            <w:r>
              <w:rPr>
                <w:sz w:val="20"/>
                <w:szCs w:val="20"/>
                <w:lang w:val="en-US"/>
              </w:rPr>
              <w:t>r</w:t>
            </w:r>
            <w:r w:rsidRPr="0046207A">
              <w:rPr>
                <w:sz w:val="20"/>
                <w:szCs w:val="20"/>
                <w:lang w:val="en-US"/>
              </w:rPr>
              <w:t>espondent (35093).</w:t>
            </w:r>
          </w:p>
          <w:p w:rsidR="008713A0" w:rsidRPr="0046207A" w:rsidRDefault="008713A0" w:rsidP="008713A0">
            <w:pPr>
              <w:jc w:val="both"/>
              <w:rPr>
                <w:sz w:val="20"/>
                <w:szCs w:val="20"/>
                <w:lang w:val="en-US"/>
              </w:rPr>
            </w:pPr>
          </w:p>
          <w:p w:rsidR="008713A0" w:rsidRPr="0046207A" w:rsidRDefault="008713A0" w:rsidP="008713A0">
            <w:pPr>
              <w:jc w:val="both"/>
              <w:rPr>
                <w:sz w:val="20"/>
                <w:szCs w:val="20"/>
                <w:lang w:val="en-US"/>
              </w:rPr>
            </w:pPr>
            <w:r w:rsidRPr="0046207A">
              <w:rPr>
                <w:sz w:val="20"/>
                <w:szCs w:val="20"/>
                <w:lang w:val="en-US"/>
              </w:rPr>
              <w:t>James C. Martin</w:t>
            </w:r>
            <w:r>
              <w:rPr>
                <w:sz w:val="20"/>
                <w:szCs w:val="20"/>
                <w:lang w:val="en-US"/>
              </w:rPr>
              <w:t xml:space="preserve"> and </w:t>
            </w:r>
            <w:r w:rsidRPr="0046207A">
              <w:rPr>
                <w:sz w:val="20"/>
                <w:szCs w:val="20"/>
                <w:lang w:val="en-US"/>
              </w:rPr>
              <w:t>Natasha A. Thiessen</w:t>
            </w:r>
            <w:r>
              <w:rPr>
                <w:sz w:val="20"/>
                <w:szCs w:val="20"/>
                <w:lang w:val="en-US"/>
              </w:rPr>
              <w:t xml:space="preserve"> f</w:t>
            </w:r>
            <w:r w:rsidRPr="0046207A">
              <w:rPr>
                <w:sz w:val="20"/>
                <w:szCs w:val="20"/>
                <w:lang w:val="en-US"/>
              </w:rPr>
              <w:t xml:space="preserve">or the </w:t>
            </w:r>
            <w:r>
              <w:rPr>
                <w:sz w:val="20"/>
                <w:szCs w:val="20"/>
                <w:lang w:val="en-US"/>
              </w:rPr>
              <w:t>i</w:t>
            </w:r>
            <w:r w:rsidRPr="0046207A">
              <w:rPr>
                <w:sz w:val="20"/>
                <w:szCs w:val="20"/>
                <w:lang w:val="en-US"/>
              </w:rPr>
              <w:t xml:space="preserve">ntervener </w:t>
            </w:r>
            <w:r w:rsidRPr="0046207A">
              <w:rPr>
                <w:sz w:val="20"/>
                <w:szCs w:val="20"/>
              </w:rPr>
              <w:t>Director of Public Prosecutions</w:t>
            </w:r>
            <w:r w:rsidRPr="0046207A">
              <w:rPr>
                <w:sz w:val="20"/>
                <w:szCs w:val="20"/>
                <w:lang w:val="en-US"/>
              </w:rPr>
              <w:t xml:space="preserve"> (35049).</w:t>
            </w:r>
          </w:p>
          <w:p w:rsidR="008713A0" w:rsidRPr="0046207A" w:rsidRDefault="008713A0" w:rsidP="008713A0">
            <w:pPr>
              <w:jc w:val="both"/>
              <w:rPr>
                <w:sz w:val="20"/>
                <w:szCs w:val="20"/>
              </w:rPr>
            </w:pPr>
          </w:p>
          <w:p w:rsidR="008713A0" w:rsidRDefault="008713A0" w:rsidP="008713A0">
            <w:pPr>
              <w:jc w:val="both"/>
              <w:rPr>
                <w:sz w:val="20"/>
                <w:szCs w:val="20"/>
                <w:lang w:val="en-US"/>
              </w:rPr>
            </w:pPr>
            <w:r w:rsidRPr="0046207A">
              <w:rPr>
                <w:sz w:val="20"/>
                <w:szCs w:val="20"/>
                <w:lang w:val="en-US"/>
              </w:rPr>
              <w:t>Michael Bernstein</w:t>
            </w:r>
            <w:r>
              <w:rPr>
                <w:sz w:val="20"/>
                <w:szCs w:val="20"/>
                <w:lang w:val="en-US"/>
              </w:rPr>
              <w:t xml:space="preserve"> fo</w:t>
            </w:r>
            <w:r w:rsidRPr="0046207A">
              <w:rPr>
                <w:sz w:val="20"/>
                <w:szCs w:val="20"/>
                <w:lang w:val="en-US"/>
              </w:rPr>
              <w:t xml:space="preserve">r the </w:t>
            </w:r>
            <w:r>
              <w:rPr>
                <w:sz w:val="20"/>
                <w:szCs w:val="20"/>
                <w:lang w:val="en-US"/>
              </w:rPr>
              <w:t>i</w:t>
            </w:r>
            <w:r w:rsidRPr="0046207A">
              <w:rPr>
                <w:sz w:val="20"/>
                <w:szCs w:val="20"/>
                <w:lang w:val="en-US"/>
              </w:rPr>
              <w:t xml:space="preserve">ntervener </w:t>
            </w:r>
            <w:r w:rsidRPr="0046207A">
              <w:rPr>
                <w:sz w:val="20"/>
                <w:szCs w:val="20"/>
              </w:rPr>
              <w:t>Attorney General of Ontario</w:t>
            </w:r>
            <w:r w:rsidRPr="0046207A">
              <w:rPr>
                <w:sz w:val="20"/>
                <w:szCs w:val="20"/>
                <w:lang w:val="en-US"/>
              </w:rPr>
              <w:t xml:space="preserve"> (35049-35093)</w:t>
            </w:r>
            <w:r>
              <w:rPr>
                <w:sz w:val="20"/>
                <w:szCs w:val="20"/>
                <w:lang w:val="en-US"/>
              </w:rPr>
              <w:t>.</w:t>
            </w:r>
          </w:p>
          <w:p w:rsidR="008713A0" w:rsidRPr="0046207A" w:rsidRDefault="008713A0" w:rsidP="008713A0">
            <w:pPr>
              <w:jc w:val="both"/>
              <w:rPr>
                <w:sz w:val="20"/>
                <w:szCs w:val="20"/>
              </w:rPr>
            </w:pPr>
          </w:p>
          <w:p w:rsidR="008713A0" w:rsidRPr="0046207A" w:rsidRDefault="008713A0" w:rsidP="008713A0">
            <w:pPr>
              <w:jc w:val="both"/>
              <w:rPr>
                <w:sz w:val="20"/>
                <w:szCs w:val="20"/>
                <w:lang w:val="fr-CA"/>
              </w:rPr>
            </w:pPr>
            <w:r w:rsidRPr="0046207A">
              <w:rPr>
                <w:sz w:val="20"/>
                <w:szCs w:val="20"/>
                <w:lang w:val="fr-CA"/>
              </w:rPr>
              <w:t>Pierre L. Bienvenue</w:t>
            </w:r>
            <w:r>
              <w:rPr>
                <w:sz w:val="20"/>
                <w:szCs w:val="20"/>
                <w:lang w:val="fr-CA"/>
              </w:rPr>
              <w:t xml:space="preserve"> p</w:t>
            </w:r>
            <w:r w:rsidRPr="0046207A">
              <w:rPr>
                <w:sz w:val="20"/>
                <w:szCs w:val="20"/>
                <w:lang w:val="fr-CA"/>
              </w:rPr>
              <w:t>our l’intervenant Directeur des poursuites criminelles et pénales du Québec (35049).</w:t>
            </w:r>
          </w:p>
          <w:p w:rsidR="008713A0" w:rsidRPr="0046207A" w:rsidRDefault="008713A0" w:rsidP="008713A0">
            <w:pPr>
              <w:jc w:val="both"/>
              <w:rPr>
                <w:sz w:val="20"/>
                <w:szCs w:val="20"/>
                <w:lang w:val="fr-CA"/>
              </w:rPr>
            </w:pPr>
          </w:p>
          <w:p w:rsidR="008713A0" w:rsidRPr="0046207A" w:rsidRDefault="008713A0" w:rsidP="008713A0">
            <w:pPr>
              <w:jc w:val="both"/>
              <w:rPr>
                <w:sz w:val="20"/>
                <w:szCs w:val="20"/>
                <w:lang w:val="en-US"/>
              </w:rPr>
            </w:pPr>
            <w:r w:rsidRPr="0046207A">
              <w:rPr>
                <w:sz w:val="20"/>
                <w:szCs w:val="20"/>
                <w:lang w:val="en-US"/>
              </w:rPr>
              <w:t>Lesley A. Ruzicka</w:t>
            </w:r>
            <w:r>
              <w:rPr>
                <w:sz w:val="20"/>
                <w:szCs w:val="20"/>
                <w:lang w:val="en-US"/>
              </w:rPr>
              <w:t xml:space="preserve"> f</w:t>
            </w:r>
            <w:r w:rsidRPr="0046207A">
              <w:rPr>
                <w:sz w:val="20"/>
                <w:szCs w:val="20"/>
                <w:lang w:val="en-US"/>
              </w:rPr>
              <w:t xml:space="preserve">or the </w:t>
            </w:r>
            <w:r>
              <w:rPr>
                <w:sz w:val="20"/>
                <w:szCs w:val="20"/>
                <w:lang w:val="en-US"/>
              </w:rPr>
              <w:t>i</w:t>
            </w:r>
            <w:r w:rsidRPr="0046207A">
              <w:rPr>
                <w:sz w:val="20"/>
                <w:szCs w:val="20"/>
                <w:lang w:val="en-US"/>
              </w:rPr>
              <w:t xml:space="preserve">ntervener </w:t>
            </w:r>
            <w:r w:rsidRPr="0046207A">
              <w:rPr>
                <w:sz w:val="20"/>
                <w:szCs w:val="20"/>
              </w:rPr>
              <w:t>Attorney General for the Province of British Columbia</w:t>
            </w:r>
            <w:r w:rsidRPr="0046207A">
              <w:rPr>
                <w:sz w:val="20"/>
                <w:szCs w:val="20"/>
                <w:lang w:val="en-US"/>
              </w:rPr>
              <w:t xml:space="preserve"> (35049-35093).</w:t>
            </w:r>
          </w:p>
          <w:p w:rsidR="008713A0" w:rsidRPr="0046207A" w:rsidRDefault="008713A0" w:rsidP="008713A0">
            <w:pPr>
              <w:jc w:val="both"/>
              <w:rPr>
                <w:sz w:val="20"/>
                <w:szCs w:val="20"/>
                <w:lang w:val="en-US"/>
              </w:rPr>
            </w:pPr>
          </w:p>
          <w:p w:rsidR="008713A0" w:rsidRDefault="008713A0" w:rsidP="008713A0">
            <w:pPr>
              <w:jc w:val="both"/>
              <w:rPr>
                <w:sz w:val="20"/>
                <w:szCs w:val="20"/>
                <w:lang w:val="en-US"/>
              </w:rPr>
            </w:pPr>
            <w:r w:rsidRPr="0046207A">
              <w:rPr>
                <w:sz w:val="20"/>
                <w:szCs w:val="20"/>
                <w:lang w:val="en-US"/>
              </w:rPr>
              <w:t>Russell Silverstein</w:t>
            </w:r>
            <w:r>
              <w:rPr>
                <w:sz w:val="20"/>
                <w:szCs w:val="20"/>
                <w:lang w:val="en-US"/>
              </w:rPr>
              <w:t xml:space="preserve"> and </w:t>
            </w:r>
            <w:r w:rsidRPr="0046207A">
              <w:rPr>
                <w:sz w:val="20"/>
                <w:szCs w:val="20"/>
                <w:lang w:val="en-US"/>
              </w:rPr>
              <w:t>Michael Dineen</w:t>
            </w:r>
            <w:r>
              <w:rPr>
                <w:sz w:val="20"/>
                <w:szCs w:val="20"/>
                <w:lang w:val="en-US"/>
              </w:rPr>
              <w:t xml:space="preserve"> f</w:t>
            </w:r>
            <w:r w:rsidRPr="0046207A">
              <w:rPr>
                <w:sz w:val="20"/>
                <w:szCs w:val="20"/>
                <w:lang w:val="en-US"/>
              </w:rPr>
              <w:t xml:space="preserve">or the </w:t>
            </w:r>
            <w:r>
              <w:rPr>
                <w:sz w:val="20"/>
                <w:szCs w:val="20"/>
                <w:lang w:val="en-US"/>
              </w:rPr>
              <w:t>i</w:t>
            </w:r>
            <w:r w:rsidRPr="0046207A">
              <w:rPr>
                <w:sz w:val="20"/>
                <w:szCs w:val="20"/>
                <w:lang w:val="en-US"/>
              </w:rPr>
              <w:t xml:space="preserve">ntervener </w:t>
            </w:r>
            <w:r w:rsidRPr="0046207A">
              <w:rPr>
                <w:sz w:val="20"/>
                <w:szCs w:val="20"/>
              </w:rPr>
              <w:t>Association in Defence of the Wrongly Convicted</w:t>
            </w:r>
            <w:r w:rsidRPr="0046207A">
              <w:rPr>
                <w:sz w:val="20"/>
                <w:szCs w:val="20"/>
                <w:lang w:val="en-US"/>
              </w:rPr>
              <w:t xml:space="preserve"> (35049)</w:t>
            </w:r>
            <w:r>
              <w:rPr>
                <w:sz w:val="20"/>
                <w:szCs w:val="20"/>
                <w:lang w:val="en-US"/>
              </w:rPr>
              <w:t>.</w:t>
            </w:r>
          </w:p>
          <w:p w:rsidR="008713A0" w:rsidRPr="0046207A" w:rsidRDefault="008713A0" w:rsidP="008713A0">
            <w:pPr>
              <w:jc w:val="both"/>
              <w:rPr>
                <w:sz w:val="20"/>
                <w:szCs w:val="20"/>
                <w:lang w:val="en-US"/>
              </w:rPr>
            </w:pPr>
          </w:p>
          <w:p w:rsidR="008713A0" w:rsidRDefault="008713A0" w:rsidP="008713A0">
            <w:pPr>
              <w:jc w:val="both"/>
              <w:rPr>
                <w:sz w:val="20"/>
                <w:szCs w:val="20"/>
                <w:lang w:val="en-US"/>
              </w:rPr>
            </w:pPr>
            <w:r w:rsidRPr="0046207A">
              <w:rPr>
                <w:sz w:val="20"/>
                <w:szCs w:val="20"/>
                <w:lang w:val="en-US"/>
              </w:rPr>
              <w:t>Philip Campbell</w:t>
            </w:r>
            <w:r>
              <w:rPr>
                <w:sz w:val="20"/>
                <w:szCs w:val="20"/>
                <w:lang w:val="en-US"/>
              </w:rPr>
              <w:t xml:space="preserve"> and </w:t>
            </w:r>
            <w:r w:rsidRPr="0046207A">
              <w:rPr>
                <w:sz w:val="20"/>
                <w:szCs w:val="20"/>
                <w:lang w:val="en-US"/>
              </w:rPr>
              <w:t>Jonathan Dawe</w:t>
            </w:r>
            <w:r>
              <w:rPr>
                <w:sz w:val="20"/>
                <w:szCs w:val="20"/>
                <w:lang w:val="en-US"/>
              </w:rPr>
              <w:t xml:space="preserve"> f</w:t>
            </w:r>
            <w:r w:rsidRPr="0046207A">
              <w:rPr>
                <w:sz w:val="20"/>
                <w:szCs w:val="20"/>
                <w:lang w:val="en-US"/>
              </w:rPr>
              <w:t xml:space="preserve">or the </w:t>
            </w:r>
            <w:r>
              <w:rPr>
                <w:sz w:val="20"/>
                <w:szCs w:val="20"/>
                <w:lang w:val="en-US"/>
              </w:rPr>
              <w:t>i</w:t>
            </w:r>
            <w:r w:rsidRPr="0046207A">
              <w:rPr>
                <w:sz w:val="20"/>
                <w:szCs w:val="20"/>
                <w:lang w:val="en-US"/>
              </w:rPr>
              <w:t xml:space="preserve">ntervener </w:t>
            </w:r>
            <w:r w:rsidRPr="0046207A">
              <w:rPr>
                <w:sz w:val="20"/>
                <w:szCs w:val="20"/>
              </w:rPr>
              <w:t>Criminal Lawyers' Association of Ontario</w:t>
            </w:r>
            <w:r w:rsidRPr="0046207A">
              <w:rPr>
                <w:sz w:val="20"/>
                <w:szCs w:val="20"/>
                <w:lang w:val="en-US"/>
              </w:rPr>
              <w:t xml:space="preserve"> (35049)</w:t>
            </w:r>
            <w:r>
              <w:rPr>
                <w:sz w:val="20"/>
                <w:szCs w:val="20"/>
                <w:lang w:val="en-US"/>
              </w:rPr>
              <w:t>.</w:t>
            </w:r>
          </w:p>
          <w:p w:rsidR="008713A0" w:rsidRPr="0046207A" w:rsidRDefault="008713A0" w:rsidP="008713A0">
            <w:pPr>
              <w:jc w:val="both"/>
              <w:rPr>
                <w:sz w:val="20"/>
                <w:szCs w:val="20"/>
                <w:lang w:val="en-US"/>
              </w:rPr>
            </w:pPr>
          </w:p>
          <w:p w:rsidR="008713A0" w:rsidRDefault="008713A0" w:rsidP="008713A0">
            <w:pPr>
              <w:jc w:val="both"/>
              <w:rPr>
                <w:sz w:val="20"/>
                <w:szCs w:val="20"/>
                <w:lang w:val="en-US"/>
              </w:rPr>
            </w:pPr>
            <w:r w:rsidRPr="0046207A">
              <w:rPr>
                <w:sz w:val="20"/>
                <w:szCs w:val="20"/>
                <w:lang w:val="en-US"/>
              </w:rPr>
              <w:t>Michael Sobkin</w:t>
            </w:r>
            <w:r>
              <w:rPr>
                <w:sz w:val="20"/>
                <w:szCs w:val="20"/>
                <w:lang w:val="en-US"/>
              </w:rPr>
              <w:t xml:space="preserve"> f</w:t>
            </w:r>
            <w:r w:rsidRPr="0046207A">
              <w:rPr>
                <w:sz w:val="20"/>
                <w:szCs w:val="20"/>
                <w:lang w:val="en-US"/>
              </w:rPr>
              <w:t xml:space="preserve">or the </w:t>
            </w:r>
            <w:r>
              <w:rPr>
                <w:sz w:val="20"/>
                <w:szCs w:val="20"/>
                <w:lang w:val="en-US"/>
              </w:rPr>
              <w:t>i</w:t>
            </w:r>
            <w:r w:rsidRPr="0046207A">
              <w:rPr>
                <w:sz w:val="20"/>
                <w:szCs w:val="20"/>
                <w:lang w:val="en-US"/>
              </w:rPr>
              <w:t xml:space="preserve">ntervener </w:t>
            </w:r>
            <w:r w:rsidRPr="0046207A">
              <w:rPr>
                <w:sz w:val="20"/>
                <w:szCs w:val="20"/>
              </w:rPr>
              <w:t>British Columbia Civil Liberties Association</w:t>
            </w:r>
            <w:r w:rsidRPr="0046207A">
              <w:rPr>
                <w:sz w:val="20"/>
                <w:szCs w:val="20"/>
                <w:lang w:val="en-US"/>
              </w:rPr>
              <w:t xml:space="preserve"> (35049)</w:t>
            </w:r>
            <w:r>
              <w:rPr>
                <w:sz w:val="20"/>
                <w:szCs w:val="20"/>
                <w:lang w:val="en-US"/>
              </w:rPr>
              <w:t>.</w:t>
            </w:r>
          </w:p>
          <w:p w:rsidR="008713A0" w:rsidRPr="0046207A" w:rsidRDefault="008713A0" w:rsidP="008713A0">
            <w:pPr>
              <w:jc w:val="both"/>
              <w:rPr>
                <w:sz w:val="20"/>
                <w:szCs w:val="20"/>
              </w:rPr>
            </w:pPr>
          </w:p>
          <w:p w:rsidR="008713A0" w:rsidRPr="0046207A" w:rsidRDefault="008713A0" w:rsidP="008713A0">
            <w:pPr>
              <w:jc w:val="both"/>
              <w:rPr>
                <w:sz w:val="20"/>
                <w:szCs w:val="20"/>
                <w:lang w:val="fr-CA"/>
              </w:rPr>
            </w:pPr>
            <w:r w:rsidRPr="0046207A">
              <w:rPr>
                <w:sz w:val="20"/>
                <w:szCs w:val="20"/>
                <w:lang w:val="fr-CA"/>
              </w:rPr>
              <w:t>François Dadour</w:t>
            </w:r>
            <w:r>
              <w:rPr>
                <w:sz w:val="20"/>
                <w:szCs w:val="20"/>
                <w:lang w:val="fr-CA"/>
              </w:rPr>
              <w:t xml:space="preserve"> </w:t>
            </w:r>
            <w:r w:rsidR="00B52C2C">
              <w:rPr>
                <w:sz w:val="20"/>
                <w:szCs w:val="20"/>
                <w:lang w:val="fr-CA"/>
              </w:rPr>
              <w:t>et</w:t>
            </w:r>
            <w:r>
              <w:rPr>
                <w:sz w:val="20"/>
                <w:szCs w:val="20"/>
                <w:lang w:val="fr-CA"/>
              </w:rPr>
              <w:t xml:space="preserve"> </w:t>
            </w:r>
            <w:r w:rsidRPr="0046207A">
              <w:rPr>
                <w:sz w:val="20"/>
                <w:szCs w:val="20"/>
                <w:lang w:val="fr-CA"/>
              </w:rPr>
              <w:t>Harout Haladjian</w:t>
            </w:r>
            <w:r>
              <w:rPr>
                <w:sz w:val="20"/>
                <w:szCs w:val="20"/>
                <w:lang w:val="fr-CA"/>
              </w:rPr>
              <w:t xml:space="preserve"> po</w:t>
            </w:r>
            <w:r w:rsidRPr="0046207A">
              <w:rPr>
                <w:sz w:val="20"/>
                <w:szCs w:val="20"/>
                <w:lang w:val="fr-CA"/>
              </w:rPr>
              <w:t>ur l’intervenant Association des avocats de la défense de Montréal (35049)</w:t>
            </w:r>
          </w:p>
          <w:p w:rsidR="008713A0" w:rsidRPr="0046207A" w:rsidRDefault="008713A0" w:rsidP="008713A0">
            <w:pPr>
              <w:jc w:val="both"/>
              <w:rPr>
                <w:sz w:val="20"/>
                <w:szCs w:val="20"/>
                <w:lang w:val="fr-CA"/>
              </w:rPr>
            </w:pPr>
          </w:p>
          <w:p w:rsidR="00732DB7" w:rsidRPr="00C50A5C" w:rsidRDefault="008713A0" w:rsidP="008713A0">
            <w:pPr>
              <w:widowControl w:val="0"/>
              <w:jc w:val="both"/>
              <w:rPr>
                <w:sz w:val="20"/>
                <w:szCs w:val="20"/>
              </w:rPr>
            </w:pPr>
            <w:r>
              <w:rPr>
                <w:sz w:val="20"/>
                <w:szCs w:val="20"/>
                <w:lang w:val="en-US"/>
              </w:rPr>
              <w:t xml:space="preserve">Written Submission only for </w:t>
            </w:r>
            <w:r w:rsidRPr="0046207A">
              <w:rPr>
                <w:sz w:val="20"/>
                <w:szCs w:val="20"/>
                <w:lang w:val="en-US"/>
              </w:rPr>
              <w:t xml:space="preserve">the </w:t>
            </w:r>
            <w:r>
              <w:rPr>
                <w:sz w:val="20"/>
                <w:szCs w:val="20"/>
                <w:lang w:val="en-US"/>
              </w:rPr>
              <w:t>i</w:t>
            </w:r>
            <w:r w:rsidRPr="0046207A">
              <w:rPr>
                <w:sz w:val="20"/>
                <w:szCs w:val="20"/>
                <w:lang w:val="en-US"/>
              </w:rPr>
              <w:t>ntervener Canadian Civil Liberties Association (35049)</w:t>
            </w:r>
            <w:r>
              <w:rPr>
                <w:sz w:val="20"/>
                <w:szCs w:val="20"/>
                <w:lang w:val="en-US"/>
              </w:rPr>
              <w:t>.</w:t>
            </w:r>
          </w:p>
        </w:tc>
      </w:tr>
    </w:tbl>
    <w:p w:rsidR="00C1697B" w:rsidRDefault="00C1697B" w:rsidP="00C1697B">
      <w:pPr>
        <w:widowControl w:val="0"/>
      </w:pPr>
    </w:p>
    <w:p w:rsidR="00C1697B" w:rsidRDefault="00C1697B" w:rsidP="00C1697B">
      <w:pPr>
        <w:widowControl w:val="0"/>
        <w:rPr>
          <w:b/>
          <w:sz w:val="20"/>
          <w:szCs w:val="20"/>
          <w:lang w:val="fr-CA"/>
        </w:rPr>
      </w:pPr>
      <w:r w:rsidRPr="0085476B">
        <w:rPr>
          <w:b/>
          <w:sz w:val="20"/>
          <w:szCs w:val="20"/>
        </w:rPr>
        <w:t xml:space="preserve">RESERVED / </w:t>
      </w:r>
      <w:r w:rsidRPr="0085476B">
        <w:rPr>
          <w:b/>
          <w:sz w:val="20"/>
          <w:szCs w:val="20"/>
          <w:lang w:val="fr-CA"/>
        </w:rPr>
        <w:t>EN DÉLIBÉRÉ</w:t>
      </w:r>
    </w:p>
    <w:p w:rsidR="008713A0" w:rsidRPr="0085476B" w:rsidRDefault="008713A0" w:rsidP="00C1697B">
      <w:pPr>
        <w:widowControl w:val="0"/>
        <w:rPr>
          <w:sz w:val="20"/>
          <w:szCs w:val="20"/>
        </w:rPr>
      </w:pPr>
    </w:p>
    <w:p w:rsidR="008713A0" w:rsidRDefault="008713A0">
      <w:r>
        <w:br w:type="page"/>
      </w: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C1697B" w:rsidRPr="00B52C2C" w:rsidTr="00C1697B">
        <w:tc>
          <w:tcPr>
            <w:tcW w:w="4380" w:type="dxa"/>
            <w:tcMar>
              <w:left w:w="0" w:type="dxa"/>
              <w:right w:w="0" w:type="dxa"/>
            </w:tcMar>
          </w:tcPr>
          <w:p w:rsidR="00C1697B" w:rsidRPr="00CC4D84" w:rsidRDefault="00C1697B" w:rsidP="00C1697B">
            <w:pPr>
              <w:widowControl w:val="0"/>
              <w:jc w:val="both"/>
              <w:rPr>
                <w:b/>
                <w:sz w:val="20"/>
                <w:szCs w:val="20"/>
                <w:u w:val="single"/>
              </w:rPr>
            </w:pPr>
            <w:r w:rsidRPr="00CC4D84">
              <w:rPr>
                <w:b/>
                <w:sz w:val="20"/>
                <w:szCs w:val="20"/>
                <w:u w:val="single"/>
              </w:rPr>
              <w:lastRenderedPageBreak/>
              <w:t>Nature of the case:</w:t>
            </w:r>
          </w:p>
          <w:p w:rsidR="00C1697B" w:rsidRPr="00C1697B" w:rsidRDefault="00C1697B" w:rsidP="00C1697B">
            <w:pPr>
              <w:widowControl w:val="0"/>
              <w:jc w:val="both"/>
              <w:rPr>
                <w:b/>
                <w:sz w:val="20"/>
                <w:szCs w:val="20"/>
              </w:rPr>
            </w:pPr>
          </w:p>
          <w:p w:rsidR="003E5773" w:rsidRPr="00C26CC3" w:rsidRDefault="003E5773" w:rsidP="003E5773">
            <w:pPr>
              <w:widowControl w:val="0"/>
              <w:jc w:val="both"/>
              <w:rPr>
                <w:sz w:val="20"/>
                <w:szCs w:val="20"/>
              </w:rPr>
            </w:pPr>
            <w:r w:rsidRPr="00C26CC3">
              <w:rPr>
                <w:sz w:val="20"/>
                <w:szCs w:val="20"/>
              </w:rPr>
              <w:t>(</w:t>
            </w:r>
            <w:r w:rsidRPr="003E5773">
              <w:rPr>
                <w:smallCaps/>
                <w:sz w:val="20"/>
                <w:szCs w:val="20"/>
              </w:rPr>
              <w:t>Publication Ban in Case</w:t>
            </w:r>
            <w:r w:rsidRPr="00C26CC3">
              <w:rPr>
                <w:sz w:val="20"/>
                <w:szCs w:val="20"/>
              </w:rPr>
              <w:t>)</w:t>
            </w:r>
          </w:p>
          <w:p w:rsidR="003E5773" w:rsidRPr="00C26CC3" w:rsidRDefault="003E5773" w:rsidP="003E5773">
            <w:pPr>
              <w:widowControl w:val="0"/>
              <w:jc w:val="both"/>
              <w:rPr>
                <w:sz w:val="20"/>
                <w:szCs w:val="20"/>
              </w:rPr>
            </w:pPr>
          </w:p>
          <w:p w:rsidR="003E5773" w:rsidRPr="00C26CC3" w:rsidRDefault="003E5773" w:rsidP="003E5773">
            <w:pPr>
              <w:widowControl w:val="0"/>
              <w:jc w:val="both"/>
              <w:rPr>
                <w:sz w:val="20"/>
                <w:szCs w:val="20"/>
              </w:rPr>
            </w:pPr>
            <w:r w:rsidRPr="00C26CC3">
              <w:rPr>
                <w:i/>
                <w:sz w:val="20"/>
                <w:szCs w:val="20"/>
              </w:rPr>
              <w:t>Charter of Rights</w:t>
            </w:r>
            <w:r w:rsidRPr="00C26CC3">
              <w:rPr>
                <w:sz w:val="20"/>
                <w:szCs w:val="20"/>
              </w:rPr>
              <w:t xml:space="preserve"> - Criminal law - Self</w:t>
            </w:r>
            <w:r w:rsidRPr="00C26CC3">
              <w:rPr>
                <w:sz w:val="20"/>
                <w:szCs w:val="20"/>
              </w:rPr>
              <w:noBreakHyphen/>
              <w:t xml:space="preserve">Incrimination - Right to Silence - Admissibility of confession obtained by Mr. Big undercover operation - Evidence - </w:t>
            </w:r>
            <w:r w:rsidRPr="00C26CC3">
              <w:rPr>
                <w:i/>
                <w:sz w:val="20"/>
                <w:szCs w:val="20"/>
              </w:rPr>
              <w:t>In camera</w:t>
            </w:r>
            <w:r w:rsidRPr="00C26CC3">
              <w:rPr>
                <w:sz w:val="20"/>
                <w:szCs w:val="20"/>
              </w:rPr>
              <w:t xml:space="preserve"> testimony by accused - Whether the majority of the Court of Appeal erred in law by finding the respondent’s s. 7 </w:t>
            </w:r>
            <w:r w:rsidRPr="00C26CC3">
              <w:rPr>
                <w:i/>
                <w:sz w:val="20"/>
                <w:szCs w:val="20"/>
              </w:rPr>
              <w:t>Charter</w:t>
            </w:r>
            <w:r w:rsidRPr="00C26CC3">
              <w:rPr>
                <w:sz w:val="20"/>
                <w:szCs w:val="20"/>
              </w:rPr>
              <w:t xml:space="preserve"> rights were violated - Whether the majority of the Court of Appeal erred in law in its interpretation and application of </w:t>
            </w:r>
            <w:r w:rsidRPr="00C26CC3">
              <w:rPr>
                <w:i/>
                <w:sz w:val="20"/>
                <w:szCs w:val="20"/>
              </w:rPr>
              <w:t>R. v. Hebert</w:t>
            </w:r>
            <w:r w:rsidRPr="00C26CC3">
              <w:rPr>
                <w:sz w:val="20"/>
                <w:szCs w:val="20"/>
              </w:rPr>
              <w:t xml:space="preserve">, [1990] 2 S.C.R. 151 - Whether the majority of the Court of Appeal erred in its interpretation of </w:t>
            </w:r>
            <w:r w:rsidRPr="00C26CC3">
              <w:rPr>
                <w:i/>
                <w:sz w:val="20"/>
                <w:szCs w:val="20"/>
              </w:rPr>
              <w:t>R. v. White</w:t>
            </w:r>
            <w:r w:rsidRPr="00C26CC3">
              <w:rPr>
                <w:sz w:val="20"/>
                <w:szCs w:val="20"/>
              </w:rPr>
              <w:t xml:space="preserve">, [1999] 2 S.C.R. 417 - Whether the majority of the Court of Appeal erred in law by failing to accord deference to the trial judge’s findings of fact - Whether the Court of Appeal erred in law in its interpretation and application of s. 486(1) of the </w:t>
            </w:r>
            <w:r w:rsidRPr="00C26CC3">
              <w:rPr>
                <w:i/>
                <w:sz w:val="20"/>
                <w:szCs w:val="20"/>
              </w:rPr>
              <w:t>Criminal Code</w:t>
            </w:r>
            <w:r w:rsidRPr="00C26CC3">
              <w:rPr>
                <w:sz w:val="20"/>
                <w:szCs w:val="20"/>
              </w:rPr>
              <w:t>, R.S.C. 1985, c. C</w:t>
            </w:r>
            <w:r w:rsidRPr="00C26CC3">
              <w:rPr>
                <w:sz w:val="20"/>
                <w:szCs w:val="20"/>
              </w:rPr>
              <w:noBreakHyphen/>
              <w:t xml:space="preserve">46, and </w:t>
            </w:r>
            <w:r w:rsidRPr="00C26CC3">
              <w:rPr>
                <w:i/>
                <w:sz w:val="20"/>
                <w:szCs w:val="20"/>
              </w:rPr>
              <w:t>C.B.C. v. New Brunswick (A.G.)</w:t>
            </w:r>
            <w:r w:rsidRPr="00C26CC3">
              <w:rPr>
                <w:sz w:val="20"/>
                <w:szCs w:val="20"/>
              </w:rPr>
              <w:t>, [1996] 3 S.C.R. 480.</w:t>
            </w:r>
          </w:p>
          <w:p w:rsidR="00C1697B" w:rsidRPr="00C1697B" w:rsidRDefault="00C1697B" w:rsidP="00C1697B">
            <w:pPr>
              <w:widowControl w:val="0"/>
              <w:jc w:val="both"/>
              <w:rPr>
                <w:b/>
                <w:sz w:val="20"/>
                <w:szCs w:val="20"/>
              </w:rPr>
            </w:pPr>
          </w:p>
        </w:tc>
        <w:tc>
          <w:tcPr>
            <w:tcW w:w="720" w:type="dxa"/>
            <w:tcMar>
              <w:left w:w="0" w:type="dxa"/>
              <w:right w:w="0" w:type="dxa"/>
            </w:tcMar>
          </w:tcPr>
          <w:p w:rsidR="00C1697B" w:rsidRPr="00C1697B" w:rsidRDefault="00C1697B" w:rsidP="00C1697B">
            <w:pPr>
              <w:widowControl w:val="0"/>
              <w:jc w:val="center"/>
              <w:rPr>
                <w:sz w:val="20"/>
                <w:szCs w:val="20"/>
              </w:rPr>
            </w:pPr>
          </w:p>
        </w:tc>
        <w:tc>
          <w:tcPr>
            <w:tcW w:w="4380" w:type="dxa"/>
            <w:tcMar>
              <w:left w:w="0" w:type="dxa"/>
              <w:right w:w="0" w:type="dxa"/>
            </w:tcMar>
          </w:tcPr>
          <w:p w:rsidR="00C1697B" w:rsidRPr="00CC4D84" w:rsidRDefault="00C1697B" w:rsidP="00C1697B">
            <w:pPr>
              <w:widowControl w:val="0"/>
              <w:jc w:val="both"/>
              <w:rPr>
                <w:b/>
                <w:sz w:val="20"/>
                <w:szCs w:val="20"/>
                <w:u w:val="single"/>
                <w:lang w:val="fr-CA"/>
              </w:rPr>
            </w:pPr>
            <w:r w:rsidRPr="00CC4D84">
              <w:rPr>
                <w:b/>
                <w:sz w:val="20"/>
                <w:szCs w:val="20"/>
                <w:u w:val="single"/>
                <w:lang w:val="fr-CA"/>
              </w:rPr>
              <w:t>Nature de la cause :</w:t>
            </w:r>
          </w:p>
          <w:p w:rsidR="00C1697B" w:rsidRPr="00C1697B" w:rsidRDefault="00C1697B" w:rsidP="00C1697B">
            <w:pPr>
              <w:widowControl w:val="0"/>
              <w:jc w:val="both"/>
              <w:rPr>
                <w:sz w:val="20"/>
                <w:szCs w:val="20"/>
                <w:lang w:val="fr-CA"/>
              </w:rPr>
            </w:pPr>
          </w:p>
          <w:p w:rsidR="003E5773" w:rsidRPr="00403FEA" w:rsidRDefault="003E5773" w:rsidP="003E5773">
            <w:pPr>
              <w:widowControl w:val="0"/>
              <w:jc w:val="both"/>
              <w:rPr>
                <w:sz w:val="20"/>
                <w:szCs w:val="20"/>
                <w:lang w:val="fr-CA"/>
              </w:rPr>
            </w:pPr>
            <w:r w:rsidRPr="00403FEA">
              <w:rPr>
                <w:sz w:val="20"/>
                <w:szCs w:val="20"/>
                <w:lang w:val="fr-CA"/>
              </w:rPr>
              <w:t>(</w:t>
            </w:r>
            <w:r w:rsidRPr="00403FEA">
              <w:rPr>
                <w:smallCaps/>
                <w:sz w:val="20"/>
                <w:szCs w:val="20"/>
                <w:lang w:val="fr-CA"/>
              </w:rPr>
              <w:t>Ordonnance de non</w:t>
            </w:r>
            <w:r w:rsidRPr="00403FEA">
              <w:rPr>
                <w:smallCaps/>
                <w:sz w:val="20"/>
                <w:szCs w:val="20"/>
                <w:lang w:val="fr-CA"/>
              </w:rPr>
              <w:noBreakHyphen/>
              <w:t>publication dans le dossier</w:t>
            </w:r>
            <w:r w:rsidRPr="00403FEA">
              <w:rPr>
                <w:sz w:val="20"/>
                <w:szCs w:val="20"/>
                <w:lang w:val="fr-CA"/>
              </w:rPr>
              <w:t>)</w:t>
            </w:r>
          </w:p>
          <w:p w:rsidR="003E5773" w:rsidRPr="00403FEA" w:rsidRDefault="003E5773" w:rsidP="003E5773">
            <w:pPr>
              <w:widowControl w:val="0"/>
              <w:jc w:val="both"/>
              <w:rPr>
                <w:sz w:val="20"/>
                <w:szCs w:val="20"/>
                <w:lang w:val="fr-CA"/>
              </w:rPr>
            </w:pPr>
          </w:p>
          <w:p w:rsidR="00C1697B" w:rsidRPr="00C1697B" w:rsidRDefault="003E5773" w:rsidP="003E5773">
            <w:pPr>
              <w:widowControl w:val="0"/>
              <w:jc w:val="both"/>
              <w:rPr>
                <w:sz w:val="20"/>
                <w:szCs w:val="20"/>
                <w:lang w:val="fr-CA"/>
              </w:rPr>
            </w:pPr>
            <w:r w:rsidRPr="00403FEA">
              <w:rPr>
                <w:i/>
                <w:sz w:val="20"/>
                <w:szCs w:val="20"/>
                <w:lang w:val="fr-CA"/>
              </w:rPr>
              <w:t xml:space="preserve">Charte des droits </w:t>
            </w:r>
            <w:r w:rsidRPr="00403FEA">
              <w:rPr>
                <w:sz w:val="20"/>
                <w:szCs w:val="20"/>
                <w:lang w:val="fr-CA"/>
              </w:rPr>
              <w:t>- Droit criminel - Auto</w:t>
            </w:r>
            <w:r w:rsidRPr="00403FEA">
              <w:rPr>
                <w:sz w:val="20"/>
                <w:szCs w:val="20"/>
                <w:lang w:val="fr-CA"/>
              </w:rPr>
              <w:noBreakHyphen/>
              <w:t>incrimination - Droit de garder le silence - Admissibilité d’une confession obtenue par une opération d’infiltration de type « Mr. Big » - Preuve -</w:t>
            </w:r>
            <w:r w:rsidRPr="00403FEA">
              <w:rPr>
                <w:i/>
                <w:sz w:val="20"/>
                <w:szCs w:val="20"/>
                <w:lang w:val="fr-CA"/>
              </w:rPr>
              <w:t xml:space="preserve"> </w:t>
            </w:r>
            <w:r w:rsidRPr="00403FEA">
              <w:rPr>
                <w:sz w:val="20"/>
                <w:szCs w:val="20"/>
                <w:lang w:val="fr-CA"/>
              </w:rPr>
              <w:t>Témoignage de l’accusé donné à huis clos</w:t>
            </w:r>
            <w:r w:rsidRPr="00403FEA">
              <w:rPr>
                <w:i/>
                <w:sz w:val="20"/>
                <w:szCs w:val="20"/>
                <w:lang w:val="fr-CA"/>
              </w:rPr>
              <w:t xml:space="preserve"> </w:t>
            </w:r>
            <w:r w:rsidRPr="00403FEA">
              <w:rPr>
                <w:sz w:val="20"/>
                <w:szCs w:val="20"/>
                <w:lang w:val="fr-CA"/>
              </w:rPr>
              <w:t>- Les juges majoritaires de la Cour d’appel ont</w:t>
            </w:r>
            <w:r w:rsidRPr="00403FEA">
              <w:rPr>
                <w:sz w:val="20"/>
                <w:szCs w:val="20"/>
                <w:lang w:val="fr-CA"/>
              </w:rPr>
              <w:noBreakHyphen/>
              <w:t xml:space="preserve">ils commis une erreur de droit en concluant que les droits de l’intimé garantis par l’art. 7 de la </w:t>
            </w:r>
            <w:r w:rsidRPr="00403FEA">
              <w:rPr>
                <w:i/>
                <w:sz w:val="20"/>
                <w:szCs w:val="20"/>
                <w:lang w:val="fr-CA"/>
              </w:rPr>
              <w:t>Charte</w:t>
            </w:r>
            <w:r w:rsidRPr="00403FEA">
              <w:rPr>
                <w:sz w:val="20"/>
                <w:szCs w:val="20"/>
                <w:lang w:val="fr-CA"/>
              </w:rPr>
              <w:t xml:space="preserve"> avaient été violés? - Les juges majoritaires de la Cour d’appel ont</w:t>
            </w:r>
            <w:r w:rsidRPr="00403FEA">
              <w:rPr>
                <w:sz w:val="20"/>
                <w:szCs w:val="20"/>
                <w:lang w:val="fr-CA"/>
              </w:rPr>
              <w:noBreakHyphen/>
              <w:t xml:space="preserve">ils commis une erreur de droit dans leur interprétation et leur application de l’arrêt </w:t>
            </w:r>
            <w:r w:rsidRPr="00403FEA">
              <w:rPr>
                <w:i/>
                <w:sz w:val="20"/>
                <w:szCs w:val="20"/>
                <w:lang w:val="fr-CA"/>
              </w:rPr>
              <w:t>R. c. Hebert</w:t>
            </w:r>
            <w:r w:rsidRPr="00403FEA">
              <w:rPr>
                <w:sz w:val="20"/>
                <w:szCs w:val="20"/>
                <w:lang w:val="fr-CA"/>
              </w:rPr>
              <w:t>, [1990] 2 R.C.S. 151? - Les juges majoritaires de la Cour d’appel ont</w:t>
            </w:r>
            <w:r w:rsidRPr="00403FEA">
              <w:rPr>
                <w:sz w:val="20"/>
                <w:szCs w:val="20"/>
                <w:lang w:val="fr-CA"/>
              </w:rPr>
              <w:noBreakHyphen/>
              <w:t xml:space="preserve">ils commis une erreur de droit dans leur interprétation de l’arrêt </w:t>
            </w:r>
            <w:r w:rsidRPr="00403FEA">
              <w:rPr>
                <w:i/>
                <w:sz w:val="20"/>
                <w:szCs w:val="20"/>
                <w:lang w:val="fr-CA"/>
              </w:rPr>
              <w:t>R. c. White</w:t>
            </w:r>
            <w:r w:rsidRPr="00403FEA">
              <w:rPr>
                <w:sz w:val="20"/>
                <w:szCs w:val="20"/>
                <w:lang w:val="fr-CA"/>
              </w:rPr>
              <w:t>, [1992] 2 R.C.S. 417? - Les juges majoritaires de la Cour d’appel ont</w:t>
            </w:r>
            <w:r w:rsidRPr="00403FEA">
              <w:rPr>
                <w:sz w:val="20"/>
                <w:szCs w:val="20"/>
                <w:lang w:val="fr-CA"/>
              </w:rPr>
              <w:noBreakHyphen/>
              <w:t>ils commis une erreur de droit en ne faisant pas preuve de déférence à l’égard des conclusions de fait tirées par le juge du procès? - Les juges majoritaires ont</w:t>
            </w:r>
            <w:r w:rsidRPr="00403FEA">
              <w:rPr>
                <w:sz w:val="20"/>
                <w:szCs w:val="20"/>
                <w:lang w:val="fr-CA"/>
              </w:rPr>
              <w:noBreakHyphen/>
              <w:t xml:space="preserve">ils commis une erreur de droit dans leur interprétation et leur application du par. 486(1) du </w:t>
            </w:r>
            <w:r w:rsidRPr="00403FEA">
              <w:rPr>
                <w:i/>
                <w:sz w:val="20"/>
                <w:szCs w:val="20"/>
                <w:lang w:val="fr-CA"/>
              </w:rPr>
              <w:t>Code criminel</w:t>
            </w:r>
            <w:r w:rsidRPr="00403FEA">
              <w:rPr>
                <w:sz w:val="20"/>
                <w:szCs w:val="20"/>
                <w:lang w:val="fr-CA"/>
              </w:rPr>
              <w:t>, L.R.C. 1985, ch. C</w:t>
            </w:r>
            <w:r w:rsidRPr="00403FEA">
              <w:rPr>
                <w:sz w:val="20"/>
                <w:szCs w:val="20"/>
                <w:lang w:val="fr-CA"/>
              </w:rPr>
              <w:noBreakHyphen/>
              <w:t xml:space="preserve">46 et de l’arrêt </w:t>
            </w:r>
            <w:r w:rsidRPr="00403FEA">
              <w:rPr>
                <w:i/>
                <w:sz w:val="20"/>
                <w:szCs w:val="20"/>
                <w:lang w:val="fr-CA"/>
              </w:rPr>
              <w:t>Société Radio</w:t>
            </w:r>
            <w:r w:rsidRPr="00403FEA">
              <w:rPr>
                <w:i/>
                <w:sz w:val="20"/>
                <w:szCs w:val="20"/>
                <w:lang w:val="fr-CA"/>
              </w:rPr>
              <w:noBreakHyphen/>
              <w:t>Canada c. Nouveau</w:t>
            </w:r>
            <w:r w:rsidRPr="00403FEA">
              <w:rPr>
                <w:i/>
                <w:sz w:val="20"/>
                <w:szCs w:val="20"/>
                <w:lang w:val="fr-CA"/>
              </w:rPr>
              <w:noBreakHyphen/>
              <w:t>Brunswick (Procureur général)</w:t>
            </w:r>
            <w:r w:rsidRPr="00403FEA">
              <w:rPr>
                <w:sz w:val="20"/>
                <w:szCs w:val="20"/>
                <w:lang w:val="fr-CA"/>
              </w:rPr>
              <w:t>, [1996] 3 R.C.S. 480?</w:t>
            </w:r>
          </w:p>
        </w:tc>
      </w:tr>
    </w:tbl>
    <w:p w:rsidR="00732DB7" w:rsidRDefault="00732DB7" w:rsidP="00732DB7">
      <w:pPr>
        <w:widowControl w:val="0"/>
        <w:rPr>
          <w:sz w:val="20"/>
          <w:szCs w:val="20"/>
          <w:lang w:val="fr-CA"/>
        </w:rPr>
      </w:pPr>
    </w:p>
    <w:p w:rsidR="002A27D1" w:rsidRDefault="00E7787D" w:rsidP="002A27D1">
      <w:pPr>
        <w:widowControl w:val="0"/>
        <w:rPr>
          <w:sz w:val="20"/>
          <w:szCs w:val="20"/>
        </w:rPr>
      </w:pPr>
      <w:r>
        <w:rPr>
          <w:sz w:val="20"/>
          <w:szCs w:val="20"/>
          <w:lang w:val="fr-CA"/>
        </w:rPr>
        <w:pict>
          <v:rect id="_x0000_i1060" style="width:2in;height:1pt" o:hrpct="0" o:hralign="center" o:hrstd="t" o:hrnoshade="t" o:hr="t" fillcolor="black [3213]" stroked="f"/>
        </w:pict>
      </w:r>
    </w:p>
    <w:p w:rsidR="002A27D1" w:rsidRDefault="002A27D1" w:rsidP="002A27D1">
      <w:pPr>
        <w:widowControl w:val="0"/>
        <w:rPr>
          <w:sz w:val="20"/>
          <w:szCs w:val="20"/>
        </w:rPr>
      </w:pPr>
    </w:p>
    <w:p w:rsidR="0083449C" w:rsidRPr="00C50A5C" w:rsidRDefault="0083449C" w:rsidP="0083449C">
      <w:pPr>
        <w:widowControl w:val="0"/>
        <w:rPr>
          <w:sz w:val="20"/>
          <w:szCs w:val="20"/>
        </w:rPr>
      </w:pPr>
      <w:r>
        <w:rPr>
          <w:sz w:val="20"/>
          <w:szCs w:val="20"/>
        </w:rPr>
        <w:t>03</w:t>
      </w:r>
      <w:r w:rsidRPr="00C50A5C">
        <w:rPr>
          <w:sz w:val="20"/>
          <w:szCs w:val="20"/>
        </w:rPr>
        <w:t>.</w:t>
      </w:r>
      <w:r>
        <w:rPr>
          <w:sz w:val="20"/>
          <w:szCs w:val="20"/>
        </w:rPr>
        <w:t>12</w:t>
      </w:r>
      <w:r w:rsidRPr="00C50A5C">
        <w:rPr>
          <w:sz w:val="20"/>
          <w:szCs w:val="20"/>
        </w:rPr>
        <w:t>.201</w:t>
      </w:r>
      <w:r>
        <w:rPr>
          <w:sz w:val="20"/>
          <w:szCs w:val="20"/>
        </w:rPr>
        <w:t>3</w:t>
      </w:r>
    </w:p>
    <w:p w:rsidR="0083449C" w:rsidRPr="00C50A5C" w:rsidRDefault="0083449C" w:rsidP="0083449C">
      <w:pPr>
        <w:widowControl w:val="0"/>
        <w:rPr>
          <w:sz w:val="20"/>
          <w:szCs w:val="20"/>
        </w:rPr>
      </w:pPr>
    </w:p>
    <w:p w:rsidR="0083449C" w:rsidRPr="00C50A5C" w:rsidRDefault="0083449C" w:rsidP="0083449C">
      <w:pPr>
        <w:widowControl w:val="0"/>
        <w:ind w:left="720" w:hanging="720"/>
        <w:rPr>
          <w:b/>
          <w:sz w:val="20"/>
          <w:szCs w:val="20"/>
        </w:rPr>
      </w:pPr>
      <w:r w:rsidRPr="00C50A5C">
        <w:rPr>
          <w:sz w:val="20"/>
          <w:szCs w:val="20"/>
        </w:rPr>
        <w:t xml:space="preserve">Coram: </w:t>
      </w:r>
      <w:r w:rsidRPr="00C50A5C">
        <w:rPr>
          <w:sz w:val="20"/>
          <w:szCs w:val="20"/>
        </w:rPr>
        <w:tab/>
      </w:r>
      <w:r w:rsidRPr="00C50A5C">
        <w:rPr>
          <w:sz w:val="20"/>
          <w:szCs w:val="20"/>
          <w:u w:val="single"/>
        </w:rPr>
        <w:t>McLachlin C.J. and LeBel, Abella, Cromwell</w:t>
      </w:r>
      <w:r>
        <w:rPr>
          <w:sz w:val="20"/>
          <w:szCs w:val="20"/>
          <w:u w:val="single"/>
        </w:rPr>
        <w:t>, Moldaver, Karakatsanis and</w:t>
      </w:r>
      <w:r w:rsidRPr="00C50A5C">
        <w:rPr>
          <w:sz w:val="20"/>
          <w:szCs w:val="20"/>
          <w:u w:val="single"/>
        </w:rPr>
        <w:t xml:space="preserve"> </w:t>
      </w:r>
      <w:r>
        <w:rPr>
          <w:sz w:val="20"/>
          <w:szCs w:val="20"/>
          <w:u w:val="single"/>
        </w:rPr>
        <w:t xml:space="preserve">Wagner </w:t>
      </w:r>
      <w:r w:rsidRPr="00C50A5C">
        <w:rPr>
          <w:sz w:val="20"/>
          <w:szCs w:val="20"/>
          <w:u w:val="single"/>
        </w:rPr>
        <w:t>JJ.</w:t>
      </w:r>
      <w:r w:rsidRPr="00C50A5C">
        <w:rPr>
          <w:sz w:val="20"/>
          <w:szCs w:val="20"/>
        </w:rPr>
        <w:t xml:space="preserve"> </w:t>
      </w:r>
    </w:p>
    <w:p w:rsidR="0083449C" w:rsidRPr="00C50A5C" w:rsidRDefault="0083449C" w:rsidP="0083449C">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83449C" w:rsidRPr="00C50A5C" w:rsidTr="0083449C">
        <w:tc>
          <w:tcPr>
            <w:tcW w:w="4380" w:type="dxa"/>
            <w:tcMar>
              <w:left w:w="0" w:type="dxa"/>
              <w:right w:w="0" w:type="dxa"/>
            </w:tcMar>
          </w:tcPr>
          <w:p w:rsidR="0083449C" w:rsidRPr="00C50A5C" w:rsidRDefault="003E5773" w:rsidP="0083449C">
            <w:pPr>
              <w:widowControl w:val="0"/>
              <w:jc w:val="both"/>
              <w:rPr>
                <w:b/>
                <w:sz w:val="20"/>
                <w:szCs w:val="20"/>
              </w:rPr>
            </w:pPr>
            <w:r>
              <w:rPr>
                <w:b/>
                <w:sz w:val="20"/>
                <w:szCs w:val="20"/>
              </w:rPr>
              <w:t xml:space="preserve">Dax </w:t>
            </w:r>
            <w:r w:rsidR="0083449C" w:rsidRPr="00C50A5C">
              <w:rPr>
                <w:b/>
                <w:sz w:val="20"/>
                <w:szCs w:val="20"/>
              </w:rPr>
              <w:t>Ric</w:t>
            </w:r>
            <w:r>
              <w:rPr>
                <w:b/>
                <w:sz w:val="20"/>
                <w:szCs w:val="20"/>
              </w:rPr>
              <w:t>h</w:t>
            </w:r>
            <w:r w:rsidR="0083449C" w:rsidRPr="00C50A5C">
              <w:rPr>
                <w:b/>
                <w:sz w:val="20"/>
                <w:szCs w:val="20"/>
              </w:rPr>
              <w:t>a</w:t>
            </w:r>
            <w:r>
              <w:rPr>
                <w:b/>
                <w:sz w:val="20"/>
                <w:szCs w:val="20"/>
              </w:rPr>
              <w:t>rd Ma</w:t>
            </w:r>
            <w:r w:rsidR="0083449C" w:rsidRPr="00C50A5C">
              <w:rPr>
                <w:b/>
                <w:sz w:val="20"/>
                <w:szCs w:val="20"/>
              </w:rPr>
              <w:t>c</w:t>
            </w:r>
            <w:r>
              <w:rPr>
                <w:b/>
                <w:sz w:val="20"/>
                <w:szCs w:val="20"/>
              </w:rPr>
              <w:t>k</w:t>
            </w:r>
          </w:p>
          <w:p w:rsidR="0083449C" w:rsidRPr="00C50A5C" w:rsidRDefault="0083449C" w:rsidP="0083449C">
            <w:pPr>
              <w:widowControl w:val="0"/>
              <w:jc w:val="both"/>
              <w:rPr>
                <w:b/>
                <w:sz w:val="20"/>
                <w:szCs w:val="20"/>
              </w:rPr>
            </w:pPr>
          </w:p>
          <w:p w:rsidR="0083449C" w:rsidRPr="00C50A5C" w:rsidRDefault="0083449C" w:rsidP="0083449C">
            <w:pPr>
              <w:widowControl w:val="0"/>
              <w:tabs>
                <w:tab w:val="left" w:pos="736"/>
              </w:tabs>
              <w:jc w:val="both"/>
              <w:rPr>
                <w:b/>
                <w:sz w:val="20"/>
                <w:szCs w:val="20"/>
              </w:rPr>
            </w:pPr>
            <w:r w:rsidRPr="00C50A5C">
              <w:rPr>
                <w:b/>
                <w:sz w:val="20"/>
                <w:szCs w:val="20"/>
              </w:rPr>
              <w:tab/>
              <w:t xml:space="preserve">v. </w:t>
            </w:r>
            <w:r w:rsidR="00683CFF" w:rsidRPr="00FE34CF">
              <w:rPr>
                <w:sz w:val="20"/>
                <w:szCs w:val="20"/>
              </w:rPr>
              <w:t>(</w:t>
            </w:r>
            <w:hyperlink r:id="rId55" w:history="1">
              <w:r w:rsidR="00683CFF" w:rsidRPr="00FE34CF">
                <w:rPr>
                  <w:rStyle w:val="Hyperlink"/>
                  <w:sz w:val="20"/>
                  <w:szCs w:val="20"/>
                </w:rPr>
                <w:t>35093</w:t>
              </w:r>
            </w:hyperlink>
            <w:r w:rsidR="00683CFF" w:rsidRPr="00FE34CF">
              <w:rPr>
                <w:sz w:val="20"/>
                <w:szCs w:val="20"/>
              </w:rPr>
              <w:t>)</w:t>
            </w:r>
          </w:p>
          <w:p w:rsidR="0083449C" w:rsidRPr="00C50A5C" w:rsidRDefault="0083449C" w:rsidP="0083449C">
            <w:pPr>
              <w:widowControl w:val="0"/>
              <w:jc w:val="both"/>
              <w:rPr>
                <w:b/>
                <w:sz w:val="20"/>
                <w:szCs w:val="20"/>
              </w:rPr>
            </w:pPr>
          </w:p>
          <w:p w:rsidR="0083449C" w:rsidRDefault="003E5773" w:rsidP="003E5773">
            <w:pPr>
              <w:widowControl w:val="0"/>
              <w:jc w:val="both"/>
              <w:rPr>
                <w:b/>
                <w:sz w:val="20"/>
                <w:szCs w:val="20"/>
              </w:rPr>
            </w:pPr>
            <w:r>
              <w:rPr>
                <w:b/>
                <w:sz w:val="20"/>
                <w:szCs w:val="20"/>
              </w:rPr>
              <w:t>Her Majesty the Queen</w:t>
            </w:r>
            <w:r w:rsidRPr="00C50A5C">
              <w:rPr>
                <w:b/>
                <w:sz w:val="20"/>
                <w:szCs w:val="20"/>
              </w:rPr>
              <w:t xml:space="preserve"> </w:t>
            </w:r>
            <w:r w:rsidR="0083449C" w:rsidRPr="00C50A5C">
              <w:rPr>
                <w:b/>
                <w:sz w:val="20"/>
                <w:szCs w:val="20"/>
              </w:rPr>
              <w:t>(</w:t>
            </w:r>
            <w:r>
              <w:rPr>
                <w:b/>
                <w:sz w:val="20"/>
                <w:szCs w:val="20"/>
              </w:rPr>
              <w:t>Alta</w:t>
            </w:r>
            <w:r w:rsidR="0083449C" w:rsidRPr="00C50A5C">
              <w:rPr>
                <w:b/>
                <w:sz w:val="20"/>
                <w:szCs w:val="20"/>
              </w:rPr>
              <w:t>.) (C</w:t>
            </w:r>
            <w:r>
              <w:rPr>
                <w:b/>
                <w:sz w:val="20"/>
                <w:szCs w:val="20"/>
              </w:rPr>
              <w:t>r</w:t>
            </w:r>
            <w:r w:rsidR="0083449C" w:rsidRPr="00C50A5C">
              <w:rPr>
                <w:b/>
                <w:sz w:val="20"/>
                <w:szCs w:val="20"/>
              </w:rPr>
              <w:t>i</w:t>
            </w:r>
            <w:r>
              <w:rPr>
                <w:b/>
                <w:sz w:val="20"/>
                <w:szCs w:val="20"/>
              </w:rPr>
              <w:t>m</w:t>
            </w:r>
            <w:r w:rsidR="0083449C" w:rsidRPr="00C50A5C">
              <w:rPr>
                <w:b/>
                <w:sz w:val="20"/>
                <w:szCs w:val="20"/>
              </w:rPr>
              <w:t>i</w:t>
            </w:r>
            <w:r>
              <w:rPr>
                <w:b/>
                <w:sz w:val="20"/>
                <w:szCs w:val="20"/>
              </w:rPr>
              <w:t>na</w:t>
            </w:r>
            <w:r w:rsidR="0083449C" w:rsidRPr="00C50A5C">
              <w:rPr>
                <w:b/>
                <w:sz w:val="20"/>
                <w:szCs w:val="20"/>
              </w:rPr>
              <w:t>l) (By</w:t>
            </w:r>
            <w:r>
              <w:rPr>
                <w:b/>
                <w:sz w:val="20"/>
                <w:szCs w:val="20"/>
              </w:rPr>
              <w:t> </w:t>
            </w:r>
            <w:r w:rsidR="0083449C" w:rsidRPr="00C50A5C">
              <w:rPr>
                <w:b/>
                <w:sz w:val="20"/>
                <w:szCs w:val="20"/>
              </w:rPr>
              <w:t>Leave)</w:t>
            </w:r>
          </w:p>
          <w:p w:rsidR="00683CFF" w:rsidRDefault="00683CFF" w:rsidP="003E5773">
            <w:pPr>
              <w:widowControl w:val="0"/>
              <w:jc w:val="both"/>
              <w:rPr>
                <w:b/>
                <w:sz w:val="20"/>
                <w:szCs w:val="20"/>
              </w:rPr>
            </w:pPr>
          </w:p>
          <w:p w:rsidR="00683CFF" w:rsidRPr="003E5773" w:rsidRDefault="00683CFF" w:rsidP="003E5773">
            <w:pPr>
              <w:widowControl w:val="0"/>
              <w:jc w:val="both"/>
              <w:rPr>
                <w:sz w:val="20"/>
                <w:szCs w:val="20"/>
              </w:rPr>
            </w:pPr>
          </w:p>
        </w:tc>
        <w:tc>
          <w:tcPr>
            <w:tcW w:w="720" w:type="dxa"/>
            <w:tcMar>
              <w:left w:w="0" w:type="dxa"/>
              <w:right w:w="0" w:type="dxa"/>
            </w:tcMar>
          </w:tcPr>
          <w:p w:rsidR="0083449C" w:rsidRPr="003E5773" w:rsidRDefault="0083449C" w:rsidP="0083449C">
            <w:pPr>
              <w:widowControl w:val="0"/>
              <w:jc w:val="center"/>
              <w:rPr>
                <w:sz w:val="20"/>
                <w:szCs w:val="20"/>
              </w:rPr>
            </w:pPr>
          </w:p>
        </w:tc>
        <w:tc>
          <w:tcPr>
            <w:tcW w:w="4380" w:type="dxa"/>
            <w:tcMar>
              <w:left w:w="0" w:type="dxa"/>
              <w:right w:w="0" w:type="dxa"/>
            </w:tcMar>
          </w:tcPr>
          <w:p w:rsidR="008713A0" w:rsidRPr="0046207A" w:rsidRDefault="008713A0" w:rsidP="008713A0">
            <w:pPr>
              <w:jc w:val="both"/>
              <w:rPr>
                <w:sz w:val="20"/>
                <w:szCs w:val="20"/>
              </w:rPr>
            </w:pPr>
            <w:r w:rsidRPr="0046207A">
              <w:rPr>
                <w:sz w:val="20"/>
                <w:szCs w:val="20"/>
              </w:rPr>
              <w:t>Frances J. Knickle, Q.C.</w:t>
            </w:r>
            <w:r>
              <w:rPr>
                <w:sz w:val="20"/>
                <w:szCs w:val="20"/>
              </w:rPr>
              <w:t xml:space="preserve"> and </w:t>
            </w:r>
            <w:r w:rsidRPr="0046207A">
              <w:rPr>
                <w:sz w:val="20"/>
                <w:szCs w:val="20"/>
              </w:rPr>
              <w:t>Elaine Reid</w:t>
            </w:r>
            <w:r>
              <w:rPr>
                <w:sz w:val="20"/>
                <w:szCs w:val="20"/>
              </w:rPr>
              <w:t xml:space="preserve"> f</w:t>
            </w:r>
            <w:r w:rsidRPr="0046207A">
              <w:rPr>
                <w:sz w:val="20"/>
                <w:szCs w:val="20"/>
              </w:rPr>
              <w:t xml:space="preserve">or the </w:t>
            </w:r>
            <w:r>
              <w:rPr>
                <w:sz w:val="20"/>
                <w:szCs w:val="20"/>
              </w:rPr>
              <w:t>a</w:t>
            </w:r>
            <w:r w:rsidRPr="0046207A">
              <w:rPr>
                <w:sz w:val="20"/>
                <w:szCs w:val="20"/>
              </w:rPr>
              <w:t>ppellant (35049).</w:t>
            </w:r>
          </w:p>
          <w:p w:rsidR="008713A0" w:rsidRPr="0046207A" w:rsidRDefault="008713A0" w:rsidP="008713A0">
            <w:pPr>
              <w:jc w:val="both"/>
              <w:rPr>
                <w:sz w:val="20"/>
                <w:szCs w:val="20"/>
              </w:rPr>
            </w:pPr>
          </w:p>
          <w:p w:rsidR="008713A0" w:rsidRPr="0046207A" w:rsidRDefault="008713A0" w:rsidP="008713A0">
            <w:pPr>
              <w:jc w:val="both"/>
              <w:rPr>
                <w:sz w:val="20"/>
                <w:szCs w:val="20"/>
              </w:rPr>
            </w:pPr>
            <w:r w:rsidRPr="0046207A">
              <w:rPr>
                <w:sz w:val="20"/>
                <w:szCs w:val="20"/>
              </w:rPr>
              <w:t>Marie Henein</w:t>
            </w:r>
            <w:r>
              <w:rPr>
                <w:sz w:val="20"/>
                <w:szCs w:val="20"/>
              </w:rPr>
              <w:t xml:space="preserve"> and </w:t>
            </w:r>
            <w:r w:rsidRPr="0046207A">
              <w:rPr>
                <w:sz w:val="20"/>
                <w:szCs w:val="20"/>
              </w:rPr>
              <w:t>Matthew Gourlay</w:t>
            </w:r>
            <w:r>
              <w:rPr>
                <w:sz w:val="20"/>
                <w:szCs w:val="20"/>
              </w:rPr>
              <w:t xml:space="preserve"> f</w:t>
            </w:r>
            <w:r w:rsidRPr="0046207A">
              <w:rPr>
                <w:sz w:val="20"/>
                <w:szCs w:val="20"/>
              </w:rPr>
              <w:t>or the Amicus Curiae (35049)</w:t>
            </w:r>
            <w:r>
              <w:rPr>
                <w:sz w:val="20"/>
                <w:szCs w:val="20"/>
              </w:rPr>
              <w:t>.</w:t>
            </w:r>
          </w:p>
          <w:p w:rsidR="008713A0" w:rsidRPr="0046207A" w:rsidRDefault="008713A0" w:rsidP="008713A0">
            <w:pPr>
              <w:jc w:val="both"/>
              <w:rPr>
                <w:sz w:val="20"/>
                <w:szCs w:val="20"/>
              </w:rPr>
            </w:pPr>
          </w:p>
          <w:p w:rsidR="008713A0" w:rsidRDefault="008713A0" w:rsidP="008713A0">
            <w:pPr>
              <w:jc w:val="both"/>
              <w:rPr>
                <w:sz w:val="20"/>
                <w:szCs w:val="20"/>
                <w:lang w:val="en-US"/>
              </w:rPr>
            </w:pPr>
            <w:r w:rsidRPr="0046207A">
              <w:rPr>
                <w:sz w:val="20"/>
                <w:szCs w:val="20"/>
                <w:lang w:val="en-US"/>
              </w:rPr>
              <w:t>Jamie Merrigan</w:t>
            </w:r>
            <w:r>
              <w:rPr>
                <w:sz w:val="20"/>
                <w:szCs w:val="20"/>
                <w:lang w:val="en-US"/>
              </w:rPr>
              <w:t xml:space="preserve"> and </w:t>
            </w:r>
            <w:r w:rsidRPr="0046207A">
              <w:rPr>
                <w:sz w:val="20"/>
                <w:szCs w:val="20"/>
                <w:lang w:val="en-US"/>
              </w:rPr>
              <w:t>Robby D. Ash</w:t>
            </w:r>
            <w:r>
              <w:rPr>
                <w:sz w:val="20"/>
                <w:szCs w:val="20"/>
                <w:lang w:val="en-US"/>
              </w:rPr>
              <w:t xml:space="preserve"> f</w:t>
            </w:r>
            <w:r w:rsidRPr="0046207A">
              <w:rPr>
                <w:sz w:val="20"/>
                <w:szCs w:val="20"/>
                <w:lang w:val="en-US"/>
              </w:rPr>
              <w:t xml:space="preserve">or the </w:t>
            </w:r>
            <w:r>
              <w:rPr>
                <w:sz w:val="20"/>
                <w:szCs w:val="20"/>
                <w:lang w:val="en-US"/>
              </w:rPr>
              <w:t>r</w:t>
            </w:r>
            <w:r w:rsidRPr="0046207A">
              <w:rPr>
                <w:sz w:val="20"/>
                <w:szCs w:val="20"/>
                <w:lang w:val="en-US"/>
              </w:rPr>
              <w:t>espondent (35049).</w:t>
            </w:r>
          </w:p>
          <w:p w:rsidR="008713A0" w:rsidRDefault="008713A0" w:rsidP="008713A0">
            <w:pPr>
              <w:jc w:val="both"/>
              <w:rPr>
                <w:sz w:val="20"/>
                <w:szCs w:val="20"/>
              </w:rPr>
            </w:pPr>
          </w:p>
          <w:p w:rsidR="008713A0" w:rsidRDefault="008713A0" w:rsidP="008713A0">
            <w:pPr>
              <w:jc w:val="both"/>
              <w:rPr>
                <w:sz w:val="20"/>
                <w:szCs w:val="20"/>
              </w:rPr>
            </w:pPr>
            <w:r w:rsidRPr="0046207A">
              <w:rPr>
                <w:sz w:val="20"/>
                <w:szCs w:val="20"/>
              </w:rPr>
              <w:t>Laura K. Stevens, Q.C.</w:t>
            </w:r>
            <w:r>
              <w:rPr>
                <w:sz w:val="20"/>
                <w:szCs w:val="20"/>
              </w:rPr>
              <w:t xml:space="preserve"> and </w:t>
            </w:r>
            <w:r w:rsidRPr="0046207A">
              <w:rPr>
                <w:sz w:val="20"/>
                <w:szCs w:val="20"/>
              </w:rPr>
              <w:t>Sarah N. DeSouza</w:t>
            </w:r>
            <w:r>
              <w:rPr>
                <w:sz w:val="20"/>
                <w:szCs w:val="20"/>
              </w:rPr>
              <w:t xml:space="preserve"> f</w:t>
            </w:r>
            <w:r w:rsidRPr="0046207A">
              <w:rPr>
                <w:sz w:val="20"/>
                <w:szCs w:val="20"/>
              </w:rPr>
              <w:t xml:space="preserve">or the </w:t>
            </w:r>
            <w:r>
              <w:rPr>
                <w:sz w:val="20"/>
                <w:szCs w:val="20"/>
              </w:rPr>
              <w:t>a</w:t>
            </w:r>
            <w:r w:rsidRPr="0046207A">
              <w:rPr>
                <w:sz w:val="20"/>
                <w:szCs w:val="20"/>
              </w:rPr>
              <w:t>ppellant (35093).</w:t>
            </w:r>
          </w:p>
          <w:p w:rsidR="008713A0" w:rsidRPr="0046207A" w:rsidRDefault="008713A0" w:rsidP="008713A0">
            <w:pPr>
              <w:jc w:val="both"/>
              <w:rPr>
                <w:sz w:val="20"/>
                <w:szCs w:val="20"/>
              </w:rPr>
            </w:pPr>
          </w:p>
          <w:p w:rsidR="008713A0" w:rsidRPr="0046207A" w:rsidRDefault="008713A0" w:rsidP="008713A0">
            <w:pPr>
              <w:jc w:val="both"/>
              <w:rPr>
                <w:sz w:val="20"/>
                <w:szCs w:val="20"/>
                <w:lang w:val="en-US"/>
              </w:rPr>
            </w:pPr>
            <w:r w:rsidRPr="0046207A">
              <w:rPr>
                <w:sz w:val="20"/>
                <w:szCs w:val="20"/>
              </w:rPr>
              <w:t xml:space="preserve">James C. Robb, Q.C. and </w:t>
            </w:r>
            <w:r w:rsidRPr="0046207A">
              <w:rPr>
                <w:sz w:val="20"/>
                <w:szCs w:val="20"/>
                <w:lang w:val="en-US"/>
              </w:rPr>
              <w:t>David A. Labrenz, Q.C.</w:t>
            </w:r>
            <w:r>
              <w:rPr>
                <w:sz w:val="20"/>
                <w:szCs w:val="20"/>
                <w:lang w:val="en-US"/>
              </w:rPr>
              <w:t xml:space="preserve"> f</w:t>
            </w:r>
            <w:r w:rsidRPr="0046207A">
              <w:rPr>
                <w:sz w:val="20"/>
                <w:szCs w:val="20"/>
                <w:lang w:val="en-US"/>
              </w:rPr>
              <w:t xml:space="preserve">or the </w:t>
            </w:r>
            <w:r>
              <w:rPr>
                <w:sz w:val="20"/>
                <w:szCs w:val="20"/>
                <w:lang w:val="en-US"/>
              </w:rPr>
              <w:t>r</w:t>
            </w:r>
            <w:r w:rsidRPr="0046207A">
              <w:rPr>
                <w:sz w:val="20"/>
                <w:szCs w:val="20"/>
                <w:lang w:val="en-US"/>
              </w:rPr>
              <w:t>espondent (35093).</w:t>
            </w:r>
          </w:p>
          <w:p w:rsidR="008713A0" w:rsidRPr="0046207A" w:rsidRDefault="008713A0" w:rsidP="008713A0">
            <w:pPr>
              <w:jc w:val="both"/>
              <w:rPr>
                <w:sz w:val="20"/>
                <w:szCs w:val="20"/>
                <w:lang w:val="en-US"/>
              </w:rPr>
            </w:pPr>
          </w:p>
          <w:p w:rsidR="008713A0" w:rsidRPr="0046207A" w:rsidRDefault="008713A0" w:rsidP="008713A0">
            <w:pPr>
              <w:jc w:val="both"/>
              <w:rPr>
                <w:sz w:val="20"/>
                <w:szCs w:val="20"/>
                <w:lang w:val="en-US"/>
              </w:rPr>
            </w:pPr>
            <w:r w:rsidRPr="0046207A">
              <w:rPr>
                <w:sz w:val="20"/>
                <w:szCs w:val="20"/>
                <w:lang w:val="en-US"/>
              </w:rPr>
              <w:t>James C. Martin</w:t>
            </w:r>
            <w:r>
              <w:rPr>
                <w:sz w:val="20"/>
                <w:szCs w:val="20"/>
                <w:lang w:val="en-US"/>
              </w:rPr>
              <w:t xml:space="preserve"> and </w:t>
            </w:r>
            <w:r w:rsidRPr="0046207A">
              <w:rPr>
                <w:sz w:val="20"/>
                <w:szCs w:val="20"/>
                <w:lang w:val="en-US"/>
              </w:rPr>
              <w:t>Natasha A. Thiessen</w:t>
            </w:r>
            <w:r>
              <w:rPr>
                <w:sz w:val="20"/>
                <w:szCs w:val="20"/>
                <w:lang w:val="en-US"/>
              </w:rPr>
              <w:t xml:space="preserve"> f</w:t>
            </w:r>
            <w:r w:rsidRPr="0046207A">
              <w:rPr>
                <w:sz w:val="20"/>
                <w:szCs w:val="20"/>
                <w:lang w:val="en-US"/>
              </w:rPr>
              <w:t xml:space="preserve">or the </w:t>
            </w:r>
            <w:r>
              <w:rPr>
                <w:sz w:val="20"/>
                <w:szCs w:val="20"/>
                <w:lang w:val="en-US"/>
              </w:rPr>
              <w:t>i</w:t>
            </w:r>
            <w:r w:rsidRPr="0046207A">
              <w:rPr>
                <w:sz w:val="20"/>
                <w:szCs w:val="20"/>
                <w:lang w:val="en-US"/>
              </w:rPr>
              <w:t xml:space="preserve">ntervener </w:t>
            </w:r>
            <w:r w:rsidRPr="0046207A">
              <w:rPr>
                <w:sz w:val="20"/>
                <w:szCs w:val="20"/>
              </w:rPr>
              <w:t>Director of Public Prosecutions</w:t>
            </w:r>
            <w:r w:rsidRPr="0046207A">
              <w:rPr>
                <w:sz w:val="20"/>
                <w:szCs w:val="20"/>
                <w:lang w:val="en-US"/>
              </w:rPr>
              <w:t xml:space="preserve"> (35049).</w:t>
            </w:r>
          </w:p>
          <w:p w:rsidR="008713A0" w:rsidRPr="0046207A" w:rsidRDefault="008713A0" w:rsidP="008713A0">
            <w:pPr>
              <w:jc w:val="both"/>
              <w:rPr>
                <w:sz w:val="20"/>
                <w:szCs w:val="20"/>
              </w:rPr>
            </w:pPr>
          </w:p>
          <w:p w:rsidR="008713A0" w:rsidRDefault="008713A0" w:rsidP="008713A0">
            <w:pPr>
              <w:jc w:val="both"/>
              <w:rPr>
                <w:sz w:val="20"/>
                <w:szCs w:val="20"/>
                <w:lang w:val="en-US"/>
              </w:rPr>
            </w:pPr>
            <w:r w:rsidRPr="0046207A">
              <w:rPr>
                <w:sz w:val="20"/>
                <w:szCs w:val="20"/>
                <w:lang w:val="en-US"/>
              </w:rPr>
              <w:t>Michael Bernstein</w:t>
            </w:r>
            <w:r>
              <w:rPr>
                <w:sz w:val="20"/>
                <w:szCs w:val="20"/>
                <w:lang w:val="en-US"/>
              </w:rPr>
              <w:t xml:space="preserve"> fo</w:t>
            </w:r>
            <w:r w:rsidRPr="0046207A">
              <w:rPr>
                <w:sz w:val="20"/>
                <w:szCs w:val="20"/>
                <w:lang w:val="en-US"/>
              </w:rPr>
              <w:t xml:space="preserve">r the </w:t>
            </w:r>
            <w:r>
              <w:rPr>
                <w:sz w:val="20"/>
                <w:szCs w:val="20"/>
                <w:lang w:val="en-US"/>
              </w:rPr>
              <w:t>i</w:t>
            </w:r>
            <w:r w:rsidRPr="0046207A">
              <w:rPr>
                <w:sz w:val="20"/>
                <w:szCs w:val="20"/>
                <w:lang w:val="en-US"/>
              </w:rPr>
              <w:t xml:space="preserve">ntervener </w:t>
            </w:r>
            <w:r w:rsidRPr="0046207A">
              <w:rPr>
                <w:sz w:val="20"/>
                <w:szCs w:val="20"/>
              </w:rPr>
              <w:t xml:space="preserve">Attorney General </w:t>
            </w:r>
            <w:r w:rsidRPr="0046207A">
              <w:rPr>
                <w:sz w:val="20"/>
                <w:szCs w:val="20"/>
              </w:rPr>
              <w:lastRenderedPageBreak/>
              <w:t>of Ontario</w:t>
            </w:r>
            <w:r w:rsidRPr="0046207A">
              <w:rPr>
                <w:sz w:val="20"/>
                <w:szCs w:val="20"/>
                <w:lang w:val="en-US"/>
              </w:rPr>
              <w:t xml:space="preserve"> (35049-35093)</w:t>
            </w:r>
            <w:r>
              <w:rPr>
                <w:sz w:val="20"/>
                <w:szCs w:val="20"/>
                <w:lang w:val="en-US"/>
              </w:rPr>
              <w:t>.</w:t>
            </w:r>
          </w:p>
          <w:p w:rsidR="008713A0" w:rsidRPr="0046207A" w:rsidRDefault="008713A0" w:rsidP="008713A0">
            <w:pPr>
              <w:jc w:val="both"/>
              <w:rPr>
                <w:sz w:val="20"/>
                <w:szCs w:val="20"/>
              </w:rPr>
            </w:pPr>
          </w:p>
          <w:p w:rsidR="008713A0" w:rsidRPr="0046207A" w:rsidRDefault="008713A0" w:rsidP="008713A0">
            <w:pPr>
              <w:jc w:val="both"/>
              <w:rPr>
                <w:sz w:val="20"/>
                <w:szCs w:val="20"/>
                <w:lang w:val="fr-CA"/>
              </w:rPr>
            </w:pPr>
            <w:r w:rsidRPr="0046207A">
              <w:rPr>
                <w:sz w:val="20"/>
                <w:szCs w:val="20"/>
                <w:lang w:val="fr-CA"/>
              </w:rPr>
              <w:t>Pierre L. Bienvenue</w:t>
            </w:r>
            <w:r>
              <w:rPr>
                <w:sz w:val="20"/>
                <w:szCs w:val="20"/>
                <w:lang w:val="fr-CA"/>
              </w:rPr>
              <w:t xml:space="preserve"> p</w:t>
            </w:r>
            <w:r w:rsidRPr="0046207A">
              <w:rPr>
                <w:sz w:val="20"/>
                <w:szCs w:val="20"/>
                <w:lang w:val="fr-CA"/>
              </w:rPr>
              <w:t>our l’intervenant Directeur des poursuites criminelles et pénales du Québec (35049).</w:t>
            </w:r>
          </w:p>
          <w:p w:rsidR="008713A0" w:rsidRPr="0046207A" w:rsidRDefault="008713A0" w:rsidP="008713A0">
            <w:pPr>
              <w:jc w:val="both"/>
              <w:rPr>
                <w:sz w:val="20"/>
                <w:szCs w:val="20"/>
                <w:lang w:val="fr-CA"/>
              </w:rPr>
            </w:pPr>
          </w:p>
          <w:p w:rsidR="008713A0" w:rsidRPr="0046207A" w:rsidRDefault="008713A0" w:rsidP="008713A0">
            <w:pPr>
              <w:jc w:val="both"/>
              <w:rPr>
                <w:sz w:val="20"/>
                <w:szCs w:val="20"/>
                <w:lang w:val="en-US"/>
              </w:rPr>
            </w:pPr>
            <w:r w:rsidRPr="0046207A">
              <w:rPr>
                <w:sz w:val="20"/>
                <w:szCs w:val="20"/>
                <w:lang w:val="en-US"/>
              </w:rPr>
              <w:t>Lesley A. Ruzicka</w:t>
            </w:r>
            <w:r>
              <w:rPr>
                <w:sz w:val="20"/>
                <w:szCs w:val="20"/>
                <w:lang w:val="en-US"/>
              </w:rPr>
              <w:t xml:space="preserve"> f</w:t>
            </w:r>
            <w:r w:rsidRPr="0046207A">
              <w:rPr>
                <w:sz w:val="20"/>
                <w:szCs w:val="20"/>
                <w:lang w:val="en-US"/>
              </w:rPr>
              <w:t xml:space="preserve">or the </w:t>
            </w:r>
            <w:r>
              <w:rPr>
                <w:sz w:val="20"/>
                <w:szCs w:val="20"/>
                <w:lang w:val="en-US"/>
              </w:rPr>
              <w:t>i</w:t>
            </w:r>
            <w:r w:rsidRPr="0046207A">
              <w:rPr>
                <w:sz w:val="20"/>
                <w:szCs w:val="20"/>
                <w:lang w:val="en-US"/>
              </w:rPr>
              <w:t xml:space="preserve">ntervener </w:t>
            </w:r>
            <w:r w:rsidRPr="0046207A">
              <w:rPr>
                <w:sz w:val="20"/>
                <w:szCs w:val="20"/>
              </w:rPr>
              <w:t>Attorney General for the Province of British Columbia</w:t>
            </w:r>
            <w:r w:rsidRPr="0046207A">
              <w:rPr>
                <w:sz w:val="20"/>
                <w:szCs w:val="20"/>
                <w:lang w:val="en-US"/>
              </w:rPr>
              <w:t xml:space="preserve"> (35049-35093).</w:t>
            </w:r>
          </w:p>
          <w:p w:rsidR="008713A0" w:rsidRPr="0046207A" w:rsidRDefault="008713A0" w:rsidP="008713A0">
            <w:pPr>
              <w:jc w:val="both"/>
              <w:rPr>
                <w:sz w:val="20"/>
                <w:szCs w:val="20"/>
                <w:lang w:val="en-US"/>
              </w:rPr>
            </w:pPr>
          </w:p>
          <w:p w:rsidR="008713A0" w:rsidRDefault="008713A0" w:rsidP="008713A0">
            <w:pPr>
              <w:jc w:val="both"/>
              <w:rPr>
                <w:sz w:val="20"/>
                <w:szCs w:val="20"/>
                <w:lang w:val="en-US"/>
              </w:rPr>
            </w:pPr>
            <w:r w:rsidRPr="0046207A">
              <w:rPr>
                <w:sz w:val="20"/>
                <w:szCs w:val="20"/>
                <w:lang w:val="en-US"/>
              </w:rPr>
              <w:t>Russell Silverstein</w:t>
            </w:r>
            <w:r>
              <w:rPr>
                <w:sz w:val="20"/>
                <w:szCs w:val="20"/>
                <w:lang w:val="en-US"/>
              </w:rPr>
              <w:t xml:space="preserve"> and </w:t>
            </w:r>
            <w:r w:rsidRPr="0046207A">
              <w:rPr>
                <w:sz w:val="20"/>
                <w:szCs w:val="20"/>
                <w:lang w:val="en-US"/>
              </w:rPr>
              <w:t>Michael Dineen</w:t>
            </w:r>
            <w:r>
              <w:rPr>
                <w:sz w:val="20"/>
                <w:szCs w:val="20"/>
                <w:lang w:val="en-US"/>
              </w:rPr>
              <w:t xml:space="preserve"> f</w:t>
            </w:r>
            <w:r w:rsidRPr="0046207A">
              <w:rPr>
                <w:sz w:val="20"/>
                <w:szCs w:val="20"/>
                <w:lang w:val="en-US"/>
              </w:rPr>
              <w:t xml:space="preserve">or the </w:t>
            </w:r>
            <w:r>
              <w:rPr>
                <w:sz w:val="20"/>
                <w:szCs w:val="20"/>
                <w:lang w:val="en-US"/>
              </w:rPr>
              <w:t>i</w:t>
            </w:r>
            <w:r w:rsidRPr="0046207A">
              <w:rPr>
                <w:sz w:val="20"/>
                <w:szCs w:val="20"/>
                <w:lang w:val="en-US"/>
              </w:rPr>
              <w:t xml:space="preserve">ntervener </w:t>
            </w:r>
            <w:r w:rsidRPr="0046207A">
              <w:rPr>
                <w:sz w:val="20"/>
                <w:szCs w:val="20"/>
              </w:rPr>
              <w:t>Association in Defence of the Wrongly Convicted</w:t>
            </w:r>
            <w:r w:rsidRPr="0046207A">
              <w:rPr>
                <w:sz w:val="20"/>
                <w:szCs w:val="20"/>
                <w:lang w:val="en-US"/>
              </w:rPr>
              <w:t xml:space="preserve"> (35049)</w:t>
            </w:r>
            <w:r>
              <w:rPr>
                <w:sz w:val="20"/>
                <w:szCs w:val="20"/>
                <w:lang w:val="en-US"/>
              </w:rPr>
              <w:t>.</w:t>
            </w:r>
          </w:p>
          <w:p w:rsidR="008713A0" w:rsidRPr="0046207A" w:rsidRDefault="008713A0" w:rsidP="008713A0">
            <w:pPr>
              <w:jc w:val="both"/>
              <w:rPr>
                <w:sz w:val="20"/>
                <w:szCs w:val="20"/>
                <w:lang w:val="en-US"/>
              </w:rPr>
            </w:pPr>
          </w:p>
          <w:p w:rsidR="008713A0" w:rsidRDefault="008713A0" w:rsidP="008713A0">
            <w:pPr>
              <w:jc w:val="both"/>
              <w:rPr>
                <w:sz w:val="20"/>
                <w:szCs w:val="20"/>
                <w:lang w:val="en-US"/>
              </w:rPr>
            </w:pPr>
            <w:r w:rsidRPr="0046207A">
              <w:rPr>
                <w:sz w:val="20"/>
                <w:szCs w:val="20"/>
                <w:lang w:val="en-US"/>
              </w:rPr>
              <w:t>Philip Campbell</w:t>
            </w:r>
            <w:r>
              <w:rPr>
                <w:sz w:val="20"/>
                <w:szCs w:val="20"/>
                <w:lang w:val="en-US"/>
              </w:rPr>
              <w:t xml:space="preserve"> and </w:t>
            </w:r>
            <w:r w:rsidRPr="0046207A">
              <w:rPr>
                <w:sz w:val="20"/>
                <w:szCs w:val="20"/>
                <w:lang w:val="en-US"/>
              </w:rPr>
              <w:t>Jonathan Dawe</w:t>
            </w:r>
            <w:r>
              <w:rPr>
                <w:sz w:val="20"/>
                <w:szCs w:val="20"/>
                <w:lang w:val="en-US"/>
              </w:rPr>
              <w:t xml:space="preserve"> f</w:t>
            </w:r>
            <w:r w:rsidRPr="0046207A">
              <w:rPr>
                <w:sz w:val="20"/>
                <w:szCs w:val="20"/>
                <w:lang w:val="en-US"/>
              </w:rPr>
              <w:t xml:space="preserve">or the </w:t>
            </w:r>
            <w:r>
              <w:rPr>
                <w:sz w:val="20"/>
                <w:szCs w:val="20"/>
                <w:lang w:val="en-US"/>
              </w:rPr>
              <w:t>i</w:t>
            </w:r>
            <w:r w:rsidRPr="0046207A">
              <w:rPr>
                <w:sz w:val="20"/>
                <w:szCs w:val="20"/>
                <w:lang w:val="en-US"/>
              </w:rPr>
              <w:t xml:space="preserve">ntervener </w:t>
            </w:r>
            <w:r w:rsidRPr="0046207A">
              <w:rPr>
                <w:sz w:val="20"/>
                <w:szCs w:val="20"/>
              </w:rPr>
              <w:t>Criminal Lawyers' Association of Ontario</w:t>
            </w:r>
            <w:r w:rsidRPr="0046207A">
              <w:rPr>
                <w:sz w:val="20"/>
                <w:szCs w:val="20"/>
                <w:lang w:val="en-US"/>
              </w:rPr>
              <w:t xml:space="preserve"> (35049)</w:t>
            </w:r>
            <w:r>
              <w:rPr>
                <w:sz w:val="20"/>
                <w:szCs w:val="20"/>
                <w:lang w:val="en-US"/>
              </w:rPr>
              <w:t>.</w:t>
            </w:r>
          </w:p>
          <w:p w:rsidR="008713A0" w:rsidRPr="0046207A" w:rsidRDefault="008713A0" w:rsidP="008713A0">
            <w:pPr>
              <w:jc w:val="both"/>
              <w:rPr>
                <w:sz w:val="20"/>
                <w:szCs w:val="20"/>
                <w:lang w:val="en-US"/>
              </w:rPr>
            </w:pPr>
          </w:p>
          <w:p w:rsidR="008713A0" w:rsidRDefault="008713A0" w:rsidP="008713A0">
            <w:pPr>
              <w:jc w:val="both"/>
              <w:rPr>
                <w:sz w:val="20"/>
                <w:szCs w:val="20"/>
                <w:lang w:val="en-US"/>
              </w:rPr>
            </w:pPr>
            <w:r w:rsidRPr="0046207A">
              <w:rPr>
                <w:sz w:val="20"/>
                <w:szCs w:val="20"/>
                <w:lang w:val="en-US"/>
              </w:rPr>
              <w:t>Michael Sobkin</w:t>
            </w:r>
            <w:r>
              <w:rPr>
                <w:sz w:val="20"/>
                <w:szCs w:val="20"/>
                <w:lang w:val="en-US"/>
              </w:rPr>
              <w:t xml:space="preserve"> f</w:t>
            </w:r>
            <w:r w:rsidRPr="0046207A">
              <w:rPr>
                <w:sz w:val="20"/>
                <w:szCs w:val="20"/>
                <w:lang w:val="en-US"/>
              </w:rPr>
              <w:t xml:space="preserve">or the </w:t>
            </w:r>
            <w:r>
              <w:rPr>
                <w:sz w:val="20"/>
                <w:szCs w:val="20"/>
                <w:lang w:val="en-US"/>
              </w:rPr>
              <w:t>i</w:t>
            </w:r>
            <w:r w:rsidRPr="0046207A">
              <w:rPr>
                <w:sz w:val="20"/>
                <w:szCs w:val="20"/>
                <w:lang w:val="en-US"/>
              </w:rPr>
              <w:t xml:space="preserve">ntervener </w:t>
            </w:r>
            <w:r w:rsidRPr="0046207A">
              <w:rPr>
                <w:sz w:val="20"/>
                <w:szCs w:val="20"/>
              </w:rPr>
              <w:t>British Columbia Civil Liberties Association</w:t>
            </w:r>
            <w:r w:rsidRPr="0046207A">
              <w:rPr>
                <w:sz w:val="20"/>
                <w:szCs w:val="20"/>
                <w:lang w:val="en-US"/>
              </w:rPr>
              <w:t xml:space="preserve"> (35049)</w:t>
            </w:r>
            <w:r>
              <w:rPr>
                <w:sz w:val="20"/>
                <w:szCs w:val="20"/>
                <w:lang w:val="en-US"/>
              </w:rPr>
              <w:t>.</w:t>
            </w:r>
          </w:p>
          <w:p w:rsidR="008713A0" w:rsidRPr="0046207A" w:rsidRDefault="008713A0" w:rsidP="008713A0">
            <w:pPr>
              <w:jc w:val="both"/>
              <w:rPr>
                <w:sz w:val="20"/>
                <w:szCs w:val="20"/>
              </w:rPr>
            </w:pPr>
          </w:p>
          <w:p w:rsidR="008713A0" w:rsidRPr="0046207A" w:rsidRDefault="008713A0" w:rsidP="008713A0">
            <w:pPr>
              <w:jc w:val="both"/>
              <w:rPr>
                <w:sz w:val="20"/>
                <w:szCs w:val="20"/>
                <w:lang w:val="fr-CA"/>
              </w:rPr>
            </w:pPr>
            <w:r w:rsidRPr="0046207A">
              <w:rPr>
                <w:sz w:val="20"/>
                <w:szCs w:val="20"/>
                <w:lang w:val="fr-CA"/>
              </w:rPr>
              <w:t>François Dadour</w:t>
            </w:r>
            <w:r>
              <w:rPr>
                <w:sz w:val="20"/>
                <w:szCs w:val="20"/>
                <w:lang w:val="fr-CA"/>
              </w:rPr>
              <w:t xml:space="preserve"> </w:t>
            </w:r>
            <w:r w:rsidR="00B52C2C">
              <w:rPr>
                <w:sz w:val="20"/>
                <w:szCs w:val="20"/>
                <w:lang w:val="fr-CA"/>
              </w:rPr>
              <w:t>et</w:t>
            </w:r>
            <w:r>
              <w:rPr>
                <w:sz w:val="20"/>
                <w:szCs w:val="20"/>
                <w:lang w:val="fr-CA"/>
              </w:rPr>
              <w:t xml:space="preserve"> </w:t>
            </w:r>
            <w:r w:rsidRPr="0046207A">
              <w:rPr>
                <w:sz w:val="20"/>
                <w:szCs w:val="20"/>
                <w:lang w:val="fr-CA"/>
              </w:rPr>
              <w:t>Harout Haladjian</w:t>
            </w:r>
            <w:r>
              <w:rPr>
                <w:sz w:val="20"/>
                <w:szCs w:val="20"/>
                <w:lang w:val="fr-CA"/>
              </w:rPr>
              <w:t xml:space="preserve"> po</w:t>
            </w:r>
            <w:r w:rsidRPr="0046207A">
              <w:rPr>
                <w:sz w:val="20"/>
                <w:szCs w:val="20"/>
                <w:lang w:val="fr-CA"/>
              </w:rPr>
              <w:t>ur l’intervenant Association des avocats de la défense de Montréal (35049)</w:t>
            </w:r>
          </w:p>
          <w:p w:rsidR="008713A0" w:rsidRPr="0046207A" w:rsidRDefault="008713A0" w:rsidP="008713A0">
            <w:pPr>
              <w:jc w:val="both"/>
              <w:rPr>
                <w:sz w:val="20"/>
                <w:szCs w:val="20"/>
                <w:lang w:val="fr-CA"/>
              </w:rPr>
            </w:pPr>
          </w:p>
          <w:p w:rsidR="0083449C" w:rsidRPr="00C50A5C" w:rsidRDefault="008713A0" w:rsidP="008713A0">
            <w:pPr>
              <w:widowControl w:val="0"/>
              <w:jc w:val="both"/>
              <w:rPr>
                <w:sz w:val="20"/>
                <w:szCs w:val="20"/>
              </w:rPr>
            </w:pPr>
            <w:r>
              <w:rPr>
                <w:sz w:val="20"/>
                <w:szCs w:val="20"/>
                <w:lang w:val="en-US"/>
              </w:rPr>
              <w:t xml:space="preserve">Written Submission only for </w:t>
            </w:r>
            <w:r w:rsidRPr="0046207A">
              <w:rPr>
                <w:sz w:val="20"/>
                <w:szCs w:val="20"/>
                <w:lang w:val="en-US"/>
              </w:rPr>
              <w:t xml:space="preserve">the </w:t>
            </w:r>
            <w:r>
              <w:rPr>
                <w:sz w:val="20"/>
                <w:szCs w:val="20"/>
                <w:lang w:val="en-US"/>
              </w:rPr>
              <w:t>i</w:t>
            </w:r>
            <w:r w:rsidRPr="0046207A">
              <w:rPr>
                <w:sz w:val="20"/>
                <w:szCs w:val="20"/>
                <w:lang w:val="en-US"/>
              </w:rPr>
              <w:t>ntervener Canadian Civil Liberties Association (35049)</w:t>
            </w:r>
            <w:r>
              <w:rPr>
                <w:sz w:val="20"/>
                <w:szCs w:val="20"/>
                <w:lang w:val="en-US"/>
              </w:rPr>
              <w:t>.</w:t>
            </w:r>
          </w:p>
        </w:tc>
      </w:tr>
    </w:tbl>
    <w:p w:rsidR="0083449C" w:rsidRDefault="0083449C" w:rsidP="0083449C">
      <w:pPr>
        <w:widowControl w:val="0"/>
      </w:pPr>
    </w:p>
    <w:p w:rsidR="0083449C" w:rsidRPr="0085476B" w:rsidRDefault="0083449C" w:rsidP="0083449C">
      <w:pPr>
        <w:widowControl w:val="0"/>
        <w:rPr>
          <w:sz w:val="20"/>
          <w:szCs w:val="20"/>
        </w:rPr>
      </w:pPr>
      <w:r w:rsidRPr="0085476B">
        <w:rPr>
          <w:b/>
          <w:sz w:val="20"/>
          <w:szCs w:val="20"/>
        </w:rPr>
        <w:t xml:space="preserve">RESERVED / </w:t>
      </w:r>
      <w:r w:rsidRPr="0085476B">
        <w:rPr>
          <w:b/>
          <w:sz w:val="20"/>
          <w:szCs w:val="20"/>
          <w:lang w:val="fr-CA"/>
        </w:rPr>
        <w:t>EN DÉLIBÉRÉ</w:t>
      </w:r>
    </w:p>
    <w:p w:rsidR="0083449C" w:rsidRDefault="0083449C" w:rsidP="0083449C"/>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83449C" w:rsidRPr="00B52C2C" w:rsidTr="0083449C">
        <w:tc>
          <w:tcPr>
            <w:tcW w:w="4380" w:type="dxa"/>
            <w:tcMar>
              <w:left w:w="0" w:type="dxa"/>
              <w:right w:w="0" w:type="dxa"/>
            </w:tcMar>
          </w:tcPr>
          <w:p w:rsidR="0083449C" w:rsidRPr="00CC4D84" w:rsidRDefault="0083449C" w:rsidP="0083449C">
            <w:pPr>
              <w:widowControl w:val="0"/>
              <w:jc w:val="both"/>
              <w:rPr>
                <w:b/>
                <w:sz w:val="20"/>
                <w:szCs w:val="20"/>
                <w:u w:val="single"/>
              </w:rPr>
            </w:pPr>
            <w:r w:rsidRPr="00CC4D84">
              <w:rPr>
                <w:b/>
                <w:sz w:val="20"/>
                <w:szCs w:val="20"/>
                <w:u w:val="single"/>
              </w:rPr>
              <w:t>Nature of the case:</w:t>
            </w:r>
          </w:p>
          <w:p w:rsidR="0083449C" w:rsidRPr="00C1697B" w:rsidRDefault="0083449C" w:rsidP="0083449C">
            <w:pPr>
              <w:widowControl w:val="0"/>
              <w:jc w:val="both"/>
              <w:rPr>
                <w:b/>
                <w:sz w:val="20"/>
                <w:szCs w:val="20"/>
              </w:rPr>
            </w:pPr>
          </w:p>
          <w:p w:rsidR="003E5773" w:rsidRPr="00B75C17" w:rsidRDefault="003E5773" w:rsidP="003E5773">
            <w:pPr>
              <w:widowControl w:val="0"/>
              <w:jc w:val="both"/>
              <w:rPr>
                <w:smallCaps/>
                <w:sz w:val="20"/>
                <w:szCs w:val="20"/>
              </w:rPr>
            </w:pPr>
            <w:r w:rsidRPr="00B75C17">
              <w:rPr>
                <w:smallCaps/>
                <w:sz w:val="20"/>
                <w:szCs w:val="20"/>
              </w:rPr>
              <w:t>(Sealing Order)</w:t>
            </w:r>
          </w:p>
          <w:p w:rsidR="003E5773" w:rsidRPr="00B75C17" w:rsidRDefault="003E5773" w:rsidP="003E5773">
            <w:pPr>
              <w:widowControl w:val="0"/>
              <w:jc w:val="both"/>
              <w:rPr>
                <w:sz w:val="20"/>
                <w:szCs w:val="20"/>
              </w:rPr>
            </w:pPr>
          </w:p>
          <w:p w:rsidR="0083449C" w:rsidRPr="00C1697B" w:rsidRDefault="003E5773" w:rsidP="003E5773">
            <w:pPr>
              <w:widowControl w:val="0"/>
              <w:jc w:val="both"/>
              <w:rPr>
                <w:b/>
                <w:sz w:val="20"/>
                <w:szCs w:val="20"/>
              </w:rPr>
            </w:pPr>
            <w:r w:rsidRPr="00B75C17">
              <w:rPr>
                <w:i/>
                <w:sz w:val="20"/>
                <w:szCs w:val="20"/>
              </w:rPr>
              <w:t xml:space="preserve">Canadian Charter of Rights and Freedoms </w:t>
            </w:r>
            <w:r w:rsidRPr="00B75C17">
              <w:rPr>
                <w:i/>
                <w:sz w:val="20"/>
                <w:szCs w:val="20"/>
              </w:rPr>
              <w:noBreakHyphen/>
              <w:t xml:space="preserve"> </w:t>
            </w:r>
            <w:r w:rsidRPr="00B75C17">
              <w:rPr>
                <w:sz w:val="20"/>
                <w:szCs w:val="20"/>
              </w:rPr>
              <w:t xml:space="preserve">Criminal law </w:t>
            </w:r>
            <w:r w:rsidRPr="00B75C17">
              <w:rPr>
                <w:sz w:val="20"/>
                <w:szCs w:val="20"/>
              </w:rPr>
              <w:noBreakHyphen/>
              <w:t xml:space="preserve"> Evidence </w:t>
            </w:r>
            <w:r w:rsidRPr="00B75C17">
              <w:rPr>
                <w:sz w:val="20"/>
                <w:szCs w:val="20"/>
              </w:rPr>
              <w:noBreakHyphen/>
              <w:t xml:space="preserve"> Whether the statements made by the appellant to undercover officers should have been admitted into evidence </w:t>
            </w:r>
            <w:r w:rsidRPr="00B75C17">
              <w:rPr>
                <w:sz w:val="20"/>
                <w:szCs w:val="20"/>
              </w:rPr>
              <w:noBreakHyphen/>
              <w:t xml:space="preserve"> Whether the trial judge’s charge to the jury on the danger of relying on the statements made by the appellant to undercover officers was adequate </w:t>
            </w:r>
            <w:r w:rsidRPr="00B75C17">
              <w:rPr>
                <w:sz w:val="20"/>
                <w:szCs w:val="20"/>
              </w:rPr>
              <w:noBreakHyphen/>
              <w:t xml:space="preserve"> Whether the trial judge’s instructions to the jury with respect to the alternate suspect witness were adequate.</w:t>
            </w:r>
          </w:p>
        </w:tc>
        <w:tc>
          <w:tcPr>
            <w:tcW w:w="720" w:type="dxa"/>
            <w:tcMar>
              <w:left w:w="0" w:type="dxa"/>
              <w:right w:w="0" w:type="dxa"/>
            </w:tcMar>
          </w:tcPr>
          <w:p w:rsidR="0083449C" w:rsidRPr="00C1697B" w:rsidRDefault="0083449C" w:rsidP="0083449C">
            <w:pPr>
              <w:widowControl w:val="0"/>
              <w:jc w:val="center"/>
              <w:rPr>
                <w:sz w:val="20"/>
                <w:szCs w:val="20"/>
              </w:rPr>
            </w:pPr>
          </w:p>
        </w:tc>
        <w:tc>
          <w:tcPr>
            <w:tcW w:w="4380" w:type="dxa"/>
            <w:tcMar>
              <w:left w:w="0" w:type="dxa"/>
              <w:right w:w="0" w:type="dxa"/>
            </w:tcMar>
          </w:tcPr>
          <w:p w:rsidR="0083449C" w:rsidRPr="00CC4D84" w:rsidRDefault="0083449C" w:rsidP="0083449C">
            <w:pPr>
              <w:widowControl w:val="0"/>
              <w:jc w:val="both"/>
              <w:rPr>
                <w:b/>
                <w:sz w:val="20"/>
                <w:szCs w:val="20"/>
                <w:u w:val="single"/>
                <w:lang w:val="fr-CA"/>
              </w:rPr>
            </w:pPr>
            <w:r w:rsidRPr="00CC4D84">
              <w:rPr>
                <w:b/>
                <w:sz w:val="20"/>
                <w:szCs w:val="20"/>
                <w:u w:val="single"/>
                <w:lang w:val="fr-CA"/>
              </w:rPr>
              <w:t>Nature de la cause :</w:t>
            </w:r>
          </w:p>
          <w:p w:rsidR="0083449C" w:rsidRPr="00C1697B" w:rsidRDefault="0083449C" w:rsidP="0083449C">
            <w:pPr>
              <w:widowControl w:val="0"/>
              <w:jc w:val="both"/>
              <w:rPr>
                <w:sz w:val="20"/>
                <w:szCs w:val="20"/>
                <w:lang w:val="fr-CA"/>
              </w:rPr>
            </w:pPr>
          </w:p>
          <w:p w:rsidR="003E5773" w:rsidRPr="00D25714" w:rsidRDefault="003E5773" w:rsidP="003E5773">
            <w:pPr>
              <w:widowControl w:val="0"/>
              <w:jc w:val="both"/>
              <w:rPr>
                <w:smallCaps/>
                <w:sz w:val="20"/>
                <w:szCs w:val="20"/>
                <w:lang w:val="fr-CA"/>
              </w:rPr>
            </w:pPr>
            <w:r w:rsidRPr="00D25714">
              <w:rPr>
                <w:smallCaps/>
                <w:sz w:val="20"/>
                <w:szCs w:val="20"/>
                <w:lang w:val="fr-CA"/>
              </w:rPr>
              <w:t>(Ordonnance de mise sous scellés)</w:t>
            </w:r>
          </w:p>
          <w:p w:rsidR="003E5773" w:rsidRPr="00D25714" w:rsidRDefault="003E5773" w:rsidP="003E5773">
            <w:pPr>
              <w:widowControl w:val="0"/>
              <w:jc w:val="both"/>
              <w:rPr>
                <w:sz w:val="20"/>
                <w:szCs w:val="20"/>
                <w:lang w:val="fr-CA"/>
              </w:rPr>
            </w:pPr>
          </w:p>
          <w:p w:rsidR="0083449C" w:rsidRPr="00C1697B" w:rsidRDefault="003E5773" w:rsidP="003E5773">
            <w:pPr>
              <w:widowControl w:val="0"/>
              <w:jc w:val="both"/>
              <w:rPr>
                <w:sz w:val="20"/>
                <w:szCs w:val="20"/>
                <w:lang w:val="fr-CA"/>
              </w:rPr>
            </w:pPr>
            <w:r w:rsidRPr="00D25714">
              <w:rPr>
                <w:i/>
                <w:sz w:val="20"/>
                <w:szCs w:val="20"/>
                <w:lang w:val="fr-CA"/>
              </w:rPr>
              <w:t xml:space="preserve">Charte canadienne des droits et libertés </w:t>
            </w:r>
            <w:r w:rsidRPr="00D25714">
              <w:rPr>
                <w:sz w:val="20"/>
                <w:szCs w:val="20"/>
                <w:lang w:val="fr-CA"/>
              </w:rPr>
              <w:noBreakHyphen/>
              <w:t xml:space="preserve"> Droit criminel </w:t>
            </w:r>
            <w:r w:rsidRPr="00D25714">
              <w:rPr>
                <w:sz w:val="20"/>
                <w:szCs w:val="20"/>
                <w:lang w:val="fr-CA"/>
              </w:rPr>
              <w:noBreakHyphen/>
              <w:t xml:space="preserve"> Preuve </w:t>
            </w:r>
            <w:r w:rsidRPr="00D25714">
              <w:rPr>
                <w:sz w:val="20"/>
                <w:szCs w:val="20"/>
                <w:lang w:val="fr-CA"/>
              </w:rPr>
              <w:noBreakHyphen/>
              <w:t xml:space="preserve"> Les déclarations que le demandeur a faites aux agents d’infiltration devaient</w:t>
            </w:r>
            <w:r w:rsidRPr="00D25714">
              <w:rPr>
                <w:sz w:val="20"/>
                <w:szCs w:val="20"/>
                <w:lang w:val="fr-CA"/>
              </w:rPr>
              <w:noBreakHyphen/>
              <w:t xml:space="preserve">elles être admises en preuve? </w:t>
            </w:r>
            <w:r w:rsidRPr="00D25714">
              <w:rPr>
                <w:sz w:val="20"/>
                <w:szCs w:val="20"/>
                <w:lang w:val="fr-CA"/>
              </w:rPr>
              <w:noBreakHyphen/>
              <w:t xml:space="preserve"> L’exposé que le juge du procès a fait au jury sur le danger de s’appuyer sur les déclarations du demandeur aux agents d’infiltration était</w:t>
            </w:r>
            <w:r w:rsidRPr="00D25714">
              <w:rPr>
                <w:sz w:val="20"/>
                <w:szCs w:val="20"/>
                <w:lang w:val="fr-CA"/>
              </w:rPr>
              <w:noBreakHyphen/>
              <w:t xml:space="preserve">il adéquat? </w:t>
            </w:r>
            <w:r w:rsidRPr="00D25714">
              <w:rPr>
                <w:sz w:val="20"/>
                <w:szCs w:val="20"/>
                <w:lang w:val="fr-CA"/>
              </w:rPr>
              <w:noBreakHyphen/>
              <w:t xml:space="preserve"> Les directives que le juge du procès a données au jury relativement au témoin également soupçonné étaient</w:t>
            </w:r>
            <w:r w:rsidRPr="00D25714">
              <w:rPr>
                <w:sz w:val="20"/>
                <w:szCs w:val="20"/>
                <w:lang w:val="fr-CA"/>
              </w:rPr>
              <w:noBreakHyphen/>
              <w:t>elles adéquates?</w:t>
            </w:r>
          </w:p>
        </w:tc>
      </w:tr>
    </w:tbl>
    <w:p w:rsidR="0083449C" w:rsidRDefault="0083449C" w:rsidP="0083449C">
      <w:pPr>
        <w:widowControl w:val="0"/>
        <w:rPr>
          <w:sz w:val="20"/>
          <w:szCs w:val="20"/>
          <w:lang w:val="fr-CA"/>
        </w:rPr>
      </w:pPr>
    </w:p>
    <w:p w:rsidR="0083449C" w:rsidRDefault="00E7787D" w:rsidP="0083449C">
      <w:pPr>
        <w:widowControl w:val="0"/>
        <w:rPr>
          <w:sz w:val="20"/>
          <w:szCs w:val="20"/>
        </w:rPr>
      </w:pPr>
      <w:r>
        <w:rPr>
          <w:sz w:val="20"/>
          <w:szCs w:val="20"/>
          <w:lang w:val="fr-CA"/>
        </w:rPr>
        <w:pict>
          <v:rect id="_x0000_i1061" style="width:2in;height:1pt" o:hrpct="0" o:hralign="center" o:hrstd="t" o:hrnoshade="t" o:hr="t" fillcolor="black [3213]" stroked="f"/>
        </w:pict>
      </w:r>
    </w:p>
    <w:p w:rsidR="0083449C" w:rsidRDefault="0083449C" w:rsidP="002A27D1">
      <w:pPr>
        <w:widowControl w:val="0"/>
        <w:rPr>
          <w:sz w:val="20"/>
          <w:szCs w:val="20"/>
        </w:rPr>
      </w:pPr>
    </w:p>
    <w:p w:rsidR="0083449C" w:rsidRPr="00C50A5C" w:rsidRDefault="0083449C" w:rsidP="0083449C">
      <w:pPr>
        <w:widowControl w:val="0"/>
        <w:rPr>
          <w:sz w:val="20"/>
          <w:szCs w:val="20"/>
        </w:rPr>
      </w:pPr>
      <w:r>
        <w:rPr>
          <w:sz w:val="20"/>
          <w:szCs w:val="20"/>
        </w:rPr>
        <w:t>05</w:t>
      </w:r>
      <w:r w:rsidRPr="00C50A5C">
        <w:rPr>
          <w:sz w:val="20"/>
          <w:szCs w:val="20"/>
        </w:rPr>
        <w:t>.</w:t>
      </w:r>
      <w:r>
        <w:rPr>
          <w:sz w:val="20"/>
          <w:szCs w:val="20"/>
        </w:rPr>
        <w:t>12</w:t>
      </w:r>
      <w:r w:rsidRPr="00C50A5C">
        <w:rPr>
          <w:sz w:val="20"/>
          <w:szCs w:val="20"/>
        </w:rPr>
        <w:t>.201</w:t>
      </w:r>
      <w:r>
        <w:rPr>
          <w:sz w:val="20"/>
          <w:szCs w:val="20"/>
        </w:rPr>
        <w:t>3</w:t>
      </w:r>
    </w:p>
    <w:p w:rsidR="0083449C" w:rsidRDefault="0083449C" w:rsidP="0083449C">
      <w:pPr>
        <w:widowControl w:val="0"/>
        <w:rPr>
          <w:sz w:val="20"/>
          <w:szCs w:val="20"/>
        </w:rPr>
      </w:pPr>
    </w:p>
    <w:p w:rsidR="0083449C" w:rsidRPr="00D01967" w:rsidRDefault="0083449C" w:rsidP="0083449C">
      <w:pPr>
        <w:widowControl w:val="0"/>
        <w:tabs>
          <w:tab w:val="left" w:pos="720"/>
          <w:tab w:val="left" w:pos="1110"/>
          <w:tab w:val="left" w:pos="2851"/>
          <w:tab w:val="left" w:pos="4320"/>
          <w:tab w:val="left" w:pos="10224"/>
          <w:tab w:val="left" w:pos="11376"/>
        </w:tabs>
        <w:ind w:left="1110" w:hanging="1110"/>
        <w:rPr>
          <w:sz w:val="20"/>
          <w:u w:val="single"/>
        </w:rPr>
      </w:pPr>
      <w:r w:rsidRPr="00D01967">
        <w:rPr>
          <w:sz w:val="20"/>
        </w:rPr>
        <w:t xml:space="preserve">Coram: </w:t>
      </w:r>
      <w:r w:rsidRPr="00D01967">
        <w:rPr>
          <w:sz w:val="20"/>
        </w:rPr>
        <w:tab/>
      </w:r>
      <w:r w:rsidRPr="00D01967">
        <w:rPr>
          <w:sz w:val="20"/>
          <w:u w:val="single"/>
        </w:rPr>
        <w:t>LeBel, Abella, Rothstein, Cromwell, Moldaver, Karakatsanis and Wagner JJ.</w:t>
      </w:r>
    </w:p>
    <w:p w:rsidR="0083449C" w:rsidRPr="00C50A5C" w:rsidRDefault="0083449C" w:rsidP="0083449C">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83449C" w:rsidRPr="00C50A5C" w:rsidTr="0083449C">
        <w:tc>
          <w:tcPr>
            <w:tcW w:w="4380" w:type="dxa"/>
            <w:tcMar>
              <w:left w:w="0" w:type="dxa"/>
              <w:right w:w="0" w:type="dxa"/>
            </w:tcMar>
          </w:tcPr>
          <w:p w:rsidR="0083449C" w:rsidRPr="00C50A5C" w:rsidRDefault="003E5773" w:rsidP="0083449C">
            <w:pPr>
              <w:widowControl w:val="0"/>
              <w:jc w:val="both"/>
              <w:rPr>
                <w:b/>
                <w:sz w:val="20"/>
                <w:szCs w:val="20"/>
              </w:rPr>
            </w:pPr>
            <w:r>
              <w:rPr>
                <w:b/>
                <w:sz w:val="20"/>
                <w:szCs w:val="20"/>
              </w:rPr>
              <w:t>M</w:t>
            </w:r>
            <w:r w:rsidR="0083449C" w:rsidRPr="00C50A5C">
              <w:rPr>
                <w:b/>
                <w:sz w:val="20"/>
                <w:szCs w:val="20"/>
              </w:rPr>
              <w:t>i</w:t>
            </w:r>
            <w:r>
              <w:rPr>
                <w:b/>
                <w:sz w:val="20"/>
                <w:szCs w:val="20"/>
              </w:rPr>
              <w:t xml:space="preserve">nistry </w:t>
            </w:r>
            <w:r w:rsidR="0083449C" w:rsidRPr="00C50A5C">
              <w:rPr>
                <w:b/>
                <w:sz w:val="20"/>
                <w:szCs w:val="20"/>
              </w:rPr>
              <w:t>o</w:t>
            </w:r>
            <w:r>
              <w:rPr>
                <w:b/>
                <w:sz w:val="20"/>
                <w:szCs w:val="20"/>
              </w:rPr>
              <w:t>f Commun</w:t>
            </w:r>
            <w:r w:rsidR="0083449C" w:rsidRPr="00C50A5C">
              <w:rPr>
                <w:b/>
                <w:sz w:val="20"/>
                <w:szCs w:val="20"/>
              </w:rPr>
              <w:t>it</w:t>
            </w:r>
            <w:r>
              <w:rPr>
                <w:b/>
                <w:sz w:val="20"/>
                <w:szCs w:val="20"/>
              </w:rPr>
              <w:t>y S</w:t>
            </w:r>
            <w:r w:rsidR="0083449C" w:rsidRPr="00C50A5C">
              <w:rPr>
                <w:b/>
                <w:sz w:val="20"/>
                <w:szCs w:val="20"/>
              </w:rPr>
              <w:t>a</w:t>
            </w:r>
            <w:r>
              <w:rPr>
                <w:b/>
                <w:sz w:val="20"/>
                <w:szCs w:val="20"/>
              </w:rPr>
              <w:t>fety a</w:t>
            </w:r>
            <w:r w:rsidR="0083449C" w:rsidRPr="00C50A5C">
              <w:rPr>
                <w:b/>
                <w:sz w:val="20"/>
                <w:szCs w:val="20"/>
              </w:rPr>
              <w:t>n</w:t>
            </w:r>
            <w:r>
              <w:rPr>
                <w:b/>
                <w:sz w:val="20"/>
                <w:szCs w:val="20"/>
              </w:rPr>
              <w:t>d Corre</w:t>
            </w:r>
            <w:r w:rsidR="0083449C" w:rsidRPr="00C50A5C">
              <w:rPr>
                <w:b/>
                <w:sz w:val="20"/>
                <w:szCs w:val="20"/>
              </w:rPr>
              <w:t>ct</w:t>
            </w:r>
            <w:r>
              <w:rPr>
                <w:b/>
                <w:sz w:val="20"/>
                <w:szCs w:val="20"/>
              </w:rPr>
              <w:t>ion</w:t>
            </w:r>
            <w:r w:rsidR="0083449C" w:rsidRPr="00C50A5C">
              <w:rPr>
                <w:b/>
                <w:sz w:val="20"/>
                <w:szCs w:val="20"/>
              </w:rPr>
              <w:t>al</w:t>
            </w:r>
            <w:r>
              <w:rPr>
                <w:b/>
                <w:sz w:val="20"/>
                <w:szCs w:val="20"/>
              </w:rPr>
              <w:t xml:space="preserve"> Services</w:t>
            </w:r>
          </w:p>
          <w:p w:rsidR="0083449C" w:rsidRPr="00C50A5C" w:rsidRDefault="0083449C" w:rsidP="0083449C">
            <w:pPr>
              <w:widowControl w:val="0"/>
              <w:jc w:val="both"/>
              <w:rPr>
                <w:b/>
                <w:sz w:val="20"/>
                <w:szCs w:val="20"/>
              </w:rPr>
            </w:pPr>
          </w:p>
          <w:p w:rsidR="0083449C" w:rsidRPr="00C50A5C" w:rsidRDefault="0083449C" w:rsidP="0083449C">
            <w:pPr>
              <w:widowControl w:val="0"/>
              <w:tabs>
                <w:tab w:val="left" w:pos="736"/>
              </w:tabs>
              <w:jc w:val="both"/>
              <w:rPr>
                <w:b/>
                <w:sz w:val="20"/>
                <w:szCs w:val="20"/>
              </w:rPr>
            </w:pPr>
            <w:r w:rsidRPr="00C50A5C">
              <w:rPr>
                <w:b/>
                <w:sz w:val="20"/>
                <w:szCs w:val="20"/>
              </w:rPr>
              <w:tab/>
              <w:t xml:space="preserve">v. </w:t>
            </w:r>
            <w:r w:rsidR="00683CFF" w:rsidRPr="002C7380">
              <w:rPr>
                <w:sz w:val="20"/>
                <w:szCs w:val="20"/>
              </w:rPr>
              <w:t>(</w:t>
            </w:r>
            <w:hyperlink r:id="rId56" w:history="1">
              <w:r w:rsidR="00683CFF" w:rsidRPr="002C7380">
                <w:rPr>
                  <w:rStyle w:val="Hyperlink"/>
                  <w:sz w:val="20"/>
                  <w:szCs w:val="20"/>
                </w:rPr>
                <w:t>34949</w:t>
              </w:r>
            </w:hyperlink>
            <w:r w:rsidR="00683CFF" w:rsidRPr="002C7380">
              <w:rPr>
                <w:sz w:val="20"/>
                <w:szCs w:val="20"/>
              </w:rPr>
              <w:t>)</w:t>
            </w:r>
            <w:r w:rsidR="00683CFF" w:rsidRPr="00C50A5C">
              <w:rPr>
                <w:b/>
                <w:sz w:val="20"/>
                <w:szCs w:val="20"/>
              </w:rPr>
              <w:t xml:space="preserve"> </w:t>
            </w:r>
          </w:p>
          <w:p w:rsidR="0083449C" w:rsidRPr="00C50A5C" w:rsidRDefault="0083449C" w:rsidP="0083449C">
            <w:pPr>
              <w:widowControl w:val="0"/>
              <w:jc w:val="both"/>
              <w:rPr>
                <w:b/>
                <w:sz w:val="20"/>
                <w:szCs w:val="20"/>
              </w:rPr>
            </w:pPr>
          </w:p>
          <w:p w:rsidR="00683CFF" w:rsidRPr="003E5773" w:rsidRDefault="003E5773" w:rsidP="00683CFF">
            <w:pPr>
              <w:widowControl w:val="0"/>
              <w:jc w:val="both"/>
              <w:rPr>
                <w:sz w:val="20"/>
                <w:szCs w:val="20"/>
              </w:rPr>
            </w:pPr>
            <w:r>
              <w:rPr>
                <w:b/>
                <w:sz w:val="20"/>
                <w:szCs w:val="20"/>
              </w:rPr>
              <w:t>Info</w:t>
            </w:r>
            <w:r w:rsidR="0083449C" w:rsidRPr="00C50A5C">
              <w:rPr>
                <w:b/>
                <w:sz w:val="20"/>
                <w:szCs w:val="20"/>
              </w:rPr>
              <w:t>r</w:t>
            </w:r>
            <w:r>
              <w:rPr>
                <w:b/>
                <w:sz w:val="20"/>
                <w:szCs w:val="20"/>
              </w:rPr>
              <w:t>mat</w:t>
            </w:r>
            <w:r w:rsidR="0083449C" w:rsidRPr="00C50A5C">
              <w:rPr>
                <w:b/>
                <w:sz w:val="20"/>
                <w:szCs w:val="20"/>
              </w:rPr>
              <w:t>i</w:t>
            </w:r>
            <w:r>
              <w:rPr>
                <w:b/>
                <w:sz w:val="20"/>
                <w:szCs w:val="20"/>
              </w:rPr>
              <w:t xml:space="preserve">on </w:t>
            </w:r>
            <w:r w:rsidR="0083449C" w:rsidRPr="00C50A5C">
              <w:rPr>
                <w:b/>
                <w:sz w:val="20"/>
                <w:szCs w:val="20"/>
              </w:rPr>
              <w:t>an</w:t>
            </w:r>
            <w:r>
              <w:rPr>
                <w:b/>
                <w:sz w:val="20"/>
                <w:szCs w:val="20"/>
              </w:rPr>
              <w:t>d Pr</w:t>
            </w:r>
            <w:r w:rsidR="0083449C" w:rsidRPr="00C50A5C">
              <w:rPr>
                <w:b/>
                <w:sz w:val="20"/>
                <w:szCs w:val="20"/>
              </w:rPr>
              <w:t>i</w:t>
            </w:r>
            <w:r>
              <w:rPr>
                <w:b/>
                <w:sz w:val="20"/>
                <w:szCs w:val="20"/>
              </w:rPr>
              <w:t>v</w:t>
            </w:r>
            <w:r w:rsidR="0083449C" w:rsidRPr="00C50A5C">
              <w:rPr>
                <w:b/>
                <w:sz w:val="20"/>
                <w:szCs w:val="20"/>
              </w:rPr>
              <w:t>a</w:t>
            </w:r>
            <w:r>
              <w:rPr>
                <w:b/>
                <w:sz w:val="20"/>
                <w:szCs w:val="20"/>
              </w:rPr>
              <w:t>cy</w:t>
            </w:r>
            <w:r w:rsidR="0083449C" w:rsidRPr="00C50A5C">
              <w:rPr>
                <w:b/>
                <w:sz w:val="20"/>
                <w:szCs w:val="20"/>
              </w:rPr>
              <w:t xml:space="preserve"> Co</w:t>
            </w:r>
            <w:r>
              <w:rPr>
                <w:b/>
                <w:sz w:val="20"/>
                <w:szCs w:val="20"/>
              </w:rPr>
              <w:t>mm</w:t>
            </w:r>
            <w:r w:rsidR="0083449C" w:rsidRPr="00C50A5C">
              <w:rPr>
                <w:b/>
                <w:sz w:val="20"/>
                <w:szCs w:val="20"/>
              </w:rPr>
              <w:t>i</w:t>
            </w:r>
            <w:r>
              <w:rPr>
                <w:b/>
                <w:sz w:val="20"/>
                <w:szCs w:val="20"/>
              </w:rPr>
              <w:t>ssioner</w:t>
            </w:r>
            <w:r w:rsidR="0083449C" w:rsidRPr="00C50A5C">
              <w:rPr>
                <w:b/>
                <w:sz w:val="20"/>
                <w:szCs w:val="20"/>
              </w:rPr>
              <w:t xml:space="preserve"> (</w:t>
            </w:r>
            <w:r>
              <w:rPr>
                <w:b/>
                <w:sz w:val="20"/>
                <w:szCs w:val="20"/>
              </w:rPr>
              <w:t>Ont</w:t>
            </w:r>
            <w:r w:rsidR="0083449C" w:rsidRPr="00C50A5C">
              <w:rPr>
                <w:b/>
                <w:sz w:val="20"/>
                <w:szCs w:val="20"/>
              </w:rPr>
              <w:t>.) (Civil) (By Leave)</w:t>
            </w:r>
          </w:p>
        </w:tc>
        <w:tc>
          <w:tcPr>
            <w:tcW w:w="720" w:type="dxa"/>
            <w:tcMar>
              <w:left w:w="0" w:type="dxa"/>
              <w:right w:w="0" w:type="dxa"/>
            </w:tcMar>
          </w:tcPr>
          <w:p w:rsidR="0083449C" w:rsidRPr="003E5773" w:rsidRDefault="0083449C" w:rsidP="0083449C">
            <w:pPr>
              <w:widowControl w:val="0"/>
              <w:jc w:val="center"/>
              <w:rPr>
                <w:sz w:val="20"/>
                <w:szCs w:val="20"/>
              </w:rPr>
            </w:pPr>
          </w:p>
        </w:tc>
        <w:tc>
          <w:tcPr>
            <w:tcW w:w="4380" w:type="dxa"/>
            <w:tcMar>
              <w:left w:w="0" w:type="dxa"/>
              <w:right w:w="0" w:type="dxa"/>
            </w:tcMar>
          </w:tcPr>
          <w:p w:rsidR="00683CFF" w:rsidRPr="00803D2C" w:rsidRDefault="00683CFF" w:rsidP="00683CFF">
            <w:pPr>
              <w:jc w:val="both"/>
              <w:rPr>
                <w:sz w:val="20"/>
                <w:szCs w:val="20"/>
              </w:rPr>
            </w:pPr>
            <w:r w:rsidRPr="00803D2C">
              <w:rPr>
                <w:sz w:val="20"/>
                <w:szCs w:val="20"/>
              </w:rPr>
              <w:t>Sara Blake</w:t>
            </w:r>
            <w:r>
              <w:rPr>
                <w:sz w:val="20"/>
                <w:szCs w:val="20"/>
              </w:rPr>
              <w:t xml:space="preserve">, </w:t>
            </w:r>
            <w:r w:rsidRPr="00803D2C">
              <w:rPr>
                <w:sz w:val="20"/>
                <w:szCs w:val="20"/>
              </w:rPr>
              <w:t>Christopher Thompson</w:t>
            </w:r>
            <w:r>
              <w:rPr>
                <w:sz w:val="20"/>
                <w:szCs w:val="20"/>
              </w:rPr>
              <w:t xml:space="preserve"> and </w:t>
            </w:r>
            <w:r w:rsidRPr="00803D2C">
              <w:rPr>
                <w:sz w:val="20"/>
                <w:szCs w:val="20"/>
              </w:rPr>
              <w:t>Nadia Laeeque</w:t>
            </w:r>
            <w:r>
              <w:rPr>
                <w:sz w:val="20"/>
                <w:szCs w:val="20"/>
              </w:rPr>
              <w:t xml:space="preserve"> f</w:t>
            </w:r>
            <w:r w:rsidRPr="00803D2C">
              <w:rPr>
                <w:sz w:val="20"/>
                <w:szCs w:val="20"/>
              </w:rPr>
              <w:t xml:space="preserve">or the </w:t>
            </w:r>
            <w:r>
              <w:rPr>
                <w:sz w:val="20"/>
                <w:szCs w:val="20"/>
              </w:rPr>
              <w:t>a</w:t>
            </w:r>
            <w:r w:rsidRPr="00803D2C">
              <w:rPr>
                <w:sz w:val="20"/>
                <w:szCs w:val="20"/>
              </w:rPr>
              <w:t>ppellants.</w:t>
            </w:r>
          </w:p>
          <w:p w:rsidR="00683CFF" w:rsidRPr="00803D2C" w:rsidRDefault="00683CFF" w:rsidP="00683CFF">
            <w:pPr>
              <w:jc w:val="both"/>
              <w:rPr>
                <w:sz w:val="20"/>
                <w:szCs w:val="20"/>
              </w:rPr>
            </w:pPr>
          </w:p>
          <w:p w:rsidR="00683CFF" w:rsidRPr="00803D2C" w:rsidRDefault="00683CFF" w:rsidP="00683CFF">
            <w:pPr>
              <w:jc w:val="both"/>
              <w:rPr>
                <w:sz w:val="20"/>
                <w:szCs w:val="20"/>
              </w:rPr>
            </w:pPr>
            <w:r w:rsidRPr="00803D2C">
              <w:rPr>
                <w:sz w:val="20"/>
                <w:szCs w:val="20"/>
              </w:rPr>
              <w:t>William S. Challis</w:t>
            </w:r>
            <w:r>
              <w:rPr>
                <w:sz w:val="20"/>
                <w:szCs w:val="20"/>
              </w:rPr>
              <w:t xml:space="preserve"> and </w:t>
            </w:r>
            <w:r w:rsidRPr="00803D2C">
              <w:rPr>
                <w:sz w:val="20"/>
                <w:szCs w:val="20"/>
              </w:rPr>
              <w:t>David Goodis</w:t>
            </w:r>
            <w:r>
              <w:rPr>
                <w:sz w:val="20"/>
                <w:szCs w:val="20"/>
              </w:rPr>
              <w:t xml:space="preserve"> f</w:t>
            </w:r>
            <w:r w:rsidRPr="00803D2C">
              <w:rPr>
                <w:sz w:val="20"/>
                <w:szCs w:val="20"/>
              </w:rPr>
              <w:t xml:space="preserve">or the </w:t>
            </w:r>
            <w:r>
              <w:rPr>
                <w:sz w:val="20"/>
                <w:szCs w:val="20"/>
              </w:rPr>
              <w:t>r</w:t>
            </w:r>
            <w:r w:rsidRPr="00803D2C">
              <w:rPr>
                <w:sz w:val="20"/>
                <w:szCs w:val="20"/>
              </w:rPr>
              <w:t>espondent.</w:t>
            </w:r>
          </w:p>
          <w:p w:rsidR="00683CFF" w:rsidRPr="00803D2C" w:rsidRDefault="00683CFF" w:rsidP="00683CFF">
            <w:pPr>
              <w:jc w:val="both"/>
              <w:rPr>
                <w:sz w:val="20"/>
                <w:szCs w:val="20"/>
              </w:rPr>
            </w:pPr>
          </w:p>
          <w:p w:rsidR="00683CFF" w:rsidRPr="00803D2C" w:rsidRDefault="00683CFF" w:rsidP="00683CFF">
            <w:pPr>
              <w:jc w:val="both"/>
              <w:rPr>
                <w:sz w:val="20"/>
                <w:szCs w:val="20"/>
              </w:rPr>
            </w:pPr>
            <w:r w:rsidRPr="00803D2C">
              <w:rPr>
                <w:sz w:val="20"/>
                <w:szCs w:val="20"/>
                <w:lang w:val="en-US"/>
              </w:rPr>
              <w:t>Christine Mohr</w:t>
            </w:r>
            <w:r>
              <w:rPr>
                <w:sz w:val="20"/>
                <w:szCs w:val="20"/>
                <w:lang w:val="en-US"/>
              </w:rPr>
              <w:t xml:space="preserve"> f</w:t>
            </w:r>
            <w:r w:rsidRPr="00803D2C">
              <w:rPr>
                <w:sz w:val="20"/>
                <w:szCs w:val="20"/>
                <w:lang w:val="en-US"/>
              </w:rPr>
              <w:t xml:space="preserve">or the </w:t>
            </w:r>
            <w:r>
              <w:rPr>
                <w:sz w:val="20"/>
                <w:szCs w:val="20"/>
                <w:lang w:val="en-US"/>
              </w:rPr>
              <w:t>i</w:t>
            </w:r>
            <w:r w:rsidRPr="00803D2C">
              <w:rPr>
                <w:sz w:val="20"/>
                <w:szCs w:val="20"/>
                <w:lang w:val="en-US"/>
              </w:rPr>
              <w:t>ntervener</w:t>
            </w:r>
            <w:r>
              <w:rPr>
                <w:sz w:val="20"/>
                <w:szCs w:val="20"/>
                <w:lang w:val="en-US"/>
              </w:rPr>
              <w:t xml:space="preserve"> </w:t>
            </w:r>
            <w:r w:rsidRPr="00803D2C">
              <w:rPr>
                <w:sz w:val="20"/>
                <w:szCs w:val="20"/>
              </w:rPr>
              <w:t xml:space="preserve">Attorney General of </w:t>
            </w:r>
            <w:r w:rsidRPr="00803D2C">
              <w:rPr>
                <w:sz w:val="20"/>
                <w:szCs w:val="20"/>
              </w:rPr>
              <w:lastRenderedPageBreak/>
              <w:t>Canada</w:t>
            </w:r>
            <w:r>
              <w:rPr>
                <w:sz w:val="20"/>
                <w:szCs w:val="20"/>
              </w:rPr>
              <w:t>.</w:t>
            </w:r>
          </w:p>
          <w:p w:rsidR="00683CFF" w:rsidRPr="00803D2C" w:rsidRDefault="00683CFF" w:rsidP="00683CFF">
            <w:pPr>
              <w:jc w:val="both"/>
              <w:rPr>
                <w:sz w:val="20"/>
                <w:szCs w:val="20"/>
              </w:rPr>
            </w:pPr>
          </w:p>
          <w:p w:rsidR="0083449C" w:rsidRPr="00C50A5C" w:rsidRDefault="00683CFF" w:rsidP="00683CFF">
            <w:pPr>
              <w:jc w:val="both"/>
              <w:rPr>
                <w:sz w:val="20"/>
                <w:szCs w:val="20"/>
              </w:rPr>
            </w:pPr>
            <w:r w:rsidRPr="00803D2C">
              <w:rPr>
                <w:sz w:val="20"/>
                <w:szCs w:val="20"/>
                <w:lang w:val="en-US"/>
              </w:rPr>
              <w:t>Richard G. Dearden</w:t>
            </w:r>
            <w:r>
              <w:rPr>
                <w:sz w:val="20"/>
                <w:szCs w:val="20"/>
                <w:lang w:val="en-US"/>
              </w:rPr>
              <w:t xml:space="preserve">, </w:t>
            </w:r>
            <w:r w:rsidRPr="00803D2C">
              <w:rPr>
                <w:sz w:val="20"/>
                <w:szCs w:val="20"/>
                <w:lang w:val="en-US"/>
              </w:rPr>
              <w:t>Diane Therrien</w:t>
            </w:r>
            <w:r>
              <w:rPr>
                <w:sz w:val="20"/>
                <w:szCs w:val="20"/>
                <w:lang w:val="en-US"/>
              </w:rPr>
              <w:t xml:space="preserve"> and </w:t>
            </w:r>
            <w:r w:rsidRPr="00803D2C">
              <w:rPr>
                <w:sz w:val="20"/>
                <w:szCs w:val="20"/>
              </w:rPr>
              <w:t>Michael De Santis</w:t>
            </w:r>
            <w:r>
              <w:rPr>
                <w:sz w:val="20"/>
                <w:szCs w:val="20"/>
              </w:rPr>
              <w:t xml:space="preserve"> f</w:t>
            </w:r>
            <w:r w:rsidRPr="00803D2C">
              <w:rPr>
                <w:sz w:val="20"/>
                <w:szCs w:val="20"/>
                <w:lang w:val="en-US"/>
              </w:rPr>
              <w:t xml:space="preserve">or the </w:t>
            </w:r>
            <w:r>
              <w:rPr>
                <w:sz w:val="20"/>
                <w:szCs w:val="20"/>
                <w:lang w:val="en-US"/>
              </w:rPr>
              <w:t>i</w:t>
            </w:r>
            <w:r w:rsidRPr="00803D2C">
              <w:rPr>
                <w:sz w:val="20"/>
                <w:szCs w:val="20"/>
                <w:lang w:val="en-US"/>
              </w:rPr>
              <w:t xml:space="preserve">ntervener </w:t>
            </w:r>
            <w:r w:rsidRPr="00803D2C">
              <w:rPr>
                <w:sz w:val="20"/>
                <w:szCs w:val="20"/>
              </w:rPr>
              <w:t>Information Commissioner of Canada</w:t>
            </w:r>
            <w:r>
              <w:rPr>
                <w:sz w:val="20"/>
                <w:szCs w:val="20"/>
              </w:rPr>
              <w:t>.</w:t>
            </w:r>
          </w:p>
        </w:tc>
      </w:tr>
    </w:tbl>
    <w:p w:rsidR="0083449C" w:rsidRDefault="0083449C" w:rsidP="0083449C">
      <w:pPr>
        <w:widowControl w:val="0"/>
      </w:pPr>
    </w:p>
    <w:p w:rsidR="0083449C" w:rsidRPr="0085476B" w:rsidRDefault="0083449C" w:rsidP="0083449C">
      <w:pPr>
        <w:widowControl w:val="0"/>
        <w:rPr>
          <w:sz w:val="20"/>
          <w:szCs w:val="20"/>
        </w:rPr>
      </w:pPr>
      <w:r w:rsidRPr="0085476B">
        <w:rPr>
          <w:b/>
          <w:sz w:val="20"/>
          <w:szCs w:val="20"/>
        </w:rPr>
        <w:t xml:space="preserve">RESERVED / </w:t>
      </w:r>
      <w:r w:rsidRPr="0085476B">
        <w:rPr>
          <w:b/>
          <w:sz w:val="20"/>
          <w:szCs w:val="20"/>
          <w:lang w:val="fr-CA"/>
        </w:rPr>
        <w:t>EN DÉLIBÉRÉ</w:t>
      </w:r>
    </w:p>
    <w:p w:rsidR="0083449C" w:rsidRDefault="0083449C" w:rsidP="0083449C"/>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83449C" w:rsidRPr="00D8017E" w:rsidTr="0083449C">
        <w:tc>
          <w:tcPr>
            <w:tcW w:w="4380" w:type="dxa"/>
            <w:tcMar>
              <w:left w:w="0" w:type="dxa"/>
              <w:right w:w="0" w:type="dxa"/>
            </w:tcMar>
          </w:tcPr>
          <w:p w:rsidR="0083449C" w:rsidRPr="00CC4D84" w:rsidRDefault="0083449C" w:rsidP="0083449C">
            <w:pPr>
              <w:widowControl w:val="0"/>
              <w:jc w:val="both"/>
              <w:rPr>
                <w:b/>
                <w:sz w:val="20"/>
                <w:szCs w:val="20"/>
                <w:u w:val="single"/>
              </w:rPr>
            </w:pPr>
            <w:r w:rsidRPr="00CC4D84">
              <w:rPr>
                <w:b/>
                <w:sz w:val="20"/>
                <w:szCs w:val="20"/>
                <w:u w:val="single"/>
              </w:rPr>
              <w:t>Nature of the case:</w:t>
            </w:r>
          </w:p>
          <w:p w:rsidR="0083449C" w:rsidRPr="00C1697B" w:rsidRDefault="0083449C" w:rsidP="0083449C">
            <w:pPr>
              <w:widowControl w:val="0"/>
              <w:jc w:val="both"/>
              <w:rPr>
                <w:b/>
                <w:sz w:val="20"/>
                <w:szCs w:val="20"/>
              </w:rPr>
            </w:pPr>
          </w:p>
          <w:p w:rsidR="0083449C" w:rsidRPr="00C1697B" w:rsidRDefault="00871C1F" w:rsidP="0083449C">
            <w:pPr>
              <w:widowControl w:val="0"/>
              <w:jc w:val="both"/>
              <w:rPr>
                <w:b/>
                <w:sz w:val="20"/>
                <w:szCs w:val="20"/>
              </w:rPr>
            </w:pPr>
            <w:r w:rsidRPr="00BE0E23">
              <w:rPr>
                <w:sz w:val="20"/>
                <w:szCs w:val="20"/>
              </w:rPr>
              <w:t xml:space="preserve">Access to information - Access to records - Exemptions - Minister refusing to disclose records relating to location and number of sexual offenders in community - Information and Privacy Commissioner (“IPC”) ordering release of requested information - Whether IPC exercised the statutory authority under the </w:t>
            </w:r>
            <w:r w:rsidRPr="00BE0E23">
              <w:rPr>
                <w:i/>
                <w:sz w:val="20"/>
                <w:szCs w:val="20"/>
              </w:rPr>
              <w:t>Freedom of Information and Protection of Privacy Act</w:t>
            </w:r>
            <w:r w:rsidRPr="00BE0E23">
              <w:rPr>
                <w:sz w:val="20"/>
                <w:szCs w:val="20"/>
              </w:rPr>
              <w:t xml:space="preserve"> (“</w:t>
            </w:r>
            <w:r w:rsidRPr="00BE0E23">
              <w:rPr>
                <w:i/>
                <w:sz w:val="20"/>
                <w:szCs w:val="20"/>
              </w:rPr>
              <w:t>FIPPA</w:t>
            </w:r>
            <w:r w:rsidRPr="00BE0E23">
              <w:rPr>
                <w:sz w:val="20"/>
                <w:szCs w:val="20"/>
              </w:rPr>
              <w:t xml:space="preserve">”) to grant a right of access for purposes that are not consistent with </w:t>
            </w:r>
            <w:r w:rsidRPr="00BE0E23">
              <w:rPr>
                <w:i/>
                <w:sz w:val="20"/>
                <w:szCs w:val="20"/>
              </w:rPr>
              <w:t>Christopher’s Law</w:t>
            </w:r>
            <w:r w:rsidRPr="00BE0E23">
              <w:rPr>
                <w:sz w:val="20"/>
                <w:szCs w:val="20"/>
              </w:rPr>
              <w:t xml:space="preserve"> or with the purposes of the right of access under </w:t>
            </w:r>
            <w:r w:rsidRPr="00BE0E23">
              <w:rPr>
                <w:i/>
                <w:sz w:val="20"/>
                <w:szCs w:val="20"/>
              </w:rPr>
              <w:t>FIPPA</w:t>
            </w:r>
            <w:r w:rsidRPr="00BE0E23">
              <w:rPr>
                <w:sz w:val="20"/>
                <w:szCs w:val="20"/>
              </w:rPr>
              <w:t xml:space="preserve"> - Whether the IPC erred in its interpretation of </w:t>
            </w:r>
            <w:r w:rsidRPr="00BE0E23">
              <w:rPr>
                <w:i/>
                <w:sz w:val="20"/>
                <w:szCs w:val="20"/>
              </w:rPr>
              <w:t>FIPPA</w:t>
            </w:r>
            <w:r w:rsidRPr="00BE0E23">
              <w:rPr>
                <w:sz w:val="20"/>
                <w:szCs w:val="20"/>
              </w:rPr>
              <w:t xml:space="preserve"> law enforcement exemptions by applying an unreasonable standard for establishing a reasonable prediction of future harm to public safety and to the ability of police to control crime -</w:t>
            </w:r>
            <w:r w:rsidRPr="00BE0E23">
              <w:rPr>
                <w:i/>
                <w:sz w:val="20"/>
                <w:szCs w:val="20"/>
              </w:rPr>
              <w:t xml:space="preserve"> Freedom of Information and Protection of Privacy Act, </w:t>
            </w:r>
            <w:r w:rsidRPr="00BE0E23">
              <w:rPr>
                <w:sz w:val="20"/>
                <w:szCs w:val="20"/>
              </w:rPr>
              <w:t>R.S.O. 1990, c. F.31, ss. 14 14(1)(e) and 14(1)(l)</w:t>
            </w:r>
            <w:r w:rsidRPr="00BE0E23">
              <w:rPr>
                <w:i/>
                <w:sz w:val="20"/>
                <w:szCs w:val="20"/>
              </w:rPr>
              <w:t xml:space="preserve"> </w:t>
            </w:r>
            <w:r w:rsidRPr="00BE0E23">
              <w:rPr>
                <w:i/>
                <w:sz w:val="20"/>
                <w:szCs w:val="20"/>
              </w:rPr>
              <w:noBreakHyphen/>
              <w:t xml:space="preserve"> Christopher’s Law </w:t>
            </w:r>
            <w:r w:rsidRPr="00BE0E23">
              <w:rPr>
                <w:sz w:val="20"/>
                <w:szCs w:val="20"/>
              </w:rPr>
              <w:t>(Sex Offender Registry), 2000, S.O. 2000, c. 1.</w:t>
            </w:r>
          </w:p>
        </w:tc>
        <w:tc>
          <w:tcPr>
            <w:tcW w:w="720" w:type="dxa"/>
            <w:tcMar>
              <w:left w:w="0" w:type="dxa"/>
              <w:right w:w="0" w:type="dxa"/>
            </w:tcMar>
          </w:tcPr>
          <w:p w:rsidR="0083449C" w:rsidRPr="00C1697B" w:rsidRDefault="0083449C" w:rsidP="0083449C">
            <w:pPr>
              <w:widowControl w:val="0"/>
              <w:jc w:val="center"/>
              <w:rPr>
                <w:sz w:val="20"/>
                <w:szCs w:val="20"/>
              </w:rPr>
            </w:pPr>
          </w:p>
        </w:tc>
        <w:tc>
          <w:tcPr>
            <w:tcW w:w="4380" w:type="dxa"/>
            <w:tcMar>
              <w:left w:w="0" w:type="dxa"/>
              <w:right w:w="0" w:type="dxa"/>
            </w:tcMar>
          </w:tcPr>
          <w:p w:rsidR="0083449C" w:rsidRPr="00CC4D84" w:rsidRDefault="0083449C" w:rsidP="0083449C">
            <w:pPr>
              <w:widowControl w:val="0"/>
              <w:jc w:val="both"/>
              <w:rPr>
                <w:b/>
                <w:sz w:val="20"/>
                <w:szCs w:val="20"/>
                <w:u w:val="single"/>
                <w:lang w:val="fr-CA"/>
              </w:rPr>
            </w:pPr>
            <w:r w:rsidRPr="00CC4D84">
              <w:rPr>
                <w:b/>
                <w:sz w:val="20"/>
                <w:szCs w:val="20"/>
                <w:u w:val="single"/>
                <w:lang w:val="fr-CA"/>
              </w:rPr>
              <w:t>Nature de la cause :</w:t>
            </w:r>
          </w:p>
          <w:p w:rsidR="0083449C" w:rsidRPr="00C1697B" w:rsidRDefault="0083449C" w:rsidP="0083449C">
            <w:pPr>
              <w:widowControl w:val="0"/>
              <w:jc w:val="both"/>
              <w:rPr>
                <w:sz w:val="20"/>
                <w:szCs w:val="20"/>
                <w:lang w:val="fr-CA"/>
              </w:rPr>
            </w:pPr>
          </w:p>
          <w:p w:rsidR="0083449C" w:rsidRPr="00C1697B" w:rsidRDefault="00871C1F" w:rsidP="0083449C">
            <w:pPr>
              <w:widowControl w:val="0"/>
              <w:jc w:val="both"/>
              <w:rPr>
                <w:sz w:val="20"/>
                <w:szCs w:val="20"/>
                <w:lang w:val="fr-CA"/>
              </w:rPr>
            </w:pPr>
            <w:r w:rsidRPr="00422BBB">
              <w:rPr>
                <w:sz w:val="20"/>
                <w:szCs w:val="20"/>
                <w:lang w:val="fr-CA"/>
              </w:rPr>
              <w:t>Accès à l’information - Accès aux documents - Exceptions - Le ministre refuse de communiquer des documents relatifs aux lieux où se trouvent des délinquants sexuels et à leur nombre dans la collectivité - Le Commissaire à l’information et à la protection de la vie privée (« le CIPVP ») ordonne la communication des renseignements demandés - Le CIPVP a</w:t>
            </w:r>
            <w:r w:rsidRPr="00422BBB">
              <w:rPr>
                <w:sz w:val="20"/>
                <w:szCs w:val="20"/>
                <w:lang w:val="fr-CA"/>
              </w:rPr>
              <w:noBreakHyphen/>
              <w:t>t</w:t>
            </w:r>
            <w:r w:rsidRPr="00422BBB">
              <w:rPr>
                <w:sz w:val="20"/>
                <w:szCs w:val="20"/>
                <w:lang w:val="fr-CA"/>
              </w:rPr>
              <w:noBreakHyphen/>
              <w:t xml:space="preserve">il exercé le pouvoir légal en application de la </w:t>
            </w:r>
            <w:r w:rsidRPr="00422BBB">
              <w:rPr>
                <w:i/>
                <w:sz w:val="20"/>
                <w:szCs w:val="20"/>
                <w:lang w:val="fr-CA"/>
              </w:rPr>
              <w:t xml:space="preserve">Loi sur l’accès à l’information et la protection de la vie privée </w:t>
            </w:r>
            <w:r w:rsidRPr="00422BBB">
              <w:rPr>
                <w:sz w:val="20"/>
                <w:szCs w:val="20"/>
                <w:lang w:val="fr-CA"/>
              </w:rPr>
              <w:t>(« </w:t>
            </w:r>
            <w:r w:rsidRPr="00422BBB">
              <w:rPr>
                <w:i/>
                <w:sz w:val="20"/>
                <w:szCs w:val="20"/>
                <w:lang w:val="fr-CA"/>
              </w:rPr>
              <w:t>LAIPVP </w:t>
            </w:r>
            <w:r w:rsidRPr="00422BBB">
              <w:rPr>
                <w:sz w:val="20"/>
                <w:szCs w:val="20"/>
                <w:lang w:val="fr-CA"/>
              </w:rPr>
              <w:t xml:space="preserve">») d’accorder un droit d’accès à des fins qui ne sont pas compatibles avec la </w:t>
            </w:r>
            <w:r w:rsidRPr="00422BBB">
              <w:rPr>
                <w:i/>
                <w:sz w:val="20"/>
                <w:szCs w:val="20"/>
                <w:lang w:val="fr-CA"/>
              </w:rPr>
              <w:t xml:space="preserve">Loi Christopher </w:t>
            </w:r>
            <w:r w:rsidRPr="00422BBB">
              <w:rPr>
                <w:sz w:val="20"/>
                <w:szCs w:val="20"/>
                <w:lang w:val="fr-CA"/>
              </w:rPr>
              <w:t xml:space="preserve">ou avec les fins du droit d’accès en application de la </w:t>
            </w:r>
            <w:r w:rsidRPr="00422BBB">
              <w:rPr>
                <w:i/>
                <w:sz w:val="20"/>
                <w:szCs w:val="20"/>
                <w:lang w:val="fr-CA"/>
              </w:rPr>
              <w:t>LAIPVP</w:t>
            </w:r>
            <w:r w:rsidRPr="00422BBB">
              <w:rPr>
                <w:sz w:val="20"/>
                <w:szCs w:val="20"/>
                <w:lang w:val="fr-CA"/>
              </w:rPr>
              <w:t>? - Le CIPVP a</w:t>
            </w:r>
            <w:r w:rsidRPr="00422BBB">
              <w:rPr>
                <w:sz w:val="20"/>
                <w:szCs w:val="20"/>
                <w:lang w:val="fr-CA"/>
              </w:rPr>
              <w:noBreakHyphen/>
              <w:t>t</w:t>
            </w:r>
            <w:r w:rsidRPr="00422BBB">
              <w:rPr>
                <w:sz w:val="20"/>
                <w:szCs w:val="20"/>
                <w:lang w:val="fr-CA"/>
              </w:rPr>
              <w:noBreakHyphen/>
              <w:t xml:space="preserve">il commis une erreur dans son interprétation des exceptions relatives à l’exécution de la loi prévues par la </w:t>
            </w:r>
            <w:r w:rsidRPr="00422BBB">
              <w:rPr>
                <w:i/>
                <w:sz w:val="20"/>
                <w:szCs w:val="20"/>
                <w:lang w:val="fr-CA"/>
              </w:rPr>
              <w:t>LAIPVP</w:t>
            </w:r>
            <w:r w:rsidRPr="00422BBB">
              <w:rPr>
                <w:sz w:val="20"/>
                <w:szCs w:val="20"/>
                <w:lang w:val="fr-CA"/>
              </w:rPr>
              <w:t xml:space="preserve"> en imposant une norme déraisonnable pour établir une prévision raisonnable du préjudice éventuel pour la sécurité publique et de la capacité de la police de réprimer le crime? </w:t>
            </w:r>
            <w:r w:rsidRPr="00422BBB">
              <w:rPr>
                <w:i/>
                <w:sz w:val="20"/>
                <w:szCs w:val="20"/>
                <w:lang w:val="fr-CA"/>
              </w:rPr>
              <w:t xml:space="preserve">- Loi sur l’accès à l’information et la protection de la vie privée, </w:t>
            </w:r>
            <w:r w:rsidRPr="00422BBB">
              <w:rPr>
                <w:sz w:val="20"/>
                <w:szCs w:val="20"/>
                <w:lang w:val="fr-CA"/>
              </w:rPr>
              <w:t>L.R.O. 1990, ch. F.31, art. 14, 14(1)</w:t>
            </w:r>
            <w:r w:rsidRPr="00422BBB">
              <w:rPr>
                <w:i/>
                <w:sz w:val="20"/>
                <w:szCs w:val="20"/>
                <w:lang w:val="fr-CA"/>
              </w:rPr>
              <w:t>e)</w:t>
            </w:r>
            <w:r w:rsidRPr="00422BBB">
              <w:rPr>
                <w:sz w:val="20"/>
                <w:szCs w:val="20"/>
                <w:lang w:val="fr-CA"/>
              </w:rPr>
              <w:t xml:space="preserve"> et 14(1)(l)</w:t>
            </w:r>
            <w:r w:rsidRPr="00422BBB">
              <w:rPr>
                <w:i/>
                <w:sz w:val="20"/>
                <w:szCs w:val="20"/>
                <w:lang w:val="fr-CA"/>
              </w:rPr>
              <w:t xml:space="preserve"> </w:t>
            </w:r>
            <w:r w:rsidRPr="00422BBB">
              <w:rPr>
                <w:i/>
                <w:sz w:val="20"/>
                <w:szCs w:val="20"/>
                <w:lang w:val="fr-CA"/>
              </w:rPr>
              <w:noBreakHyphen/>
              <w:t xml:space="preserve"> Loi Christopher de 2000 sur le registre des délinquants sexuels</w:t>
            </w:r>
            <w:r w:rsidRPr="00422BBB">
              <w:rPr>
                <w:sz w:val="20"/>
                <w:szCs w:val="20"/>
                <w:lang w:val="fr-CA"/>
              </w:rPr>
              <w:t>, 2000, L.O. 2000, ch. 1.</w:t>
            </w:r>
          </w:p>
        </w:tc>
      </w:tr>
    </w:tbl>
    <w:p w:rsidR="0083449C" w:rsidRDefault="0083449C" w:rsidP="0083449C">
      <w:pPr>
        <w:widowControl w:val="0"/>
        <w:rPr>
          <w:sz w:val="20"/>
          <w:szCs w:val="20"/>
          <w:lang w:val="fr-CA"/>
        </w:rPr>
      </w:pPr>
    </w:p>
    <w:p w:rsidR="0083449C" w:rsidRDefault="00E7787D" w:rsidP="0083449C">
      <w:pPr>
        <w:widowControl w:val="0"/>
        <w:rPr>
          <w:sz w:val="20"/>
          <w:szCs w:val="20"/>
        </w:rPr>
      </w:pPr>
      <w:r>
        <w:rPr>
          <w:sz w:val="20"/>
          <w:szCs w:val="20"/>
          <w:lang w:val="fr-CA"/>
        </w:rPr>
        <w:pict>
          <v:rect id="_x0000_i1062" style="width:2in;height:1pt" o:hrpct="0" o:hralign="center" o:hrstd="t" o:hrnoshade="t" o:hr="t" fillcolor="black [3213]" stroked="f"/>
        </w:pict>
      </w:r>
    </w:p>
    <w:p w:rsidR="0083449C" w:rsidRDefault="0083449C" w:rsidP="0083449C">
      <w:pPr>
        <w:widowControl w:val="0"/>
        <w:rPr>
          <w:sz w:val="20"/>
          <w:szCs w:val="20"/>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57"/>
          <w:headerReference w:type="default" r:id="rId58"/>
          <w:footerReference w:type="even" r:id="rId59"/>
          <w:footerReference w:type="default" r:id="rId60"/>
          <w:headerReference w:type="first" r:id="rId61"/>
          <w:footerReference w:type="first" r:id="rId62"/>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B52C2C"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3B3977" w:rsidRDefault="00871C1F" w:rsidP="00AF1715">
      <w:pPr>
        <w:rPr>
          <w:b/>
          <w:sz w:val="20"/>
          <w:szCs w:val="20"/>
        </w:rPr>
      </w:pPr>
      <w:r>
        <w:rPr>
          <w:b/>
          <w:sz w:val="20"/>
          <w:szCs w:val="20"/>
        </w:rPr>
        <w:t>DECEM</w:t>
      </w:r>
      <w:r w:rsidR="00AF1715" w:rsidRPr="003B3977">
        <w:rPr>
          <w:b/>
          <w:sz w:val="20"/>
          <w:szCs w:val="20"/>
        </w:rPr>
        <w:t xml:space="preserve">BER </w:t>
      </w:r>
      <w:r w:rsidR="004E1E0A">
        <w:rPr>
          <w:b/>
          <w:sz w:val="20"/>
          <w:szCs w:val="20"/>
        </w:rPr>
        <w:t>5</w:t>
      </w:r>
      <w:r w:rsidR="00AF1715" w:rsidRPr="003B3977">
        <w:rPr>
          <w:b/>
          <w:sz w:val="20"/>
          <w:szCs w:val="20"/>
        </w:rPr>
        <w:t>, 201</w:t>
      </w:r>
      <w:r>
        <w:rPr>
          <w:b/>
          <w:sz w:val="20"/>
          <w:szCs w:val="20"/>
        </w:rPr>
        <w:t>3</w:t>
      </w:r>
      <w:r w:rsidR="00AF1715" w:rsidRPr="003B3977">
        <w:rPr>
          <w:b/>
          <w:sz w:val="20"/>
          <w:szCs w:val="20"/>
        </w:rPr>
        <w:t xml:space="preserve"> / LE </w:t>
      </w:r>
      <w:r w:rsidR="004E1E0A">
        <w:rPr>
          <w:b/>
          <w:sz w:val="20"/>
          <w:szCs w:val="20"/>
        </w:rPr>
        <w:t>5</w:t>
      </w:r>
      <w:r w:rsidR="00AF1715" w:rsidRPr="003B3977">
        <w:rPr>
          <w:b/>
          <w:sz w:val="20"/>
          <w:szCs w:val="20"/>
        </w:rPr>
        <w:t xml:space="preserve"> </w:t>
      </w:r>
      <w:r>
        <w:rPr>
          <w:b/>
          <w:sz w:val="20"/>
          <w:szCs w:val="20"/>
        </w:rPr>
        <w:t>DÉCEM</w:t>
      </w:r>
      <w:r w:rsidR="00AF1715" w:rsidRPr="003B3977">
        <w:rPr>
          <w:b/>
          <w:sz w:val="20"/>
          <w:szCs w:val="20"/>
        </w:rPr>
        <w:t>BRE 201</w:t>
      </w:r>
      <w:r>
        <w:rPr>
          <w:b/>
          <w:sz w:val="20"/>
          <w:szCs w:val="20"/>
        </w:rPr>
        <w:t>3</w:t>
      </w:r>
    </w:p>
    <w:p w:rsidR="00AF1715" w:rsidRPr="003B3977" w:rsidRDefault="00AF1715" w:rsidP="00AF1715">
      <w:pPr>
        <w:rPr>
          <w:sz w:val="20"/>
          <w:szCs w:val="20"/>
        </w:rPr>
      </w:pPr>
    </w:p>
    <w:p w:rsidR="00572133" w:rsidRPr="002239C5" w:rsidRDefault="000C413F" w:rsidP="00572133">
      <w:pPr>
        <w:ind w:left="1440" w:hanging="1440"/>
        <w:jc w:val="both"/>
        <w:rPr>
          <w:sz w:val="20"/>
          <w:szCs w:val="20"/>
        </w:rPr>
      </w:pPr>
      <w:r w:rsidRPr="002239C5">
        <w:rPr>
          <w:b/>
          <w:sz w:val="20"/>
          <w:szCs w:val="20"/>
        </w:rPr>
        <w:fldChar w:fldCharType="begin"/>
      </w:r>
      <w:r w:rsidR="00572133" w:rsidRPr="002239C5">
        <w:rPr>
          <w:b/>
          <w:sz w:val="20"/>
          <w:szCs w:val="20"/>
        </w:rPr>
        <w:instrText xml:space="preserve"> SEQ CHAPTER \h \r 1</w:instrText>
      </w:r>
      <w:r w:rsidRPr="002239C5">
        <w:rPr>
          <w:b/>
          <w:sz w:val="20"/>
          <w:szCs w:val="20"/>
        </w:rPr>
        <w:fldChar w:fldCharType="end"/>
      </w:r>
      <w:r w:rsidR="00572133" w:rsidRPr="002239C5">
        <w:rPr>
          <w:b/>
          <w:sz w:val="20"/>
          <w:szCs w:val="20"/>
        </w:rPr>
        <w:t>34593</w:t>
      </w:r>
      <w:r w:rsidR="00572133" w:rsidRPr="002239C5">
        <w:rPr>
          <w:sz w:val="20"/>
          <w:szCs w:val="20"/>
        </w:rPr>
        <w:tab/>
      </w:r>
      <w:r w:rsidR="00572133" w:rsidRPr="002239C5">
        <w:rPr>
          <w:b/>
          <w:sz w:val="20"/>
          <w:szCs w:val="20"/>
          <w:u w:val="single"/>
        </w:rPr>
        <w:t>Patricia McLean v. Executive Director of the British Columbia Securities Commission – and – Financial Advisors Association of Canada and Ontario Securities Commission</w:t>
      </w:r>
      <w:r w:rsidR="00572133" w:rsidRPr="002239C5">
        <w:rPr>
          <w:b/>
          <w:sz w:val="20"/>
          <w:szCs w:val="20"/>
        </w:rPr>
        <w:t xml:space="preserve"> </w:t>
      </w:r>
      <w:r w:rsidR="00572133" w:rsidRPr="002239C5">
        <w:rPr>
          <w:iCs/>
          <w:sz w:val="20"/>
          <w:szCs w:val="20"/>
        </w:rPr>
        <w:t>(B.C.)</w:t>
      </w:r>
    </w:p>
    <w:p w:rsidR="00572133" w:rsidRPr="00572133" w:rsidRDefault="00572133" w:rsidP="00572133">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rPr>
      </w:pPr>
      <w:r w:rsidRPr="00572133">
        <w:rPr>
          <w:b/>
          <w:sz w:val="20"/>
          <w:szCs w:val="20"/>
        </w:rPr>
        <w:t>2013 SCC 67 / 2013 CSC 67</w:t>
      </w:r>
    </w:p>
    <w:p w:rsidR="00572133" w:rsidRPr="00572133" w:rsidRDefault="00572133" w:rsidP="00572133">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572133" w:rsidRPr="002239C5" w:rsidRDefault="00572133" w:rsidP="00572133">
      <w:pPr>
        <w:ind w:left="1440" w:hanging="1440"/>
        <w:rPr>
          <w:sz w:val="20"/>
          <w:szCs w:val="20"/>
          <w:u w:val="single"/>
        </w:rPr>
      </w:pPr>
      <w:r w:rsidRPr="002239C5">
        <w:rPr>
          <w:sz w:val="20"/>
          <w:szCs w:val="20"/>
        </w:rPr>
        <w:t>Coram:</w:t>
      </w:r>
      <w:r w:rsidRPr="002239C5">
        <w:rPr>
          <w:sz w:val="20"/>
          <w:szCs w:val="20"/>
        </w:rPr>
        <w:tab/>
      </w:r>
      <w:r w:rsidRPr="002239C5">
        <w:rPr>
          <w:sz w:val="20"/>
          <w:szCs w:val="20"/>
          <w:u w:val="single"/>
        </w:rPr>
        <w:t xml:space="preserve">LeBel, Fish, Rothstein, Cromwell, Moldaver, Karakatsanis and Wagner JJ. </w:t>
      </w:r>
    </w:p>
    <w:p w:rsidR="00572133" w:rsidRPr="002239C5" w:rsidRDefault="00572133" w:rsidP="00572133">
      <w:pPr>
        <w:tabs>
          <w:tab w:val="left" w:pos="0"/>
          <w:tab w:val="left" w:pos="720"/>
          <w:tab w:val="left" w:pos="2160"/>
          <w:tab w:val="left" w:pos="2880"/>
          <w:tab w:val="left" w:pos="3600"/>
          <w:tab w:val="left" w:pos="4320"/>
          <w:tab w:val="left" w:pos="5040"/>
          <w:tab w:val="left" w:pos="5760"/>
          <w:tab w:val="left" w:pos="6480"/>
          <w:tab w:val="left" w:pos="7200"/>
        </w:tabs>
        <w:ind w:left="1440" w:hanging="1440"/>
        <w:jc w:val="both"/>
        <w:rPr>
          <w:sz w:val="20"/>
          <w:szCs w:val="20"/>
          <w:u w:val="single"/>
        </w:rPr>
      </w:pPr>
    </w:p>
    <w:p w:rsidR="00572133" w:rsidRPr="002239C5" w:rsidRDefault="00572133" w:rsidP="00572133">
      <w:pPr>
        <w:jc w:val="both"/>
        <w:rPr>
          <w:rFonts w:eastAsia="Calibri"/>
          <w:sz w:val="20"/>
          <w:szCs w:val="20"/>
        </w:rPr>
      </w:pPr>
      <w:r w:rsidRPr="002239C5">
        <w:rPr>
          <w:rFonts w:eastAsia="Calibri"/>
          <w:sz w:val="20"/>
          <w:szCs w:val="20"/>
        </w:rPr>
        <w:t xml:space="preserve">The appeal from the judgment of the Court of Appeal for British Columbia (Vancouver), Number CA038196, 2011 BCCA 455, dated November 10, 2011, heard on March 21, 2013, is dismissed with costs. </w:t>
      </w:r>
    </w:p>
    <w:p w:rsidR="00572133" w:rsidRPr="002239C5" w:rsidRDefault="00572133" w:rsidP="00572133">
      <w:pPr>
        <w:jc w:val="both"/>
        <w:rPr>
          <w:rFonts w:eastAsia="Calibri"/>
          <w:sz w:val="20"/>
          <w:szCs w:val="20"/>
        </w:rPr>
      </w:pPr>
    </w:p>
    <w:p w:rsidR="00572133" w:rsidRPr="002239C5" w:rsidRDefault="00572133" w:rsidP="00572133">
      <w:pPr>
        <w:jc w:val="both"/>
        <w:rPr>
          <w:rFonts w:eastAsia="Calibri"/>
          <w:sz w:val="20"/>
          <w:szCs w:val="20"/>
          <w:lang w:val="fr-CA"/>
        </w:rPr>
      </w:pPr>
      <w:r w:rsidRPr="002239C5">
        <w:rPr>
          <w:rFonts w:eastAsia="Calibri"/>
          <w:sz w:val="20"/>
          <w:szCs w:val="20"/>
          <w:lang w:val="fr-CA"/>
        </w:rPr>
        <w:t>L’appel interjeté contre l’arrêt de la Cour d’appel de la Colombie-Britannique (Vancouver), numéro CA038196, 2011 BCCA 455, en date du 10 novembre 2011, entendu le 21 mars 2013, est rejeté avec dépens.</w:t>
      </w:r>
    </w:p>
    <w:p w:rsidR="00AF1715" w:rsidRPr="003B3977" w:rsidRDefault="00AF1715" w:rsidP="00AF1715">
      <w:pPr>
        <w:rPr>
          <w:sz w:val="20"/>
          <w:szCs w:val="20"/>
          <w:lang w:val="fr-CA"/>
        </w:rPr>
      </w:pPr>
    </w:p>
    <w:p w:rsidR="00AF1715" w:rsidRPr="003B3977" w:rsidRDefault="00E7787D" w:rsidP="00AF1715">
      <w:pPr>
        <w:spacing w:line="0" w:lineRule="atLeast"/>
        <w:rPr>
          <w:sz w:val="20"/>
          <w:szCs w:val="20"/>
        </w:rPr>
      </w:pPr>
      <w:r>
        <w:rPr>
          <w:b/>
          <w:sz w:val="20"/>
          <w:szCs w:val="20"/>
        </w:rPr>
        <w:pict>
          <v:rect id="_x0000_i1065" style="width:144.3pt;height:1pt" o:hrpct="300" o:hralign="center" o:hrstd="t" o:hrnoshade="t" o:hr="t" fillcolor="black [3213]" stroked="f"/>
        </w:pict>
      </w:r>
    </w:p>
    <w:p w:rsidR="00AF1715" w:rsidRPr="003B3977" w:rsidRDefault="00AF1715" w:rsidP="00AF1715">
      <w:pPr>
        <w:spacing w:line="0" w:lineRule="atLeast"/>
        <w:rPr>
          <w:sz w:val="20"/>
          <w:szCs w:val="20"/>
        </w:rPr>
      </w:pPr>
    </w:p>
    <w:p w:rsidR="00871C1F" w:rsidRPr="00C018C5" w:rsidRDefault="00871C1F" w:rsidP="00871C1F">
      <w:pPr>
        <w:rPr>
          <w:b/>
          <w:sz w:val="20"/>
          <w:szCs w:val="20"/>
          <w:lang w:val="fr-CA"/>
        </w:rPr>
      </w:pPr>
      <w:r w:rsidRPr="00C018C5">
        <w:rPr>
          <w:b/>
          <w:sz w:val="20"/>
          <w:szCs w:val="20"/>
          <w:lang w:val="fr-CA"/>
        </w:rPr>
        <w:t>DECEMBER 6, 2013 / LE 6 DÉCEMBRE 2013</w:t>
      </w:r>
    </w:p>
    <w:p w:rsidR="00D004FC" w:rsidRPr="008B3CB0" w:rsidRDefault="00D004FC" w:rsidP="00D004FC">
      <w:pPr>
        <w:spacing w:line="0" w:lineRule="atLeast"/>
        <w:rPr>
          <w:rFonts w:cs="Times New Roman"/>
          <w:sz w:val="20"/>
          <w:szCs w:val="20"/>
          <w:lang w:val="fr-CA"/>
        </w:rPr>
      </w:pPr>
    </w:p>
    <w:p w:rsidR="008F1E87" w:rsidRPr="008F1E87" w:rsidRDefault="000C413F" w:rsidP="00D004FC">
      <w:pPr>
        <w:tabs>
          <w:tab w:val="left" w:pos="0"/>
          <w:tab w:val="left" w:pos="1440"/>
        </w:tabs>
        <w:ind w:left="1440" w:hanging="1440"/>
        <w:jc w:val="both"/>
        <w:rPr>
          <w:sz w:val="20"/>
          <w:szCs w:val="20"/>
          <w:lang w:val="fr-CA"/>
        </w:rPr>
      </w:pPr>
      <w:r w:rsidRPr="005F1406">
        <w:rPr>
          <w:b/>
          <w:sz w:val="20"/>
          <w:szCs w:val="20"/>
        </w:rPr>
        <w:fldChar w:fldCharType="begin"/>
      </w:r>
      <w:r w:rsidR="00D004FC" w:rsidRPr="005F1406">
        <w:rPr>
          <w:b/>
          <w:sz w:val="20"/>
          <w:szCs w:val="20"/>
          <w:lang w:val="fr-CA"/>
        </w:rPr>
        <w:instrText xml:space="preserve"> SEQ CHAPTER \h \r 1</w:instrText>
      </w:r>
      <w:r w:rsidRPr="005F1406">
        <w:rPr>
          <w:b/>
          <w:sz w:val="20"/>
          <w:szCs w:val="20"/>
        </w:rPr>
        <w:fldChar w:fldCharType="end"/>
      </w:r>
      <w:r w:rsidR="00D004FC" w:rsidRPr="005F1406">
        <w:rPr>
          <w:b/>
          <w:sz w:val="20"/>
          <w:szCs w:val="20"/>
          <w:lang w:val="fr-CA"/>
        </w:rPr>
        <w:t>34</w:t>
      </w:r>
      <w:r w:rsidR="008F1E87">
        <w:rPr>
          <w:b/>
          <w:sz w:val="20"/>
          <w:szCs w:val="20"/>
          <w:lang w:val="fr-CA"/>
        </w:rPr>
        <w:t>743</w:t>
      </w:r>
      <w:r w:rsidR="00D004FC" w:rsidRPr="005F1406">
        <w:rPr>
          <w:sz w:val="20"/>
          <w:szCs w:val="20"/>
          <w:lang w:val="fr-CA"/>
        </w:rPr>
        <w:tab/>
      </w:r>
      <w:r w:rsidR="008F1E87" w:rsidRPr="008F1E87">
        <w:rPr>
          <w:b/>
          <w:sz w:val="20"/>
          <w:szCs w:val="20"/>
          <w:u w:val="single"/>
          <w:lang w:val="fr-CA"/>
        </w:rPr>
        <w:t xml:space="preserve">Sa Majesté la Reine </w:t>
      </w:r>
      <w:r w:rsidR="002F0FE1">
        <w:rPr>
          <w:b/>
          <w:sz w:val="20"/>
          <w:szCs w:val="20"/>
          <w:u w:val="single"/>
          <w:lang w:val="fr-CA"/>
        </w:rPr>
        <w:t>c</w:t>
      </w:r>
      <w:r w:rsidR="008F1E87" w:rsidRPr="008F1E87">
        <w:rPr>
          <w:b/>
          <w:sz w:val="20"/>
          <w:szCs w:val="20"/>
          <w:u w:val="single"/>
          <w:lang w:val="fr-CA"/>
        </w:rPr>
        <w:t>. Stéphane McRae</w:t>
      </w:r>
      <w:r w:rsidR="008F1E87">
        <w:rPr>
          <w:sz w:val="20"/>
          <w:szCs w:val="20"/>
          <w:lang w:val="fr-CA"/>
        </w:rPr>
        <w:t xml:space="preserve"> (Qc)</w:t>
      </w:r>
    </w:p>
    <w:p w:rsidR="00D004FC" w:rsidRPr="00BD0E4F" w:rsidRDefault="00D004FC" w:rsidP="00D004FC">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lang w:val="fr-CA"/>
        </w:rPr>
      </w:pPr>
      <w:r w:rsidRPr="00BD0E4F">
        <w:rPr>
          <w:b/>
          <w:sz w:val="20"/>
          <w:szCs w:val="20"/>
          <w:lang w:val="fr-CA"/>
        </w:rPr>
        <w:t xml:space="preserve">2013 SCC </w:t>
      </w:r>
      <w:r w:rsidR="008F1E87">
        <w:rPr>
          <w:b/>
          <w:sz w:val="20"/>
          <w:szCs w:val="20"/>
          <w:lang w:val="fr-CA"/>
        </w:rPr>
        <w:t>68</w:t>
      </w:r>
      <w:r w:rsidRPr="00BD0E4F">
        <w:rPr>
          <w:b/>
          <w:sz w:val="20"/>
          <w:szCs w:val="20"/>
          <w:lang w:val="fr-CA"/>
        </w:rPr>
        <w:t xml:space="preserve"> / 2013 CSC </w:t>
      </w:r>
      <w:r w:rsidR="008F1E87">
        <w:rPr>
          <w:b/>
          <w:sz w:val="20"/>
          <w:szCs w:val="20"/>
          <w:lang w:val="fr-CA"/>
        </w:rPr>
        <w:t>68</w:t>
      </w:r>
    </w:p>
    <w:p w:rsidR="00D004FC" w:rsidRPr="00BD0E4F" w:rsidRDefault="00D004FC" w:rsidP="00D004F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lang w:val="fr-CA"/>
        </w:rPr>
      </w:pPr>
    </w:p>
    <w:p w:rsidR="00D004FC" w:rsidRPr="00BD0E4F" w:rsidRDefault="00D004FC" w:rsidP="00D004FC">
      <w:pPr>
        <w:rPr>
          <w:sz w:val="20"/>
          <w:szCs w:val="20"/>
          <w:u w:val="single"/>
          <w:lang w:val="fr-CA"/>
        </w:rPr>
      </w:pPr>
      <w:r w:rsidRPr="00BD0E4F">
        <w:rPr>
          <w:sz w:val="20"/>
          <w:szCs w:val="20"/>
          <w:lang w:val="fr-CA"/>
        </w:rPr>
        <w:t>Coram:</w:t>
      </w:r>
      <w:r w:rsidRPr="00BD0E4F">
        <w:rPr>
          <w:sz w:val="20"/>
          <w:szCs w:val="20"/>
          <w:lang w:val="fr-CA"/>
        </w:rPr>
        <w:tab/>
      </w:r>
      <w:r w:rsidRPr="00BD0E4F">
        <w:rPr>
          <w:sz w:val="20"/>
          <w:szCs w:val="20"/>
          <w:lang w:val="fr-CA"/>
        </w:rPr>
        <w:tab/>
      </w:r>
      <w:r w:rsidRPr="00BD0E4F">
        <w:rPr>
          <w:sz w:val="20"/>
          <w:szCs w:val="20"/>
          <w:u w:val="single"/>
          <w:lang w:val="fr-CA"/>
        </w:rPr>
        <w:t xml:space="preserve">Les juges LeBel, Fish, </w:t>
      </w:r>
      <w:r w:rsidR="008F1E87">
        <w:rPr>
          <w:sz w:val="20"/>
          <w:szCs w:val="20"/>
          <w:u w:val="single"/>
          <w:lang w:val="fr-CA"/>
        </w:rPr>
        <w:t xml:space="preserve">Abella, Cromwell, </w:t>
      </w:r>
      <w:r w:rsidRPr="00BD0E4F">
        <w:rPr>
          <w:sz w:val="20"/>
          <w:szCs w:val="20"/>
          <w:u w:val="single"/>
          <w:lang w:val="fr-CA"/>
        </w:rPr>
        <w:t>Moldaver, Karakatsanis et Wagner</w:t>
      </w:r>
    </w:p>
    <w:p w:rsidR="00D004FC" w:rsidRDefault="00D004FC" w:rsidP="008F1E87">
      <w:pPr>
        <w:jc w:val="both"/>
        <w:rPr>
          <w:sz w:val="20"/>
          <w:szCs w:val="20"/>
          <w:u w:val="single"/>
          <w:lang w:val="fr-CA"/>
        </w:rPr>
      </w:pPr>
    </w:p>
    <w:p w:rsidR="008F1E87" w:rsidRDefault="008F1E87" w:rsidP="008F1E87">
      <w:pPr>
        <w:jc w:val="both"/>
        <w:rPr>
          <w:sz w:val="20"/>
          <w:szCs w:val="20"/>
        </w:rPr>
      </w:pPr>
      <w:r w:rsidRPr="008F1E87">
        <w:rPr>
          <w:sz w:val="20"/>
          <w:szCs w:val="20"/>
          <w:lang w:val="fr-CA"/>
        </w:rPr>
        <w:t xml:space="preserve">L’appel interjeté contre l’arrêt de la Cour d’appel du Québec (Québec), numéro 200-10-002572-100, 2012 QCCA 236, en date du 3 février 2012, entendu le 21 mai 2013, est accueilli. </w:t>
      </w:r>
      <w:r w:rsidRPr="000A6A22">
        <w:rPr>
          <w:sz w:val="20"/>
          <w:szCs w:val="20"/>
        </w:rPr>
        <w:t>La tenue d’un nouveau procès est ordonnée.</w:t>
      </w:r>
    </w:p>
    <w:p w:rsidR="008F1E87" w:rsidRDefault="008F1E87" w:rsidP="008F1E87">
      <w:pPr>
        <w:jc w:val="both"/>
        <w:rPr>
          <w:sz w:val="20"/>
          <w:szCs w:val="20"/>
        </w:rPr>
      </w:pPr>
    </w:p>
    <w:p w:rsidR="008F1E87" w:rsidRDefault="008F1E87" w:rsidP="008F1E87">
      <w:pPr>
        <w:jc w:val="both"/>
        <w:rPr>
          <w:sz w:val="20"/>
          <w:szCs w:val="20"/>
          <w:u w:val="single"/>
          <w:lang w:val="fr-CA"/>
        </w:rPr>
      </w:pPr>
      <w:r w:rsidRPr="000A6A22">
        <w:rPr>
          <w:sz w:val="20"/>
          <w:szCs w:val="20"/>
        </w:rPr>
        <w:t xml:space="preserve">The appeal from the judgment </w:t>
      </w:r>
      <w:bookmarkStart w:id="2" w:name="BM_1_"/>
      <w:bookmarkEnd w:id="2"/>
      <w:r w:rsidRPr="000A6A22">
        <w:rPr>
          <w:sz w:val="20"/>
          <w:szCs w:val="20"/>
        </w:rPr>
        <w:t>of the Court of Appeal of Quebec (Québec), Number 200-10-002572-100, 2012 QCCA 236, dated February 3, 2012, heard on May 21, 2013, is allowed. A new trial is ordered.</w:t>
      </w:r>
    </w:p>
    <w:p w:rsidR="00D004FC" w:rsidRDefault="00D004FC" w:rsidP="00D004FC">
      <w:pPr>
        <w:spacing w:line="0" w:lineRule="atLeast"/>
        <w:rPr>
          <w:rFonts w:cs="Times New Roman"/>
          <w:sz w:val="20"/>
          <w:szCs w:val="20"/>
        </w:rPr>
      </w:pPr>
    </w:p>
    <w:p w:rsidR="00D004FC" w:rsidRDefault="00E7787D" w:rsidP="00D004FC">
      <w:pPr>
        <w:jc w:val="both"/>
        <w:rPr>
          <w:rFonts w:cs="Times New Roman"/>
          <w:b/>
          <w:sz w:val="20"/>
          <w:szCs w:val="20"/>
        </w:rPr>
      </w:pPr>
      <w:r>
        <w:rPr>
          <w:rFonts w:cs="Times New Roman"/>
          <w:b/>
          <w:sz w:val="20"/>
          <w:szCs w:val="20"/>
        </w:rPr>
        <w:pict>
          <v:rect id="_x0000_i1066" style="width:144.3pt;height:1pt" o:hrpct="300" o:hralign="center" o:hrstd="t" o:hrnoshade="t" o:hr="t" fillcolor="black [3213]" stroked="f"/>
        </w:pict>
      </w:r>
    </w:p>
    <w:p w:rsidR="00D004FC" w:rsidRPr="00C00175" w:rsidRDefault="00D004FC" w:rsidP="00D004FC">
      <w:pPr>
        <w:jc w:val="both"/>
        <w:rPr>
          <w:rFonts w:cs="Times New Roman"/>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63"/>
          <w:headerReference w:type="default" r:id="rId64"/>
          <w:footerReference w:type="even" r:id="rId65"/>
          <w:footerReference w:type="default" r:id="rId66"/>
          <w:headerReference w:type="first" r:id="rId67"/>
          <w:footerReference w:type="first" r:id="rId68"/>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871C1F" w:rsidRPr="0041369F" w:rsidRDefault="00871C1F" w:rsidP="00871C1F">
      <w:pPr>
        <w:pStyle w:val="SCCLsocParty"/>
        <w:rPr>
          <w:b/>
          <w:i w:val="0"/>
          <w:sz w:val="20"/>
          <w:szCs w:val="20"/>
          <w:lang w:val="en-US"/>
        </w:rPr>
      </w:pPr>
      <w:r w:rsidRPr="0041369F">
        <w:rPr>
          <w:sz w:val="20"/>
          <w:szCs w:val="20"/>
          <w:lang w:val="en-US"/>
        </w:rPr>
        <w:t>Patricia McLean v. Executive Director of the British Columbia Securities Commission</w:t>
      </w:r>
      <w:r w:rsidRPr="0041369F">
        <w:rPr>
          <w:sz w:val="20"/>
          <w:szCs w:val="20"/>
          <w:lang w:val="en-CA"/>
        </w:rPr>
        <w:t xml:space="preserve"> </w:t>
      </w:r>
      <w:r w:rsidRPr="0041369F">
        <w:rPr>
          <w:i w:val="0"/>
          <w:sz w:val="20"/>
          <w:szCs w:val="20"/>
          <w:lang w:val="en-CA"/>
        </w:rPr>
        <w:t>(B.C.)</w:t>
      </w:r>
      <w:r w:rsidRPr="0041369F">
        <w:rPr>
          <w:i w:val="0"/>
          <w:sz w:val="20"/>
          <w:szCs w:val="20"/>
          <w:lang w:val="en-US"/>
        </w:rPr>
        <w:t xml:space="preserve"> (</w:t>
      </w:r>
      <w:hyperlink r:id="rId69" w:history="1">
        <w:r w:rsidRPr="0041369F">
          <w:rPr>
            <w:rStyle w:val="Hyperlink"/>
            <w:i w:val="0"/>
            <w:sz w:val="20"/>
            <w:szCs w:val="20"/>
            <w:lang w:val="en-US"/>
          </w:rPr>
          <w:t>34593</w:t>
        </w:r>
      </w:hyperlink>
      <w:r w:rsidRPr="0041369F">
        <w:rPr>
          <w:i w:val="0"/>
          <w:sz w:val="20"/>
          <w:szCs w:val="20"/>
          <w:lang w:val="en-US"/>
        </w:rPr>
        <w:t>)</w:t>
      </w:r>
    </w:p>
    <w:p w:rsidR="00F36B5F" w:rsidRPr="0017391C" w:rsidRDefault="00F36B5F" w:rsidP="00F36B5F">
      <w:pPr>
        <w:pStyle w:val="SCCLsocLastPartyInRole"/>
        <w:spacing w:after="0"/>
        <w:rPr>
          <w:sz w:val="20"/>
        </w:rPr>
      </w:pPr>
      <w:r w:rsidRPr="0017391C">
        <w:rPr>
          <w:sz w:val="20"/>
        </w:rPr>
        <w:t>Indexed as:  McLean</w:t>
      </w:r>
      <w:r w:rsidRPr="0017391C">
        <w:rPr>
          <w:b w:val="0"/>
          <w:sz w:val="20"/>
        </w:rPr>
        <w:t xml:space="preserve"> </w:t>
      </w:r>
      <w:r w:rsidRPr="0017391C">
        <w:rPr>
          <w:b w:val="0"/>
          <w:i/>
          <w:sz w:val="20"/>
        </w:rPr>
        <w:t>v.</w:t>
      </w:r>
      <w:r w:rsidRPr="0017391C">
        <w:rPr>
          <w:sz w:val="20"/>
        </w:rPr>
        <w:t xml:space="preserve"> British Columbia (Securities Commission) </w:t>
      </w:r>
      <w:r>
        <w:rPr>
          <w:sz w:val="20"/>
        </w:rPr>
        <w:t>/</w:t>
      </w:r>
    </w:p>
    <w:p w:rsidR="00F36B5F" w:rsidRPr="00572133" w:rsidRDefault="00F36B5F" w:rsidP="00F36B5F">
      <w:pPr>
        <w:jc w:val="both"/>
        <w:rPr>
          <w:b/>
          <w:sz w:val="20"/>
          <w:szCs w:val="20"/>
          <w:lang w:val="fr-CA"/>
        </w:rPr>
      </w:pPr>
      <w:r w:rsidRPr="00572133">
        <w:rPr>
          <w:b/>
          <w:sz w:val="20"/>
          <w:szCs w:val="20"/>
          <w:lang w:val="fr-CA"/>
        </w:rPr>
        <w:t xml:space="preserve">Répertorié : McLean </w:t>
      </w:r>
      <w:r w:rsidRPr="00572133">
        <w:rPr>
          <w:b/>
          <w:i/>
          <w:sz w:val="20"/>
          <w:szCs w:val="20"/>
          <w:lang w:val="fr-CA"/>
        </w:rPr>
        <w:t>c.</w:t>
      </w:r>
      <w:r w:rsidRPr="00572133">
        <w:rPr>
          <w:b/>
          <w:sz w:val="20"/>
          <w:szCs w:val="20"/>
          <w:lang w:val="fr-CA"/>
        </w:rPr>
        <w:t xml:space="preserve"> Colombie</w:t>
      </w:r>
      <w:r w:rsidRPr="00572133">
        <w:rPr>
          <w:b/>
          <w:sz w:val="20"/>
          <w:szCs w:val="20"/>
          <w:lang w:val="fr-CA"/>
        </w:rPr>
        <w:noBreakHyphen/>
        <w:t xml:space="preserve">Britannique (Securities Commission) </w:t>
      </w:r>
    </w:p>
    <w:p w:rsidR="005C6840" w:rsidRPr="00572133" w:rsidRDefault="005C6840" w:rsidP="005C6840">
      <w:pPr>
        <w:pStyle w:val="SCCSystemYear"/>
        <w:jc w:val="both"/>
        <w:rPr>
          <w:sz w:val="20"/>
        </w:rPr>
      </w:pPr>
      <w:r w:rsidRPr="00572133">
        <w:rPr>
          <w:sz w:val="20"/>
        </w:rPr>
        <w:t>Neutral citation:  201</w:t>
      </w:r>
      <w:r w:rsidR="00F761A3" w:rsidRPr="00572133">
        <w:rPr>
          <w:sz w:val="20"/>
        </w:rPr>
        <w:t>3</w:t>
      </w:r>
      <w:r w:rsidRPr="00572133">
        <w:rPr>
          <w:sz w:val="20"/>
        </w:rPr>
        <w:t xml:space="preserve"> SCC </w:t>
      </w:r>
      <w:r w:rsidR="00871C1F" w:rsidRPr="00572133">
        <w:rPr>
          <w:sz w:val="20"/>
        </w:rPr>
        <w:t>67</w:t>
      </w:r>
      <w:r w:rsidRPr="00572133">
        <w:rPr>
          <w:sz w:val="20"/>
        </w:rPr>
        <w:t xml:space="preserve"> / Référence neutre : 201</w:t>
      </w:r>
      <w:r w:rsidR="00F761A3" w:rsidRPr="00572133">
        <w:rPr>
          <w:sz w:val="20"/>
        </w:rPr>
        <w:t>3</w:t>
      </w:r>
      <w:r w:rsidRPr="00572133">
        <w:rPr>
          <w:sz w:val="20"/>
        </w:rPr>
        <w:t xml:space="preserve"> CSC </w:t>
      </w:r>
      <w:r w:rsidR="00871C1F" w:rsidRPr="00572133">
        <w:rPr>
          <w:sz w:val="20"/>
        </w:rPr>
        <w:t>67</w:t>
      </w:r>
    </w:p>
    <w:p w:rsidR="005C6840" w:rsidRPr="00871C1F" w:rsidRDefault="005C6840" w:rsidP="005C6840">
      <w:pPr>
        <w:rPr>
          <w:rFonts w:cs="Times New Roman"/>
          <w:sz w:val="20"/>
          <w:szCs w:val="20"/>
          <w:lang w:val="fr-CA"/>
        </w:rPr>
      </w:pPr>
      <w:r w:rsidRPr="00871C1F">
        <w:rPr>
          <w:rFonts w:cs="Times New Roman"/>
          <w:sz w:val="20"/>
          <w:szCs w:val="20"/>
          <w:lang w:val="fr-CA"/>
        </w:rPr>
        <w:t xml:space="preserve">Hearing:  </w:t>
      </w:r>
      <w:r w:rsidR="00F36B5F">
        <w:rPr>
          <w:rFonts w:cs="Times New Roman"/>
          <w:sz w:val="20"/>
          <w:szCs w:val="20"/>
          <w:lang w:val="fr-CA"/>
        </w:rPr>
        <w:t>March 21</w:t>
      </w:r>
      <w:r w:rsidRPr="00871C1F">
        <w:rPr>
          <w:rFonts w:cs="Times New Roman"/>
          <w:sz w:val="20"/>
          <w:szCs w:val="20"/>
          <w:lang w:val="fr-CA"/>
        </w:rPr>
        <w:t>, 201</w:t>
      </w:r>
      <w:r w:rsidR="00F36B5F">
        <w:rPr>
          <w:rFonts w:cs="Times New Roman"/>
          <w:sz w:val="20"/>
          <w:szCs w:val="20"/>
          <w:lang w:val="fr-CA"/>
        </w:rPr>
        <w:t>3</w:t>
      </w:r>
      <w:r w:rsidRPr="00871C1F">
        <w:rPr>
          <w:rFonts w:cs="Times New Roman"/>
          <w:sz w:val="20"/>
          <w:szCs w:val="20"/>
          <w:lang w:val="fr-CA"/>
        </w:rPr>
        <w:t xml:space="preserve"> / Judgment:  </w:t>
      </w:r>
      <w:r w:rsidR="00871C1F" w:rsidRPr="00871C1F">
        <w:rPr>
          <w:rFonts w:cs="Times New Roman"/>
          <w:sz w:val="20"/>
          <w:szCs w:val="20"/>
          <w:lang w:val="fr-CA"/>
        </w:rPr>
        <w:t>Decem</w:t>
      </w:r>
      <w:r w:rsidRPr="00871C1F">
        <w:rPr>
          <w:rFonts w:cs="Times New Roman"/>
          <w:sz w:val="20"/>
          <w:szCs w:val="20"/>
          <w:lang w:val="fr-CA"/>
        </w:rPr>
        <w:t xml:space="preserve">ber </w:t>
      </w:r>
      <w:r w:rsidR="00871C1F" w:rsidRPr="00871C1F">
        <w:rPr>
          <w:rFonts w:cs="Times New Roman"/>
          <w:sz w:val="20"/>
          <w:szCs w:val="20"/>
          <w:lang w:val="fr-CA"/>
        </w:rPr>
        <w:t>5</w:t>
      </w:r>
      <w:r w:rsidRPr="00871C1F">
        <w:rPr>
          <w:rFonts w:cs="Times New Roman"/>
          <w:sz w:val="20"/>
          <w:szCs w:val="20"/>
          <w:lang w:val="fr-CA"/>
        </w:rPr>
        <w:t>, 201</w:t>
      </w:r>
      <w:r w:rsidR="00871C1F" w:rsidRPr="00871C1F">
        <w:rPr>
          <w:rFonts w:cs="Times New Roman"/>
          <w:sz w:val="20"/>
          <w:szCs w:val="20"/>
          <w:lang w:val="fr-CA"/>
        </w:rPr>
        <w:t>3</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F36B5F">
        <w:rPr>
          <w:rFonts w:cs="Times New Roman"/>
          <w:sz w:val="20"/>
          <w:szCs w:val="20"/>
          <w:lang w:val="fr-CA"/>
        </w:rPr>
        <w:t>21 ma</w:t>
      </w:r>
      <w:r w:rsidRPr="003B3977">
        <w:rPr>
          <w:rFonts w:cs="Times New Roman"/>
          <w:sz w:val="20"/>
          <w:szCs w:val="20"/>
          <w:lang w:val="fr-CA"/>
        </w:rPr>
        <w:t>r</w:t>
      </w:r>
      <w:r w:rsidR="00F36B5F">
        <w:rPr>
          <w:rFonts w:cs="Times New Roman"/>
          <w:sz w:val="20"/>
          <w:szCs w:val="20"/>
          <w:lang w:val="fr-CA"/>
        </w:rPr>
        <w:t>s</w:t>
      </w:r>
      <w:r w:rsidRPr="003B3977">
        <w:rPr>
          <w:rFonts w:cs="Times New Roman"/>
          <w:sz w:val="20"/>
          <w:szCs w:val="20"/>
          <w:lang w:val="fr-CA"/>
        </w:rPr>
        <w:t xml:space="preserve"> 201</w:t>
      </w:r>
      <w:r w:rsidR="00F36B5F">
        <w:rPr>
          <w:rFonts w:cs="Times New Roman"/>
          <w:sz w:val="20"/>
          <w:szCs w:val="20"/>
          <w:lang w:val="fr-CA"/>
        </w:rPr>
        <w:t>3</w:t>
      </w:r>
      <w:r w:rsidRPr="003B3977">
        <w:rPr>
          <w:rFonts w:cs="Times New Roman"/>
          <w:sz w:val="20"/>
          <w:szCs w:val="20"/>
          <w:lang w:val="fr-CA"/>
        </w:rPr>
        <w:t xml:space="preserve"> / Jugement : Le </w:t>
      </w:r>
      <w:r w:rsidR="00871C1F">
        <w:rPr>
          <w:rFonts w:cs="Times New Roman"/>
          <w:sz w:val="20"/>
          <w:szCs w:val="20"/>
          <w:lang w:val="fr-CA"/>
        </w:rPr>
        <w:t>5</w:t>
      </w:r>
      <w:r w:rsidRPr="003B3977">
        <w:rPr>
          <w:rFonts w:cs="Times New Roman"/>
          <w:sz w:val="20"/>
          <w:szCs w:val="20"/>
          <w:lang w:val="fr-CA"/>
        </w:rPr>
        <w:t xml:space="preserve"> </w:t>
      </w:r>
      <w:r w:rsidR="00871C1F">
        <w:rPr>
          <w:rFonts w:cs="Times New Roman"/>
          <w:sz w:val="20"/>
          <w:szCs w:val="20"/>
          <w:lang w:val="fr-CA"/>
        </w:rPr>
        <w:t>décem</w:t>
      </w:r>
      <w:r w:rsidRPr="003B3977">
        <w:rPr>
          <w:rFonts w:cs="Times New Roman"/>
          <w:sz w:val="20"/>
          <w:szCs w:val="20"/>
          <w:lang w:val="fr-CA"/>
        </w:rPr>
        <w:t>bre 201</w:t>
      </w:r>
      <w:r w:rsidR="00871C1F">
        <w:rPr>
          <w:rFonts w:cs="Times New Roman"/>
          <w:sz w:val="20"/>
          <w:szCs w:val="20"/>
          <w:lang w:val="fr-CA"/>
        </w:rPr>
        <w:t>3</w:t>
      </w:r>
    </w:p>
    <w:p w:rsidR="005C6840" w:rsidRPr="003B3977" w:rsidRDefault="00E7787D" w:rsidP="005C6840">
      <w:pPr>
        <w:rPr>
          <w:rFonts w:cs="Times New Roman"/>
          <w:sz w:val="20"/>
          <w:szCs w:val="20"/>
          <w:lang w:val="fr-CA"/>
        </w:rPr>
      </w:pPr>
      <w:r>
        <w:rPr>
          <w:rFonts w:cs="Times New Roman"/>
          <w:i/>
          <w:sz w:val="20"/>
          <w:szCs w:val="20"/>
        </w:rPr>
        <w:pict>
          <v:rect id="_x0000_i1069"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F36B5F" w:rsidRPr="0017391C" w:rsidRDefault="00F36B5F" w:rsidP="00F36B5F">
      <w:pPr>
        <w:jc w:val="both"/>
        <w:rPr>
          <w:sz w:val="20"/>
          <w:szCs w:val="20"/>
        </w:rPr>
      </w:pPr>
      <w:r w:rsidRPr="0017391C">
        <w:rPr>
          <w:sz w:val="20"/>
          <w:szCs w:val="20"/>
        </w:rPr>
        <w:t>Present:  LeBel, Fish, Rothstein, Cromwell, Moldaver, Karakatsanis and Wagner JJ.</w:t>
      </w:r>
    </w:p>
    <w:p w:rsidR="00F36B5F" w:rsidRDefault="00F36B5F" w:rsidP="00F36B5F">
      <w:pPr>
        <w:pStyle w:val="SCCNormalDoubleSpacing"/>
        <w:spacing w:line="240" w:lineRule="auto"/>
        <w:rPr>
          <w:i/>
          <w:sz w:val="20"/>
        </w:rPr>
      </w:pPr>
    </w:p>
    <w:p w:rsidR="00F36B5F" w:rsidRPr="0017391C" w:rsidRDefault="00F36B5F" w:rsidP="00F36B5F">
      <w:pPr>
        <w:pStyle w:val="SCCNormalDoubleSpacing"/>
        <w:spacing w:line="240" w:lineRule="auto"/>
        <w:rPr>
          <w:i/>
          <w:sz w:val="20"/>
        </w:rPr>
      </w:pPr>
      <w:r w:rsidRPr="0017391C">
        <w:rPr>
          <w:i/>
          <w:sz w:val="20"/>
        </w:rPr>
        <w:tab/>
        <w:t>Administrative law — Securities — Standard of Review — Limitation of Actions — Appellant entering into settlement agreement with Ontario Securities Commission in respect to certain possible improper actions — B.C. Securities Commission initiating secondary proceedings based on settlement agreement — B.C. Securities Act establishing limitation period of six years from date of “events” giving rise to proceedings — Whether “events” triggering six</w:t>
      </w:r>
      <w:r w:rsidRPr="0017391C">
        <w:rPr>
          <w:i/>
          <w:sz w:val="20"/>
        </w:rPr>
        <w:noBreakHyphen/>
        <w:t>year limitation period are the underlying misconduct giving rise to the settlement agreement, or the settlement agreement itself — Whether the standard of review of the Commission’s decision should be correctness or reasonableness — Having regard to the standard of review, whether there is any basis to interfere with the Commission’s interpretation — Securities Act, R.S.B.C. 1996, c. 418, ss. 159, 161(6)(d).</w:t>
      </w:r>
    </w:p>
    <w:p w:rsidR="00F36B5F" w:rsidRDefault="00F36B5F" w:rsidP="00F36B5F">
      <w:pPr>
        <w:pStyle w:val="SCCNormalDoubleSpacing"/>
        <w:spacing w:line="240" w:lineRule="auto"/>
        <w:rPr>
          <w:sz w:val="20"/>
        </w:rPr>
      </w:pPr>
    </w:p>
    <w:p w:rsidR="00F36B5F" w:rsidRPr="0017391C" w:rsidRDefault="00F36B5F" w:rsidP="00F36B5F">
      <w:pPr>
        <w:pStyle w:val="SCCNormalDoubleSpacing"/>
        <w:spacing w:line="240" w:lineRule="auto"/>
        <w:rPr>
          <w:sz w:val="20"/>
        </w:rPr>
      </w:pPr>
      <w:r w:rsidRPr="0017391C">
        <w:rPr>
          <w:sz w:val="20"/>
        </w:rPr>
        <w:tab/>
        <w:t xml:space="preserve">On September 8, 2008, M entered into a settlement agreement with the Ontario Securities Commission in respect to misconduct that occurred in Ontario, in 2001 or earlier.  The Ontario Securities Commission issued an order in the public interest barring her from trading in securities for five years and banning her from acting as an officer or director of certain entities registered in Ontario for 10 years.  On January 14, 2010, the respondent notified M that he was applying to the British Columbia Securities Commission for a public interest order against her based on s. 161(6)(d) </w:t>
      </w:r>
      <w:r w:rsidRPr="0017391C">
        <w:rPr>
          <w:sz w:val="20"/>
          <w:lang w:val="en-US"/>
        </w:rPr>
        <w:t xml:space="preserve">of the </w:t>
      </w:r>
      <w:r w:rsidRPr="0017391C">
        <w:rPr>
          <w:i/>
          <w:sz w:val="20"/>
        </w:rPr>
        <w:t>Securities</w:t>
      </w:r>
      <w:r w:rsidRPr="0017391C">
        <w:rPr>
          <w:sz w:val="20"/>
        </w:rPr>
        <w:t xml:space="preserve"> </w:t>
      </w:r>
      <w:r w:rsidRPr="0017391C">
        <w:rPr>
          <w:i/>
          <w:sz w:val="20"/>
        </w:rPr>
        <w:t>Act</w:t>
      </w:r>
      <w:r w:rsidRPr="0017391C">
        <w:rPr>
          <w:sz w:val="20"/>
        </w:rPr>
        <w:t xml:space="preserve">, R.S.B.C. 1996, c. 418. Section 161(6)(d) empowers the Commission to bring proceedings in the public interest against persons </w:t>
      </w:r>
      <w:r w:rsidRPr="0017391C">
        <w:rPr>
          <w:sz w:val="20"/>
          <w:lang w:val="en-US"/>
        </w:rPr>
        <w:t xml:space="preserve">who have agreed with another jurisdiction’s securities regulator, by way of a settlement agreement, to be subject to regulatory action.  Section 159 of the </w:t>
      </w:r>
      <w:r w:rsidRPr="0017391C">
        <w:rPr>
          <w:i/>
          <w:sz w:val="20"/>
        </w:rPr>
        <w:t>Securities</w:t>
      </w:r>
      <w:r w:rsidRPr="0017391C">
        <w:rPr>
          <w:sz w:val="20"/>
        </w:rPr>
        <w:t xml:space="preserve"> </w:t>
      </w:r>
      <w:r w:rsidRPr="0017391C">
        <w:rPr>
          <w:i/>
          <w:sz w:val="20"/>
        </w:rPr>
        <w:t>Act</w:t>
      </w:r>
      <w:r w:rsidRPr="0017391C">
        <w:rPr>
          <w:sz w:val="20"/>
        </w:rPr>
        <w:t xml:space="preserve"> sets out that all proceedings under the </w:t>
      </w:r>
      <w:r w:rsidRPr="0017391C">
        <w:rPr>
          <w:i/>
          <w:sz w:val="20"/>
        </w:rPr>
        <w:t>Act</w:t>
      </w:r>
      <w:r w:rsidRPr="0017391C">
        <w:rPr>
          <w:sz w:val="20"/>
        </w:rPr>
        <w:t xml:space="preserve"> “must not be commenced more than six years after the date of the events that give rise to the proceedings.”  The Commission issued a reciprocal order adopting the same prohibitions as are set out in the Ontario Securities Commission’s order.  In doing so, the Commission implicitly interpreted s. 159, as it applies to s. 161(6)(d), such that “the event” that triggered the six</w:t>
      </w:r>
      <w:r w:rsidRPr="0017391C">
        <w:rPr>
          <w:sz w:val="20"/>
        </w:rPr>
        <w:noBreakHyphen/>
        <w:t xml:space="preserve">year limitation period was M’s entering into a settlement agreement and not the misconduct that occurred in 2001 or earlier.  The Court of Appeal applied a correctness standard of review and upheld the Commission’s implied decision that “the event” that gave rise to the proceedings in British Columbia under s. 161(6)(d) was the agreement in Ontario.   </w:t>
      </w:r>
    </w:p>
    <w:p w:rsidR="00F36B5F" w:rsidRDefault="00F36B5F" w:rsidP="00F36B5F">
      <w:pPr>
        <w:pStyle w:val="SCCNormalDoubleSpacing"/>
        <w:spacing w:line="240" w:lineRule="auto"/>
        <w:rPr>
          <w:i/>
          <w:sz w:val="20"/>
        </w:rPr>
      </w:pPr>
    </w:p>
    <w:p w:rsidR="00F36B5F" w:rsidRPr="0017391C" w:rsidRDefault="00F36B5F" w:rsidP="00F36B5F">
      <w:pPr>
        <w:pStyle w:val="SCCNormalDoubleSpacing"/>
        <w:spacing w:line="240" w:lineRule="auto"/>
        <w:rPr>
          <w:sz w:val="20"/>
        </w:rPr>
      </w:pPr>
      <w:r w:rsidRPr="0017391C">
        <w:rPr>
          <w:i/>
          <w:sz w:val="20"/>
        </w:rPr>
        <w:tab/>
        <w:t>Held:</w:t>
      </w:r>
      <w:r w:rsidRPr="0017391C">
        <w:rPr>
          <w:sz w:val="20"/>
        </w:rPr>
        <w:t xml:space="preserve">  The appeal should be dismissed</w:t>
      </w:r>
    </w:p>
    <w:p w:rsidR="00F36B5F" w:rsidRDefault="00F36B5F" w:rsidP="00F36B5F">
      <w:pPr>
        <w:pStyle w:val="SCCNormalDoubleSpacing"/>
        <w:spacing w:line="240" w:lineRule="auto"/>
        <w:rPr>
          <w:i/>
          <w:sz w:val="20"/>
        </w:rPr>
      </w:pPr>
    </w:p>
    <w:p w:rsidR="00F36B5F" w:rsidRPr="0017391C" w:rsidRDefault="00F36B5F" w:rsidP="00F36B5F">
      <w:pPr>
        <w:pStyle w:val="SCCNormalDoubleSpacing"/>
        <w:spacing w:line="240" w:lineRule="auto"/>
        <w:rPr>
          <w:sz w:val="20"/>
        </w:rPr>
      </w:pPr>
      <w:r w:rsidRPr="0017391C">
        <w:rPr>
          <w:i/>
          <w:sz w:val="20"/>
        </w:rPr>
        <w:tab/>
        <w:t>Per</w:t>
      </w:r>
      <w:r w:rsidRPr="0017391C">
        <w:rPr>
          <w:sz w:val="20"/>
        </w:rPr>
        <w:t xml:space="preserve"> LeBel, Fish, Rothstein, Cromwell, </w:t>
      </w:r>
      <w:r w:rsidRPr="0017391C">
        <w:rPr>
          <w:b/>
          <w:sz w:val="20"/>
        </w:rPr>
        <w:t>Moldaver</w:t>
      </w:r>
      <w:r w:rsidRPr="0017391C">
        <w:rPr>
          <w:sz w:val="20"/>
        </w:rPr>
        <w:t xml:space="preserve"> and Wagner JJ.:  The question presented is whether, for purposes of s. 161(6)(d), “the events” that trigger the six</w:t>
      </w:r>
      <w:r w:rsidRPr="0017391C">
        <w:rPr>
          <w:sz w:val="20"/>
        </w:rPr>
        <w:noBreakHyphen/>
        <w:t xml:space="preserve">year limitation period in s. 159 are (i) the underlying misconduct that gave rise to the settlement agreement or (ii) the settlement agreement itself.  A review of the ordinary meaning, the context, and the purpose of both ss. 159 and 161(6) </w:t>
      </w:r>
      <w:r w:rsidRPr="0017391C">
        <w:rPr>
          <w:sz w:val="20"/>
          <w:lang w:val="en-US"/>
        </w:rPr>
        <w:t xml:space="preserve">of the </w:t>
      </w:r>
      <w:r w:rsidRPr="0017391C">
        <w:rPr>
          <w:i/>
          <w:sz w:val="20"/>
        </w:rPr>
        <w:t>Securities</w:t>
      </w:r>
      <w:r w:rsidRPr="0017391C">
        <w:rPr>
          <w:sz w:val="20"/>
        </w:rPr>
        <w:t xml:space="preserve"> </w:t>
      </w:r>
      <w:r w:rsidRPr="0017391C">
        <w:rPr>
          <w:i/>
          <w:sz w:val="20"/>
        </w:rPr>
        <w:t>Act</w:t>
      </w:r>
      <w:r w:rsidRPr="0017391C">
        <w:rPr>
          <w:sz w:val="20"/>
        </w:rPr>
        <w:t xml:space="preserve"> reasonably supports the Commission’s conclusion that the event giving rise to a proceeding under s. 161(6)(d) is the fact of having agreed with a securities regulatory authority to be subject to regulatory action.  The appropriate standard of review is reasonableness.  Both parties proposed reasonable interpretations of s. 159 of the </w:t>
      </w:r>
      <w:r w:rsidRPr="0017391C">
        <w:rPr>
          <w:i/>
          <w:sz w:val="20"/>
        </w:rPr>
        <w:t xml:space="preserve">Securities </w:t>
      </w:r>
      <w:r w:rsidRPr="0017391C">
        <w:rPr>
          <w:sz w:val="20"/>
        </w:rPr>
        <w:t>Act, as it applies to s. 161(6)(d).  However, under reasonableness review, courts defer to any reasonable interpretation adopted by an administrative decision maker, even if other reasonable interpretations may exist.  Because the Commission’s interpretation has not been shown to be an unreasonable one, there is no basis to interfere on judicial review.</w:t>
      </w:r>
    </w:p>
    <w:p w:rsidR="00F36B5F" w:rsidRDefault="00F36B5F" w:rsidP="00F36B5F">
      <w:pPr>
        <w:pStyle w:val="SCCNormalDoubleSpacing"/>
        <w:spacing w:line="240" w:lineRule="auto"/>
        <w:rPr>
          <w:sz w:val="20"/>
        </w:rPr>
      </w:pPr>
    </w:p>
    <w:p w:rsidR="00F36B5F" w:rsidRPr="0017391C" w:rsidRDefault="00F36B5F" w:rsidP="00F36B5F">
      <w:pPr>
        <w:pStyle w:val="SCCNormalDoubleSpacing"/>
        <w:spacing w:line="240" w:lineRule="auto"/>
        <w:rPr>
          <w:sz w:val="20"/>
        </w:rPr>
      </w:pPr>
      <w:r w:rsidRPr="0017391C">
        <w:rPr>
          <w:sz w:val="20"/>
        </w:rPr>
        <w:tab/>
        <w:t xml:space="preserve">The Court of Appeal erred by applying a correctness standard of review.  It is presumed that courts will defer to an administrative interpreting its own statute or statutes closely connected to its function.  This presumption is not rebutted in this case.  Nor does the question fall within any exceptional category that warrants a correctness standard.  Although limitation periods generally are of central importance to the fair administration of justice, the issue here is </w:t>
      </w:r>
      <w:r w:rsidRPr="0017391C">
        <w:rPr>
          <w:sz w:val="20"/>
        </w:rPr>
        <w:lastRenderedPageBreak/>
        <w:t>statutory interpretation in a particular context within the Commission’s specialized area of expertise.  The possibility that other provincial securities commissions may arrive at different interpretations of similar statutory limitation periods is a function of the Constitution’s federalist structure and does not provide a basis for a correctness review.  Finally, and most significantly, the modern approach to judicial review recognizes that courts may not be as qualified as an administrative tribunal to interpret that tribunal’s home statute.  In particular, the resolution of unclear language in a home statute is usually best left to the administrative tribunal because the tribunal is presumed to be in the best position to weigh the policy considerations often involved in choosing between multiple reasonable interpretations of such language.</w:t>
      </w:r>
    </w:p>
    <w:p w:rsidR="00F36B5F" w:rsidRDefault="00F36B5F" w:rsidP="00F36B5F">
      <w:pPr>
        <w:pStyle w:val="SCCNormalDoubleSpacing"/>
        <w:spacing w:line="240" w:lineRule="auto"/>
        <w:rPr>
          <w:sz w:val="20"/>
        </w:rPr>
      </w:pPr>
    </w:p>
    <w:p w:rsidR="00F36B5F" w:rsidRPr="0017391C" w:rsidRDefault="00F36B5F" w:rsidP="00F36B5F">
      <w:pPr>
        <w:pStyle w:val="SCCNormalDoubleSpacing"/>
        <w:spacing w:line="240" w:lineRule="auto"/>
        <w:rPr>
          <w:sz w:val="20"/>
        </w:rPr>
      </w:pPr>
      <w:r w:rsidRPr="0017391C">
        <w:rPr>
          <w:sz w:val="20"/>
        </w:rPr>
        <w:tab/>
        <w:t>The Commission’s interpretation of the limitations period here is reasonable.  The ordinary meaning of “the events” in s. 159 that give rise to a proceeding under s. 161(6)(d) is the fact of having agreed with a securities regulatory authority to be subject to regulatory action.  Although s. 159 predates s. 161(6), and originally limitation periods were understood to run from the date of the underlying misconduct, that drafting history is not dispositive.  The phrase “the events” is deliberately open</w:t>
      </w:r>
      <w:r w:rsidRPr="0017391C">
        <w:rPr>
          <w:sz w:val="20"/>
        </w:rPr>
        <w:noBreakHyphen/>
        <w:t>ended and applicable to a variety of contexts.  As applied to s. 161(6)(d), it can mean the date the person “has agreed with a securities regulatory authority”.  Finally, allowing secondary jurisdictions to wait until the conclusion</w:t>
      </w:r>
      <w:r w:rsidRPr="0017391C">
        <w:rPr>
          <w:i/>
          <w:sz w:val="20"/>
        </w:rPr>
        <w:t xml:space="preserve"> </w:t>
      </w:r>
      <w:r w:rsidRPr="0017391C">
        <w:rPr>
          <w:sz w:val="20"/>
        </w:rPr>
        <w:t>of a primary proceeding obviates the need for parallel and duplicative proceedings that will overburden securities commissions and the targets of proceedings.  The Commission’s interpretation thus furthers the legislative goal of improving inter</w:t>
      </w:r>
      <w:r w:rsidRPr="0017391C">
        <w:rPr>
          <w:sz w:val="20"/>
        </w:rPr>
        <w:noBreakHyphen/>
        <w:t>jurisdictional co</w:t>
      </w:r>
      <w:r w:rsidRPr="0017391C">
        <w:rPr>
          <w:sz w:val="20"/>
        </w:rPr>
        <w:noBreakHyphen/>
        <w:t xml:space="preserve">operation between provinces and territories. </w:t>
      </w:r>
    </w:p>
    <w:p w:rsidR="00F36B5F" w:rsidRDefault="00F36B5F" w:rsidP="00F36B5F">
      <w:pPr>
        <w:pStyle w:val="SCCNormalDoubleSpacing"/>
        <w:spacing w:line="240" w:lineRule="auto"/>
        <w:rPr>
          <w:sz w:val="20"/>
        </w:rPr>
      </w:pPr>
    </w:p>
    <w:p w:rsidR="00F36B5F" w:rsidRPr="0017391C" w:rsidRDefault="00F36B5F" w:rsidP="00F36B5F">
      <w:pPr>
        <w:pStyle w:val="SCCNormalDoubleSpacing"/>
        <w:spacing w:line="240" w:lineRule="auto"/>
        <w:rPr>
          <w:sz w:val="20"/>
        </w:rPr>
      </w:pPr>
      <w:r w:rsidRPr="0017391C">
        <w:rPr>
          <w:sz w:val="20"/>
        </w:rPr>
        <w:tab/>
        <w:t>Although the Commission’s interpretation significantly extends the duration of time for which a person may be subject to regulatory action, of itself, that is not offensive to the purpose of limitation periods.  Limitation periods are always driven by policy choices that attempt to balance the interests of the parties.  The Commission’s interpretation strikes a reasonable balance between facilitation of interprovincial cooperation and the underlying purposes of limitation periods.</w:t>
      </w:r>
    </w:p>
    <w:p w:rsidR="00F36B5F" w:rsidRDefault="00F36B5F" w:rsidP="00F36B5F">
      <w:pPr>
        <w:pStyle w:val="SCCNormalDoubleSpacing"/>
        <w:spacing w:line="240" w:lineRule="auto"/>
        <w:rPr>
          <w:b/>
          <w:i/>
          <w:sz w:val="20"/>
        </w:rPr>
      </w:pPr>
    </w:p>
    <w:p w:rsidR="00F36B5F" w:rsidRDefault="00F36B5F" w:rsidP="00F36B5F">
      <w:pPr>
        <w:pStyle w:val="SCCNormalDoubleSpacing"/>
        <w:spacing w:line="240" w:lineRule="auto"/>
        <w:rPr>
          <w:sz w:val="20"/>
        </w:rPr>
      </w:pPr>
      <w:r w:rsidRPr="0017391C">
        <w:rPr>
          <w:b/>
          <w:i/>
          <w:sz w:val="20"/>
        </w:rPr>
        <w:tab/>
        <w:t>Per</w:t>
      </w:r>
      <w:r w:rsidRPr="0017391C">
        <w:rPr>
          <w:b/>
          <w:sz w:val="20"/>
        </w:rPr>
        <w:t xml:space="preserve"> Karakatsanis</w:t>
      </w:r>
      <w:r w:rsidRPr="0017391C">
        <w:rPr>
          <w:sz w:val="20"/>
        </w:rPr>
        <w:t xml:space="preserve"> J.:  The Commission was reasonable in interpreting s. 159 to require that secondary proceedings under s. 161(6) must be initiated within six years of a person being sanctioned in another jurisdiction.  However, the opposite interpretation — that the limitation period runs from the time of the underlying misconduct — is not reasonable.  Such an interpretation would require duplicative proceedings in cases, like this one, where an investigation in another jurisdiction does not conclude within six years of the underlying misconduct.  It is inconsistent with the legislative objective of facilitating interjurisdictional cooperation and it is at odds with a purposive interpretation.  Consequently, it would not have been open to the Commission to interpret the limitations period as the appellant urges.  </w:t>
      </w:r>
    </w:p>
    <w:p w:rsidR="00F36B5F" w:rsidRDefault="00F36B5F" w:rsidP="00F36B5F">
      <w:pPr>
        <w:pStyle w:val="SCCNormalDoubleSpacing"/>
        <w:spacing w:line="240" w:lineRule="auto"/>
        <w:rPr>
          <w:sz w:val="20"/>
        </w:rPr>
      </w:pPr>
    </w:p>
    <w:p w:rsidR="00F36B5F" w:rsidRPr="0017391C" w:rsidRDefault="00F36B5F" w:rsidP="00F36B5F">
      <w:pPr>
        <w:pStyle w:val="SCCNormalDoubleSpacing"/>
        <w:spacing w:line="240" w:lineRule="auto"/>
        <w:rPr>
          <w:sz w:val="20"/>
        </w:rPr>
      </w:pPr>
      <w:r w:rsidRPr="0017391C">
        <w:rPr>
          <w:sz w:val="20"/>
        </w:rPr>
        <w:tab/>
        <w:t xml:space="preserve">APPEAL from a judgment of the British Columbia Court of Appeal (Saunders, Chiasson and Neilson JJ.A.), 2011 BCCA 455, 312 B.C.A.C. 288, 531 W.A.C. 288, 343 D.L.R. (4th) 432, [2011] B.C.J. No. 2124 (QL), 2011 CarswellBC 2929, allowing an appeal from a decision by the British Columbia Securities Commission, 2010 BCSECCOM 262, 2010 LNBCSC 222 (QL).  Appeal dismissed.  </w:t>
      </w:r>
    </w:p>
    <w:p w:rsidR="00F36B5F" w:rsidRDefault="00F36B5F" w:rsidP="00F36B5F">
      <w:pPr>
        <w:pStyle w:val="SCCNormalDoubleSpacing"/>
        <w:spacing w:line="240" w:lineRule="auto"/>
        <w:rPr>
          <w:i/>
          <w:sz w:val="20"/>
        </w:rPr>
      </w:pPr>
    </w:p>
    <w:p w:rsidR="00F36B5F" w:rsidRPr="0017391C" w:rsidRDefault="00F36B5F" w:rsidP="00F36B5F">
      <w:pPr>
        <w:pStyle w:val="SCCNormalDoubleSpacing"/>
        <w:spacing w:line="240" w:lineRule="auto"/>
        <w:rPr>
          <w:sz w:val="20"/>
        </w:rPr>
      </w:pPr>
      <w:r w:rsidRPr="0017391C">
        <w:rPr>
          <w:i/>
          <w:sz w:val="20"/>
        </w:rPr>
        <w:tab/>
        <w:t>Christopher H. Wirth</w:t>
      </w:r>
      <w:r w:rsidRPr="0017391C">
        <w:rPr>
          <w:sz w:val="20"/>
        </w:rPr>
        <w:t xml:space="preserve"> and </w:t>
      </w:r>
      <w:r w:rsidRPr="0017391C">
        <w:rPr>
          <w:i/>
          <w:sz w:val="20"/>
        </w:rPr>
        <w:t>Fredrick Schumann</w:t>
      </w:r>
      <w:r w:rsidRPr="0017391C">
        <w:rPr>
          <w:sz w:val="20"/>
        </w:rPr>
        <w:t>, for the appellant.</w:t>
      </w:r>
    </w:p>
    <w:p w:rsidR="00F36B5F" w:rsidRDefault="00F36B5F" w:rsidP="00F36B5F">
      <w:pPr>
        <w:pStyle w:val="SCCNormalDoubleSpacing"/>
        <w:spacing w:line="240" w:lineRule="auto"/>
        <w:rPr>
          <w:i/>
          <w:sz w:val="20"/>
        </w:rPr>
      </w:pPr>
    </w:p>
    <w:p w:rsidR="00F36B5F" w:rsidRPr="0017391C" w:rsidRDefault="00F36B5F" w:rsidP="00F36B5F">
      <w:pPr>
        <w:pStyle w:val="SCCNormalDoubleSpacing"/>
        <w:spacing w:line="240" w:lineRule="auto"/>
        <w:rPr>
          <w:sz w:val="20"/>
        </w:rPr>
      </w:pPr>
      <w:r w:rsidRPr="0017391C">
        <w:rPr>
          <w:i/>
          <w:sz w:val="20"/>
        </w:rPr>
        <w:tab/>
        <w:t>Stephen M. Zolnay</w:t>
      </w:r>
      <w:r w:rsidRPr="0017391C">
        <w:rPr>
          <w:sz w:val="20"/>
        </w:rPr>
        <w:t>, for the respondent.</w:t>
      </w:r>
    </w:p>
    <w:p w:rsidR="00F36B5F" w:rsidRDefault="00F36B5F" w:rsidP="00F36B5F">
      <w:pPr>
        <w:pStyle w:val="SCCNormalDoubleSpacing"/>
        <w:spacing w:line="240" w:lineRule="auto"/>
        <w:rPr>
          <w:i/>
          <w:sz w:val="20"/>
        </w:rPr>
      </w:pPr>
    </w:p>
    <w:p w:rsidR="00F36B5F" w:rsidRPr="0017391C" w:rsidRDefault="00F36B5F" w:rsidP="00F36B5F">
      <w:pPr>
        <w:pStyle w:val="SCCNormalDoubleSpacing"/>
        <w:spacing w:line="240" w:lineRule="auto"/>
        <w:rPr>
          <w:sz w:val="20"/>
        </w:rPr>
      </w:pPr>
      <w:r w:rsidRPr="0017391C">
        <w:rPr>
          <w:i/>
          <w:sz w:val="20"/>
        </w:rPr>
        <w:tab/>
        <w:t>Lou Brzezinski</w:t>
      </w:r>
      <w:r w:rsidRPr="0017391C">
        <w:rPr>
          <w:sz w:val="20"/>
        </w:rPr>
        <w:t xml:space="preserve"> and </w:t>
      </w:r>
      <w:r w:rsidRPr="0017391C">
        <w:rPr>
          <w:i/>
          <w:sz w:val="20"/>
        </w:rPr>
        <w:t>John Polyzogopoulos</w:t>
      </w:r>
      <w:r w:rsidRPr="0017391C">
        <w:rPr>
          <w:sz w:val="20"/>
        </w:rPr>
        <w:t>, for the intervener the Financial Advisors Association of Canada.</w:t>
      </w:r>
    </w:p>
    <w:p w:rsidR="00F36B5F" w:rsidRDefault="00F36B5F" w:rsidP="00F36B5F">
      <w:pPr>
        <w:pStyle w:val="SCCNormalDoubleSpacing"/>
        <w:spacing w:line="240" w:lineRule="auto"/>
        <w:rPr>
          <w:i/>
          <w:sz w:val="20"/>
        </w:rPr>
      </w:pPr>
    </w:p>
    <w:p w:rsidR="00F36B5F" w:rsidRPr="0017391C" w:rsidRDefault="00F36B5F" w:rsidP="00F36B5F">
      <w:pPr>
        <w:pStyle w:val="SCCNormalDoubleSpacing"/>
        <w:spacing w:line="240" w:lineRule="auto"/>
        <w:rPr>
          <w:sz w:val="20"/>
        </w:rPr>
      </w:pPr>
      <w:r w:rsidRPr="0017391C">
        <w:rPr>
          <w:i/>
          <w:sz w:val="20"/>
        </w:rPr>
        <w:tab/>
        <w:t>Johanna M. Superina</w:t>
      </w:r>
      <w:r w:rsidRPr="0017391C">
        <w:rPr>
          <w:sz w:val="20"/>
        </w:rPr>
        <w:t xml:space="preserve"> and </w:t>
      </w:r>
      <w:r w:rsidRPr="0017391C">
        <w:rPr>
          <w:i/>
          <w:sz w:val="20"/>
        </w:rPr>
        <w:t>Usman M. Sheikh</w:t>
      </w:r>
      <w:r w:rsidRPr="0017391C">
        <w:rPr>
          <w:sz w:val="20"/>
        </w:rPr>
        <w:t>, for the intervener the Ontario Securities Commission.</w:t>
      </w:r>
    </w:p>
    <w:p w:rsidR="00F36B5F" w:rsidRDefault="00F36B5F" w:rsidP="00F36B5F">
      <w:pPr>
        <w:pStyle w:val="SCCLawFirm"/>
        <w:spacing w:line="240" w:lineRule="auto"/>
        <w:rPr>
          <w:sz w:val="20"/>
        </w:rPr>
      </w:pPr>
    </w:p>
    <w:p w:rsidR="00F36B5F" w:rsidRPr="0017391C" w:rsidRDefault="00F36B5F" w:rsidP="00F36B5F">
      <w:pPr>
        <w:pStyle w:val="SCCLawFirm"/>
        <w:spacing w:line="240" w:lineRule="auto"/>
        <w:rPr>
          <w:sz w:val="20"/>
        </w:rPr>
      </w:pPr>
      <w:r w:rsidRPr="0017391C">
        <w:rPr>
          <w:sz w:val="20"/>
        </w:rPr>
        <w:tab/>
        <w:t>Solicitors for the appellant:  Stockwoods, Toronto.</w:t>
      </w:r>
    </w:p>
    <w:p w:rsidR="00F36B5F" w:rsidRDefault="00F36B5F" w:rsidP="00F36B5F">
      <w:pPr>
        <w:pStyle w:val="SCCLawFirm"/>
        <w:spacing w:line="240" w:lineRule="auto"/>
        <w:rPr>
          <w:sz w:val="20"/>
        </w:rPr>
      </w:pPr>
    </w:p>
    <w:p w:rsidR="00F36B5F" w:rsidRPr="0017391C" w:rsidRDefault="00F36B5F" w:rsidP="00F36B5F">
      <w:pPr>
        <w:pStyle w:val="SCCLawFirm"/>
        <w:spacing w:line="240" w:lineRule="auto"/>
        <w:rPr>
          <w:sz w:val="20"/>
        </w:rPr>
      </w:pPr>
      <w:r w:rsidRPr="0017391C">
        <w:rPr>
          <w:sz w:val="20"/>
        </w:rPr>
        <w:tab/>
        <w:t>Solicitor for the respondent:  British Columbia Securities Commission, Vancouver.</w:t>
      </w:r>
    </w:p>
    <w:p w:rsidR="00F36B5F" w:rsidRDefault="00F36B5F" w:rsidP="00F36B5F">
      <w:pPr>
        <w:pStyle w:val="SCCLawFirm"/>
        <w:spacing w:line="240" w:lineRule="auto"/>
        <w:rPr>
          <w:sz w:val="20"/>
        </w:rPr>
      </w:pPr>
    </w:p>
    <w:p w:rsidR="00F36B5F" w:rsidRPr="0017391C" w:rsidRDefault="00F36B5F" w:rsidP="00F36B5F">
      <w:pPr>
        <w:pStyle w:val="SCCLawFirm"/>
        <w:spacing w:line="240" w:lineRule="auto"/>
        <w:rPr>
          <w:sz w:val="20"/>
        </w:rPr>
      </w:pPr>
      <w:r w:rsidRPr="0017391C">
        <w:rPr>
          <w:sz w:val="20"/>
        </w:rPr>
        <w:tab/>
        <w:t>Solicitors for the intervener the Financial Advisors Association of Canada:  Blaney McMurtry, Toronto.</w:t>
      </w:r>
    </w:p>
    <w:p w:rsidR="00F36B5F" w:rsidRDefault="00F36B5F" w:rsidP="00F36B5F">
      <w:pPr>
        <w:pStyle w:val="SCCLawFirm"/>
        <w:spacing w:line="240" w:lineRule="auto"/>
        <w:rPr>
          <w:sz w:val="20"/>
        </w:rPr>
      </w:pPr>
    </w:p>
    <w:p w:rsidR="00F36B5F" w:rsidRDefault="00F36B5F">
      <w:pPr>
        <w:rPr>
          <w:rFonts w:eastAsia="Times New Roman" w:cs="Times New Roman"/>
          <w:i/>
          <w:sz w:val="20"/>
          <w:szCs w:val="20"/>
          <w:lang w:eastAsia="en-CA"/>
        </w:rPr>
      </w:pPr>
      <w:r>
        <w:rPr>
          <w:sz w:val="20"/>
        </w:rPr>
        <w:br w:type="page"/>
      </w:r>
    </w:p>
    <w:p w:rsidR="00F36B5F" w:rsidRDefault="00F36B5F" w:rsidP="00F36B5F">
      <w:pPr>
        <w:pStyle w:val="SCCLawFirm"/>
        <w:spacing w:line="240" w:lineRule="auto"/>
        <w:rPr>
          <w:sz w:val="20"/>
        </w:rPr>
      </w:pPr>
      <w:r w:rsidRPr="0017391C">
        <w:rPr>
          <w:sz w:val="20"/>
        </w:rPr>
        <w:lastRenderedPageBreak/>
        <w:tab/>
        <w:t>Solicitor for the intervener the Ontario Securities Commission:  Ontario Securities Commission, Toronto.</w:t>
      </w: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Pr="003B3977" w:rsidRDefault="00DD0B49" w:rsidP="00DD0B49">
      <w:pPr>
        <w:rPr>
          <w:rFonts w:cs="Times New Roman"/>
          <w:sz w:val="20"/>
          <w:szCs w:val="20"/>
          <w:lang w:val="fr-CA"/>
        </w:rPr>
      </w:pPr>
    </w:p>
    <w:p w:rsidR="00F36B5F" w:rsidRPr="008E6602" w:rsidRDefault="00F36B5F" w:rsidP="00F36B5F">
      <w:pPr>
        <w:jc w:val="both"/>
        <w:rPr>
          <w:sz w:val="20"/>
          <w:szCs w:val="20"/>
          <w:lang w:val="fr-CA"/>
        </w:rPr>
      </w:pPr>
      <w:r w:rsidRPr="008E6602">
        <w:rPr>
          <w:sz w:val="20"/>
          <w:szCs w:val="20"/>
          <w:lang w:val="fr-CA"/>
        </w:rPr>
        <w:t>Présents : Les juges LeBel, Fish, Rothstein, Cromwell, Moldaver, Karakatsanis et Wagner.</w:t>
      </w:r>
    </w:p>
    <w:p w:rsidR="00F36B5F" w:rsidRDefault="00F36B5F" w:rsidP="00F36B5F">
      <w:pPr>
        <w:jc w:val="both"/>
        <w:rPr>
          <w:smallCaps/>
          <w:sz w:val="20"/>
          <w:lang w:val="fr-CA"/>
        </w:rPr>
      </w:pPr>
    </w:p>
    <w:p w:rsidR="00F36B5F" w:rsidRPr="008E6602" w:rsidRDefault="00F36B5F" w:rsidP="00F36B5F">
      <w:pPr>
        <w:pStyle w:val="SCCNormalDoubleSpacing"/>
        <w:spacing w:line="240" w:lineRule="auto"/>
        <w:rPr>
          <w:sz w:val="20"/>
          <w:lang w:val="fr-CA"/>
        </w:rPr>
      </w:pPr>
      <w:r w:rsidRPr="008E6602">
        <w:rPr>
          <w:sz w:val="20"/>
          <w:lang w:val="fr-CA"/>
        </w:rPr>
        <w:tab/>
      </w:r>
      <w:r w:rsidRPr="008E6602">
        <w:rPr>
          <w:i/>
          <w:sz w:val="20"/>
          <w:lang w:val="fr-CA"/>
        </w:rPr>
        <w:t>Droit administratif — Valeurs mobilières — Norme de contrôle — Prescription — Règlement intervenu entre l’appelante et la Commission des valeurs mobilières de l’Ontario relativement à de possibles irrégularités — Instance secondaire engagée par la Commission des valeurs mobilières de la C.</w:t>
      </w:r>
      <w:r w:rsidRPr="008E6602">
        <w:rPr>
          <w:i/>
          <w:sz w:val="20"/>
          <w:lang w:val="fr-CA"/>
        </w:rPr>
        <w:noBreakHyphen/>
        <w:t>B. sur le fondement de ce règlement — Loi sur les valeurs mobilières de la C.</w:t>
      </w:r>
      <w:r w:rsidRPr="008E6602">
        <w:rPr>
          <w:i/>
          <w:sz w:val="20"/>
          <w:lang w:val="fr-CA"/>
        </w:rPr>
        <w:noBreakHyphen/>
        <w:t>B. prévoyant un délai de prescription de six ans à compter de « l’événement » qui donne lieu à l’instance — L’« événement » à partir duquel commence à courir le délai de six ans correspond</w:t>
      </w:r>
      <w:r w:rsidRPr="008E6602">
        <w:rPr>
          <w:i/>
          <w:sz w:val="20"/>
          <w:lang w:val="fr-CA"/>
        </w:rPr>
        <w:noBreakHyphen/>
        <w:t>il à l’inconduite qui est à l’origine du règlement ou au règlement lui</w:t>
      </w:r>
      <w:r w:rsidRPr="008E6602">
        <w:rPr>
          <w:i/>
          <w:sz w:val="20"/>
          <w:lang w:val="fr-CA"/>
        </w:rPr>
        <w:noBreakHyphen/>
        <w:t>même? — La norme de contrôle applicable à la décision de la Commission est</w:t>
      </w:r>
      <w:r w:rsidRPr="008E6602">
        <w:rPr>
          <w:i/>
          <w:sz w:val="20"/>
          <w:lang w:val="fr-CA"/>
        </w:rPr>
        <w:noBreakHyphen/>
        <w:t>elle celle de la décision correcte ou celle de la décision raisonnable? — Au regard de la bonne norme de contrôle, quelque élément justifie</w:t>
      </w:r>
      <w:r w:rsidRPr="008E6602">
        <w:rPr>
          <w:i/>
          <w:sz w:val="20"/>
          <w:lang w:val="fr-CA"/>
        </w:rPr>
        <w:noBreakHyphen/>
        <w:t>t</w:t>
      </w:r>
      <w:r w:rsidRPr="008E6602">
        <w:rPr>
          <w:i/>
          <w:sz w:val="20"/>
          <w:lang w:val="fr-CA"/>
        </w:rPr>
        <w:noBreakHyphen/>
        <w:t>il que l’on réforme l’interprétation de la Commission? — Securities Act, R.S.B.C. 1996, ch. 418, art. 159, 161(6)d).</w:t>
      </w:r>
    </w:p>
    <w:p w:rsidR="00F36B5F" w:rsidRDefault="00F36B5F" w:rsidP="00F36B5F">
      <w:pPr>
        <w:pStyle w:val="SCCNormalDoubleSpacing"/>
        <w:spacing w:line="240" w:lineRule="auto"/>
        <w:rPr>
          <w:sz w:val="20"/>
          <w:lang w:val="fr-CA"/>
        </w:rPr>
      </w:pPr>
    </w:p>
    <w:p w:rsidR="00F36B5F" w:rsidRPr="008E6602" w:rsidRDefault="00F36B5F" w:rsidP="00F36B5F">
      <w:pPr>
        <w:pStyle w:val="SCCNormalDoubleSpacing"/>
        <w:spacing w:line="240" w:lineRule="auto"/>
        <w:rPr>
          <w:sz w:val="20"/>
          <w:lang w:val="fr-CA"/>
        </w:rPr>
      </w:pPr>
      <w:r w:rsidRPr="008E6602">
        <w:rPr>
          <w:sz w:val="20"/>
          <w:lang w:val="fr-CA"/>
        </w:rPr>
        <w:tab/>
        <w:t>Le 8 septembre 2008, M a convenu d’un règlement avec la Commission des valeurs mobilières de l’Ontario relativement à une inconduite survenue en Ontario au plus tard en 2001.  La Commission des valeurs mobilières de l’Ontario a rendu dans l’intérêt public une ordonnance interdisant à M, pendant cinq ans, toute opération sur valeurs mobilières et, pendant dix ans, l’exercice de toute fonction de dirigeante ou d’administratrice au sein de certaines entreprises inscrites en Ontario.  Le 14 janvier 2010, l’intimé a fait savoir à M qu’il demanderait à la Commission des valeurs mobilières de la C.</w:t>
      </w:r>
      <w:r w:rsidRPr="008E6602">
        <w:rPr>
          <w:sz w:val="20"/>
          <w:lang w:val="fr-CA"/>
        </w:rPr>
        <w:noBreakHyphen/>
        <w:t>B</w:t>
      </w:r>
      <w:r w:rsidRPr="008E6602">
        <w:rPr>
          <w:i/>
          <w:sz w:val="20"/>
          <w:lang w:val="fr-CA"/>
        </w:rPr>
        <w:t>.</w:t>
      </w:r>
      <w:r w:rsidRPr="008E6602">
        <w:rPr>
          <w:sz w:val="20"/>
          <w:lang w:val="fr-CA"/>
        </w:rPr>
        <w:t xml:space="preserve"> de rendre à son encontre une ordonnance d’intérêt public sur le fondement de l’al. 161(6)d) de la </w:t>
      </w:r>
      <w:r w:rsidRPr="008E6602">
        <w:rPr>
          <w:i/>
          <w:sz w:val="20"/>
          <w:lang w:val="fr-CA"/>
        </w:rPr>
        <w:t>Securities</w:t>
      </w:r>
      <w:r w:rsidRPr="008E6602">
        <w:rPr>
          <w:sz w:val="20"/>
          <w:lang w:val="fr-CA"/>
        </w:rPr>
        <w:t xml:space="preserve"> </w:t>
      </w:r>
      <w:r w:rsidRPr="008E6602">
        <w:rPr>
          <w:i/>
          <w:sz w:val="20"/>
          <w:lang w:val="fr-CA"/>
        </w:rPr>
        <w:t>Act</w:t>
      </w:r>
      <w:r w:rsidRPr="008E6602">
        <w:rPr>
          <w:sz w:val="20"/>
          <w:lang w:val="fr-CA"/>
        </w:rPr>
        <w:t xml:space="preserve">, R.S.B.C. 1996, ch. 418.  Cette disposition habilite la Commission à engager une instance dans l’intérêt public contre la personne qui consent par voie de règlement avec l’organisme de réglementation des valeurs mobilières d’un autre ressort à faire l’objet d’une mesure réglementaire.  L’article 159 de la </w:t>
      </w:r>
      <w:r w:rsidRPr="008E6602">
        <w:rPr>
          <w:i/>
          <w:sz w:val="20"/>
          <w:lang w:val="fr-CA"/>
        </w:rPr>
        <w:t>Securities</w:t>
      </w:r>
      <w:r w:rsidRPr="008E6602">
        <w:rPr>
          <w:sz w:val="20"/>
          <w:lang w:val="fr-CA"/>
        </w:rPr>
        <w:t xml:space="preserve"> </w:t>
      </w:r>
      <w:r w:rsidRPr="008E6602">
        <w:rPr>
          <w:i/>
          <w:sz w:val="20"/>
          <w:lang w:val="fr-CA"/>
        </w:rPr>
        <w:t>Act</w:t>
      </w:r>
      <w:r w:rsidRPr="008E6602">
        <w:rPr>
          <w:sz w:val="20"/>
          <w:lang w:val="fr-CA"/>
        </w:rPr>
        <w:t xml:space="preserve"> dispose qu’« est irrecevable [toute] instance engagée sous le régime de la [</w:t>
      </w:r>
      <w:r w:rsidRPr="008E6602">
        <w:rPr>
          <w:i/>
          <w:sz w:val="20"/>
          <w:lang w:val="fr-CA"/>
        </w:rPr>
        <w:t>Loi</w:t>
      </w:r>
      <w:r w:rsidRPr="008E6602">
        <w:rPr>
          <w:sz w:val="20"/>
          <w:lang w:val="fr-CA"/>
        </w:rPr>
        <w:t>] plus de 6 ans après l’événement qui y donne lieu ».  La Commission a rendu une ordonnance réciproque qui prévoyait les mêmes interdictions que l’ordonnance de la commission ontarienne.  Ce faisant, elle a implicitement interprété l’art. 159, quant à son application à l’al. 161(6)d), de telle sorte que « l’événement » à partir duquel court le délai de prescription de six ans s’entende du règlement avec M, non de son inconduite datant de 2001 ou d’avant.  La Cour d’appel a appliqué la norme de la décision correcte et confirmé la décision tacite de la Commission selon laquelle le règlement intervenu en Ontario constituait « l’événement » qui avait donné lieu à l’instance en Colombie</w:t>
      </w:r>
      <w:r w:rsidRPr="008E6602">
        <w:rPr>
          <w:sz w:val="20"/>
          <w:lang w:val="fr-CA"/>
        </w:rPr>
        <w:noBreakHyphen/>
        <w:t>Britannique sur le fondement de l’al. 161(6)d).</w:t>
      </w:r>
    </w:p>
    <w:p w:rsidR="00F36B5F" w:rsidRDefault="00F36B5F" w:rsidP="00F36B5F">
      <w:pPr>
        <w:pStyle w:val="SCCNormalDoubleSpacing"/>
        <w:spacing w:line="240" w:lineRule="auto"/>
        <w:rPr>
          <w:sz w:val="20"/>
          <w:lang w:val="fr-CA"/>
        </w:rPr>
      </w:pPr>
    </w:p>
    <w:p w:rsidR="00F36B5F" w:rsidRPr="008E6602" w:rsidRDefault="00F36B5F" w:rsidP="00F36B5F">
      <w:pPr>
        <w:pStyle w:val="SCCNormalDoubleSpacing"/>
        <w:spacing w:line="240" w:lineRule="auto"/>
        <w:rPr>
          <w:sz w:val="20"/>
          <w:lang w:val="fr-CA"/>
        </w:rPr>
      </w:pPr>
      <w:r w:rsidRPr="008E6602">
        <w:rPr>
          <w:sz w:val="20"/>
          <w:lang w:val="fr-CA"/>
        </w:rPr>
        <w:tab/>
      </w:r>
      <w:r w:rsidRPr="008E6602">
        <w:rPr>
          <w:i/>
          <w:sz w:val="20"/>
          <w:lang w:val="fr-CA"/>
        </w:rPr>
        <w:t>Arrêt :</w:t>
      </w:r>
      <w:r w:rsidRPr="008E6602">
        <w:rPr>
          <w:sz w:val="20"/>
          <w:lang w:val="fr-CA"/>
        </w:rPr>
        <w:t xml:space="preserve"> Le pourvoi est rejeté.</w:t>
      </w:r>
    </w:p>
    <w:p w:rsidR="00F36B5F" w:rsidRDefault="00F36B5F" w:rsidP="00F36B5F">
      <w:pPr>
        <w:pStyle w:val="SCCNormalDoubleSpacing"/>
        <w:spacing w:line="240" w:lineRule="auto"/>
        <w:rPr>
          <w:sz w:val="20"/>
          <w:lang w:val="fr-CA"/>
        </w:rPr>
      </w:pPr>
    </w:p>
    <w:p w:rsidR="00F36B5F" w:rsidRPr="008E6602" w:rsidRDefault="00F36B5F" w:rsidP="00F36B5F">
      <w:pPr>
        <w:pStyle w:val="SCCNormalDoubleSpacing"/>
        <w:spacing w:line="240" w:lineRule="auto"/>
        <w:rPr>
          <w:sz w:val="20"/>
          <w:lang w:val="fr-CA"/>
        </w:rPr>
      </w:pPr>
      <w:r w:rsidRPr="008E6602">
        <w:rPr>
          <w:sz w:val="20"/>
          <w:lang w:val="fr-CA"/>
        </w:rPr>
        <w:tab/>
      </w:r>
      <w:r w:rsidRPr="008E6602">
        <w:rPr>
          <w:i/>
          <w:sz w:val="20"/>
          <w:lang w:val="fr-CA"/>
        </w:rPr>
        <w:t>Les</w:t>
      </w:r>
      <w:r w:rsidRPr="008E6602">
        <w:rPr>
          <w:sz w:val="20"/>
          <w:lang w:val="fr-CA"/>
        </w:rPr>
        <w:t xml:space="preserve"> juges LeBel, Fish, Rothstein, Cromwell, </w:t>
      </w:r>
      <w:r w:rsidRPr="008E6602">
        <w:rPr>
          <w:b/>
          <w:sz w:val="20"/>
          <w:lang w:val="fr-CA"/>
        </w:rPr>
        <w:t>Moldaver</w:t>
      </w:r>
      <w:r w:rsidRPr="008E6602">
        <w:rPr>
          <w:sz w:val="20"/>
          <w:lang w:val="fr-CA"/>
        </w:rPr>
        <w:t xml:space="preserve"> et Wagner : La question en litige est celle de savoir si, pour l’application de l’al. 161(6)d), « l’événement » qui fait courir le délai de prescription de six ans prévu à l’art. 159 s’entend (i) de l’inconduite qui est à l’origine du règlement ou (ii) du règlement lui</w:t>
      </w:r>
      <w:r w:rsidRPr="008E6602">
        <w:rPr>
          <w:sz w:val="20"/>
          <w:lang w:val="fr-CA"/>
        </w:rPr>
        <w:noBreakHyphen/>
        <w:t xml:space="preserve">même.  Le sens ordinaire, le contexte et l’objet de l’art. 159 et du par. 161(6) de la </w:t>
      </w:r>
      <w:r w:rsidRPr="008E6602">
        <w:rPr>
          <w:i/>
          <w:sz w:val="20"/>
          <w:lang w:val="fr-CA"/>
        </w:rPr>
        <w:t>Securities</w:t>
      </w:r>
      <w:r w:rsidRPr="008E6602">
        <w:rPr>
          <w:sz w:val="20"/>
          <w:lang w:val="fr-CA"/>
        </w:rPr>
        <w:t xml:space="preserve"> </w:t>
      </w:r>
      <w:r w:rsidRPr="008E6602">
        <w:rPr>
          <w:i/>
          <w:sz w:val="20"/>
          <w:lang w:val="fr-CA"/>
        </w:rPr>
        <w:t>Act</w:t>
      </w:r>
      <w:r w:rsidRPr="008E6602">
        <w:rPr>
          <w:sz w:val="20"/>
          <w:lang w:val="fr-CA"/>
        </w:rPr>
        <w:t xml:space="preserve"> appuient raisonnablement la conclusion de la Commission selon laquelle l’événement qui donne lieu à une instance fondée sur l’al. 161(6)d) s’entend du fait de convenir avec un organisme de réglementation des valeurs mobilières de faire l’objet d’une mesure réglementaire.  La bonne norme de contrôle est celle de la raisonnabilité.  Les deux parties défendent des interprétations raisonnables de l’art. 159 de la </w:t>
      </w:r>
      <w:r w:rsidRPr="008E6602">
        <w:rPr>
          <w:i/>
          <w:sz w:val="20"/>
          <w:lang w:val="fr-CA"/>
        </w:rPr>
        <w:t>Securities</w:t>
      </w:r>
      <w:r w:rsidRPr="008E6602">
        <w:rPr>
          <w:sz w:val="20"/>
          <w:lang w:val="fr-CA"/>
        </w:rPr>
        <w:t xml:space="preserve"> </w:t>
      </w:r>
      <w:r w:rsidRPr="008E6602">
        <w:rPr>
          <w:i/>
          <w:sz w:val="20"/>
          <w:lang w:val="fr-CA"/>
        </w:rPr>
        <w:t>Act</w:t>
      </w:r>
      <w:r w:rsidRPr="008E6602">
        <w:rPr>
          <w:sz w:val="20"/>
          <w:lang w:val="fr-CA"/>
        </w:rPr>
        <w:t xml:space="preserve"> quant à son application à l’al. 161(6)d).  Or, suivant la norme de la raisonnabilité, il faut déférer à toute interprétation raisonnable du décideur administratif, même lorsque d’autres interprétations raisonnables sont possibles.  Le caractère déraisonnable de l’interprétation de la Commission n’ayant pas été démontré, rien ne permet d’intervenir dans le cadre d’un contrôle judiciaire.</w:t>
      </w:r>
    </w:p>
    <w:p w:rsidR="00F36B5F" w:rsidRDefault="00F36B5F" w:rsidP="00F36B5F">
      <w:pPr>
        <w:pStyle w:val="SCCNormalDoubleSpacing"/>
        <w:spacing w:line="240" w:lineRule="auto"/>
        <w:rPr>
          <w:sz w:val="20"/>
          <w:lang w:val="fr-CA"/>
        </w:rPr>
      </w:pPr>
    </w:p>
    <w:p w:rsidR="00F36B5F" w:rsidRPr="008E6602" w:rsidRDefault="00F36B5F" w:rsidP="00F36B5F">
      <w:pPr>
        <w:pStyle w:val="SCCNormalDoubleSpacing"/>
        <w:spacing w:line="240" w:lineRule="auto"/>
        <w:rPr>
          <w:sz w:val="20"/>
          <w:lang w:val="fr-CA"/>
        </w:rPr>
      </w:pPr>
      <w:r w:rsidRPr="008E6602">
        <w:rPr>
          <w:sz w:val="20"/>
          <w:lang w:val="fr-CA"/>
        </w:rPr>
        <w:tab/>
        <w:t xml:space="preserve">La Cour d’appel a eu tort d’appliquer la norme de la décision correcte. Le tribunal administratif qui interprète sa propre loi constitutive ou une loi étroitement liée à son mandat est présumé avoir droit à la déférence judiciaire, une présomption qui n’est pas réfutée en l’espèce.  La question en litige n’appartient pas non plus à une catégorie exceptionnelle qui justifie l’application de la norme de la décision correcte.  Même si les délais de prescription revêtent généralement une importance capitale aux fins d’une saine administration de la justice, il s’agit en l’espèce d’interpréter la loi dans un contexte particulier qui relève du domaine d’expertise de la Commission.  Le risque que les autres commissions des valeurs mobilières interprètent différemment leurs dispositions apparentées sur la prescription tient à notre Constitution de type fédéral et ne saurait justifier l’application de la norme de la décision correcte.  Enfin, et </w:t>
      </w:r>
      <w:r w:rsidRPr="008E6602">
        <w:rPr>
          <w:sz w:val="20"/>
          <w:lang w:val="fr-CA"/>
        </w:rPr>
        <w:lastRenderedPageBreak/>
        <w:t>surtout, l’approche moderne en matière de contrôle judiciaire reconnaît qu’une cour de justice n’est peut</w:t>
      </w:r>
      <w:r w:rsidRPr="008E6602">
        <w:rPr>
          <w:sz w:val="20"/>
          <w:lang w:val="fr-CA"/>
        </w:rPr>
        <w:noBreakHyphen/>
        <w:t xml:space="preserve">être pas aussi qualifiée qu’un tribunal administratif pour interpréter la loi constitutive de ce dernier.  En particulier, mieux vaut généralement laisser au tribunal administratif le soin de clarifier le texte ambigu de sa loi constitutive, car il est présumé être le plus à même de soupeser les considérations de politique générale qui président souvent au choix entre les différentes interprétations raisonnables possibles. </w:t>
      </w:r>
    </w:p>
    <w:p w:rsidR="00F36B5F" w:rsidRDefault="00F36B5F" w:rsidP="00F36B5F">
      <w:pPr>
        <w:pStyle w:val="SCCNormalDoubleSpacing"/>
        <w:spacing w:line="240" w:lineRule="auto"/>
        <w:rPr>
          <w:sz w:val="20"/>
          <w:lang w:val="fr-CA"/>
        </w:rPr>
      </w:pPr>
    </w:p>
    <w:p w:rsidR="00F36B5F" w:rsidRPr="008E6602" w:rsidRDefault="00F36B5F" w:rsidP="00F36B5F">
      <w:pPr>
        <w:pStyle w:val="SCCNormalDoubleSpacing"/>
        <w:spacing w:line="240" w:lineRule="auto"/>
        <w:rPr>
          <w:sz w:val="20"/>
          <w:lang w:val="fr-CA"/>
        </w:rPr>
      </w:pPr>
      <w:r w:rsidRPr="008E6602">
        <w:rPr>
          <w:sz w:val="20"/>
          <w:lang w:val="fr-CA"/>
        </w:rPr>
        <w:tab/>
        <w:t xml:space="preserve">En l’espèce, la Commission interprète raisonnablement le délai de prescription.  À l’article 159, suivant le sens ordinaire du terme, « l’événement » qui donne lieu à l’instance fondée sur l’al. 161(6)d) s’entend du fait de convenir avec un organisme de réglementation des valeurs mobilières de faire l’objet d’une mesure réglementaire.  Bien que l’art. 159 ait existé avant l’adjonction du par. 161(6) et que, jusqu’alors, on ait considéré que le délai commençait à courir à compter de l’inconduite reprochée, cette évolution législative n’est pas déterminante.  Le terme « l’événement » a manifestement un sens étendu et vise une foule de contextes.  Pour les besoins de l’al. 161(6)d), il s’entend du </w:t>
      </w:r>
      <w:r w:rsidRPr="008E6602">
        <w:rPr>
          <w:rFonts w:eastAsiaTheme="minorHAnsi"/>
          <w:sz w:val="20"/>
          <w:lang w:val="fr-CA"/>
        </w:rPr>
        <w:t xml:space="preserve">moment où la personne « a convenu avec un organisme de réglementation des valeurs mobilières » de faire l’objet de certaines mesures.  Enfin, </w:t>
      </w:r>
      <w:r w:rsidRPr="008E6602">
        <w:rPr>
          <w:sz w:val="20"/>
          <w:lang w:val="fr-CA"/>
        </w:rPr>
        <w:t>permettre aux ressorts secondaires d’attendre le dénouement de l’instance principale rend inutiles les instances parallèles et répétitives qui auraient pour effet de surcharger les commissions des valeurs mobilières et d’infliger un fardeau excessif aux personnes visées.  L’interprétation de la Commission va donc dans le sens de l’objectif législatif qui consiste à accroître la coopération entre les ressorts.</w:t>
      </w:r>
    </w:p>
    <w:p w:rsidR="00F36B5F" w:rsidRDefault="00F36B5F" w:rsidP="00F36B5F">
      <w:pPr>
        <w:pStyle w:val="SCCNormalDoubleSpacing"/>
        <w:spacing w:line="240" w:lineRule="auto"/>
        <w:rPr>
          <w:sz w:val="20"/>
          <w:lang w:val="fr-CA"/>
        </w:rPr>
      </w:pPr>
    </w:p>
    <w:p w:rsidR="00F36B5F" w:rsidRPr="008E6602" w:rsidRDefault="00F36B5F" w:rsidP="00F36B5F">
      <w:pPr>
        <w:pStyle w:val="SCCNormalDoubleSpacing"/>
        <w:spacing w:line="240" w:lineRule="auto"/>
        <w:rPr>
          <w:sz w:val="20"/>
          <w:lang w:val="fr-CA"/>
        </w:rPr>
      </w:pPr>
      <w:r w:rsidRPr="008E6602">
        <w:rPr>
          <w:sz w:val="20"/>
          <w:lang w:val="fr-CA"/>
        </w:rPr>
        <w:tab/>
        <w:t xml:space="preserve">Même si l’interprétation que défend la Commission prolonge sensiblement la période pendant laquelle une personne s’expose à une mesure réglementaire, il n’en résulte pas en soi d’atteinte à l’objectif d’un délai de prescription, lequel procède toujours de décisions de principe qui visent à établir un équilibre entre les intérêts des parties.  L’interprétation de la Commission établit un équilibre raisonnable entre l’accroissement de la coopération des ressorts et les objectifs d’un délai de prescription. </w:t>
      </w:r>
    </w:p>
    <w:p w:rsidR="00F36B5F" w:rsidRDefault="00F36B5F" w:rsidP="00F36B5F">
      <w:pPr>
        <w:pStyle w:val="SCCNormalDoubleSpacing"/>
        <w:spacing w:line="240" w:lineRule="auto"/>
        <w:rPr>
          <w:b/>
          <w:i/>
          <w:sz w:val="20"/>
          <w:lang w:val="fr-CA"/>
        </w:rPr>
      </w:pPr>
    </w:p>
    <w:p w:rsidR="00F36B5F" w:rsidRDefault="00F36B5F" w:rsidP="00F36B5F">
      <w:pPr>
        <w:pStyle w:val="SCCNormalDoubleSpacing"/>
        <w:spacing w:line="240" w:lineRule="auto"/>
        <w:rPr>
          <w:sz w:val="20"/>
          <w:lang w:val="fr-CA"/>
        </w:rPr>
      </w:pPr>
      <w:r w:rsidRPr="008E6602">
        <w:rPr>
          <w:b/>
          <w:i/>
          <w:sz w:val="20"/>
          <w:lang w:val="fr-CA"/>
        </w:rPr>
        <w:tab/>
        <w:t>La</w:t>
      </w:r>
      <w:r w:rsidRPr="008E6602">
        <w:rPr>
          <w:b/>
          <w:sz w:val="20"/>
          <w:lang w:val="fr-CA"/>
        </w:rPr>
        <w:t xml:space="preserve"> juge Karakatsanis</w:t>
      </w:r>
      <w:r w:rsidRPr="008E6602">
        <w:rPr>
          <w:sz w:val="20"/>
          <w:lang w:val="fr-CA"/>
        </w:rPr>
        <w:t> : La Commission interprète raisonnablement l’art. 159 lorsqu’elle conclut qu’une instance secondaire fondée sur le par. 161(6) doit être engagée au plus tard six ans après que la personne en cause s’est vu infliger une sanction dans un autre ressort.  Cependant, l’interprétation contraire — à savoir que le délai de prescription court à compter de l’inconduite reprochée — n’est pas raisonnable.  Il en résulterait en effet un dédoublement des instances lorsque, comme dans la présente affaire, l’enquête dans l’autre ressort ne prend pas fin dans les six ans de l’inconduite.  Pareille interprétation va à l’encontre de l’objectif législatif de faciliter la coopération entre les ressorts et de la démarche téléologique.  Il n’était donc pas loisible à la Commission d’interpréter le délai de prescription de la manière que préconise l’appelante.</w:t>
      </w:r>
    </w:p>
    <w:p w:rsidR="00F36B5F" w:rsidRDefault="00F36B5F" w:rsidP="00F36B5F">
      <w:pPr>
        <w:pStyle w:val="SCCNormalDoubleSpacing"/>
        <w:spacing w:line="240" w:lineRule="auto"/>
        <w:rPr>
          <w:sz w:val="20"/>
          <w:lang w:val="fr-CA"/>
        </w:rPr>
      </w:pPr>
    </w:p>
    <w:p w:rsidR="00F36B5F" w:rsidRPr="008E6602" w:rsidRDefault="00F36B5F" w:rsidP="00F36B5F">
      <w:pPr>
        <w:pStyle w:val="SCCNormalDoubleSpacing"/>
        <w:spacing w:line="240" w:lineRule="auto"/>
        <w:rPr>
          <w:sz w:val="20"/>
          <w:lang w:val="fr-CA"/>
        </w:rPr>
      </w:pPr>
      <w:r w:rsidRPr="00F36B5F">
        <w:rPr>
          <w:sz w:val="20"/>
          <w:lang w:val="fr-CA"/>
        </w:rPr>
        <w:tab/>
      </w:r>
      <w:r w:rsidRPr="008E6602">
        <w:rPr>
          <w:sz w:val="20"/>
          <w:lang w:val="fr-CA"/>
        </w:rPr>
        <w:t>POURVOI contre un arrêt de la Cour d’appel de la Colombie</w:t>
      </w:r>
      <w:r w:rsidRPr="008E6602">
        <w:rPr>
          <w:sz w:val="20"/>
          <w:lang w:val="fr-CA"/>
        </w:rPr>
        <w:noBreakHyphen/>
        <w:t>Britannique (les juges Saunders, Chiasson et Neilson), 2011 BCCA 455, 312 B.C.A.C. 288, 531 W.A.C. 288, 343 D.L.R. (4th) 432, [2011] B.C.J. No. 2124 (QL), 2011 CarswellBC 2929, qui a accueilli l’appel d’une décision de la British Columbia Securities Commission, 2010 BCSECCOM 262, 2010 LNBCSC 222 (QL).  Pourvoi rejeté.</w:t>
      </w:r>
    </w:p>
    <w:p w:rsidR="00F36B5F" w:rsidRDefault="00F36B5F" w:rsidP="00F36B5F">
      <w:pPr>
        <w:pStyle w:val="SCCNormalDoubleSpacing"/>
        <w:spacing w:line="240" w:lineRule="auto"/>
        <w:rPr>
          <w:i/>
          <w:sz w:val="20"/>
          <w:lang w:val="fr-CA"/>
        </w:rPr>
      </w:pPr>
    </w:p>
    <w:p w:rsidR="00F36B5F" w:rsidRPr="008E6602" w:rsidRDefault="00F36B5F" w:rsidP="00F36B5F">
      <w:pPr>
        <w:pStyle w:val="SCCNormalDoubleSpacing"/>
        <w:spacing w:line="240" w:lineRule="auto"/>
        <w:rPr>
          <w:sz w:val="20"/>
          <w:lang w:val="fr-CA"/>
        </w:rPr>
      </w:pPr>
      <w:r w:rsidRPr="008E6602">
        <w:rPr>
          <w:i/>
          <w:sz w:val="20"/>
          <w:lang w:val="fr-CA"/>
        </w:rPr>
        <w:tab/>
        <w:t>Christopher H. Wirth</w:t>
      </w:r>
      <w:r w:rsidRPr="008E6602">
        <w:rPr>
          <w:sz w:val="20"/>
          <w:lang w:val="fr-CA"/>
        </w:rPr>
        <w:t xml:space="preserve"> et </w:t>
      </w:r>
      <w:r w:rsidRPr="008E6602">
        <w:rPr>
          <w:i/>
          <w:sz w:val="20"/>
          <w:lang w:val="fr-CA"/>
        </w:rPr>
        <w:t>Fredrick Schumann</w:t>
      </w:r>
      <w:r w:rsidRPr="008E6602">
        <w:rPr>
          <w:sz w:val="20"/>
          <w:lang w:val="fr-CA"/>
        </w:rPr>
        <w:t>, pour l’appelante.</w:t>
      </w:r>
    </w:p>
    <w:p w:rsidR="00F36B5F" w:rsidRDefault="00F36B5F" w:rsidP="00F36B5F">
      <w:pPr>
        <w:pStyle w:val="SCCNormalDoubleSpacing"/>
        <w:spacing w:line="240" w:lineRule="auto"/>
        <w:rPr>
          <w:i/>
          <w:sz w:val="20"/>
          <w:lang w:val="fr-CA"/>
        </w:rPr>
      </w:pPr>
    </w:p>
    <w:p w:rsidR="00F36B5F" w:rsidRPr="008E6602" w:rsidRDefault="00F36B5F" w:rsidP="00F36B5F">
      <w:pPr>
        <w:pStyle w:val="SCCNormalDoubleSpacing"/>
        <w:spacing w:line="240" w:lineRule="auto"/>
        <w:rPr>
          <w:sz w:val="20"/>
          <w:lang w:val="fr-CA"/>
        </w:rPr>
      </w:pPr>
      <w:r w:rsidRPr="008E6602">
        <w:rPr>
          <w:i/>
          <w:sz w:val="20"/>
          <w:lang w:val="fr-CA"/>
        </w:rPr>
        <w:tab/>
        <w:t>Stephen M. Zolnay</w:t>
      </w:r>
      <w:r w:rsidRPr="008E6602">
        <w:rPr>
          <w:sz w:val="20"/>
          <w:lang w:val="fr-CA"/>
        </w:rPr>
        <w:t>, pour l’intimé.</w:t>
      </w:r>
    </w:p>
    <w:p w:rsidR="00F36B5F" w:rsidRDefault="00F36B5F" w:rsidP="00F36B5F">
      <w:pPr>
        <w:pStyle w:val="SCCNormalDoubleSpacing"/>
        <w:spacing w:line="240" w:lineRule="auto"/>
        <w:rPr>
          <w:i/>
          <w:sz w:val="20"/>
          <w:lang w:val="fr-CA"/>
        </w:rPr>
      </w:pPr>
    </w:p>
    <w:p w:rsidR="00F36B5F" w:rsidRPr="008E6602" w:rsidRDefault="00F36B5F" w:rsidP="00F36B5F">
      <w:pPr>
        <w:pStyle w:val="SCCNormalDoubleSpacing"/>
        <w:spacing w:line="240" w:lineRule="auto"/>
        <w:rPr>
          <w:sz w:val="20"/>
          <w:lang w:val="fr-CA"/>
        </w:rPr>
      </w:pPr>
      <w:r w:rsidRPr="008E6602">
        <w:rPr>
          <w:i/>
          <w:sz w:val="20"/>
          <w:lang w:val="fr-CA"/>
        </w:rPr>
        <w:tab/>
        <w:t>Lou Brzezinski</w:t>
      </w:r>
      <w:r w:rsidRPr="008E6602">
        <w:rPr>
          <w:sz w:val="20"/>
          <w:lang w:val="fr-CA"/>
        </w:rPr>
        <w:t xml:space="preserve"> et </w:t>
      </w:r>
      <w:r w:rsidRPr="008E6602">
        <w:rPr>
          <w:i/>
          <w:sz w:val="20"/>
          <w:lang w:val="fr-CA"/>
        </w:rPr>
        <w:t>John Polyzogopoulos</w:t>
      </w:r>
      <w:r w:rsidRPr="008E6602">
        <w:rPr>
          <w:sz w:val="20"/>
          <w:lang w:val="fr-CA"/>
        </w:rPr>
        <w:t>, pour l’intervenante l’Association des conseillers en finances du Canada.</w:t>
      </w:r>
    </w:p>
    <w:p w:rsidR="00F36B5F" w:rsidRDefault="00F36B5F" w:rsidP="00F36B5F">
      <w:pPr>
        <w:pStyle w:val="SCCNormalDoubleSpacing"/>
        <w:spacing w:line="240" w:lineRule="auto"/>
        <w:rPr>
          <w:i/>
          <w:sz w:val="20"/>
          <w:lang w:val="fr-CA"/>
        </w:rPr>
      </w:pPr>
    </w:p>
    <w:p w:rsidR="00F36B5F" w:rsidRPr="008E6602" w:rsidRDefault="00F36B5F" w:rsidP="00F36B5F">
      <w:pPr>
        <w:pStyle w:val="SCCNormalDoubleSpacing"/>
        <w:spacing w:line="240" w:lineRule="auto"/>
        <w:rPr>
          <w:sz w:val="20"/>
          <w:lang w:val="fr-CA"/>
        </w:rPr>
      </w:pPr>
      <w:r w:rsidRPr="008E6602">
        <w:rPr>
          <w:i/>
          <w:sz w:val="20"/>
          <w:lang w:val="fr-CA"/>
        </w:rPr>
        <w:tab/>
        <w:t>Johanna M. Superina</w:t>
      </w:r>
      <w:r w:rsidRPr="008E6602">
        <w:rPr>
          <w:sz w:val="20"/>
          <w:lang w:val="fr-CA"/>
        </w:rPr>
        <w:t xml:space="preserve"> et </w:t>
      </w:r>
      <w:r w:rsidRPr="008E6602">
        <w:rPr>
          <w:i/>
          <w:sz w:val="20"/>
          <w:lang w:val="fr-CA"/>
        </w:rPr>
        <w:t>Usman M. Sheikh</w:t>
      </w:r>
      <w:r w:rsidRPr="008E6602">
        <w:rPr>
          <w:sz w:val="20"/>
          <w:lang w:val="fr-CA"/>
        </w:rPr>
        <w:t>, pour l’intervenante la Commission des valeurs mobilières de l’Ontario.</w:t>
      </w:r>
    </w:p>
    <w:p w:rsidR="00F36B5F" w:rsidRDefault="00F36B5F" w:rsidP="00F36B5F">
      <w:pPr>
        <w:pStyle w:val="SCCLawFirm"/>
        <w:spacing w:line="240" w:lineRule="auto"/>
        <w:rPr>
          <w:sz w:val="20"/>
          <w:lang w:val="fr-CA"/>
        </w:rPr>
      </w:pPr>
    </w:p>
    <w:p w:rsidR="00F36B5F" w:rsidRPr="008E6602" w:rsidRDefault="00F36B5F" w:rsidP="00F36B5F">
      <w:pPr>
        <w:pStyle w:val="SCCLawFirm"/>
        <w:spacing w:line="240" w:lineRule="auto"/>
        <w:rPr>
          <w:sz w:val="20"/>
          <w:lang w:val="fr-CA"/>
        </w:rPr>
      </w:pPr>
      <w:r w:rsidRPr="008E6602">
        <w:rPr>
          <w:sz w:val="20"/>
          <w:lang w:val="fr-CA"/>
        </w:rPr>
        <w:tab/>
        <w:t>Procureurs de l’appelante : Stockwoods, Toronto.</w:t>
      </w:r>
    </w:p>
    <w:p w:rsidR="00F36B5F" w:rsidRDefault="00F36B5F" w:rsidP="00F36B5F">
      <w:pPr>
        <w:pStyle w:val="SCCLawFirm"/>
        <w:spacing w:line="240" w:lineRule="auto"/>
        <w:rPr>
          <w:sz w:val="20"/>
          <w:lang w:val="fr-CA"/>
        </w:rPr>
      </w:pPr>
    </w:p>
    <w:p w:rsidR="00F36B5F" w:rsidRPr="008E6602" w:rsidRDefault="00F36B5F" w:rsidP="00F36B5F">
      <w:pPr>
        <w:pStyle w:val="SCCLawFirm"/>
        <w:spacing w:line="240" w:lineRule="auto"/>
        <w:rPr>
          <w:sz w:val="20"/>
          <w:lang w:val="fr-CA"/>
        </w:rPr>
      </w:pPr>
      <w:r w:rsidRPr="008E6602">
        <w:rPr>
          <w:sz w:val="20"/>
          <w:lang w:val="fr-CA"/>
        </w:rPr>
        <w:tab/>
        <w:t>Procureur de l’intimé : British Columbia Securities Commission, Vancouver.</w:t>
      </w:r>
    </w:p>
    <w:p w:rsidR="00F36B5F" w:rsidRDefault="00F36B5F" w:rsidP="00F36B5F">
      <w:pPr>
        <w:pStyle w:val="SCCLawFirm"/>
        <w:spacing w:line="240" w:lineRule="auto"/>
        <w:rPr>
          <w:sz w:val="20"/>
          <w:lang w:val="fr-CA"/>
        </w:rPr>
      </w:pPr>
    </w:p>
    <w:p w:rsidR="00F36B5F" w:rsidRDefault="00F36B5F">
      <w:pPr>
        <w:rPr>
          <w:rFonts w:eastAsia="Times New Roman" w:cs="Times New Roman"/>
          <w:i/>
          <w:sz w:val="20"/>
          <w:szCs w:val="20"/>
          <w:lang w:val="fr-CA" w:eastAsia="en-CA"/>
        </w:rPr>
      </w:pPr>
      <w:r>
        <w:rPr>
          <w:sz w:val="20"/>
          <w:lang w:val="fr-CA"/>
        </w:rPr>
        <w:br w:type="page"/>
      </w:r>
    </w:p>
    <w:p w:rsidR="00F36B5F" w:rsidRPr="008E6602" w:rsidRDefault="00F36B5F" w:rsidP="00F36B5F">
      <w:pPr>
        <w:pStyle w:val="SCCLawFirm"/>
        <w:spacing w:line="240" w:lineRule="auto"/>
        <w:rPr>
          <w:sz w:val="20"/>
          <w:lang w:val="fr-CA"/>
        </w:rPr>
      </w:pPr>
      <w:r w:rsidRPr="008E6602">
        <w:rPr>
          <w:sz w:val="20"/>
          <w:lang w:val="fr-CA"/>
        </w:rPr>
        <w:lastRenderedPageBreak/>
        <w:tab/>
        <w:t>Procureurs de l’intervenante l’Association des conseillers en finances du Canada : Blaney McMurtry, Toronto.</w:t>
      </w:r>
    </w:p>
    <w:p w:rsidR="00F36B5F" w:rsidRDefault="00F36B5F" w:rsidP="00F36B5F">
      <w:pPr>
        <w:pStyle w:val="SCCLawFirm"/>
        <w:spacing w:line="240" w:lineRule="auto"/>
        <w:rPr>
          <w:sz w:val="20"/>
          <w:lang w:val="fr-CA"/>
        </w:rPr>
      </w:pPr>
    </w:p>
    <w:p w:rsidR="00F36B5F" w:rsidRDefault="00F36B5F" w:rsidP="00F36B5F">
      <w:pPr>
        <w:pStyle w:val="SCCLawFirm"/>
        <w:spacing w:line="240" w:lineRule="auto"/>
        <w:rPr>
          <w:sz w:val="20"/>
          <w:lang w:val="fr-CA"/>
        </w:rPr>
      </w:pPr>
      <w:r w:rsidRPr="008E6602">
        <w:rPr>
          <w:sz w:val="20"/>
          <w:lang w:val="fr-CA"/>
        </w:rPr>
        <w:tab/>
        <w:t>Procureur de l’intervenante la Commission des valeurs mobilières de l’Ontario : Commission des valeurs mobilières de l’Ontario, Toronto.</w:t>
      </w:r>
    </w:p>
    <w:p w:rsidR="003B3977" w:rsidRDefault="003B3977" w:rsidP="005C6840">
      <w:pPr>
        <w:rPr>
          <w:rFonts w:cs="Times New Roman"/>
          <w:sz w:val="20"/>
          <w:szCs w:val="20"/>
          <w:lang w:val="fr-CA"/>
        </w:rPr>
      </w:pPr>
    </w:p>
    <w:p w:rsidR="005C6840" w:rsidRDefault="00E7787D" w:rsidP="005C6840">
      <w:pPr>
        <w:rPr>
          <w:lang w:val="fr-CA"/>
        </w:rPr>
      </w:pPr>
      <w:r>
        <w:rPr>
          <w:rFonts w:cs="Times New Roman"/>
          <w:sz w:val="20"/>
          <w:szCs w:val="20"/>
          <w:lang w:val="fr-CA"/>
        </w:rPr>
        <w:pict>
          <v:rect id="_x0000_i1070" style="width:144.3pt;height:1pt" o:hrpct="300" o:hralign="center" o:hrstd="t" o:hrnoshade="t" o:hr="t" fillcolor="black [3213]" stroked="f"/>
        </w:pict>
      </w:r>
      <w:r w:rsidR="005C6840">
        <w:rPr>
          <w:lang w:val="fr-CA"/>
        </w:rPr>
        <w:br w:type="page"/>
      </w:r>
    </w:p>
    <w:p w:rsidR="00871C1F" w:rsidRPr="0041369F" w:rsidRDefault="00871C1F" w:rsidP="00871C1F">
      <w:pPr>
        <w:ind w:left="720" w:hanging="720"/>
        <w:rPr>
          <w:sz w:val="20"/>
          <w:szCs w:val="20"/>
          <w:lang w:val="fr-CA"/>
        </w:rPr>
      </w:pPr>
      <w:r w:rsidRPr="0041369F">
        <w:rPr>
          <w:i/>
          <w:sz w:val="20"/>
          <w:szCs w:val="20"/>
          <w:lang w:val="fr-CA"/>
        </w:rPr>
        <w:lastRenderedPageBreak/>
        <w:t>Sa Majesté la Reine c. Stéphane McRae</w:t>
      </w:r>
      <w:r w:rsidRPr="0041369F">
        <w:rPr>
          <w:sz w:val="20"/>
          <w:szCs w:val="20"/>
          <w:lang w:val="fr-CA"/>
        </w:rPr>
        <w:t xml:space="preserve"> (Qc) (</w:t>
      </w:r>
      <w:hyperlink r:id="rId70" w:history="1">
        <w:r w:rsidRPr="0041369F">
          <w:rPr>
            <w:rStyle w:val="Hyperlink"/>
            <w:sz w:val="20"/>
            <w:szCs w:val="20"/>
            <w:lang w:val="fr-CA"/>
          </w:rPr>
          <w:t>34743</w:t>
        </w:r>
      </w:hyperlink>
      <w:r w:rsidRPr="0041369F">
        <w:rPr>
          <w:sz w:val="20"/>
          <w:szCs w:val="20"/>
          <w:lang w:val="fr-CA"/>
        </w:rPr>
        <w:t>)</w:t>
      </w:r>
    </w:p>
    <w:p w:rsidR="00734D85" w:rsidRPr="00734D85" w:rsidRDefault="00734D85" w:rsidP="00734D85">
      <w:pPr>
        <w:jc w:val="both"/>
        <w:rPr>
          <w:b/>
          <w:sz w:val="20"/>
          <w:szCs w:val="20"/>
        </w:rPr>
      </w:pPr>
      <w:r w:rsidRPr="00B920D2">
        <w:rPr>
          <w:b/>
          <w:sz w:val="20"/>
          <w:szCs w:val="20"/>
        </w:rPr>
        <w:t xml:space="preserve">Indexed as:  </w:t>
      </w:r>
      <w:r w:rsidRPr="00734D85">
        <w:rPr>
          <w:rStyle w:val="SCCAppellantForIndexChar"/>
          <w:rFonts w:eastAsiaTheme="minorHAnsi"/>
          <w:sz w:val="20"/>
          <w:lang w:val="en-CA"/>
        </w:rPr>
        <w:t>R.</w:t>
      </w:r>
      <w:r w:rsidRPr="00B920D2">
        <w:rPr>
          <w:b/>
          <w:sz w:val="20"/>
          <w:szCs w:val="20"/>
        </w:rPr>
        <w:t xml:space="preserve"> </w:t>
      </w:r>
      <w:r w:rsidRPr="00B920D2">
        <w:rPr>
          <w:b/>
          <w:i/>
          <w:sz w:val="20"/>
          <w:szCs w:val="20"/>
        </w:rPr>
        <w:t>v.</w:t>
      </w:r>
      <w:r w:rsidRPr="00B920D2">
        <w:rPr>
          <w:b/>
          <w:sz w:val="20"/>
          <w:szCs w:val="20"/>
        </w:rPr>
        <w:t xml:space="preserve"> </w:t>
      </w:r>
      <w:r w:rsidRPr="00B920D2">
        <w:rPr>
          <w:rStyle w:val="SCCRespondentForIndexChar"/>
          <w:rFonts w:eastAsiaTheme="minorHAnsi"/>
          <w:sz w:val="20"/>
        </w:rPr>
        <w:t>McRae</w:t>
      </w:r>
      <w:r>
        <w:rPr>
          <w:rStyle w:val="SCCRespondentForIndexChar"/>
          <w:rFonts w:eastAsiaTheme="minorHAnsi"/>
          <w:sz w:val="20"/>
        </w:rPr>
        <w:t xml:space="preserve"> / </w:t>
      </w:r>
      <w:r w:rsidRPr="00734D85">
        <w:rPr>
          <w:b/>
          <w:sz w:val="20"/>
          <w:szCs w:val="20"/>
        </w:rPr>
        <w:t>Répertorié : </w:t>
      </w:r>
      <w:r w:rsidRPr="00734D85">
        <w:rPr>
          <w:rStyle w:val="SCCAppellantForIndexChar"/>
          <w:rFonts w:eastAsiaTheme="minorHAnsi"/>
          <w:sz w:val="20"/>
          <w:lang w:val="en-CA"/>
        </w:rPr>
        <w:t>R.</w:t>
      </w:r>
      <w:r w:rsidRPr="00734D85">
        <w:rPr>
          <w:b/>
          <w:sz w:val="20"/>
          <w:szCs w:val="20"/>
        </w:rPr>
        <w:t xml:space="preserve"> </w:t>
      </w:r>
      <w:r w:rsidRPr="00734D85">
        <w:rPr>
          <w:b/>
          <w:i/>
          <w:sz w:val="20"/>
          <w:szCs w:val="20"/>
        </w:rPr>
        <w:t>c.</w:t>
      </w:r>
      <w:r w:rsidRPr="00734D85">
        <w:rPr>
          <w:b/>
          <w:sz w:val="20"/>
          <w:szCs w:val="20"/>
        </w:rPr>
        <w:t xml:space="preserve"> </w:t>
      </w:r>
      <w:r w:rsidRPr="00734D85">
        <w:rPr>
          <w:rStyle w:val="SCCRespondentForIndexChar"/>
          <w:rFonts w:eastAsiaTheme="minorHAnsi"/>
          <w:sz w:val="20"/>
        </w:rPr>
        <w:t>McRae</w:t>
      </w:r>
    </w:p>
    <w:p w:rsidR="00902E51" w:rsidRPr="00352A49" w:rsidRDefault="00902E51" w:rsidP="00902E51">
      <w:pPr>
        <w:pStyle w:val="SCCSystemYear"/>
        <w:jc w:val="both"/>
        <w:rPr>
          <w:sz w:val="20"/>
        </w:rPr>
      </w:pPr>
      <w:r w:rsidRPr="00352A49">
        <w:rPr>
          <w:sz w:val="20"/>
        </w:rPr>
        <w:t>Neutral citation:  2013 SCC </w:t>
      </w:r>
      <w:r w:rsidR="00871C1F">
        <w:rPr>
          <w:sz w:val="20"/>
        </w:rPr>
        <w:t>68</w:t>
      </w:r>
      <w:r w:rsidRPr="00352A49">
        <w:rPr>
          <w:sz w:val="20"/>
        </w:rPr>
        <w:t xml:space="preserve"> / Référence neutre : 2013 CSC </w:t>
      </w:r>
      <w:r w:rsidR="00871C1F">
        <w:rPr>
          <w:sz w:val="20"/>
        </w:rPr>
        <w:t>68</w:t>
      </w:r>
    </w:p>
    <w:p w:rsidR="00902E51" w:rsidRPr="00352A49" w:rsidRDefault="00902E51" w:rsidP="00902E51">
      <w:pPr>
        <w:rPr>
          <w:sz w:val="20"/>
          <w:szCs w:val="20"/>
          <w:lang w:val="fr-CA"/>
        </w:rPr>
      </w:pPr>
      <w:r w:rsidRPr="00352A49">
        <w:rPr>
          <w:sz w:val="20"/>
          <w:szCs w:val="20"/>
          <w:lang w:val="fr-CA"/>
        </w:rPr>
        <w:t>Hearing:  Ma</w:t>
      </w:r>
      <w:r w:rsidR="00734D85">
        <w:rPr>
          <w:sz w:val="20"/>
          <w:szCs w:val="20"/>
          <w:lang w:val="fr-CA"/>
        </w:rPr>
        <w:t>y</w:t>
      </w:r>
      <w:r w:rsidRPr="00352A49">
        <w:rPr>
          <w:sz w:val="20"/>
          <w:szCs w:val="20"/>
          <w:lang w:val="fr-CA"/>
        </w:rPr>
        <w:t xml:space="preserve"> 2</w:t>
      </w:r>
      <w:r w:rsidR="00734D85">
        <w:rPr>
          <w:sz w:val="20"/>
          <w:szCs w:val="20"/>
          <w:lang w:val="fr-CA"/>
        </w:rPr>
        <w:t>1</w:t>
      </w:r>
      <w:r w:rsidRPr="00352A49">
        <w:rPr>
          <w:sz w:val="20"/>
          <w:szCs w:val="20"/>
          <w:lang w:val="fr-CA"/>
        </w:rPr>
        <w:t xml:space="preserve">, 2013 / Judgment:  </w:t>
      </w:r>
      <w:r w:rsidR="00871C1F">
        <w:rPr>
          <w:sz w:val="20"/>
          <w:szCs w:val="20"/>
          <w:lang w:val="fr-CA"/>
        </w:rPr>
        <w:t>December</w:t>
      </w:r>
      <w:r w:rsidRPr="00352A49">
        <w:rPr>
          <w:sz w:val="20"/>
          <w:szCs w:val="20"/>
          <w:lang w:val="fr-CA"/>
        </w:rPr>
        <w:t xml:space="preserve"> </w:t>
      </w:r>
      <w:r w:rsidR="00871C1F">
        <w:rPr>
          <w:sz w:val="20"/>
          <w:szCs w:val="20"/>
          <w:lang w:val="fr-CA"/>
        </w:rPr>
        <w:t>6</w:t>
      </w:r>
      <w:r w:rsidRPr="00352A49">
        <w:rPr>
          <w:sz w:val="20"/>
          <w:szCs w:val="20"/>
          <w:lang w:val="fr-CA"/>
        </w:rPr>
        <w:t>, 2013</w:t>
      </w:r>
    </w:p>
    <w:p w:rsidR="00902E51" w:rsidRPr="003B3977" w:rsidRDefault="00902E51" w:rsidP="00902E51">
      <w:pPr>
        <w:rPr>
          <w:sz w:val="20"/>
          <w:szCs w:val="20"/>
          <w:lang w:val="fr-CA"/>
        </w:rPr>
      </w:pPr>
      <w:r w:rsidRPr="003B3977">
        <w:rPr>
          <w:sz w:val="20"/>
          <w:szCs w:val="20"/>
          <w:lang w:val="fr-CA"/>
        </w:rPr>
        <w:t>Audition : Le 2</w:t>
      </w:r>
      <w:r w:rsidR="00734D85">
        <w:rPr>
          <w:sz w:val="20"/>
          <w:szCs w:val="20"/>
          <w:lang w:val="fr-CA"/>
        </w:rPr>
        <w:t>1</w:t>
      </w:r>
      <w:r>
        <w:rPr>
          <w:sz w:val="20"/>
          <w:szCs w:val="20"/>
          <w:lang w:val="fr-CA"/>
        </w:rPr>
        <w:t xml:space="preserve"> </w:t>
      </w:r>
      <w:r w:rsidRPr="003B3977">
        <w:rPr>
          <w:sz w:val="20"/>
          <w:szCs w:val="20"/>
          <w:lang w:val="fr-CA"/>
        </w:rPr>
        <w:t>ma</w:t>
      </w:r>
      <w:r w:rsidR="00734D85">
        <w:rPr>
          <w:sz w:val="20"/>
          <w:szCs w:val="20"/>
          <w:lang w:val="fr-CA"/>
        </w:rPr>
        <w:t>i</w:t>
      </w:r>
      <w:r w:rsidRPr="003B3977">
        <w:rPr>
          <w:sz w:val="20"/>
          <w:szCs w:val="20"/>
          <w:lang w:val="fr-CA"/>
        </w:rPr>
        <w:t xml:space="preserve"> 201</w:t>
      </w:r>
      <w:r>
        <w:rPr>
          <w:sz w:val="20"/>
          <w:szCs w:val="20"/>
          <w:lang w:val="fr-CA"/>
        </w:rPr>
        <w:t>3</w:t>
      </w:r>
      <w:r w:rsidRPr="003B3977">
        <w:rPr>
          <w:sz w:val="20"/>
          <w:szCs w:val="20"/>
          <w:lang w:val="fr-CA"/>
        </w:rPr>
        <w:t xml:space="preserve"> / Jugement : Le </w:t>
      </w:r>
      <w:r w:rsidR="00871C1F">
        <w:rPr>
          <w:sz w:val="20"/>
          <w:szCs w:val="20"/>
          <w:lang w:val="fr-CA"/>
        </w:rPr>
        <w:t>6</w:t>
      </w:r>
      <w:r>
        <w:rPr>
          <w:sz w:val="20"/>
          <w:szCs w:val="20"/>
          <w:lang w:val="fr-CA"/>
        </w:rPr>
        <w:t xml:space="preserve"> </w:t>
      </w:r>
      <w:r w:rsidR="00871C1F">
        <w:rPr>
          <w:sz w:val="20"/>
          <w:szCs w:val="20"/>
          <w:lang w:val="fr-CA"/>
        </w:rPr>
        <w:t>déce</w:t>
      </w:r>
      <w:r>
        <w:rPr>
          <w:sz w:val="20"/>
          <w:szCs w:val="20"/>
          <w:lang w:val="fr-CA"/>
        </w:rPr>
        <w:t>m</w:t>
      </w:r>
      <w:r w:rsidR="00871C1F">
        <w:rPr>
          <w:sz w:val="20"/>
          <w:szCs w:val="20"/>
          <w:lang w:val="fr-CA"/>
        </w:rPr>
        <w:t>bre</w:t>
      </w:r>
      <w:r w:rsidRPr="003B3977">
        <w:rPr>
          <w:sz w:val="20"/>
          <w:szCs w:val="20"/>
          <w:lang w:val="fr-CA"/>
        </w:rPr>
        <w:t xml:space="preserve"> 201</w:t>
      </w:r>
      <w:r>
        <w:rPr>
          <w:sz w:val="20"/>
          <w:szCs w:val="20"/>
          <w:lang w:val="fr-CA"/>
        </w:rPr>
        <w:t>3</w:t>
      </w:r>
    </w:p>
    <w:p w:rsidR="005C6840" w:rsidRPr="003B3977" w:rsidRDefault="00E7787D" w:rsidP="005C6840">
      <w:pPr>
        <w:rPr>
          <w:sz w:val="20"/>
          <w:szCs w:val="20"/>
          <w:lang w:val="fr-CA"/>
        </w:rPr>
      </w:pPr>
      <w:r>
        <w:rPr>
          <w:i/>
          <w:sz w:val="20"/>
          <w:szCs w:val="20"/>
        </w:rPr>
        <w:pict>
          <v:rect id="_x0000_i1071" style="width:480.95pt;height:1pt" o:hralign="center" o:hrstd="t" o:hrnoshade="t" o:hr="t" fillcolor="black [3213]" stroked="f"/>
        </w:pict>
      </w:r>
    </w:p>
    <w:p w:rsidR="005C6840" w:rsidRPr="003B3977" w:rsidRDefault="005C6840" w:rsidP="005C6840">
      <w:pPr>
        <w:spacing w:line="0" w:lineRule="atLeast"/>
        <w:rPr>
          <w:sz w:val="20"/>
          <w:szCs w:val="20"/>
          <w:lang w:val="fr-CA"/>
        </w:rPr>
      </w:pPr>
    </w:p>
    <w:p w:rsidR="00734D85" w:rsidRPr="005824B3" w:rsidRDefault="00734D85" w:rsidP="00734D85">
      <w:pPr>
        <w:jc w:val="both"/>
        <w:rPr>
          <w:sz w:val="20"/>
          <w:szCs w:val="20"/>
          <w:lang w:val="fr-CA"/>
        </w:rPr>
      </w:pPr>
      <w:r w:rsidRPr="005824B3">
        <w:rPr>
          <w:sz w:val="20"/>
          <w:szCs w:val="20"/>
          <w:lang w:val="fr-CA"/>
        </w:rPr>
        <w:t>Présents : Les juges LeBel, Fish, Abella, Cromwell, Moldaver, Karakatsanis et Wagner.</w:t>
      </w:r>
    </w:p>
    <w:p w:rsidR="00734D85" w:rsidRDefault="00734D85" w:rsidP="00734D85">
      <w:pPr>
        <w:jc w:val="both"/>
        <w:rPr>
          <w:smallCaps/>
          <w:sz w:val="20"/>
          <w:lang w:val="fr-CA"/>
        </w:rPr>
      </w:pPr>
    </w:p>
    <w:p w:rsidR="00734D85" w:rsidRPr="005824B3" w:rsidRDefault="00734D85" w:rsidP="00734D85">
      <w:pPr>
        <w:pStyle w:val="SCCNormalDoubleSpacing"/>
        <w:spacing w:line="240" w:lineRule="auto"/>
        <w:rPr>
          <w:sz w:val="20"/>
          <w:lang w:val="fr-CA"/>
        </w:rPr>
      </w:pPr>
      <w:r w:rsidRPr="005824B3">
        <w:rPr>
          <w:sz w:val="20"/>
          <w:lang w:val="fr-CA"/>
        </w:rPr>
        <w:tab/>
      </w:r>
      <w:r w:rsidRPr="005824B3">
        <w:rPr>
          <w:i/>
          <w:sz w:val="20"/>
          <w:lang w:val="fr-CA"/>
        </w:rPr>
        <w:t>Droit criminel — Infractions — Proférer des menaces — Éléments de l’infraction — Actus reus — Mens rea — Intimé confiant à des codétenus qu’il allait causer la mort de la procureure de la Couronne, d’un policier</w:t>
      </w:r>
      <w:r w:rsidRPr="005824B3">
        <w:rPr>
          <w:i/>
          <w:sz w:val="20"/>
          <w:lang w:val="fr-CA"/>
        </w:rPr>
        <w:noBreakHyphen/>
        <w:t>enquêteur et des témoins impliqués dans son procès et/ou leur infliger des lésions corporelles — Est</w:t>
      </w:r>
      <w:r w:rsidRPr="005824B3">
        <w:rPr>
          <w:i/>
          <w:sz w:val="20"/>
          <w:lang w:val="fr-CA"/>
        </w:rPr>
        <w:noBreakHyphen/>
        <w:t>il nécessaire de prouver que les menaces ont été transmises aux personnes visées et/ou que l’accusé entendait qu’elles soient ainsi transmises? — Les juridictions inférieures ont</w:t>
      </w:r>
      <w:r w:rsidRPr="005824B3">
        <w:rPr>
          <w:i/>
          <w:sz w:val="20"/>
          <w:lang w:val="fr-CA"/>
        </w:rPr>
        <w:noBreakHyphen/>
        <w:t>elles commis une erreur en concluant que des éléments de l’infraction n’avaient pas été établis? — Code criminel, L.R.C. 1985, ch. C-46, art. 264.1(1)a).</w:t>
      </w:r>
    </w:p>
    <w:p w:rsidR="00734D85" w:rsidRDefault="00734D85" w:rsidP="00734D85">
      <w:pPr>
        <w:pStyle w:val="SCCNormalDoubleSpacing"/>
        <w:spacing w:line="240" w:lineRule="auto"/>
        <w:rPr>
          <w:sz w:val="20"/>
          <w:lang w:val="fr-CA"/>
        </w:rPr>
      </w:pPr>
    </w:p>
    <w:p w:rsidR="00734D85" w:rsidRPr="005824B3" w:rsidRDefault="00734D85" w:rsidP="00734D85">
      <w:pPr>
        <w:pStyle w:val="SCCNormalDoubleSpacing"/>
        <w:spacing w:line="240" w:lineRule="auto"/>
        <w:rPr>
          <w:sz w:val="20"/>
          <w:lang w:val="fr-CA"/>
        </w:rPr>
      </w:pPr>
      <w:r w:rsidRPr="005824B3">
        <w:rPr>
          <w:sz w:val="20"/>
          <w:lang w:val="fr-CA"/>
        </w:rPr>
        <w:tab/>
        <w:t>Alors qu’il était détenu en attendant son procès, l’accusé a dit à des codétenus qu’il allait faire descendre des gars d’en haut pour arranger la face à la procureure de la Couronne et à un des témoins parce qu’il était d’avis que ce dernier l’avait dénoncé.  L’accusé a ajouté qu’il avait retenu les services d’un détective privé pour trouver l’adresse de la procureure, et a demandé à un des détenus de faire le nécessaire pour trouver l’adresse du policier</w:t>
      </w:r>
      <w:r w:rsidRPr="005824B3">
        <w:rPr>
          <w:sz w:val="20"/>
          <w:lang w:val="fr-CA"/>
        </w:rPr>
        <w:noBreakHyphen/>
        <w:t xml:space="preserve">enquêteur.  Il a en outre affirmé qu’une fois son procès terminé, il allait tuer les témoins qui l’avaient dénoncé.  L’accusé a été acquitté de cinq chefs d’avoir proféré des menaces au motif que la </w:t>
      </w:r>
      <w:r w:rsidRPr="005824B3">
        <w:rPr>
          <w:i/>
          <w:sz w:val="20"/>
          <w:lang w:val="fr-CA"/>
        </w:rPr>
        <w:t>mens rea</w:t>
      </w:r>
      <w:r w:rsidRPr="005824B3">
        <w:rPr>
          <w:sz w:val="20"/>
          <w:lang w:val="fr-CA"/>
        </w:rPr>
        <w:t xml:space="preserve"> de l’infraction n’avait pas été établie du fait qu’il ne s’était pas exprimé dans l’intention que ses paroles soient transmises aux personnes visées par les menaces pour tenter d’influencer leurs actions.  La Cour d’appel a rejeté l’appel du ministère public.</w:t>
      </w:r>
    </w:p>
    <w:p w:rsidR="00734D85" w:rsidRDefault="00734D85" w:rsidP="00734D85">
      <w:pPr>
        <w:pStyle w:val="SCCNormalDoubleSpacing"/>
        <w:spacing w:line="240" w:lineRule="auto"/>
        <w:rPr>
          <w:sz w:val="20"/>
          <w:lang w:val="fr-CA"/>
        </w:rPr>
      </w:pPr>
    </w:p>
    <w:p w:rsidR="00734D85" w:rsidRPr="005824B3" w:rsidRDefault="00734D85" w:rsidP="00734D85">
      <w:pPr>
        <w:pStyle w:val="SCCNormalDoubleSpacing"/>
        <w:spacing w:line="240" w:lineRule="auto"/>
        <w:rPr>
          <w:sz w:val="20"/>
          <w:lang w:val="fr-CA"/>
        </w:rPr>
      </w:pPr>
      <w:r w:rsidRPr="005824B3">
        <w:rPr>
          <w:sz w:val="20"/>
          <w:lang w:val="fr-CA"/>
        </w:rPr>
        <w:tab/>
      </w:r>
      <w:r w:rsidRPr="005824B3">
        <w:rPr>
          <w:rStyle w:val="QuoteChar"/>
          <w:sz w:val="20"/>
          <w:lang w:val="fr-CA"/>
        </w:rPr>
        <w:t>Arrêt :</w:t>
      </w:r>
      <w:r w:rsidRPr="005824B3">
        <w:rPr>
          <w:sz w:val="20"/>
          <w:lang w:val="fr-CA"/>
        </w:rPr>
        <w:t xml:space="preserve"> Le pourvoi est accueilli et la tenue d’un nouveau procès est ordonnée.</w:t>
      </w:r>
    </w:p>
    <w:p w:rsidR="00734D85" w:rsidRDefault="00734D85" w:rsidP="00734D85">
      <w:pPr>
        <w:pStyle w:val="SCCNormalDoubleSpacing"/>
        <w:spacing w:line="240" w:lineRule="auto"/>
        <w:rPr>
          <w:sz w:val="20"/>
          <w:lang w:val="fr-CA"/>
        </w:rPr>
      </w:pPr>
    </w:p>
    <w:p w:rsidR="00734D85" w:rsidRPr="005824B3" w:rsidRDefault="00734D85" w:rsidP="00734D85">
      <w:pPr>
        <w:pStyle w:val="SCCNormalDoubleSpacing"/>
        <w:spacing w:line="240" w:lineRule="auto"/>
        <w:rPr>
          <w:sz w:val="20"/>
          <w:lang w:val="fr-CA"/>
        </w:rPr>
      </w:pPr>
      <w:r w:rsidRPr="005824B3">
        <w:rPr>
          <w:sz w:val="20"/>
          <w:lang w:val="fr-CA"/>
        </w:rPr>
        <w:tab/>
        <w:t>L’</w:t>
      </w:r>
      <w:r w:rsidRPr="005824B3">
        <w:rPr>
          <w:i/>
          <w:sz w:val="20"/>
          <w:lang w:val="fr-CA"/>
        </w:rPr>
        <w:t>actus reus</w:t>
      </w:r>
      <w:r w:rsidRPr="005824B3">
        <w:rPr>
          <w:sz w:val="20"/>
          <w:lang w:val="fr-CA"/>
        </w:rPr>
        <w:t xml:space="preserve"> de l’infraction d’avoir proféré des menaces sera prouvé si une personne raisonnable tout à fait consciente des circonstances dans lesquelles les mots ont été proférés ou transmis les avait perçus comme une menace de mort ou de lésions corporelles.  Le ministère public n’a pas besoin de prouver que le destinataire de la menace en a été informé ou, s’il en a été informé, qu’il a été intimidé par elle ou qu’il l’a prise au sérieux.  De plus, il n’est pas nécessaire que les mots s’adressent à une personne en particulier; il suffit que la menace soit dirigée contre un groupe déterminé de personnes.</w:t>
      </w:r>
    </w:p>
    <w:p w:rsidR="00734D85" w:rsidRDefault="00734D85" w:rsidP="00734D85">
      <w:pPr>
        <w:pStyle w:val="SCCNormalDoubleSpacing"/>
        <w:spacing w:line="240" w:lineRule="auto"/>
        <w:rPr>
          <w:sz w:val="20"/>
          <w:lang w:val="fr-CA"/>
        </w:rPr>
      </w:pPr>
    </w:p>
    <w:p w:rsidR="00734D85" w:rsidRPr="005824B3" w:rsidRDefault="00734D85" w:rsidP="00734D85">
      <w:pPr>
        <w:pStyle w:val="SCCNormalDoubleSpacing"/>
        <w:spacing w:line="240" w:lineRule="auto"/>
        <w:rPr>
          <w:sz w:val="20"/>
          <w:lang w:val="fr-CA"/>
        </w:rPr>
      </w:pPr>
      <w:r w:rsidRPr="005824B3">
        <w:rPr>
          <w:sz w:val="20"/>
          <w:lang w:val="fr-CA"/>
        </w:rPr>
        <w:tab/>
        <w:t xml:space="preserve">La </w:t>
      </w:r>
      <w:r w:rsidRPr="005824B3">
        <w:rPr>
          <w:i/>
          <w:sz w:val="20"/>
          <w:lang w:val="fr-CA"/>
        </w:rPr>
        <w:t>mens rea</w:t>
      </w:r>
      <w:r w:rsidRPr="005824B3">
        <w:rPr>
          <w:sz w:val="20"/>
          <w:lang w:val="fr-CA"/>
        </w:rPr>
        <w:t xml:space="preserve"> de l’infraction est établie si l’accusé entendait que les mots proférés ou transmis intimident </w:t>
      </w:r>
      <w:r w:rsidRPr="005824B3">
        <w:rPr>
          <w:i/>
          <w:sz w:val="20"/>
          <w:lang w:val="fr-CA"/>
        </w:rPr>
        <w:t>ou</w:t>
      </w:r>
      <w:r w:rsidRPr="005824B3">
        <w:rPr>
          <w:sz w:val="20"/>
          <w:lang w:val="fr-CA"/>
        </w:rPr>
        <w:t xml:space="preserve"> soient pris au sérieux.  Il n’est pas nécessaire de prouver l’intention que les mots soient transmis à la personne visée par la menace ou que l’accusé entendait mettre la menace à exécution.  Une norme subjective de faute s’applique.  Toutefois, pour déterminer ce que l’accusé avait en tête, le tribunal devra souvent tirer des conclusions raisonnables des mots et des circonstances, y compris de la façon dont les mots ont été perçus par ceux qui les ont entendus. </w:t>
      </w:r>
    </w:p>
    <w:p w:rsidR="00734D85" w:rsidRDefault="00734D85" w:rsidP="00734D85">
      <w:pPr>
        <w:pStyle w:val="SCCNormalDoubleSpacing"/>
        <w:spacing w:line="240" w:lineRule="auto"/>
        <w:rPr>
          <w:sz w:val="20"/>
          <w:lang w:val="fr-CA"/>
        </w:rPr>
      </w:pPr>
    </w:p>
    <w:p w:rsidR="00734D85" w:rsidRPr="005824B3" w:rsidRDefault="00734D85" w:rsidP="00734D85">
      <w:pPr>
        <w:pStyle w:val="SCCNormalDoubleSpacing"/>
        <w:spacing w:line="240" w:lineRule="auto"/>
        <w:rPr>
          <w:sz w:val="20"/>
          <w:lang w:val="fr-CA"/>
        </w:rPr>
      </w:pPr>
      <w:r w:rsidRPr="005824B3">
        <w:rPr>
          <w:sz w:val="20"/>
          <w:lang w:val="fr-CA"/>
        </w:rPr>
        <w:tab/>
        <w:t>En l’espèce, tant le juge du procès que la Cour d’appel ont commis une erreur de droit en concluant que les éléments de l’infraction n’avaient pas été établis.  Pour ce qui est de l’</w:t>
      </w:r>
      <w:r w:rsidRPr="005824B3">
        <w:rPr>
          <w:i/>
          <w:sz w:val="20"/>
          <w:lang w:val="fr-CA"/>
        </w:rPr>
        <w:t>actus reus</w:t>
      </w:r>
      <w:r w:rsidRPr="005824B3">
        <w:rPr>
          <w:sz w:val="20"/>
          <w:lang w:val="fr-CA"/>
        </w:rPr>
        <w:t xml:space="preserve"> de l’infraction, la Cour d’appel a commis une erreur en concluant que les mots proférés par l’accusé n’équivalaient pas à des menaces parce qu’ils n’avaient pas été transmis à leurs destinataires et qu’ils n’avaient pas effrayé ni intimidé qui que ce soit.  Il n’est pas nécessaire de prouver que les menaces ont été transmises à leurs destinataires ou que quelqu’un a effectivement été intimidé ou effrayé par elles pour établir l’acte prohibé de l’infraction.  En ce qui concerne la </w:t>
      </w:r>
      <w:r w:rsidRPr="005824B3">
        <w:rPr>
          <w:i/>
          <w:sz w:val="20"/>
          <w:lang w:val="fr-CA"/>
        </w:rPr>
        <w:t>mens rea</w:t>
      </w:r>
      <w:r w:rsidRPr="005824B3">
        <w:rPr>
          <w:sz w:val="20"/>
          <w:lang w:val="fr-CA"/>
        </w:rPr>
        <w:t xml:space="preserve"> de l’infraction, tant le juge du procès que la Cour d’appel ont eu tort de conclure que, pour établir l’élément de faute, il fallait prouver que l’accusé entendait que les paroles soient transmises aux personnes visées/destinataires et qu’il avait l’intention expresse d’intimider ceux qui étaient en définitive l’objet des menaces.  Autrement dit, ils n’ont pas pris en considération le caractère disjonctif de l’élément de faute de l’infraction.  Il aurait été suffisant que l’accusé veuille que les menaces soient prises au sérieux par ceux à qui les paroles étaient adressées.</w:t>
      </w:r>
    </w:p>
    <w:p w:rsidR="00734D85" w:rsidRDefault="00734D85" w:rsidP="00734D85">
      <w:pPr>
        <w:pStyle w:val="SCCNormalDoubleSpacing"/>
        <w:spacing w:line="240" w:lineRule="auto"/>
        <w:rPr>
          <w:sz w:val="20"/>
          <w:lang w:val="fr-CA"/>
        </w:rPr>
      </w:pPr>
    </w:p>
    <w:p w:rsidR="00734D85" w:rsidRDefault="00734D85" w:rsidP="00734D85">
      <w:pPr>
        <w:pStyle w:val="SCCNormalDoubleSpacing"/>
        <w:spacing w:line="240" w:lineRule="auto"/>
        <w:rPr>
          <w:sz w:val="20"/>
          <w:lang w:val="fr-CA"/>
        </w:rPr>
      </w:pPr>
      <w:r w:rsidRPr="005824B3">
        <w:rPr>
          <w:sz w:val="20"/>
          <w:lang w:val="fr-CA"/>
        </w:rPr>
        <w:tab/>
        <w:t xml:space="preserve">Le ministère public s’est acquitté de son fardeau de démontrer qu’il serait raisonnable de penser, dans les circonstances de l’espèce, que l’erreur commise par le juge du procès, à l’égard de l’élément de faute, a eu une </w:t>
      </w:r>
      <w:r w:rsidRPr="005824B3">
        <w:rPr>
          <w:sz w:val="20"/>
          <w:lang w:val="fr-CA"/>
        </w:rPr>
        <w:lastRenderedPageBreak/>
        <w:t>incidence significative sur le verdict d’acquittement.  En fait, si le juge du procès ne s’était pas trompé quant à cet élément de l’infraction, il aurait eu à se demander si l’accusé entendait que ses paroles menaçantes soient prises au sérieux; or, les témoignages de deux témoins donnaient des raisons de conclure que c’était le cas.  Les acquittements doivent donc être annulés.  Cependant, il ne s’agit pas d’une situation des plus claires où la Cour doit exercer son pouvoir de consigner un verdict de culpabilité.  Un nouveau procès s’impose donc pour déterminer si les accusations portées contre l’accusé seront prouvées hors de tout doute raisonnable.</w:t>
      </w:r>
    </w:p>
    <w:p w:rsidR="00734D85" w:rsidRDefault="00734D85" w:rsidP="00734D85">
      <w:pPr>
        <w:pStyle w:val="SCCNormalDoubleSpacing"/>
        <w:spacing w:line="240" w:lineRule="auto"/>
        <w:rPr>
          <w:sz w:val="20"/>
          <w:lang w:val="fr-CA"/>
        </w:rPr>
      </w:pPr>
    </w:p>
    <w:p w:rsidR="00734D85" w:rsidRPr="005824B3" w:rsidRDefault="00734D85" w:rsidP="00734D85">
      <w:pPr>
        <w:pStyle w:val="SCCNormalDoubleSpacing"/>
        <w:spacing w:line="240" w:lineRule="auto"/>
        <w:rPr>
          <w:sz w:val="20"/>
          <w:lang w:val="fr-CA"/>
        </w:rPr>
      </w:pPr>
      <w:r w:rsidRPr="005824B3">
        <w:rPr>
          <w:sz w:val="20"/>
          <w:lang w:val="fr-CA"/>
        </w:rPr>
        <w:tab/>
        <w:t>POURVOI contre un arrêt de la Cour d’appel du Québec (les juges Rochette et Giroux et le juge Viens (</w:t>
      </w:r>
      <w:r w:rsidRPr="005824B3">
        <w:rPr>
          <w:i/>
          <w:sz w:val="20"/>
          <w:lang w:val="fr-CA"/>
        </w:rPr>
        <w:t>ad hoc</w:t>
      </w:r>
      <w:r w:rsidRPr="005824B3">
        <w:rPr>
          <w:sz w:val="20"/>
          <w:lang w:val="fr-CA"/>
        </w:rPr>
        <w:t>)), 2012 QCCA 236, [2012] J.Q. n</w:t>
      </w:r>
      <w:r w:rsidRPr="005824B3">
        <w:rPr>
          <w:sz w:val="20"/>
          <w:vertAlign w:val="superscript"/>
          <w:lang w:val="fr-CA"/>
        </w:rPr>
        <w:t>o</w:t>
      </w:r>
      <w:r w:rsidRPr="005824B3">
        <w:rPr>
          <w:sz w:val="20"/>
          <w:lang w:val="fr-CA"/>
        </w:rPr>
        <w:t> 757 (QL), 2012 CarswellQue 835, SOQUIJ AZ</w:t>
      </w:r>
      <w:r w:rsidRPr="005824B3">
        <w:rPr>
          <w:sz w:val="20"/>
          <w:lang w:val="fr-CA"/>
        </w:rPr>
        <w:noBreakHyphen/>
        <w:t>50828082, qui a confirmé les acquittements de l’accusé.  Pourvoi accueilli.</w:t>
      </w:r>
    </w:p>
    <w:p w:rsidR="00734D85" w:rsidRDefault="00734D85" w:rsidP="00734D85">
      <w:pPr>
        <w:pStyle w:val="SCCNormalDoubleSpacing"/>
        <w:spacing w:line="240" w:lineRule="auto"/>
        <w:rPr>
          <w:rStyle w:val="SCCCounselNameChar"/>
          <w:sz w:val="20"/>
          <w:lang w:val="fr-CA"/>
        </w:rPr>
      </w:pPr>
    </w:p>
    <w:p w:rsidR="00734D85" w:rsidRPr="005824B3" w:rsidRDefault="00734D85" w:rsidP="00734D85">
      <w:pPr>
        <w:pStyle w:val="SCCNormalDoubleSpacing"/>
        <w:spacing w:line="240" w:lineRule="auto"/>
        <w:rPr>
          <w:sz w:val="20"/>
          <w:lang w:val="fr-CA"/>
        </w:rPr>
      </w:pPr>
      <w:r w:rsidRPr="005824B3">
        <w:rPr>
          <w:rStyle w:val="SCCCounselNameChar"/>
          <w:sz w:val="20"/>
          <w:lang w:val="fr-CA"/>
        </w:rPr>
        <w:tab/>
        <w:t>Sébastien Bergeron</w:t>
      </w:r>
      <w:r w:rsidRPr="005824B3">
        <w:rPr>
          <w:rStyle w:val="SCCCounselNameChar"/>
          <w:sz w:val="20"/>
          <w:lang w:val="fr-CA"/>
        </w:rPr>
        <w:noBreakHyphen/>
        <w:t>Guyard</w:t>
      </w:r>
      <w:r w:rsidRPr="005824B3">
        <w:rPr>
          <w:rStyle w:val="SCCCounselSeparatorChar"/>
          <w:sz w:val="20"/>
        </w:rPr>
        <w:t xml:space="preserve"> et </w:t>
      </w:r>
      <w:r w:rsidRPr="005824B3">
        <w:rPr>
          <w:rStyle w:val="SCCCounselNameChar"/>
          <w:sz w:val="20"/>
          <w:lang w:val="fr-CA"/>
        </w:rPr>
        <w:t>Thomas Jacques</w:t>
      </w:r>
      <w:r w:rsidRPr="005824B3">
        <w:rPr>
          <w:rStyle w:val="SCCCounselPartyRoleChar"/>
          <w:sz w:val="20"/>
          <w:lang w:val="fr-CA"/>
        </w:rPr>
        <w:t>, pour l’appelante.</w:t>
      </w:r>
    </w:p>
    <w:p w:rsidR="00734D85" w:rsidRDefault="00734D85" w:rsidP="00734D85">
      <w:pPr>
        <w:pStyle w:val="SCCNormalDoubleSpacing"/>
        <w:spacing w:line="240" w:lineRule="auto"/>
        <w:rPr>
          <w:rStyle w:val="SCCCounselNameChar"/>
          <w:sz w:val="20"/>
          <w:lang w:val="fr-CA"/>
        </w:rPr>
      </w:pPr>
    </w:p>
    <w:p w:rsidR="00734D85" w:rsidRPr="005824B3" w:rsidRDefault="00734D85" w:rsidP="00734D85">
      <w:pPr>
        <w:pStyle w:val="SCCNormalDoubleSpacing"/>
        <w:spacing w:line="240" w:lineRule="auto"/>
        <w:rPr>
          <w:sz w:val="20"/>
          <w:lang w:val="fr-CA"/>
        </w:rPr>
      </w:pPr>
      <w:r w:rsidRPr="005824B3">
        <w:rPr>
          <w:rStyle w:val="SCCCounselNameChar"/>
          <w:sz w:val="20"/>
          <w:lang w:val="fr-CA"/>
        </w:rPr>
        <w:tab/>
        <w:t>Stéphanie Carrier</w:t>
      </w:r>
      <w:r w:rsidRPr="005824B3">
        <w:rPr>
          <w:rStyle w:val="SCCCounselPartyRoleChar"/>
          <w:sz w:val="20"/>
          <w:lang w:val="fr-CA"/>
        </w:rPr>
        <w:t>, pour l’intimé.</w:t>
      </w:r>
    </w:p>
    <w:p w:rsidR="00734D85" w:rsidRDefault="00734D85" w:rsidP="00734D85">
      <w:pPr>
        <w:pStyle w:val="SCCLawFirm"/>
        <w:spacing w:line="240" w:lineRule="auto"/>
        <w:rPr>
          <w:sz w:val="20"/>
          <w:lang w:val="fr-CA"/>
        </w:rPr>
      </w:pPr>
    </w:p>
    <w:p w:rsidR="00734D85" w:rsidRPr="005824B3" w:rsidRDefault="00734D85" w:rsidP="00734D85">
      <w:pPr>
        <w:pStyle w:val="SCCLawFirm"/>
        <w:spacing w:line="240" w:lineRule="auto"/>
        <w:rPr>
          <w:sz w:val="20"/>
          <w:lang w:val="fr-CA"/>
        </w:rPr>
      </w:pPr>
      <w:r w:rsidRPr="005824B3">
        <w:rPr>
          <w:sz w:val="20"/>
          <w:lang w:val="fr-CA"/>
        </w:rPr>
        <w:tab/>
        <w:t>Procureur de l’appelante : Poursuites criminelles et pénales du Québec, Québec.</w:t>
      </w:r>
    </w:p>
    <w:p w:rsidR="00734D85" w:rsidRDefault="00734D85" w:rsidP="00734D85">
      <w:pPr>
        <w:pStyle w:val="SCCLawFirm"/>
        <w:spacing w:line="240" w:lineRule="auto"/>
        <w:rPr>
          <w:sz w:val="20"/>
          <w:lang w:val="fr-CA"/>
        </w:rPr>
      </w:pPr>
    </w:p>
    <w:p w:rsidR="00734D85" w:rsidRDefault="00734D85" w:rsidP="00734D85">
      <w:pPr>
        <w:pStyle w:val="SCCLawFirm"/>
        <w:spacing w:line="240" w:lineRule="auto"/>
        <w:rPr>
          <w:sz w:val="20"/>
          <w:lang w:val="fr-CA"/>
        </w:rPr>
      </w:pPr>
      <w:r w:rsidRPr="005824B3">
        <w:rPr>
          <w:sz w:val="20"/>
          <w:lang w:val="fr-CA"/>
        </w:rPr>
        <w:tab/>
        <w:t>Procureur de l’intimé : Stéphanie Carrier, St</w:t>
      </w:r>
      <w:r w:rsidRPr="005824B3">
        <w:rPr>
          <w:sz w:val="20"/>
          <w:lang w:val="fr-CA"/>
        </w:rPr>
        <w:noBreakHyphen/>
        <w:t>Omer, Québec.</w:t>
      </w:r>
    </w:p>
    <w:p w:rsidR="00902E51" w:rsidRDefault="00902E51" w:rsidP="00902E51">
      <w:pPr>
        <w:rPr>
          <w:sz w:val="20"/>
          <w:szCs w:val="20"/>
        </w:rPr>
      </w:pPr>
      <w:r w:rsidRPr="00492DCE">
        <w:rPr>
          <w:sz w:val="20"/>
          <w:szCs w:val="20"/>
        </w:rPr>
        <w:t>________________________</w:t>
      </w:r>
    </w:p>
    <w:p w:rsidR="00902E51" w:rsidRDefault="00902E51" w:rsidP="00902E51">
      <w:pPr>
        <w:rPr>
          <w:sz w:val="20"/>
          <w:szCs w:val="20"/>
        </w:rPr>
      </w:pPr>
    </w:p>
    <w:p w:rsidR="00734D85" w:rsidRPr="00B920D2" w:rsidRDefault="00734D85" w:rsidP="00734D85">
      <w:pPr>
        <w:jc w:val="both"/>
        <w:rPr>
          <w:sz w:val="20"/>
          <w:szCs w:val="20"/>
        </w:rPr>
      </w:pPr>
      <w:r w:rsidRPr="00B920D2">
        <w:rPr>
          <w:sz w:val="20"/>
          <w:szCs w:val="20"/>
        </w:rPr>
        <w:t>Present:  LeBel, Fish, Abella, Cromwell, Moldaver, Karakatsanis and Wagner JJ.</w:t>
      </w:r>
    </w:p>
    <w:p w:rsidR="00734D85" w:rsidRDefault="00734D85" w:rsidP="00734D85">
      <w:pPr>
        <w:pStyle w:val="SCCLowerCourtNameLowercase"/>
        <w:spacing w:line="240" w:lineRule="auto"/>
        <w:rPr>
          <w:sz w:val="20"/>
        </w:rPr>
      </w:pPr>
    </w:p>
    <w:p w:rsidR="00734D85" w:rsidRPr="00B920D2" w:rsidRDefault="00734D85" w:rsidP="00734D85">
      <w:pPr>
        <w:pStyle w:val="SCCNormalDoubleSpacing"/>
        <w:spacing w:line="240" w:lineRule="auto"/>
        <w:rPr>
          <w:sz w:val="20"/>
        </w:rPr>
      </w:pPr>
      <w:r w:rsidRPr="00B920D2">
        <w:rPr>
          <w:sz w:val="20"/>
        </w:rPr>
        <w:tab/>
      </w:r>
      <w:r w:rsidRPr="00B920D2">
        <w:rPr>
          <w:i/>
          <w:sz w:val="20"/>
          <w:lang w:val="en-US"/>
        </w:rPr>
        <w:t>Criminal law — Offences — Uttering threats — Elements of offence — Actus reus — Mens rea — Respondent stating to fellow detainees that he would kill and/or harm Crown prosecutor, officer</w:t>
      </w:r>
      <w:r w:rsidRPr="00B920D2">
        <w:rPr>
          <w:i/>
          <w:sz w:val="20"/>
          <w:lang w:val="en-US"/>
        </w:rPr>
        <w:noBreakHyphen/>
        <w:t>investigator and witnesses involved in his trial — Whether it is necessary to prove threats were conveyed to their subjects and/or that accused intended they be so conveyed — Whether lower courts erred in finding that elements of offence not made out — Criminal Code, R.S.C. 1985, c. C</w:t>
      </w:r>
      <w:r w:rsidRPr="00B920D2">
        <w:rPr>
          <w:i/>
          <w:sz w:val="20"/>
          <w:lang w:val="en-US"/>
        </w:rPr>
        <w:noBreakHyphen/>
        <w:t>46, s. 264.1(1)(a).</w:t>
      </w:r>
    </w:p>
    <w:p w:rsidR="00734D85" w:rsidRDefault="00734D85" w:rsidP="00734D85">
      <w:pPr>
        <w:pStyle w:val="SCCNormalDoubleSpacing"/>
        <w:spacing w:line="240" w:lineRule="auto"/>
        <w:rPr>
          <w:sz w:val="20"/>
        </w:rPr>
      </w:pPr>
    </w:p>
    <w:p w:rsidR="00734D85" w:rsidRPr="00B920D2" w:rsidRDefault="00734D85" w:rsidP="00734D85">
      <w:pPr>
        <w:pStyle w:val="SCCNormalDoubleSpacing"/>
        <w:spacing w:line="240" w:lineRule="auto"/>
        <w:rPr>
          <w:sz w:val="20"/>
        </w:rPr>
      </w:pPr>
      <w:r w:rsidRPr="00B920D2">
        <w:rPr>
          <w:sz w:val="20"/>
        </w:rPr>
        <w:tab/>
        <w:t>While the accused was detained awaiting trial, he stated to fellow detainees that he would take down the guys at the top to rearrange the face of the prosecutor and one of the witnesses because he thought that he was the one who snitched on him.  The accused also stated that he had hired a private detective to find the prosecutor’s address, and asked one of the detainees to do what was necessary to find the address of the officer</w:t>
      </w:r>
      <w:r w:rsidRPr="00B920D2">
        <w:rPr>
          <w:sz w:val="20"/>
        </w:rPr>
        <w:noBreakHyphen/>
        <w:t xml:space="preserve">investigator.  The accused further asserted that once his trial was over, he would kill the witnesses who had informed against him.  The accused was acquitted of five counts of uttering threats on the basis that the </w:t>
      </w:r>
      <w:r w:rsidRPr="00B920D2">
        <w:rPr>
          <w:i/>
          <w:sz w:val="20"/>
        </w:rPr>
        <w:t>mens rea</w:t>
      </w:r>
      <w:r w:rsidRPr="00B920D2">
        <w:rPr>
          <w:sz w:val="20"/>
        </w:rPr>
        <w:t xml:space="preserve"> of the offence had not been established because the words were not conveyed by the accused with the intent that they be transmitted to the subjects of the threats in an attempt to influence their actions.  The Court of Appeal dismissed the Crown’s appeal.</w:t>
      </w:r>
    </w:p>
    <w:p w:rsidR="00734D85" w:rsidRDefault="00734D85" w:rsidP="00734D85">
      <w:pPr>
        <w:pStyle w:val="SCCNormalDoubleSpacing"/>
        <w:spacing w:line="240" w:lineRule="auto"/>
        <w:rPr>
          <w:sz w:val="20"/>
        </w:rPr>
      </w:pPr>
    </w:p>
    <w:p w:rsidR="00734D85" w:rsidRPr="00B920D2" w:rsidRDefault="00734D85" w:rsidP="00734D85">
      <w:pPr>
        <w:pStyle w:val="SCCNormalDoubleSpacing"/>
        <w:spacing w:line="240" w:lineRule="auto"/>
        <w:rPr>
          <w:sz w:val="20"/>
        </w:rPr>
      </w:pPr>
      <w:r w:rsidRPr="00B920D2">
        <w:rPr>
          <w:sz w:val="20"/>
        </w:rPr>
        <w:tab/>
      </w:r>
      <w:r w:rsidRPr="00B920D2">
        <w:rPr>
          <w:rStyle w:val="QuoteChar"/>
          <w:sz w:val="20"/>
        </w:rPr>
        <w:t>Held:</w:t>
      </w:r>
      <w:r w:rsidRPr="00B920D2">
        <w:rPr>
          <w:sz w:val="20"/>
        </w:rPr>
        <w:t xml:space="preserve">  </w:t>
      </w:r>
      <w:r w:rsidRPr="00B920D2">
        <w:rPr>
          <w:sz w:val="20"/>
          <w:lang w:val="en-US"/>
        </w:rPr>
        <w:t>The appeal should be allowed and a new trial ordered.</w:t>
      </w:r>
    </w:p>
    <w:p w:rsidR="00734D85" w:rsidRDefault="00734D85" w:rsidP="00734D85">
      <w:pPr>
        <w:pStyle w:val="SCCNormalDoubleSpacing"/>
        <w:spacing w:line="240" w:lineRule="auto"/>
        <w:rPr>
          <w:sz w:val="20"/>
        </w:rPr>
      </w:pPr>
    </w:p>
    <w:p w:rsidR="00734D85" w:rsidRPr="00B920D2" w:rsidRDefault="00734D85" w:rsidP="00734D85">
      <w:pPr>
        <w:pStyle w:val="SCCNormalDoubleSpacing"/>
        <w:spacing w:line="240" w:lineRule="auto"/>
        <w:rPr>
          <w:sz w:val="20"/>
        </w:rPr>
      </w:pPr>
      <w:r w:rsidRPr="00B920D2">
        <w:rPr>
          <w:sz w:val="20"/>
        </w:rPr>
        <w:tab/>
        <w:t xml:space="preserve">The </w:t>
      </w:r>
      <w:r w:rsidRPr="00B920D2">
        <w:rPr>
          <w:i/>
          <w:sz w:val="20"/>
        </w:rPr>
        <w:t>actus reus</w:t>
      </w:r>
      <w:r w:rsidRPr="00B920D2">
        <w:rPr>
          <w:sz w:val="20"/>
        </w:rPr>
        <w:t xml:space="preserve"> of the offence of uttering threats will be made out if a reasonable person fully aware of the circumstances in which the words were uttered or conveyed would have perceived them to be a threat of death or bodily harm.  The Crown need not prove that the intended recipient of the threat was made aware of it, or if aware of it, that he or she was intimidated by it or took it seriously.  Nor must the words be directed toward a specific person; a threat against an ascertained group of people is sufficient.  </w:t>
      </w:r>
    </w:p>
    <w:p w:rsidR="00734D85" w:rsidRDefault="00734D85" w:rsidP="00734D85">
      <w:pPr>
        <w:pStyle w:val="SCCNormalDoubleSpacing"/>
        <w:spacing w:line="240" w:lineRule="auto"/>
        <w:rPr>
          <w:sz w:val="20"/>
        </w:rPr>
      </w:pPr>
    </w:p>
    <w:p w:rsidR="00734D85" w:rsidRPr="00B920D2" w:rsidRDefault="00734D85" w:rsidP="00734D85">
      <w:pPr>
        <w:pStyle w:val="SCCNormalDoubleSpacing"/>
        <w:spacing w:line="240" w:lineRule="auto"/>
        <w:rPr>
          <w:sz w:val="20"/>
        </w:rPr>
      </w:pPr>
      <w:r w:rsidRPr="00B920D2">
        <w:rPr>
          <w:sz w:val="20"/>
        </w:rPr>
        <w:tab/>
        <w:t xml:space="preserve">The </w:t>
      </w:r>
      <w:r w:rsidRPr="00B920D2">
        <w:rPr>
          <w:i/>
          <w:sz w:val="20"/>
        </w:rPr>
        <w:t>mens rea</w:t>
      </w:r>
      <w:r w:rsidRPr="00B920D2">
        <w:rPr>
          <w:sz w:val="20"/>
        </w:rPr>
        <w:t xml:space="preserve"> of the offence is made out if the accused intended the words uttered or conveyed to intimidate </w:t>
      </w:r>
      <w:r w:rsidRPr="00B920D2">
        <w:rPr>
          <w:i/>
          <w:sz w:val="20"/>
        </w:rPr>
        <w:t>or</w:t>
      </w:r>
      <w:r w:rsidRPr="00B920D2">
        <w:rPr>
          <w:sz w:val="20"/>
        </w:rPr>
        <w:t xml:space="preserve"> to be taken seriously.  It is not necessary to prove an intent that the words be conveyed to the subject of the threat or that the accused intended to carry out the threat.  A subjective standard of fault applies.  However, in order to determine what was in the accused’s mind, a court will often have to draw reasonable inferences from the words and the circumstances, including how the words were perceived by those hearing them.  </w:t>
      </w:r>
    </w:p>
    <w:p w:rsidR="00734D85" w:rsidRDefault="00734D85" w:rsidP="00734D85">
      <w:pPr>
        <w:pStyle w:val="SCCNormalDoubleSpacing"/>
        <w:spacing w:line="240" w:lineRule="auto"/>
        <w:rPr>
          <w:sz w:val="20"/>
        </w:rPr>
      </w:pPr>
    </w:p>
    <w:p w:rsidR="00734D85" w:rsidRPr="00B920D2" w:rsidRDefault="00734D85" w:rsidP="00734D85">
      <w:pPr>
        <w:pStyle w:val="SCCNormalDoubleSpacing"/>
        <w:spacing w:line="240" w:lineRule="auto"/>
        <w:rPr>
          <w:sz w:val="20"/>
        </w:rPr>
      </w:pPr>
      <w:r w:rsidRPr="00B920D2">
        <w:rPr>
          <w:sz w:val="20"/>
        </w:rPr>
        <w:tab/>
        <w:t xml:space="preserve">In this case, both the trial judge and the Court of Appeal erred in law in finding that the elements of the offence had not been made out.  With respect to the </w:t>
      </w:r>
      <w:r w:rsidRPr="00B920D2">
        <w:rPr>
          <w:i/>
          <w:sz w:val="20"/>
        </w:rPr>
        <w:t>actus reus</w:t>
      </w:r>
      <w:r w:rsidRPr="00B920D2">
        <w:rPr>
          <w:sz w:val="20"/>
        </w:rPr>
        <w:t xml:space="preserve"> of the offence, the Court of Appeal erred in concluding that the words uttered by the accused did not amount to threats because they were not conveyed to their intended recipients and they did not cause anyone to be fearful or intimidated.  It is not necessary to prove that the threats were </w:t>
      </w:r>
      <w:r w:rsidRPr="00B920D2">
        <w:rPr>
          <w:sz w:val="20"/>
        </w:rPr>
        <w:lastRenderedPageBreak/>
        <w:t xml:space="preserve">conveyed to their intended recipients or to prove that anyone was actually intimidated or made fearful as a result of the words uttered in order to make out the prohibited act of the offence.  As for the </w:t>
      </w:r>
      <w:r w:rsidRPr="00B920D2">
        <w:rPr>
          <w:i/>
          <w:sz w:val="20"/>
        </w:rPr>
        <w:t>mens rea</w:t>
      </w:r>
      <w:r w:rsidRPr="00B920D2">
        <w:rPr>
          <w:sz w:val="20"/>
        </w:rPr>
        <w:t xml:space="preserve"> of the offence, both the trial judge and the Court of Appeal erred in finding that in order to make out the fault element it was necessary to prove that the accused intended the words to be transmitted to their objects/recipients and specifically intended to intimidate the ultimate objects of the threats.  In other words, each failed to consider the disjunctive nature of the fault element required for the offence.  It would have been sufficient had the accused intended that the threats be taken seriously by those to whom the words were spoken.  </w:t>
      </w:r>
    </w:p>
    <w:p w:rsidR="00734D85" w:rsidRDefault="00734D85" w:rsidP="00734D85">
      <w:pPr>
        <w:pStyle w:val="SCCNormalDoubleSpacing"/>
        <w:spacing w:line="240" w:lineRule="auto"/>
        <w:rPr>
          <w:sz w:val="20"/>
        </w:rPr>
      </w:pPr>
    </w:p>
    <w:p w:rsidR="00734D85" w:rsidRDefault="00734D85" w:rsidP="00734D85">
      <w:pPr>
        <w:pStyle w:val="SCCNormalDoubleSpacing"/>
        <w:spacing w:line="240" w:lineRule="auto"/>
        <w:rPr>
          <w:sz w:val="20"/>
        </w:rPr>
      </w:pPr>
      <w:r w:rsidRPr="00B920D2">
        <w:rPr>
          <w:sz w:val="20"/>
        </w:rPr>
        <w:tab/>
        <w:t>The Crown has met its burden to demonstrate that the trial judge’s legal error with regard to the fault element might reasonably be thought, in the circumstances of this case to have had a material bearing on the acquittal.  Indeed, had the trial judge not erred as to that element of the offence, he would have had to consider whether the accused intended his threatening words to be taken seriously and the evidence of two witnesses provided some basis to conclude that he did.  Accordingly, the acquittals should be set aside.  However, this is not the clearest of cases where this Court’s power to enter a conviction should be exercised.  A new trial is therefore required to determine whether the charges against the accused will be proved beyond a reasonable doubt.</w:t>
      </w:r>
    </w:p>
    <w:p w:rsidR="00734D85" w:rsidRDefault="00734D85" w:rsidP="00734D85">
      <w:pPr>
        <w:pStyle w:val="SCCNormalDoubleSpacing"/>
        <w:spacing w:line="240" w:lineRule="auto"/>
        <w:rPr>
          <w:sz w:val="20"/>
        </w:rPr>
      </w:pPr>
    </w:p>
    <w:p w:rsidR="00734D85" w:rsidRPr="00B920D2" w:rsidRDefault="00734D85" w:rsidP="00734D85">
      <w:pPr>
        <w:pStyle w:val="SCCNormalDoubleSpacing"/>
        <w:spacing w:line="240" w:lineRule="auto"/>
        <w:rPr>
          <w:sz w:val="20"/>
        </w:rPr>
      </w:pPr>
      <w:r w:rsidRPr="00B920D2">
        <w:rPr>
          <w:sz w:val="20"/>
        </w:rPr>
        <w:tab/>
        <w:t>APPEAL from a judgment of the Quebec Court of Appeal (Rochette and Giroux JJ.A. and Viens J. (</w:t>
      </w:r>
      <w:r w:rsidRPr="00B920D2">
        <w:rPr>
          <w:i/>
          <w:sz w:val="20"/>
        </w:rPr>
        <w:t>ad hoc</w:t>
      </w:r>
      <w:r w:rsidRPr="00B920D2">
        <w:rPr>
          <w:sz w:val="20"/>
        </w:rPr>
        <w:t>)), 2012 QCCA 236, [2012] J.Q. n</w:t>
      </w:r>
      <w:r w:rsidRPr="00B920D2">
        <w:rPr>
          <w:sz w:val="20"/>
          <w:vertAlign w:val="superscript"/>
        </w:rPr>
        <w:t>o</w:t>
      </w:r>
      <w:r w:rsidRPr="00B920D2">
        <w:rPr>
          <w:sz w:val="20"/>
        </w:rPr>
        <w:t> 757 (QL), 2012 CarswellQue 835, SOQUIJ AZ</w:t>
      </w:r>
      <w:r w:rsidRPr="00B920D2">
        <w:rPr>
          <w:sz w:val="20"/>
        </w:rPr>
        <w:noBreakHyphen/>
        <w:t>50828082, upholding the accused’s acquittals.  Appeal allowed.</w:t>
      </w:r>
    </w:p>
    <w:p w:rsidR="00734D85" w:rsidRDefault="00734D85" w:rsidP="00734D85">
      <w:pPr>
        <w:pStyle w:val="SCCNormalDoubleSpacing"/>
        <w:spacing w:line="240" w:lineRule="auto"/>
        <w:rPr>
          <w:rStyle w:val="SCCCounselNameChar"/>
          <w:sz w:val="20"/>
        </w:rPr>
      </w:pPr>
    </w:p>
    <w:p w:rsidR="00734D85" w:rsidRPr="00B920D2" w:rsidRDefault="00734D85" w:rsidP="00734D85">
      <w:pPr>
        <w:pStyle w:val="SCCNormalDoubleSpacing"/>
        <w:spacing w:line="240" w:lineRule="auto"/>
        <w:rPr>
          <w:sz w:val="20"/>
        </w:rPr>
      </w:pPr>
      <w:r w:rsidRPr="00B920D2">
        <w:rPr>
          <w:rStyle w:val="SCCCounselNameChar"/>
          <w:sz w:val="20"/>
        </w:rPr>
        <w:tab/>
        <w:t>Sébastien Bergeron</w:t>
      </w:r>
      <w:r w:rsidRPr="00B920D2">
        <w:rPr>
          <w:rStyle w:val="SCCCounselNameChar"/>
          <w:sz w:val="20"/>
        </w:rPr>
        <w:noBreakHyphen/>
        <w:t>Guyard</w:t>
      </w:r>
      <w:r w:rsidRPr="00734D85">
        <w:rPr>
          <w:rStyle w:val="SCCCounselSeparatorChar"/>
          <w:sz w:val="20"/>
          <w:lang w:val="en-CA"/>
        </w:rPr>
        <w:t xml:space="preserve"> and </w:t>
      </w:r>
      <w:r w:rsidRPr="00B920D2">
        <w:rPr>
          <w:rStyle w:val="SCCCounselNameChar"/>
          <w:sz w:val="20"/>
        </w:rPr>
        <w:t>Thomas Jacques</w:t>
      </w:r>
      <w:r w:rsidRPr="00B920D2">
        <w:rPr>
          <w:rStyle w:val="SCCCounselPartyRoleChar"/>
          <w:sz w:val="20"/>
        </w:rPr>
        <w:t>, for the appellant.</w:t>
      </w:r>
    </w:p>
    <w:p w:rsidR="00734D85" w:rsidRDefault="00734D85" w:rsidP="00734D85">
      <w:pPr>
        <w:pStyle w:val="SCCNormalDoubleSpacing"/>
        <w:spacing w:line="240" w:lineRule="auto"/>
        <w:rPr>
          <w:rStyle w:val="SCCCounselNameChar"/>
          <w:sz w:val="20"/>
        </w:rPr>
      </w:pPr>
    </w:p>
    <w:p w:rsidR="00734D85" w:rsidRPr="00B920D2" w:rsidRDefault="00734D85" w:rsidP="00734D85">
      <w:pPr>
        <w:pStyle w:val="SCCNormalDoubleSpacing"/>
        <w:spacing w:line="240" w:lineRule="auto"/>
        <w:rPr>
          <w:sz w:val="20"/>
        </w:rPr>
      </w:pPr>
      <w:r w:rsidRPr="00B920D2">
        <w:rPr>
          <w:rStyle w:val="SCCCounselNameChar"/>
          <w:sz w:val="20"/>
        </w:rPr>
        <w:tab/>
        <w:t>Stéphanie Carrier</w:t>
      </w:r>
      <w:r w:rsidRPr="00B920D2">
        <w:rPr>
          <w:rStyle w:val="SCCCounselPartyRoleChar"/>
          <w:sz w:val="20"/>
        </w:rPr>
        <w:t>, for the respondent.</w:t>
      </w:r>
    </w:p>
    <w:p w:rsidR="00734D85" w:rsidRDefault="00734D85" w:rsidP="00734D85">
      <w:pPr>
        <w:pStyle w:val="SCCLawFirm"/>
        <w:spacing w:line="240" w:lineRule="auto"/>
        <w:rPr>
          <w:sz w:val="20"/>
        </w:rPr>
      </w:pPr>
    </w:p>
    <w:p w:rsidR="00734D85" w:rsidRPr="00B920D2" w:rsidRDefault="00734D85" w:rsidP="00734D85">
      <w:pPr>
        <w:pStyle w:val="SCCLawFirm"/>
        <w:spacing w:line="240" w:lineRule="auto"/>
        <w:rPr>
          <w:sz w:val="20"/>
          <w:lang w:val="fr-CA"/>
        </w:rPr>
      </w:pPr>
      <w:r w:rsidRPr="00B920D2">
        <w:rPr>
          <w:sz w:val="20"/>
        </w:rPr>
        <w:tab/>
      </w:r>
      <w:r w:rsidRPr="00B920D2">
        <w:rPr>
          <w:sz w:val="20"/>
          <w:lang w:val="fr-CA"/>
        </w:rPr>
        <w:t>Solicitor for the appellant:  Poursuites criminelles et pénales du Québec, Québec.</w:t>
      </w:r>
    </w:p>
    <w:p w:rsidR="00734D85" w:rsidRDefault="00734D85" w:rsidP="00734D85">
      <w:pPr>
        <w:pStyle w:val="SCCLawFirm"/>
        <w:spacing w:line="240" w:lineRule="auto"/>
        <w:rPr>
          <w:sz w:val="20"/>
          <w:lang w:val="fr-CA"/>
        </w:rPr>
      </w:pPr>
    </w:p>
    <w:p w:rsidR="00734D85" w:rsidRDefault="00734D85" w:rsidP="00734D85">
      <w:pPr>
        <w:pStyle w:val="SCCLawFirm"/>
        <w:spacing w:line="240" w:lineRule="auto"/>
        <w:rPr>
          <w:sz w:val="20"/>
        </w:rPr>
      </w:pPr>
      <w:r w:rsidRPr="00B920D2">
        <w:rPr>
          <w:sz w:val="20"/>
          <w:lang w:val="fr-CA"/>
        </w:rPr>
        <w:tab/>
      </w:r>
      <w:r w:rsidRPr="00B920D2">
        <w:rPr>
          <w:sz w:val="20"/>
        </w:rPr>
        <w:t>Solicitor for the respondent:  Stéphanie Carrier, St</w:t>
      </w:r>
      <w:r w:rsidRPr="00B920D2">
        <w:rPr>
          <w:sz w:val="20"/>
        </w:rPr>
        <w:noBreakHyphen/>
        <w:t>Omer, Quebec.</w:t>
      </w:r>
    </w:p>
    <w:p w:rsidR="00902E51" w:rsidRPr="00734D85" w:rsidRDefault="00902E51" w:rsidP="00902E51">
      <w:pPr>
        <w:rPr>
          <w:sz w:val="20"/>
          <w:szCs w:val="20"/>
        </w:rPr>
      </w:pPr>
    </w:p>
    <w:p w:rsidR="00902E51" w:rsidRDefault="00E7787D" w:rsidP="00902E51">
      <w:pPr>
        <w:rPr>
          <w:rFonts w:cs="Times New Roman"/>
          <w:sz w:val="20"/>
          <w:szCs w:val="20"/>
          <w:lang w:val="fr-CA"/>
        </w:rPr>
      </w:pPr>
      <w:r>
        <w:rPr>
          <w:rFonts w:cs="Times New Roman"/>
          <w:sz w:val="20"/>
          <w:szCs w:val="20"/>
          <w:lang w:val="fr-CA"/>
        </w:rPr>
        <w:pict>
          <v:rect id="_x0000_i1072" style="width:144.3pt;height:1pt" o:hrpct="300" o:hralign="center" o:hrstd="t" o:hrnoshade="t" o:hr="t" fillcolor="black [3213]" stroked="f"/>
        </w:pict>
      </w:r>
    </w:p>
    <w:p w:rsidR="003B3977" w:rsidRPr="003F4721" w:rsidRDefault="003B3977" w:rsidP="003B3977">
      <w:pPr>
        <w:rPr>
          <w:sz w:val="20"/>
          <w:szCs w:val="20"/>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71"/>
          <w:headerReference w:type="default" r:id="rId72"/>
          <w:footerReference w:type="even" r:id="rId73"/>
          <w:footerReference w:type="default" r:id="rId74"/>
          <w:headerReference w:type="first" r:id="rId75"/>
          <w:footerReference w:type="first" r:id="rId76"/>
          <w:pgSz w:w="12240" w:h="15840"/>
          <w:pgMar w:top="720" w:right="965" w:bottom="1080" w:left="1656" w:header="576" w:footer="960" w:gutter="0"/>
          <w:cols w:space="720"/>
          <w:titlePg/>
          <w:docGrid w:linePitch="272"/>
        </w:sectPr>
      </w:pPr>
    </w:p>
    <w:p w:rsidR="0081610A" w:rsidRPr="002E0C7E" w:rsidRDefault="000C413F" w:rsidP="0081610A">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81610A"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81610A" w:rsidRPr="002E0C7E">
        <w:rPr>
          <w:rFonts w:asciiTheme="minorHAnsi" w:hAnsiTheme="minorHAnsi" w:cstheme="minorHAnsi"/>
          <w:b/>
          <w:szCs w:val="24"/>
        </w:rPr>
        <w:t xml:space="preserve">SUPREME COURT OF CANADA SCHEDULE / </w:t>
      </w:r>
      <w:r w:rsidR="0081610A" w:rsidRPr="00743E53">
        <w:rPr>
          <w:rFonts w:asciiTheme="minorHAnsi" w:hAnsiTheme="minorHAnsi" w:cstheme="minorHAnsi"/>
          <w:b/>
          <w:szCs w:val="24"/>
          <w:lang w:val="fr-CA"/>
        </w:rPr>
        <w:t>CALENDRIER DE LA COUR SUPR</w:t>
      </w:r>
      <w:r w:rsidR="0081610A">
        <w:rPr>
          <w:rFonts w:asciiTheme="minorHAnsi" w:hAnsiTheme="minorHAnsi" w:cstheme="minorHAnsi"/>
          <w:b/>
          <w:szCs w:val="24"/>
          <w:lang w:val="fr-CA"/>
        </w:rPr>
        <w:t>Ê</w:t>
      </w:r>
      <w:r w:rsidR="0081610A" w:rsidRPr="00743E53">
        <w:rPr>
          <w:rFonts w:asciiTheme="minorHAnsi" w:hAnsiTheme="minorHAnsi" w:cstheme="minorHAnsi"/>
          <w:b/>
          <w:szCs w:val="24"/>
          <w:lang w:val="fr-CA"/>
        </w:rPr>
        <w:t>ME</w:t>
      </w:r>
    </w:p>
    <w:p w:rsidR="0081610A" w:rsidRPr="002E0C7E" w:rsidRDefault="0081610A" w:rsidP="0081610A">
      <w:pPr>
        <w:widowControl w:val="0"/>
        <w:spacing w:line="180" w:lineRule="auto"/>
        <w:rPr>
          <w:rFonts w:asciiTheme="minorHAnsi" w:hAnsiTheme="minorHAnsi" w:cstheme="minorHAnsi"/>
          <w:szCs w:val="24"/>
        </w:rPr>
      </w:pPr>
    </w:p>
    <w:p w:rsidR="0081610A" w:rsidRPr="002E0C7E" w:rsidRDefault="0081610A" w:rsidP="0081610A">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610A" w:rsidRPr="002E0C7E" w:rsidTr="0083449C">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83449C">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83449C">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83449C">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83449C">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83449C">
            <w:pPr>
              <w:widowControl w:val="0"/>
              <w:jc w:val="center"/>
              <w:rPr>
                <w:rFonts w:ascii="Arial" w:hAnsi="Arial"/>
                <w:sz w:val="14"/>
              </w:rPr>
            </w:pPr>
            <w:r w:rsidRPr="002E0C7E">
              <w:rPr>
                <w:rFonts w:ascii="Arial" w:hAnsi="Arial"/>
                <w:b/>
                <w:sz w:val="14"/>
              </w:rPr>
              <w:t>DECEMBER - DÉCEMBRE</w:t>
            </w:r>
          </w:p>
        </w:tc>
      </w:tr>
      <w:tr w:rsidR="0081610A" w:rsidRPr="002E0C7E" w:rsidTr="0083449C">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r w:rsidRPr="002E0C7E">
              <w:rPr>
                <w:rFonts w:ascii="Arial" w:hAnsi="Arial"/>
                <w:sz w:val="14"/>
              </w:rPr>
              <w:t>S</w:t>
            </w:r>
          </w:p>
          <w:p w:rsidR="0081610A" w:rsidRPr="002E0C7E" w:rsidRDefault="0081610A" w:rsidP="0083449C">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r w:rsidRPr="002E0C7E">
              <w:rPr>
                <w:rFonts w:ascii="Arial" w:hAnsi="Arial"/>
                <w:sz w:val="14"/>
              </w:rPr>
              <w:t>M</w:t>
            </w:r>
          </w:p>
          <w:p w:rsidR="0081610A" w:rsidRPr="002E0C7E" w:rsidRDefault="0081610A" w:rsidP="0083449C">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r w:rsidRPr="002E0C7E">
              <w:rPr>
                <w:rFonts w:ascii="Arial" w:hAnsi="Arial"/>
                <w:sz w:val="14"/>
              </w:rPr>
              <w:t>T</w:t>
            </w:r>
          </w:p>
          <w:p w:rsidR="0081610A" w:rsidRPr="002E0C7E" w:rsidRDefault="0081610A" w:rsidP="0083449C">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r w:rsidRPr="002E0C7E">
              <w:rPr>
                <w:rFonts w:ascii="Arial" w:hAnsi="Arial"/>
                <w:sz w:val="14"/>
              </w:rPr>
              <w:t>W</w:t>
            </w:r>
          </w:p>
          <w:p w:rsidR="0081610A" w:rsidRPr="002E0C7E" w:rsidRDefault="0081610A" w:rsidP="0083449C">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r w:rsidRPr="002E0C7E">
              <w:rPr>
                <w:rFonts w:ascii="Arial" w:hAnsi="Arial"/>
                <w:sz w:val="14"/>
              </w:rPr>
              <w:t>T</w:t>
            </w:r>
          </w:p>
          <w:p w:rsidR="0081610A" w:rsidRPr="002E0C7E" w:rsidRDefault="0081610A" w:rsidP="0083449C">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r w:rsidRPr="002E0C7E">
              <w:rPr>
                <w:rFonts w:ascii="Arial" w:hAnsi="Arial"/>
                <w:sz w:val="14"/>
              </w:rPr>
              <w:t>F</w:t>
            </w:r>
          </w:p>
          <w:p w:rsidR="0081610A" w:rsidRPr="002E0C7E" w:rsidRDefault="0081610A" w:rsidP="0083449C">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r w:rsidRPr="002E0C7E">
              <w:rPr>
                <w:rFonts w:ascii="Arial" w:hAnsi="Arial"/>
                <w:sz w:val="14"/>
              </w:rPr>
              <w:t>S</w:t>
            </w:r>
          </w:p>
          <w:p w:rsidR="0081610A" w:rsidRPr="002E0C7E" w:rsidRDefault="0081610A" w:rsidP="0083449C">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r w:rsidRPr="002E0C7E">
              <w:rPr>
                <w:rFonts w:ascii="Arial" w:hAnsi="Arial"/>
                <w:sz w:val="14"/>
              </w:rPr>
              <w:t>S</w:t>
            </w:r>
          </w:p>
          <w:p w:rsidR="0081610A" w:rsidRPr="002E0C7E" w:rsidRDefault="0081610A" w:rsidP="0083449C">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r w:rsidRPr="002E0C7E">
              <w:rPr>
                <w:rFonts w:ascii="Arial" w:hAnsi="Arial"/>
                <w:sz w:val="14"/>
              </w:rPr>
              <w:t>M</w:t>
            </w:r>
          </w:p>
          <w:p w:rsidR="0081610A" w:rsidRPr="002E0C7E" w:rsidRDefault="0081610A" w:rsidP="0083449C">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r w:rsidRPr="002E0C7E">
              <w:rPr>
                <w:rFonts w:ascii="Arial" w:hAnsi="Arial"/>
                <w:sz w:val="14"/>
              </w:rPr>
              <w:t>T</w:t>
            </w:r>
          </w:p>
          <w:p w:rsidR="0081610A" w:rsidRPr="002E0C7E" w:rsidRDefault="0081610A" w:rsidP="0083449C">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r w:rsidRPr="002E0C7E">
              <w:rPr>
                <w:rFonts w:ascii="Arial" w:hAnsi="Arial"/>
                <w:sz w:val="14"/>
              </w:rPr>
              <w:t>W</w:t>
            </w:r>
          </w:p>
          <w:p w:rsidR="0081610A" w:rsidRPr="002E0C7E" w:rsidRDefault="0081610A" w:rsidP="0083449C">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r w:rsidRPr="002E0C7E">
              <w:rPr>
                <w:rFonts w:ascii="Arial" w:hAnsi="Arial"/>
                <w:sz w:val="14"/>
              </w:rPr>
              <w:t>T</w:t>
            </w:r>
          </w:p>
          <w:p w:rsidR="0081610A" w:rsidRPr="002E0C7E" w:rsidRDefault="0081610A" w:rsidP="0083449C">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r w:rsidRPr="002E0C7E">
              <w:rPr>
                <w:rFonts w:ascii="Arial" w:hAnsi="Arial"/>
                <w:sz w:val="14"/>
              </w:rPr>
              <w:t>F</w:t>
            </w:r>
          </w:p>
          <w:p w:rsidR="0081610A" w:rsidRPr="002E0C7E" w:rsidRDefault="0081610A" w:rsidP="0083449C">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r w:rsidRPr="002E0C7E">
              <w:rPr>
                <w:rFonts w:ascii="Arial" w:hAnsi="Arial"/>
                <w:sz w:val="14"/>
              </w:rPr>
              <w:t>S</w:t>
            </w:r>
          </w:p>
          <w:p w:rsidR="0081610A" w:rsidRPr="002E0C7E" w:rsidRDefault="0081610A" w:rsidP="0083449C">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r w:rsidRPr="002E0C7E">
              <w:rPr>
                <w:rFonts w:ascii="Arial" w:hAnsi="Arial"/>
                <w:sz w:val="14"/>
              </w:rPr>
              <w:t>S</w:t>
            </w:r>
          </w:p>
          <w:p w:rsidR="0081610A" w:rsidRPr="002E0C7E" w:rsidRDefault="0081610A" w:rsidP="0083449C">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r w:rsidRPr="002E0C7E">
              <w:rPr>
                <w:rFonts w:ascii="Arial" w:hAnsi="Arial"/>
                <w:sz w:val="14"/>
              </w:rPr>
              <w:t>M</w:t>
            </w:r>
          </w:p>
          <w:p w:rsidR="0081610A" w:rsidRPr="002E0C7E" w:rsidRDefault="0081610A" w:rsidP="0083449C">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r w:rsidRPr="002E0C7E">
              <w:rPr>
                <w:rFonts w:ascii="Arial" w:hAnsi="Arial"/>
                <w:sz w:val="14"/>
              </w:rPr>
              <w:t>T</w:t>
            </w:r>
          </w:p>
          <w:p w:rsidR="0081610A" w:rsidRPr="002E0C7E" w:rsidRDefault="0081610A" w:rsidP="0083449C">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r w:rsidRPr="002E0C7E">
              <w:rPr>
                <w:rFonts w:ascii="Arial" w:hAnsi="Arial"/>
                <w:sz w:val="14"/>
              </w:rPr>
              <w:t>W</w:t>
            </w:r>
          </w:p>
          <w:p w:rsidR="0081610A" w:rsidRPr="002E0C7E" w:rsidRDefault="0081610A" w:rsidP="0083449C">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r w:rsidRPr="002E0C7E">
              <w:rPr>
                <w:rFonts w:ascii="Arial" w:hAnsi="Arial"/>
                <w:sz w:val="14"/>
              </w:rPr>
              <w:t>T</w:t>
            </w:r>
          </w:p>
          <w:p w:rsidR="0081610A" w:rsidRPr="002E0C7E" w:rsidRDefault="0081610A" w:rsidP="0083449C">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r w:rsidRPr="002E0C7E">
              <w:rPr>
                <w:rFonts w:ascii="Arial" w:hAnsi="Arial"/>
                <w:sz w:val="14"/>
              </w:rPr>
              <w:t>F</w:t>
            </w:r>
          </w:p>
          <w:p w:rsidR="0081610A" w:rsidRPr="002E0C7E" w:rsidRDefault="0081610A" w:rsidP="0083449C">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r w:rsidRPr="002E0C7E">
              <w:rPr>
                <w:rFonts w:ascii="Arial" w:hAnsi="Arial"/>
                <w:sz w:val="14"/>
              </w:rPr>
              <w:t>S</w:t>
            </w:r>
          </w:p>
          <w:p w:rsidR="0081610A" w:rsidRPr="002E0C7E" w:rsidRDefault="0081610A" w:rsidP="0083449C">
            <w:pPr>
              <w:widowControl w:val="0"/>
              <w:jc w:val="center"/>
              <w:rPr>
                <w:rFonts w:ascii="Arial" w:hAnsi="Arial"/>
                <w:sz w:val="14"/>
              </w:rPr>
            </w:pPr>
            <w:r w:rsidRPr="002E0C7E">
              <w:rPr>
                <w:rFonts w:ascii="Arial" w:hAnsi="Arial"/>
                <w:sz w:val="14"/>
              </w:rPr>
              <w:t>S</w:t>
            </w:r>
          </w:p>
        </w:tc>
      </w:tr>
      <w:tr w:rsidR="0081610A" w:rsidRPr="002E0C7E" w:rsidTr="0083449C">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35CC4" w:rsidRDefault="0081610A" w:rsidP="0083449C">
            <w:pPr>
              <w:widowControl w:val="0"/>
              <w:jc w:val="center"/>
              <w:rPr>
                <w:rFonts w:ascii="Arial" w:hAnsi="Arial"/>
                <w:b/>
                <w:sz w:val="14"/>
              </w:rPr>
            </w:pPr>
            <w:r>
              <w:rPr>
                <w:rFonts w:ascii="Arial" w:hAnsi="Arial"/>
                <w:b/>
                <w:sz w:val="14"/>
              </w:rPr>
              <w:t>M</w:t>
            </w:r>
          </w:p>
          <w:p w:rsidR="0081610A" w:rsidRPr="002E0C7E" w:rsidRDefault="0081610A" w:rsidP="0083449C">
            <w:pPr>
              <w:widowControl w:val="0"/>
              <w:jc w:val="center"/>
              <w:rPr>
                <w:rFonts w:ascii="Arial" w:hAnsi="Arial"/>
                <w:sz w:val="14"/>
              </w:rPr>
            </w:pPr>
            <w:r>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7</w:t>
            </w:r>
          </w:p>
        </w:tc>
      </w:tr>
      <w:tr w:rsidR="0081610A" w:rsidRPr="002E0C7E" w:rsidTr="0083449C">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C583B" w:rsidRDefault="0081610A" w:rsidP="0083449C">
            <w:pPr>
              <w:widowControl w:val="0"/>
              <w:jc w:val="center"/>
              <w:rPr>
                <w:rFonts w:ascii="Arial" w:hAnsi="Arial"/>
                <w:b/>
                <w:sz w:val="14"/>
              </w:rPr>
            </w:pPr>
            <w:r>
              <w:rPr>
                <w:rFonts w:ascii="Arial" w:hAnsi="Arial"/>
                <w:b/>
                <w:sz w:val="14"/>
              </w:rPr>
              <w:t>M</w:t>
            </w:r>
          </w:p>
          <w:p w:rsidR="0081610A" w:rsidRPr="002E0C7E" w:rsidRDefault="0081610A" w:rsidP="0083449C">
            <w:pPr>
              <w:widowControl w:val="0"/>
              <w:jc w:val="center"/>
              <w:rPr>
                <w:rFonts w:ascii="Arial" w:hAnsi="Arial"/>
                <w:sz w:val="14"/>
              </w:rPr>
            </w:pPr>
            <w:r>
              <w:rPr>
                <w:rFonts w:ascii="Arial" w:hAnsi="Arial"/>
                <w:sz w:val="14"/>
              </w:rPr>
              <w:t>7</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0C583B" w:rsidRDefault="0081610A" w:rsidP="0083449C">
            <w:pPr>
              <w:widowControl w:val="0"/>
              <w:jc w:val="center"/>
              <w:rPr>
                <w:rFonts w:ascii="Arial" w:hAnsi="Arial"/>
                <w:b/>
                <w:sz w:val="14"/>
              </w:rPr>
            </w:pPr>
          </w:p>
          <w:p w:rsidR="0081610A" w:rsidRPr="002E0C7E" w:rsidRDefault="0081610A" w:rsidP="0083449C">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12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3</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r w:rsidRPr="002E0C7E">
              <w:rPr>
                <w:rFonts w:ascii="Arial" w:hAnsi="Arial"/>
                <w:b/>
                <w:sz w:val="14"/>
              </w:rPr>
              <w:t>M</w:t>
            </w:r>
          </w:p>
          <w:p w:rsidR="0081610A" w:rsidRPr="002E0C7E" w:rsidRDefault="0081610A" w:rsidP="0083449C">
            <w:pPr>
              <w:widowControl w:val="0"/>
              <w:jc w:val="center"/>
              <w:rPr>
                <w:rFonts w:ascii="Arial" w:hAnsi="Arial"/>
                <w:sz w:val="14"/>
              </w:rPr>
            </w:pP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8</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14</w:t>
            </w:r>
          </w:p>
        </w:tc>
      </w:tr>
      <w:tr w:rsidR="0081610A" w:rsidRPr="002E0C7E" w:rsidTr="0083449C">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0C583B" w:rsidRDefault="0081610A" w:rsidP="0083449C">
            <w:pPr>
              <w:widowControl w:val="0"/>
              <w:jc w:val="center"/>
              <w:rPr>
                <w:rFonts w:ascii="Arial" w:hAnsi="Arial"/>
                <w:b/>
                <w:sz w:val="14"/>
              </w:rPr>
            </w:pPr>
            <w:r>
              <w:rPr>
                <w:rFonts w:ascii="Arial" w:hAnsi="Arial"/>
                <w:b/>
                <w:sz w:val="14"/>
              </w:rPr>
              <w:t>H</w:t>
            </w:r>
          </w:p>
          <w:p w:rsidR="0081610A" w:rsidRPr="002E0C7E" w:rsidRDefault="0081610A" w:rsidP="0083449C">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0C583B"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19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4030BA" w:rsidRDefault="0081610A" w:rsidP="0083449C">
            <w:pPr>
              <w:widowControl w:val="0"/>
              <w:jc w:val="center"/>
              <w:rPr>
                <w:rFonts w:ascii="Arial" w:hAnsi="Arial"/>
                <w:sz w:val="14"/>
              </w:rPr>
            </w:pPr>
            <w:r>
              <w:rPr>
                <w:rFonts w:ascii="Arial" w:hAnsi="Arial"/>
                <w:b/>
                <w:sz w:val="14"/>
              </w:rPr>
              <w:t>H</w:t>
            </w:r>
          </w:p>
          <w:p w:rsidR="0081610A" w:rsidRPr="002E0C7E" w:rsidRDefault="0081610A" w:rsidP="0083449C">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83449C">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17</w:t>
            </w:r>
          </w:p>
        </w:tc>
        <w:tc>
          <w:tcPr>
            <w:tcW w:w="470" w:type="dxa"/>
            <w:tcBorders>
              <w:top w:val="double" w:sz="6" w:space="0" w:color="000000"/>
              <w:left w:val="single" w:sz="8" w:space="0" w:color="000000"/>
              <w:bottom w:val="nil"/>
              <w:right w:val="nil"/>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83449C">
            <w:pPr>
              <w:widowControl w:val="0"/>
              <w:jc w:val="center"/>
              <w:rPr>
                <w:rFonts w:ascii="Arial" w:hAnsi="Arial"/>
                <w:b/>
                <w:sz w:val="14"/>
              </w:rPr>
            </w:pPr>
            <w:r>
              <w:rPr>
                <w:rFonts w:ascii="Arial" w:hAnsi="Arial"/>
                <w:b/>
                <w:sz w:val="14"/>
              </w:rPr>
              <w:t>H</w:t>
            </w:r>
          </w:p>
          <w:p w:rsidR="0081610A" w:rsidRPr="002E0C7E" w:rsidRDefault="0081610A" w:rsidP="0083449C">
            <w:pPr>
              <w:widowControl w:val="0"/>
              <w:jc w:val="center"/>
              <w:rPr>
                <w:rFonts w:ascii="Arial" w:hAnsi="Arial"/>
                <w:sz w:val="14"/>
              </w:rPr>
            </w:pPr>
            <w:r>
              <w:rPr>
                <w:rFonts w:ascii="Arial" w:hAnsi="Arial"/>
                <w:sz w:val="14"/>
              </w:rPr>
              <w:t>25</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83449C">
            <w:pPr>
              <w:widowControl w:val="0"/>
              <w:jc w:val="center"/>
              <w:rPr>
                <w:rFonts w:ascii="Arial" w:hAnsi="Arial"/>
                <w:b/>
                <w:sz w:val="14"/>
              </w:rPr>
            </w:pPr>
            <w:r>
              <w:rPr>
                <w:rFonts w:ascii="Arial" w:hAnsi="Arial"/>
                <w:b/>
                <w:sz w:val="14"/>
              </w:rPr>
              <w:t>H</w:t>
            </w:r>
          </w:p>
          <w:p w:rsidR="0081610A" w:rsidRPr="002E0C7E" w:rsidRDefault="0081610A" w:rsidP="0083449C">
            <w:pPr>
              <w:widowControl w:val="0"/>
              <w:jc w:val="center"/>
              <w:rPr>
                <w:rFonts w:ascii="Arial" w:hAnsi="Arial"/>
                <w:sz w:val="14"/>
              </w:rPr>
            </w:pPr>
            <w:r>
              <w:rPr>
                <w:rFonts w:ascii="Arial" w:hAnsi="Arial"/>
                <w:sz w:val="14"/>
              </w:rPr>
              <w:t>26</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83449C">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4" w:space="0" w:color="auto"/>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p>
        </w:tc>
      </w:tr>
    </w:tbl>
    <w:p w:rsidR="0081610A" w:rsidRPr="002E0C7E" w:rsidRDefault="0081610A" w:rsidP="0081610A">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610A" w:rsidRPr="002E0C7E" w:rsidTr="0083449C">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83449C">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83449C">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83449C">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83449C">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83449C">
            <w:pPr>
              <w:widowControl w:val="0"/>
              <w:jc w:val="center"/>
              <w:rPr>
                <w:rFonts w:ascii="Arial" w:hAnsi="Arial"/>
                <w:sz w:val="14"/>
              </w:rPr>
            </w:pPr>
            <w:r w:rsidRPr="002E0C7E">
              <w:rPr>
                <w:rFonts w:ascii="Arial" w:hAnsi="Arial"/>
                <w:b/>
                <w:sz w:val="14"/>
              </w:rPr>
              <w:t>MARCH - MARS</w:t>
            </w:r>
          </w:p>
        </w:tc>
      </w:tr>
      <w:tr w:rsidR="0081610A" w:rsidRPr="002E0C7E" w:rsidTr="0083449C">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r w:rsidRPr="002E0C7E">
              <w:rPr>
                <w:rFonts w:ascii="Arial" w:hAnsi="Arial"/>
                <w:sz w:val="14"/>
              </w:rPr>
              <w:t>S</w:t>
            </w:r>
          </w:p>
          <w:p w:rsidR="0081610A" w:rsidRPr="002E0C7E" w:rsidRDefault="0081610A" w:rsidP="0083449C">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r w:rsidRPr="002E0C7E">
              <w:rPr>
                <w:rFonts w:ascii="Arial" w:hAnsi="Arial"/>
                <w:sz w:val="14"/>
              </w:rPr>
              <w:t>M</w:t>
            </w:r>
          </w:p>
          <w:p w:rsidR="0081610A" w:rsidRPr="002E0C7E" w:rsidRDefault="0081610A" w:rsidP="0083449C">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r w:rsidRPr="002E0C7E">
              <w:rPr>
                <w:rFonts w:ascii="Arial" w:hAnsi="Arial"/>
                <w:sz w:val="14"/>
              </w:rPr>
              <w:t>T</w:t>
            </w:r>
          </w:p>
          <w:p w:rsidR="0081610A" w:rsidRPr="002E0C7E" w:rsidRDefault="0081610A" w:rsidP="0083449C">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r w:rsidRPr="002E0C7E">
              <w:rPr>
                <w:rFonts w:ascii="Arial" w:hAnsi="Arial"/>
                <w:sz w:val="14"/>
              </w:rPr>
              <w:t>W</w:t>
            </w:r>
          </w:p>
          <w:p w:rsidR="0081610A" w:rsidRPr="002E0C7E" w:rsidRDefault="0081610A" w:rsidP="0083449C">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r w:rsidRPr="002E0C7E">
              <w:rPr>
                <w:rFonts w:ascii="Arial" w:hAnsi="Arial"/>
                <w:sz w:val="14"/>
              </w:rPr>
              <w:t>T</w:t>
            </w:r>
          </w:p>
          <w:p w:rsidR="0081610A" w:rsidRPr="002E0C7E" w:rsidRDefault="0081610A" w:rsidP="0083449C">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r w:rsidRPr="002E0C7E">
              <w:rPr>
                <w:rFonts w:ascii="Arial" w:hAnsi="Arial"/>
                <w:sz w:val="14"/>
              </w:rPr>
              <w:t>F</w:t>
            </w:r>
          </w:p>
          <w:p w:rsidR="0081610A" w:rsidRPr="002E0C7E" w:rsidRDefault="0081610A" w:rsidP="0083449C">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r w:rsidRPr="002E0C7E">
              <w:rPr>
                <w:rFonts w:ascii="Arial" w:hAnsi="Arial"/>
                <w:sz w:val="14"/>
              </w:rPr>
              <w:t>S</w:t>
            </w:r>
          </w:p>
          <w:p w:rsidR="0081610A" w:rsidRPr="002E0C7E" w:rsidRDefault="0081610A" w:rsidP="0083449C">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r w:rsidRPr="002E0C7E">
              <w:rPr>
                <w:rFonts w:ascii="Arial" w:hAnsi="Arial"/>
                <w:sz w:val="14"/>
              </w:rPr>
              <w:t>S</w:t>
            </w:r>
          </w:p>
          <w:p w:rsidR="0081610A" w:rsidRPr="002E0C7E" w:rsidRDefault="0081610A" w:rsidP="0083449C">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r w:rsidRPr="002E0C7E">
              <w:rPr>
                <w:rFonts w:ascii="Arial" w:hAnsi="Arial"/>
                <w:sz w:val="14"/>
              </w:rPr>
              <w:t>M</w:t>
            </w:r>
          </w:p>
          <w:p w:rsidR="0081610A" w:rsidRPr="002E0C7E" w:rsidRDefault="0081610A" w:rsidP="0083449C">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r w:rsidRPr="002E0C7E">
              <w:rPr>
                <w:rFonts w:ascii="Arial" w:hAnsi="Arial"/>
                <w:sz w:val="14"/>
              </w:rPr>
              <w:t>T</w:t>
            </w:r>
          </w:p>
          <w:p w:rsidR="0081610A" w:rsidRPr="002E0C7E" w:rsidRDefault="0081610A" w:rsidP="0083449C">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r w:rsidRPr="002E0C7E">
              <w:rPr>
                <w:rFonts w:ascii="Arial" w:hAnsi="Arial"/>
                <w:sz w:val="14"/>
              </w:rPr>
              <w:t>W</w:t>
            </w:r>
          </w:p>
          <w:p w:rsidR="0081610A" w:rsidRPr="002E0C7E" w:rsidRDefault="0081610A" w:rsidP="0083449C">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r w:rsidRPr="002E0C7E">
              <w:rPr>
                <w:rFonts w:ascii="Arial" w:hAnsi="Arial"/>
                <w:sz w:val="14"/>
              </w:rPr>
              <w:t>T</w:t>
            </w:r>
          </w:p>
          <w:p w:rsidR="0081610A" w:rsidRPr="002E0C7E" w:rsidRDefault="0081610A" w:rsidP="0083449C">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r w:rsidRPr="002E0C7E">
              <w:rPr>
                <w:rFonts w:ascii="Arial" w:hAnsi="Arial"/>
                <w:sz w:val="14"/>
              </w:rPr>
              <w:t>F</w:t>
            </w:r>
          </w:p>
          <w:p w:rsidR="0081610A" w:rsidRPr="002E0C7E" w:rsidRDefault="0081610A" w:rsidP="0083449C">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r w:rsidRPr="002E0C7E">
              <w:rPr>
                <w:rFonts w:ascii="Arial" w:hAnsi="Arial"/>
                <w:sz w:val="14"/>
              </w:rPr>
              <w:t>S</w:t>
            </w:r>
          </w:p>
          <w:p w:rsidR="0081610A" w:rsidRPr="002E0C7E" w:rsidRDefault="0081610A" w:rsidP="0083449C">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r w:rsidRPr="002E0C7E">
              <w:rPr>
                <w:rFonts w:ascii="Arial" w:hAnsi="Arial"/>
                <w:sz w:val="14"/>
              </w:rPr>
              <w:t>S</w:t>
            </w:r>
          </w:p>
          <w:p w:rsidR="0081610A" w:rsidRPr="002E0C7E" w:rsidRDefault="0081610A" w:rsidP="0083449C">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r w:rsidRPr="002E0C7E">
              <w:rPr>
                <w:rFonts w:ascii="Arial" w:hAnsi="Arial"/>
                <w:sz w:val="14"/>
              </w:rPr>
              <w:t>M</w:t>
            </w:r>
          </w:p>
          <w:p w:rsidR="0081610A" w:rsidRPr="002E0C7E" w:rsidRDefault="0081610A" w:rsidP="0083449C">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r w:rsidRPr="002E0C7E">
              <w:rPr>
                <w:rFonts w:ascii="Arial" w:hAnsi="Arial"/>
                <w:sz w:val="14"/>
              </w:rPr>
              <w:t>T</w:t>
            </w:r>
          </w:p>
          <w:p w:rsidR="0081610A" w:rsidRPr="002E0C7E" w:rsidRDefault="0081610A" w:rsidP="0083449C">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r w:rsidRPr="002E0C7E">
              <w:rPr>
                <w:rFonts w:ascii="Arial" w:hAnsi="Arial"/>
                <w:sz w:val="14"/>
              </w:rPr>
              <w:t>W</w:t>
            </w:r>
          </w:p>
          <w:p w:rsidR="0081610A" w:rsidRPr="002E0C7E" w:rsidRDefault="0081610A" w:rsidP="0083449C">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r w:rsidRPr="002E0C7E">
              <w:rPr>
                <w:rFonts w:ascii="Arial" w:hAnsi="Arial"/>
                <w:sz w:val="14"/>
              </w:rPr>
              <w:t>T</w:t>
            </w:r>
          </w:p>
          <w:p w:rsidR="0081610A" w:rsidRPr="002E0C7E" w:rsidRDefault="0081610A" w:rsidP="0083449C">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r w:rsidRPr="002E0C7E">
              <w:rPr>
                <w:rFonts w:ascii="Arial" w:hAnsi="Arial"/>
                <w:sz w:val="14"/>
              </w:rPr>
              <w:t>F</w:t>
            </w:r>
          </w:p>
          <w:p w:rsidR="0081610A" w:rsidRPr="002E0C7E" w:rsidRDefault="0081610A" w:rsidP="0083449C">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r w:rsidRPr="002E0C7E">
              <w:rPr>
                <w:rFonts w:ascii="Arial" w:hAnsi="Arial"/>
                <w:sz w:val="14"/>
              </w:rPr>
              <w:t>S</w:t>
            </w:r>
          </w:p>
          <w:p w:rsidR="0081610A" w:rsidRPr="002E0C7E" w:rsidRDefault="0081610A" w:rsidP="0083449C">
            <w:pPr>
              <w:widowControl w:val="0"/>
              <w:jc w:val="center"/>
              <w:rPr>
                <w:rFonts w:ascii="Arial" w:hAnsi="Arial"/>
                <w:sz w:val="14"/>
              </w:rPr>
            </w:pPr>
            <w:r w:rsidRPr="002E0C7E">
              <w:rPr>
                <w:rFonts w:ascii="Arial" w:hAnsi="Arial"/>
                <w:sz w:val="14"/>
              </w:rPr>
              <w:t>S</w:t>
            </w:r>
          </w:p>
        </w:tc>
      </w:tr>
      <w:tr w:rsidR="0081610A" w:rsidRPr="002E0C7E" w:rsidTr="0083449C">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317A69" w:rsidRDefault="0081610A" w:rsidP="0083449C">
            <w:pPr>
              <w:widowControl w:val="0"/>
              <w:jc w:val="center"/>
              <w:rPr>
                <w:rFonts w:ascii="Arial" w:hAnsi="Arial"/>
                <w:b/>
                <w:sz w:val="14"/>
              </w:rPr>
            </w:pPr>
          </w:p>
          <w:p w:rsidR="0081610A" w:rsidRPr="002E0C7E" w:rsidRDefault="0081610A" w:rsidP="0083449C">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83449C">
            <w:pPr>
              <w:widowControl w:val="0"/>
              <w:jc w:val="center"/>
              <w:rPr>
                <w:rFonts w:ascii="Arial" w:hAnsi="Arial"/>
                <w:b/>
                <w:sz w:val="14"/>
              </w:rPr>
            </w:pPr>
            <w:r>
              <w:rPr>
                <w:rFonts w:ascii="Arial" w:hAnsi="Arial"/>
                <w:b/>
                <w:sz w:val="14"/>
              </w:rPr>
              <w:t>H</w:t>
            </w:r>
          </w:p>
          <w:p w:rsidR="0081610A" w:rsidRPr="002E0C7E" w:rsidRDefault="0081610A" w:rsidP="0083449C">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1</w:t>
            </w:r>
          </w:p>
        </w:tc>
      </w:tr>
      <w:tr w:rsidR="0081610A" w:rsidRPr="002E0C7E" w:rsidTr="0083449C">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8</w:t>
            </w:r>
          </w:p>
        </w:tc>
      </w:tr>
      <w:tr w:rsidR="0081610A" w:rsidRPr="002E0C7E" w:rsidTr="0083449C">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7255AD" w:rsidRDefault="0081610A" w:rsidP="0083449C">
            <w:pPr>
              <w:widowControl w:val="0"/>
              <w:jc w:val="center"/>
              <w:rPr>
                <w:rFonts w:ascii="Arial" w:hAnsi="Arial"/>
                <w:b/>
                <w:sz w:val="14"/>
              </w:rPr>
            </w:pPr>
            <w:r>
              <w:rPr>
                <w:rFonts w:ascii="Arial" w:hAnsi="Arial"/>
                <w:b/>
                <w:sz w:val="14"/>
              </w:rPr>
              <w:t>M</w:t>
            </w:r>
          </w:p>
          <w:p w:rsidR="0081610A" w:rsidRPr="002E0C7E" w:rsidRDefault="0081610A" w:rsidP="0083449C">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9</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0E2B85" w:rsidRDefault="0081610A" w:rsidP="0083449C">
            <w:pPr>
              <w:widowControl w:val="0"/>
              <w:jc w:val="center"/>
              <w:rPr>
                <w:rFonts w:ascii="Arial" w:hAnsi="Arial"/>
                <w:b/>
                <w:sz w:val="14"/>
              </w:rPr>
            </w:pPr>
            <w:r>
              <w:rPr>
                <w:rFonts w:ascii="Arial" w:hAnsi="Arial"/>
                <w:b/>
                <w:sz w:val="14"/>
              </w:rPr>
              <w:t>M</w:t>
            </w:r>
          </w:p>
          <w:p w:rsidR="0081610A" w:rsidRPr="002E0C7E" w:rsidRDefault="0081610A" w:rsidP="0083449C">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1</w:t>
            </w:r>
            <w:r>
              <w:rPr>
                <w:rFonts w:ascii="Arial" w:hAnsi="Arial"/>
                <w:sz w:val="14"/>
              </w:rPr>
              <w:t>5</w:t>
            </w:r>
          </w:p>
        </w:tc>
      </w:tr>
      <w:tr w:rsidR="0081610A" w:rsidRPr="002E0C7E" w:rsidTr="0083449C">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34238" w:rsidRDefault="0081610A" w:rsidP="0083449C">
            <w:pPr>
              <w:widowControl w:val="0"/>
              <w:jc w:val="center"/>
              <w:rPr>
                <w:rFonts w:ascii="Arial" w:hAnsi="Arial"/>
                <w:b/>
                <w:sz w:val="14"/>
              </w:rPr>
            </w:pPr>
            <w:r>
              <w:rPr>
                <w:rFonts w:ascii="Arial" w:hAnsi="Arial"/>
                <w:b/>
                <w:sz w:val="14"/>
              </w:rPr>
              <w:t>M</w:t>
            </w:r>
          </w:p>
          <w:p w:rsidR="0081610A" w:rsidRPr="002E0C7E" w:rsidRDefault="0081610A" w:rsidP="0083449C">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2</w:t>
            </w:r>
            <w:r>
              <w:rPr>
                <w:rFonts w:ascii="Arial" w:hAnsi="Arial"/>
                <w:sz w:val="14"/>
              </w:rPr>
              <w:t>2</w:t>
            </w:r>
          </w:p>
        </w:tc>
      </w:tr>
      <w:tr w:rsidR="0081610A" w:rsidRPr="002E0C7E" w:rsidTr="0083449C">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r>
              <w:rPr>
                <w:rFonts w:ascii="Arial" w:hAnsi="Arial"/>
                <w:sz w:val="14"/>
              </w:rPr>
              <w:t>23</w:t>
            </w:r>
          </w:p>
          <w:p w:rsidR="0081610A" w:rsidRPr="002E0C7E" w:rsidRDefault="0081610A" w:rsidP="0083449C">
            <w:pPr>
              <w:widowControl w:val="0"/>
              <w:jc w:val="center"/>
              <w:rPr>
                <w:rFonts w:ascii="Arial" w:hAnsi="Arial"/>
                <w:sz w:val="14"/>
              </w:rPr>
            </w:pPr>
            <w:r>
              <w:rPr>
                <w:rFonts w:ascii="Arial" w:hAnsi="Arial"/>
                <w:sz w:val="14"/>
              </w:rPr>
              <w:t xml:space="preserve">  30</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r>
              <w:rPr>
                <w:rFonts w:ascii="Arial" w:hAnsi="Arial"/>
                <w:sz w:val="14"/>
              </w:rPr>
              <w:t>24</w:t>
            </w:r>
          </w:p>
          <w:p w:rsidR="0081610A" w:rsidRPr="002E0C7E" w:rsidRDefault="0081610A" w:rsidP="0083449C">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61B35" w:rsidRDefault="0081610A" w:rsidP="0083449C">
            <w:pPr>
              <w:widowControl w:val="0"/>
              <w:jc w:val="center"/>
              <w:rPr>
                <w:rFonts w:ascii="Arial" w:hAnsi="Arial"/>
                <w:b/>
                <w:sz w:val="14"/>
              </w:rPr>
            </w:pPr>
          </w:p>
          <w:p w:rsidR="0081610A" w:rsidRPr="002E0C7E" w:rsidRDefault="0081610A" w:rsidP="0083449C">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29</w:t>
            </w:r>
          </w:p>
        </w:tc>
      </w:tr>
    </w:tbl>
    <w:p w:rsidR="0081610A" w:rsidRPr="002E0C7E" w:rsidRDefault="0081610A" w:rsidP="0081610A">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610A" w:rsidRPr="002E0C7E" w:rsidTr="0083449C">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83449C">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83449C">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83449C">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83449C">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83449C">
            <w:pPr>
              <w:widowControl w:val="0"/>
              <w:jc w:val="center"/>
              <w:rPr>
                <w:rFonts w:ascii="Arial" w:hAnsi="Arial"/>
                <w:sz w:val="14"/>
              </w:rPr>
            </w:pPr>
            <w:r w:rsidRPr="002E0C7E">
              <w:rPr>
                <w:rFonts w:ascii="Arial" w:hAnsi="Arial"/>
                <w:b/>
                <w:sz w:val="14"/>
              </w:rPr>
              <w:t>JUNE - JUIN</w:t>
            </w:r>
          </w:p>
        </w:tc>
      </w:tr>
      <w:tr w:rsidR="0081610A" w:rsidRPr="002E0C7E" w:rsidTr="0083449C">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r w:rsidRPr="002E0C7E">
              <w:rPr>
                <w:rFonts w:ascii="Arial" w:hAnsi="Arial"/>
                <w:sz w:val="14"/>
              </w:rPr>
              <w:t>S</w:t>
            </w:r>
          </w:p>
          <w:p w:rsidR="0081610A" w:rsidRPr="002E0C7E" w:rsidRDefault="0081610A" w:rsidP="0083449C">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r w:rsidRPr="002E0C7E">
              <w:rPr>
                <w:rFonts w:ascii="Arial" w:hAnsi="Arial"/>
                <w:sz w:val="14"/>
              </w:rPr>
              <w:t>M</w:t>
            </w:r>
          </w:p>
          <w:p w:rsidR="0081610A" w:rsidRPr="002E0C7E" w:rsidRDefault="0081610A" w:rsidP="0083449C">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r w:rsidRPr="002E0C7E">
              <w:rPr>
                <w:rFonts w:ascii="Arial" w:hAnsi="Arial"/>
                <w:sz w:val="14"/>
              </w:rPr>
              <w:t>T</w:t>
            </w:r>
          </w:p>
          <w:p w:rsidR="0081610A" w:rsidRPr="002E0C7E" w:rsidRDefault="0081610A" w:rsidP="0083449C">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r w:rsidRPr="002E0C7E">
              <w:rPr>
                <w:rFonts w:ascii="Arial" w:hAnsi="Arial"/>
                <w:sz w:val="14"/>
              </w:rPr>
              <w:t>W</w:t>
            </w:r>
          </w:p>
          <w:p w:rsidR="0081610A" w:rsidRPr="002E0C7E" w:rsidRDefault="0081610A" w:rsidP="0083449C">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r w:rsidRPr="002E0C7E">
              <w:rPr>
                <w:rFonts w:ascii="Arial" w:hAnsi="Arial"/>
                <w:sz w:val="14"/>
              </w:rPr>
              <w:t>T</w:t>
            </w:r>
          </w:p>
          <w:p w:rsidR="0081610A" w:rsidRPr="002E0C7E" w:rsidRDefault="0081610A" w:rsidP="0083449C">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r w:rsidRPr="002E0C7E">
              <w:rPr>
                <w:rFonts w:ascii="Arial" w:hAnsi="Arial"/>
                <w:sz w:val="14"/>
              </w:rPr>
              <w:t>F</w:t>
            </w:r>
          </w:p>
          <w:p w:rsidR="0081610A" w:rsidRPr="002E0C7E" w:rsidRDefault="0081610A" w:rsidP="0083449C">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r w:rsidRPr="002E0C7E">
              <w:rPr>
                <w:rFonts w:ascii="Arial" w:hAnsi="Arial"/>
                <w:sz w:val="14"/>
              </w:rPr>
              <w:t>S</w:t>
            </w:r>
          </w:p>
          <w:p w:rsidR="0081610A" w:rsidRPr="002E0C7E" w:rsidRDefault="0081610A" w:rsidP="0083449C">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r w:rsidRPr="002E0C7E">
              <w:rPr>
                <w:rFonts w:ascii="Arial" w:hAnsi="Arial"/>
                <w:sz w:val="14"/>
              </w:rPr>
              <w:t>S</w:t>
            </w:r>
          </w:p>
          <w:p w:rsidR="0081610A" w:rsidRPr="002E0C7E" w:rsidRDefault="0081610A" w:rsidP="0083449C">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r w:rsidRPr="002E0C7E">
              <w:rPr>
                <w:rFonts w:ascii="Arial" w:hAnsi="Arial"/>
                <w:sz w:val="14"/>
              </w:rPr>
              <w:t>M</w:t>
            </w:r>
          </w:p>
          <w:p w:rsidR="0081610A" w:rsidRPr="002E0C7E" w:rsidRDefault="0081610A" w:rsidP="0083449C">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r w:rsidRPr="002E0C7E">
              <w:rPr>
                <w:rFonts w:ascii="Arial" w:hAnsi="Arial"/>
                <w:sz w:val="14"/>
              </w:rPr>
              <w:t>T</w:t>
            </w:r>
          </w:p>
          <w:p w:rsidR="0081610A" w:rsidRPr="002E0C7E" w:rsidRDefault="0081610A" w:rsidP="0083449C">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r w:rsidRPr="002E0C7E">
              <w:rPr>
                <w:rFonts w:ascii="Arial" w:hAnsi="Arial"/>
                <w:sz w:val="14"/>
              </w:rPr>
              <w:t>W</w:t>
            </w:r>
          </w:p>
          <w:p w:rsidR="0081610A" w:rsidRPr="002E0C7E" w:rsidRDefault="0081610A" w:rsidP="0083449C">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r w:rsidRPr="002E0C7E">
              <w:rPr>
                <w:rFonts w:ascii="Arial" w:hAnsi="Arial"/>
                <w:sz w:val="14"/>
              </w:rPr>
              <w:t>T</w:t>
            </w:r>
          </w:p>
          <w:p w:rsidR="0081610A" w:rsidRPr="002E0C7E" w:rsidRDefault="0081610A" w:rsidP="0083449C">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r w:rsidRPr="002E0C7E">
              <w:rPr>
                <w:rFonts w:ascii="Arial" w:hAnsi="Arial"/>
                <w:sz w:val="14"/>
              </w:rPr>
              <w:t>F</w:t>
            </w:r>
          </w:p>
          <w:p w:rsidR="0081610A" w:rsidRPr="002E0C7E" w:rsidRDefault="0081610A" w:rsidP="0083449C">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r w:rsidRPr="002E0C7E">
              <w:rPr>
                <w:rFonts w:ascii="Arial" w:hAnsi="Arial"/>
                <w:sz w:val="14"/>
              </w:rPr>
              <w:t>S</w:t>
            </w:r>
          </w:p>
          <w:p w:rsidR="0081610A" w:rsidRPr="002E0C7E" w:rsidRDefault="0081610A" w:rsidP="0083449C">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r w:rsidRPr="002E0C7E">
              <w:rPr>
                <w:rFonts w:ascii="Arial" w:hAnsi="Arial"/>
                <w:sz w:val="14"/>
              </w:rPr>
              <w:t>S</w:t>
            </w:r>
          </w:p>
          <w:p w:rsidR="0081610A" w:rsidRPr="002E0C7E" w:rsidRDefault="0081610A" w:rsidP="0083449C">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r w:rsidRPr="002E0C7E">
              <w:rPr>
                <w:rFonts w:ascii="Arial" w:hAnsi="Arial"/>
                <w:sz w:val="14"/>
              </w:rPr>
              <w:t>M</w:t>
            </w:r>
          </w:p>
          <w:p w:rsidR="0081610A" w:rsidRPr="002E0C7E" w:rsidRDefault="0081610A" w:rsidP="0083449C">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r w:rsidRPr="002E0C7E">
              <w:rPr>
                <w:rFonts w:ascii="Arial" w:hAnsi="Arial"/>
                <w:sz w:val="14"/>
              </w:rPr>
              <w:t>T</w:t>
            </w:r>
          </w:p>
          <w:p w:rsidR="0081610A" w:rsidRPr="002E0C7E" w:rsidRDefault="0081610A" w:rsidP="0083449C">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r w:rsidRPr="002E0C7E">
              <w:rPr>
                <w:rFonts w:ascii="Arial" w:hAnsi="Arial"/>
                <w:sz w:val="14"/>
              </w:rPr>
              <w:t>W</w:t>
            </w:r>
          </w:p>
          <w:p w:rsidR="0081610A" w:rsidRPr="002E0C7E" w:rsidRDefault="0081610A" w:rsidP="0083449C">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r w:rsidRPr="002E0C7E">
              <w:rPr>
                <w:rFonts w:ascii="Arial" w:hAnsi="Arial"/>
                <w:sz w:val="14"/>
              </w:rPr>
              <w:t>T</w:t>
            </w:r>
          </w:p>
          <w:p w:rsidR="0081610A" w:rsidRPr="002E0C7E" w:rsidRDefault="0081610A" w:rsidP="0083449C">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r w:rsidRPr="002E0C7E">
              <w:rPr>
                <w:rFonts w:ascii="Arial" w:hAnsi="Arial"/>
                <w:sz w:val="14"/>
              </w:rPr>
              <w:t>F</w:t>
            </w:r>
          </w:p>
          <w:p w:rsidR="0081610A" w:rsidRPr="002E0C7E" w:rsidRDefault="0081610A" w:rsidP="0083449C">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r>
              <w:rPr>
                <w:rFonts w:ascii="Arial" w:hAnsi="Arial"/>
                <w:sz w:val="14"/>
              </w:rPr>
              <w:t>S</w:t>
            </w:r>
          </w:p>
          <w:p w:rsidR="0081610A" w:rsidRPr="002E0C7E" w:rsidRDefault="0081610A" w:rsidP="0083449C">
            <w:pPr>
              <w:widowControl w:val="0"/>
              <w:jc w:val="center"/>
              <w:rPr>
                <w:rFonts w:ascii="Arial" w:hAnsi="Arial"/>
                <w:sz w:val="14"/>
              </w:rPr>
            </w:pPr>
            <w:r>
              <w:rPr>
                <w:rFonts w:ascii="Arial" w:hAnsi="Arial"/>
                <w:sz w:val="14"/>
              </w:rPr>
              <w:t>S</w:t>
            </w:r>
          </w:p>
        </w:tc>
      </w:tr>
      <w:tr w:rsidR="0081610A" w:rsidRPr="002E0C7E" w:rsidTr="0083449C">
        <w:trPr>
          <w:cantSplit/>
          <w:trHeight w:val="422"/>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b/>
                <w:sz w:val="14"/>
              </w:rPr>
            </w:pPr>
          </w:p>
          <w:p w:rsidR="0081610A" w:rsidRPr="002E0C7E" w:rsidRDefault="0081610A" w:rsidP="0083449C">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7</w:t>
            </w:r>
          </w:p>
        </w:tc>
      </w:tr>
      <w:tr w:rsidR="0081610A" w:rsidRPr="002E0C7E" w:rsidTr="0083449C">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710C8B" w:rsidRDefault="0081610A" w:rsidP="0083449C">
            <w:pPr>
              <w:widowControl w:val="0"/>
              <w:jc w:val="center"/>
              <w:rPr>
                <w:rFonts w:ascii="Arial" w:hAnsi="Arial"/>
                <w:b/>
                <w:sz w:val="14"/>
              </w:rPr>
            </w:pPr>
          </w:p>
          <w:p w:rsidR="0081610A" w:rsidRPr="002E0C7E" w:rsidRDefault="0081610A" w:rsidP="0083449C">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1</w:t>
            </w: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1</w:t>
            </w:r>
            <w:r>
              <w:rPr>
                <w:rFonts w:ascii="Arial" w:hAnsi="Arial"/>
                <w:sz w:val="14"/>
              </w:rPr>
              <w:t>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14</w:t>
            </w:r>
          </w:p>
        </w:tc>
      </w:tr>
      <w:tr w:rsidR="0081610A" w:rsidRPr="002E0C7E" w:rsidTr="0083449C">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B5777" w:rsidRDefault="0081610A" w:rsidP="0083449C">
            <w:pPr>
              <w:widowControl w:val="0"/>
              <w:jc w:val="center"/>
              <w:rPr>
                <w:rFonts w:ascii="Arial" w:hAnsi="Arial"/>
                <w:b/>
                <w:sz w:val="14"/>
              </w:rPr>
            </w:pPr>
            <w:r w:rsidRPr="00DB5777">
              <w:rPr>
                <w:rFonts w:ascii="Arial" w:hAnsi="Arial"/>
                <w:b/>
                <w:sz w:val="14"/>
              </w:rPr>
              <w:t>M</w:t>
            </w:r>
          </w:p>
          <w:p w:rsidR="0081610A" w:rsidRPr="002E0C7E" w:rsidRDefault="0081610A" w:rsidP="0083449C">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852172" w:rsidRDefault="0081610A" w:rsidP="0083449C">
            <w:pPr>
              <w:widowControl w:val="0"/>
              <w:jc w:val="center"/>
              <w:rPr>
                <w:rFonts w:ascii="Arial" w:hAnsi="Arial"/>
                <w:b/>
                <w:sz w:val="14"/>
              </w:rPr>
            </w:pPr>
            <w:r>
              <w:rPr>
                <w:rFonts w:ascii="Arial" w:hAnsi="Arial"/>
                <w:b/>
                <w:sz w:val="14"/>
              </w:rPr>
              <w:t>H</w:t>
            </w:r>
          </w:p>
          <w:p w:rsidR="0081610A" w:rsidRPr="002E0C7E" w:rsidRDefault="0081610A" w:rsidP="0083449C">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19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453E3" w:rsidRDefault="0081610A" w:rsidP="0083449C">
            <w:pPr>
              <w:widowControl w:val="0"/>
              <w:jc w:val="center"/>
              <w:rPr>
                <w:rFonts w:ascii="Arial" w:hAnsi="Arial"/>
                <w:b/>
                <w:sz w:val="14"/>
              </w:rPr>
            </w:pPr>
            <w:r w:rsidRPr="002453E3">
              <w:rPr>
                <w:rFonts w:ascii="Arial" w:hAnsi="Arial"/>
                <w:b/>
                <w:sz w:val="14"/>
              </w:rPr>
              <w:t>M</w:t>
            </w:r>
          </w:p>
          <w:p w:rsidR="0081610A" w:rsidRPr="002E0C7E" w:rsidRDefault="0081610A" w:rsidP="0083449C">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6A1E8D" w:rsidRDefault="0081610A" w:rsidP="0083449C">
            <w:pPr>
              <w:widowControl w:val="0"/>
              <w:jc w:val="center"/>
              <w:rPr>
                <w:rFonts w:ascii="Arial" w:hAnsi="Arial"/>
                <w:b/>
                <w:sz w:val="14"/>
              </w:rPr>
            </w:pPr>
            <w:r w:rsidRPr="006A1E8D">
              <w:rPr>
                <w:rFonts w:ascii="Arial" w:hAnsi="Arial"/>
                <w:b/>
                <w:sz w:val="14"/>
              </w:rPr>
              <w:t>M</w:t>
            </w:r>
          </w:p>
          <w:p w:rsidR="0081610A" w:rsidRPr="002E0C7E" w:rsidRDefault="0081610A" w:rsidP="0083449C">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83449C">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vAlign w:val="center"/>
          </w:tcPr>
          <w:p w:rsidR="0081610A" w:rsidRPr="00CD57C3" w:rsidRDefault="0081610A" w:rsidP="0083449C">
            <w:pPr>
              <w:widowControl w:val="0"/>
              <w:jc w:val="center"/>
              <w:rPr>
                <w:rFonts w:ascii="Arial" w:hAnsi="Arial"/>
                <w:b/>
                <w:sz w:val="14"/>
              </w:rPr>
            </w:pPr>
            <w:r w:rsidRPr="00CD57C3">
              <w:rPr>
                <w:rFonts w:ascii="Arial" w:hAnsi="Arial"/>
                <w:b/>
                <w:sz w:val="14"/>
              </w:rPr>
              <w:t>H</w:t>
            </w:r>
          </w:p>
          <w:p w:rsidR="0081610A" w:rsidRPr="002E0C7E" w:rsidRDefault="0081610A" w:rsidP="0083449C">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18</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2453E3" w:rsidRDefault="0081610A" w:rsidP="0083449C">
            <w:pPr>
              <w:widowControl w:val="0"/>
              <w:jc w:val="center"/>
              <w:rPr>
                <w:rFonts w:ascii="Arial" w:hAnsi="Arial"/>
                <w:b/>
                <w:sz w:val="14"/>
              </w:rPr>
            </w:pPr>
            <w:r>
              <w:rPr>
                <w:rFonts w:ascii="Arial" w:hAnsi="Arial"/>
                <w:b/>
                <w:sz w:val="14"/>
              </w:rPr>
              <w:t>H</w:t>
            </w:r>
          </w:p>
          <w:p w:rsidR="0081610A" w:rsidRPr="002E0C7E" w:rsidRDefault="0081610A" w:rsidP="0083449C">
            <w:pPr>
              <w:widowControl w:val="0"/>
              <w:jc w:val="center"/>
              <w:rPr>
                <w:rFonts w:ascii="Arial" w:hAnsi="Arial"/>
                <w:sz w:val="14"/>
              </w:rPr>
            </w:pPr>
            <w:r>
              <w:rPr>
                <w:rFonts w:ascii="Arial" w:hAnsi="Arial"/>
                <w:sz w:val="14"/>
              </w:rPr>
              <w:t>19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83449C">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31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83449C">
            <w:pPr>
              <w:widowControl w:val="0"/>
              <w:jc w:val="center"/>
              <w:rPr>
                <w:rFonts w:ascii="Arial" w:hAnsi="Arial"/>
                <w:sz w:val="14"/>
              </w:rPr>
            </w:pPr>
          </w:p>
          <w:p w:rsidR="0081610A" w:rsidRPr="002E0C7E" w:rsidRDefault="0081610A" w:rsidP="0083449C">
            <w:pPr>
              <w:widowControl w:val="0"/>
              <w:jc w:val="center"/>
              <w:rPr>
                <w:rFonts w:ascii="Arial" w:hAnsi="Arial"/>
                <w:sz w:val="14"/>
              </w:rPr>
            </w:pPr>
          </w:p>
        </w:tc>
      </w:tr>
    </w:tbl>
    <w:p w:rsidR="0081610A" w:rsidRPr="002E0C7E" w:rsidRDefault="0081610A" w:rsidP="0081610A">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610A" w:rsidRPr="002E0C7E" w:rsidTr="0083449C">
        <w:trPr>
          <w:cantSplit/>
        </w:trPr>
        <w:tc>
          <w:tcPr>
            <w:tcW w:w="1710" w:type="dxa"/>
            <w:tcBorders>
              <w:top w:val="nil"/>
              <w:left w:val="nil"/>
              <w:bottom w:val="nil"/>
              <w:right w:val="nil"/>
            </w:tcBorders>
            <w:tcMar>
              <w:top w:w="43" w:type="dxa"/>
              <w:left w:w="120" w:type="dxa"/>
              <w:bottom w:w="29" w:type="dxa"/>
              <w:right w:w="120" w:type="dxa"/>
            </w:tcMar>
          </w:tcPr>
          <w:p w:rsidR="0081610A" w:rsidRPr="002E0C7E" w:rsidRDefault="0081610A" w:rsidP="0083449C">
            <w:pPr>
              <w:widowControl w:val="0"/>
              <w:rPr>
                <w:rFonts w:ascii="Arial" w:hAnsi="Arial"/>
                <w:sz w:val="16"/>
              </w:rPr>
            </w:pPr>
            <w:r w:rsidRPr="002E0C7E">
              <w:rPr>
                <w:rFonts w:ascii="Arial" w:hAnsi="Arial"/>
                <w:sz w:val="16"/>
              </w:rPr>
              <w:t>Sittings of the court:</w:t>
            </w:r>
          </w:p>
          <w:p w:rsidR="0081610A" w:rsidRPr="002E0C7E" w:rsidRDefault="0081610A" w:rsidP="0083449C">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610A" w:rsidRPr="002E0C7E" w:rsidRDefault="0081610A" w:rsidP="0083449C">
            <w:pPr>
              <w:widowControl w:val="0"/>
              <w:rPr>
                <w:rFonts w:ascii="Arial" w:hAnsi="Arial"/>
                <w:sz w:val="16"/>
              </w:rPr>
            </w:pPr>
          </w:p>
          <w:p w:rsidR="0081610A" w:rsidRPr="002E0C7E" w:rsidRDefault="0081610A" w:rsidP="0083449C">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610A" w:rsidRPr="00B058C3" w:rsidRDefault="0081610A" w:rsidP="0083449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610A" w:rsidRPr="00B058C3" w:rsidRDefault="0081610A" w:rsidP="0083449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610A" w:rsidRPr="00B058C3" w:rsidRDefault="0081610A" w:rsidP="0083449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610A" w:rsidRPr="002E0C7E" w:rsidRDefault="0081610A" w:rsidP="0083449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610A" w:rsidRPr="002E0C7E" w:rsidRDefault="0081610A" w:rsidP="0083449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83449C">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83449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610A" w:rsidRPr="002E0C7E" w:rsidRDefault="0081610A" w:rsidP="0083449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610A" w:rsidRPr="002E0C7E" w:rsidRDefault="0081610A" w:rsidP="0083449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83449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83449C">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83449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610A" w:rsidRPr="002E0C7E" w:rsidRDefault="0081610A" w:rsidP="0083449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610A" w:rsidRPr="002E0C7E" w:rsidRDefault="0081610A" w:rsidP="0083449C">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83449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610A" w:rsidRPr="002E0C7E" w:rsidRDefault="0081610A" w:rsidP="0081610A">
      <w:pPr>
        <w:widowControl w:val="0"/>
        <w:rPr>
          <w:rFonts w:ascii="Arial" w:hAnsi="Arial"/>
          <w:sz w:val="16"/>
        </w:rPr>
      </w:pPr>
    </w:p>
    <w:bookmarkEnd w:id="0"/>
    <w:p w:rsidR="002410B8" w:rsidRPr="0022323B" w:rsidRDefault="002410B8" w:rsidP="0081610A">
      <w:pPr>
        <w:widowControl w:val="0"/>
        <w:spacing w:line="180" w:lineRule="auto"/>
        <w:jc w:val="center"/>
        <w:rPr>
          <w:lang w:val="fr-CA"/>
        </w:rPr>
      </w:pPr>
    </w:p>
    <w:sectPr w:rsidR="002410B8" w:rsidRPr="0022323B" w:rsidSect="00924065">
      <w:headerReference w:type="default" r:id="rId77"/>
      <w:footerReference w:type="default" r:id="rId78"/>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D85" w:rsidRDefault="00734D85" w:rsidP="00A87207">
      <w:r>
        <w:separator/>
      </w:r>
    </w:p>
  </w:endnote>
  <w:endnote w:type="continuationSeparator" w:id="0">
    <w:p w:rsidR="00734D85" w:rsidRDefault="00734D85"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D85" w:rsidRDefault="00734D8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D85" w:rsidRDefault="00E7787D">
    <w:pPr>
      <w:pStyle w:val="Footer"/>
      <w:rPr>
        <w:lang w:val="fr-CA"/>
      </w:rPr>
    </w:pPr>
    <w:r>
      <w:rPr>
        <w:lang w:val="fr-CA"/>
      </w:rPr>
      <w:pict>
        <v:rect id="_x0000_i1049" style="width:480.95pt;height:1pt" o:hralign="center" o:hrstd="t" o:hrnoshade="t" o:hr="t" fillcolor="black [3213]" stroked="f"/>
      </w:pict>
    </w:r>
  </w:p>
  <w:p w:rsidR="00734D85" w:rsidRDefault="00734D85" w:rsidP="00245129">
    <w:pPr>
      <w:tabs>
        <w:tab w:val="center" w:pos="4680"/>
      </w:tabs>
    </w:pPr>
    <w:r>
      <w:tab/>
    </w:r>
    <w:r w:rsidRPr="0009648D">
      <w:t xml:space="preserve">- </w:t>
    </w:r>
    <w:r w:rsidR="00E7787D">
      <w:fldChar w:fldCharType="begin"/>
    </w:r>
    <w:r w:rsidR="00E7787D">
      <w:instrText xml:space="preserve"> PAGE   \* MERGEFORMAT </w:instrText>
    </w:r>
    <w:r w:rsidR="00E7787D">
      <w:fldChar w:fldCharType="separate"/>
    </w:r>
    <w:r w:rsidR="00E7787D">
      <w:rPr>
        <w:noProof/>
      </w:rPr>
      <w:t>1962</w:t>
    </w:r>
    <w:r w:rsidR="00E7787D">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D85" w:rsidRDefault="00734D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34D85" w:rsidRDefault="00734D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34D85" w:rsidRDefault="00734D85">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D85" w:rsidRDefault="00E7787D" w:rsidP="00755F22">
    <w:pPr>
      <w:tabs>
        <w:tab w:val="left" w:pos="-1440"/>
        <w:tab w:val="left" w:pos="-720"/>
      </w:tabs>
    </w:pPr>
    <w:r>
      <w:pict>
        <v:rect id="_x0000_i1055" style="width:480.95pt;height:1pt" o:hralign="center" o:hrstd="t" o:hrnoshade="t" o:hr="t" fillcolor="black [3213]" stroked="f"/>
      </w:pict>
    </w:r>
  </w:p>
  <w:p w:rsidR="00734D85" w:rsidRDefault="00734D85" w:rsidP="00EB2B90">
    <w:pPr>
      <w:tabs>
        <w:tab w:val="center" w:pos="4680"/>
      </w:tabs>
    </w:pPr>
    <w:r>
      <w:tab/>
      <w:t xml:space="preserve">- </w:t>
    </w:r>
    <w:r w:rsidR="00E7787D">
      <w:fldChar w:fldCharType="begin"/>
    </w:r>
    <w:r w:rsidR="00E7787D">
      <w:instrText xml:space="preserve"> PAGE   \* MERGEFORMAT </w:instrText>
    </w:r>
    <w:r w:rsidR="00E7787D">
      <w:fldChar w:fldCharType="separate"/>
    </w:r>
    <w:r w:rsidR="00E7787D">
      <w:rPr>
        <w:noProof/>
      </w:rPr>
      <w:t>1978</w:t>
    </w:r>
    <w:r w:rsidR="00E7787D">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D85" w:rsidRDefault="00E7787D" w:rsidP="00EB2B90">
    <w:pPr>
      <w:tabs>
        <w:tab w:val="center" w:pos="4680"/>
      </w:tabs>
    </w:pPr>
    <w:r>
      <w:pict>
        <v:rect id="_x0000_i1056" style="width:480.95pt;height:1pt" o:hralign="center" o:hrstd="t" o:hrnoshade="t" o:hr="t" fillcolor="black [3213]" stroked="f"/>
      </w:pict>
    </w:r>
  </w:p>
  <w:p w:rsidR="00734D85" w:rsidRPr="0031432F" w:rsidRDefault="00734D85" w:rsidP="00EB2B90">
    <w:pPr>
      <w:tabs>
        <w:tab w:val="center" w:pos="4680"/>
      </w:tabs>
    </w:pPr>
    <w:r>
      <w:tab/>
      <w:t xml:space="preserve">- </w:t>
    </w:r>
    <w:r w:rsidR="00E7787D">
      <w:fldChar w:fldCharType="begin"/>
    </w:r>
    <w:r w:rsidR="00E7787D">
      <w:instrText xml:space="preserve"> PAGE   \* MERGEFORMAT </w:instrText>
    </w:r>
    <w:r w:rsidR="00E7787D">
      <w:fldChar w:fldCharType="separate"/>
    </w:r>
    <w:r w:rsidR="00E7787D">
      <w:rPr>
        <w:noProof/>
      </w:rPr>
      <w:t>1972</w:t>
    </w:r>
    <w:r w:rsidR="00E7787D">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D85" w:rsidRDefault="00734D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34D85" w:rsidRDefault="00734D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34D85" w:rsidRDefault="00734D85">
    <w:pPr>
      <w:widowControl w:val="0"/>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D85" w:rsidRDefault="00E7787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8" style="width:480.95pt;height:1pt" o:hralign="center" o:hrstd="t" o:hrnoshade="t" o:hr="t" fillcolor="black [3213]" stroked="f"/>
      </w:pict>
    </w:r>
  </w:p>
  <w:p w:rsidR="00734D85" w:rsidRDefault="00734D85" w:rsidP="00697C62">
    <w:pPr>
      <w:tabs>
        <w:tab w:val="center" w:pos="4680"/>
      </w:tabs>
    </w:pPr>
    <w:r>
      <w:tab/>
      <w:t xml:space="preserve">- </w:t>
    </w:r>
    <w:r w:rsidR="000C413F" w:rsidRPr="00B74FED">
      <w:rPr>
        <w:szCs w:val="24"/>
      </w:rPr>
      <w:fldChar w:fldCharType="begin"/>
    </w:r>
    <w:r w:rsidRPr="00B74FED">
      <w:rPr>
        <w:szCs w:val="24"/>
      </w:rPr>
      <w:instrText xml:space="preserve"> PAGE   \* MERGEFORMAT </w:instrText>
    </w:r>
    <w:r w:rsidR="000C413F" w:rsidRPr="00B74FED">
      <w:rPr>
        <w:szCs w:val="24"/>
      </w:rPr>
      <w:fldChar w:fldCharType="separate"/>
    </w:r>
    <w:r>
      <w:rPr>
        <w:noProof/>
        <w:szCs w:val="24"/>
      </w:rPr>
      <w:t>528</w:t>
    </w:r>
    <w:r w:rsidR="000C413F" w:rsidRPr="00B74FED">
      <w:rPr>
        <w:szCs w:val="24"/>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D85" w:rsidRDefault="00E7787D" w:rsidP="00802863">
    <w:pPr>
      <w:widowControl w:val="0"/>
      <w:tabs>
        <w:tab w:val="left" w:pos="-1440"/>
        <w:tab w:val="left" w:pos="-720"/>
      </w:tabs>
    </w:pPr>
    <w:r>
      <w:rPr>
        <w:lang w:val="fr-CA"/>
      </w:rPr>
      <w:pict>
        <v:rect id="_x0000_i1059" style="width:480.95pt;height:1pt" o:hralign="center" o:hrstd="t" o:hrnoshade="t" o:hr="t" fillcolor="black [3213]" stroked="f"/>
      </w:pict>
    </w:r>
  </w:p>
  <w:p w:rsidR="00734D85" w:rsidRPr="00180897" w:rsidRDefault="00734D85" w:rsidP="00697C62">
    <w:pPr>
      <w:tabs>
        <w:tab w:val="center" w:pos="4680"/>
      </w:tabs>
    </w:pPr>
    <w:r>
      <w:tab/>
      <w:t xml:space="preserve">- </w:t>
    </w:r>
    <w:r w:rsidR="000C413F" w:rsidRPr="00B74FED">
      <w:rPr>
        <w:szCs w:val="24"/>
      </w:rPr>
      <w:fldChar w:fldCharType="begin"/>
    </w:r>
    <w:r w:rsidRPr="00B74FED">
      <w:rPr>
        <w:szCs w:val="24"/>
      </w:rPr>
      <w:instrText xml:space="preserve"> PAGE   \* MERGEFORMAT </w:instrText>
    </w:r>
    <w:r w:rsidR="000C413F" w:rsidRPr="00B74FED">
      <w:rPr>
        <w:szCs w:val="24"/>
      </w:rPr>
      <w:fldChar w:fldCharType="separate"/>
    </w:r>
    <w:r w:rsidR="00E7787D">
      <w:rPr>
        <w:noProof/>
        <w:szCs w:val="24"/>
      </w:rPr>
      <w:t>1979</w:t>
    </w:r>
    <w:r w:rsidR="000C413F" w:rsidRPr="00B74FED">
      <w:rPr>
        <w:szCs w:val="24"/>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D85" w:rsidRDefault="00734D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34D85" w:rsidRDefault="00734D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34D85" w:rsidRDefault="00734D85">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D85" w:rsidRDefault="00E7787D" w:rsidP="00732DB7">
    <w:r>
      <w:pict>
        <v:rect id="_x0000_i1063" style="width:480.95pt;height:1pt" o:hralign="center" o:hrstd="t" o:hrnoshade="t" o:hr="t" fillcolor="black" stroked="f"/>
      </w:pict>
    </w:r>
  </w:p>
  <w:p w:rsidR="00734D85" w:rsidRDefault="00734D85">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D85" w:rsidRDefault="00E7787D">
    <w:pPr>
      <w:pStyle w:val="Footer"/>
    </w:pPr>
    <w:r>
      <w:pict>
        <v:rect id="_x0000_i1064" style="width:480.95pt;height:1pt" o:hralign="center" o:hrstd="t" o:hrnoshade="t" o:hr="t" fillcolor="black" stroked="f"/>
      </w:pict>
    </w:r>
  </w:p>
  <w:p w:rsidR="00734D85" w:rsidRPr="00283C52" w:rsidRDefault="00734D85">
    <w:pPr>
      <w:pStyle w:val="Footer"/>
    </w:pPr>
    <w:r>
      <w:tab/>
    </w:r>
    <w:r w:rsidRPr="00283C52">
      <w:t xml:space="preserve">- </w:t>
    </w:r>
    <w:r w:rsidRPr="00283C52">
      <w:pgNum/>
    </w:r>
    <w:r w:rsidRPr="00283C52">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D85" w:rsidRDefault="00734D85">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D85" w:rsidRDefault="00734D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34D85" w:rsidRDefault="00734D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34D85" w:rsidRDefault="00734D85">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D85" w:rsidRDefault="00E7787D" w:rsidP="00732DB7">
    <w:r>
      <w:pict>
        <v:rect id="_x0000_i1067" style="width:480.95pt;height:1pt" o:hralign="center" o:hrstd="t" o:hrnoshade="t" o:hr="t" fillcolor="black" stroked="f"/>
      </w:pict>
    </w:r>
  </w:p>
  <w:p w:rsidR="00734D85" w:rsidRDefault="00734D85">
    <w:pPr>
      <w:tabs>
        <w:tab w:val="center" w:pos="4740"/>
      </w:tabs>
      <w:spacing w:line="0" w:lineRule="atLeast"/>
    </w:pPr>
    <w:r>
      <w:tab/>
      <w:t xml:space="preserve">- </w:t>
    </w:r>
    <w:r>
      <w:pgNum/>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D85" w:rsidRDefault="00E7787D">
    <w:pPr>
      <w:pStyle w:val="Footer"/>
    </w:pPr>
    <w:r>
      <w:pict>
        <v:rect id="_x0000_i1068" style="width:480.95pt;height:1pt" o:hralign="center" o:hrstd="t" o:hrnoshade="t" o:hr="t" fillcolor="black [3213]" stroked="f"/>
      </w:pict>
    </w:r>
  </w:p>
  <w:p w:rsidR="00734D85" w:rsidRPr="003C2C0F" w:rsidRDefault="00734D85" w:rsidP="00697C62">
    <w:pPr>
      <w:tabs>
        <w:tab w:val="center" w:pos="4680"/>
      </w:tabs>
    </w:pPr>
    <w:r>
      <w:tab/>
      <w:t xml:space="preserve">- </w:t>
    </w:r>
    <w:r w:rsidR="00E7787D">
      <w:fldChar w:fldCharType="begin"/>
    </w:r>
    <w:r w:rsidR="00E7787D">
      <w:instrText xml:space="preserve"> PAGE   \* MERGEFORMAT </w:instrText>
    </w:r>
    <w:r w:rsidR="00E7787D">
      <w:fldChar w:fldCharType="separate"/>
    </w:r>
    <w:r w:rsidR="00E7787D">
      <w:rPr>
        <w:noProof/>
      </w:rPr>
      <w:t>1984</w:t>
    </w:r>
    <w:r w:rsidR="00E7787D">
      <w:rPr>
        <w:noProof/>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D85" w:rsidRDefault="00734D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34D85" w:rsidRDefault="00734D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34D85" w:rsidRDefault="00734D85">
    <w:pPr>
      <w:tabs>
        <w:tab w:val="center" w:pos="4740"/>
      </w:tabs>
    </w:pPr>
    <w:r>
      <w:tab/>
      <w:t xml:space="preserve">- </w:t>
    </w:r>
    <w:r>
      <w:pgNum/>
    </w:r>
    <w: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D85" w:rsidRDefault="00734D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34D85" w:rsidRDefault="00E778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3" style="width:480.95pt;height:1pt" o:hralign="center" o:hrstd="t" o:hrnoshade="t" o:hr="t" fillcolor="black [3213]" stroked="f"/>
      </w:pict>
    </w:r>
  </w:p>
  <w:p w:rsidR="00734D85" w:rsidRDefault="00734D85" w:rsidP="00782AE4">
    <w:pPr>
      <w:tabs>
        <w:tab w:val="center" w:pos="4680"/>
      </w:tabs>
    </w:pPr>
    <w:r>
      <w:tab/>
      <w:t xml:space="preserve">- </w:t>
    </w:r>
    <w:r w:rsidR="000C413F" w:rsidRPr="001775C1">
      <w:rPr>
        <w:szCs w:val="24"/>
      </w:rPr>
      <w:fldChar w:fldCharType="begin"/>
    </w:r>
    <w:r w:rsidRPr="001775C1">
      <w:rPr>
        <w:szCs w:val="24"/>
      </w:rPr>
      <w:instrText xml:space="preserve"> PAGE   \* MERGEFORMAT </w:instrText>
    </w:r>
    <w:r w:rsidR="000C413F" w:rsidRPr="001775C1">
      <w:rPr>
        <w:szCs w:val="24"/>
      </w:rPr>
      <w:fldChar w:fldCharType="separate"/>
    </w:r>
    <w:r w:rsidR="00E7787D">
      <w:rPr>
        <w:noProof/>
        <w:szCs w:val="24"/>
      </w:rPr>
      <w:t>1992</w:t>
    </w:r>
    <w:r w:rsidR="000C413F" w:rsidRPr="001775C1">
      <w:rPr>
        <w:szCs w:val="24"/>
      </w:rPr>
      <w:fldChar w:fldCharType="end"/>
    </w:r>
    <w: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D85" w:rsidRDefault="00E7787D" w:rsidP="00782AE4">
    <w:pPr>
      <w:tabs>
        <w:tab w:val="center" w:pos="4680"/>
      </w:tabs>
    </w:pPr>
    <w:r>
      <w:pict>
        <v:rect id="_x0000_i1074" style="width:480.95pt;height:1pt" o:hralign="center" o:hrstd="t" o:hrnoshade="t" o:hr="t" fillcolor="black [3213]" stroked="f"/>
      </w:pict>
    </w:r>
  </w:p>
  <w:p w:rsidR="00734D85" w:rsidRDefault="00734D85" w:rsidP="00782AE4">
    <w:pPr>
      <w:tabs>
        <w:tab w:val="center" w:pos="4680"/>
      </w:tabs>
    </w:pPr>
    <w:r>
      <w:tab/>
      <w:t xml:space="preserve">- </w:t>
    </w:r>
    <w:r w:rsidR="000C413F" w:rsidRPr="001775C1">
      <w:rPr>
        <w:szCs w:val="24"/>
      </w:rPr>
      <w:fldChar w:fldCharType="begin"/>
    </w:r>
    <w:r w:rsidRPr="001775C1">
      <w:rPr>
        <w:szCs w:val="24"/>
      </w:rPr>
      <w:instrText xml:space="preserve"> PAGE   \* MERGEFORMAT </w:instrText>
    </w:r>
    <w:r w:rsidR="000C413F" w:rsidRPr="001775C1">
      <w:rPr>
        <w:szCs w:val="24"/>
      </w:rPr>
      <w:fldChar w:fldCharType="separate"/>
    </w:r>
    <w:r w:rsidR="00E7787D">
      <w:rPr>
        <w:noProof/>
        <w:szCs w:val="24"/>
      </w:rPr>
      <w:t>1985</w:t>
    </w:r>
    <w:r w:rsidR="000C413F" w:rsidRPr="001775C1">
      <w:rPr>
        <w:szCs w:val="24"/>
      </w:rPr>
      <w:fldChar w:fldCharType="end"/>
    </w:r>
    <w: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D85" w:rsidRPr="00924065" w:rsidRDefault="00734D85"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D85" w:rsidRDefault="00734D8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D85" w:rsidRDefault="00E7787D" w:rsidP="00A87207">
    <w:pPr>
      <w:pStyle w:val="Footer"/>
    </w:pPr>
    <w:r>
      <w:pict>
        <v:rect id="_x0000_i1033" style="width:480.95pt;height:1pt" o:hralign="center" o:hrstd="t" o:hrnoshade="t" o:hr="t" fillcolor="black [3213]" stroked="f"/>
      </w:pict>
    </w:r>
  </w:p>
  <w:p w:rsidR="00734D85" w:rsidRPr="00B7374B" w:rsidRDefault="00734D85" w:rsidP="00B7374B">
    <w:pPr>
      <w:tabs>
        <w:tab w:val="center" w:pos="4680"/>
      </w:tabs>
      <w:rPr>
        <w:szCs w:val="24"/>
      </w:rPr>
    </w:pPr>
    <w:r w:rsidRPr="00954D22">
      <w:rPr>
        <w:szCs w:val="24"/>
      </w:rPr>
      <w:tab/>
      <w:t xml:space="preserve">- </w:t>
    </w:r>
    <w:r w:rsidR="000C413F" w:rsidRPr="00954D22">
      <w:rPr>
        <w:szCs w:val="24"/>
      </w:rPr>
      <w:fldChar w:fldCharType="begin"/>
    </w:r>
    <w:r w:rsidRPr="00954D22">
      <w:rPr>
        <w:szCs w:val="24"/>
      </w:rPr>
      <w:instrText xml:space="preserve"> PAGE   \* MERGEFORMAT </w:instrText>
    </w:r>
    <w:r w:rsidR="000C413F" w:rsidRPr="00954D22">
      <w:rPr>
        <w:szCs w:val="24"/>
      </w:rPr>
      <w:fldChar w:fldCharType="separate"/>
    </w:r>
    <w:r>
      <w:rPr>
        <w:noProof/>
        <w:szCs w:val="24"/>
      </w:rPr>
      <w:t>1961</w:t>
    </w:r>
    <w:r w:rsidR="000C413F"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D85" w:rsidRDefault="00E7787D" w:rsidP="00755F22">
    <w:pPr>
      <w:tabs>
        <w:tab w:val="left" w:pos="-1440"/>
        <w:tab w:val="left" w:pos="-720"/>
      </w:tabs>
    </w:pPr>
    <w:r>
      <w:pict>
        <v:rect id="_x0000_i1034" style="width:480.95pt;height:1pt" o:hralign="center" o:hrstd="t" o:hrnoshade="t" o:hr="t" fillcolor="black [3213]" stroked="f"/>
      </w:pict>
    </w:r>
  </w:p>
  <w:p w:rsidR="00734D85" w:rsidRPr="00954D22" w:rsidRDefault="00734D85" w:rsidP="00B7374B">
    <w:pPr>
      <w:tabs>
        <w:tab w:val="center" w:pos="4680"/>
      </w:tabs>
      <w:rPr>
        <w:szCs w:val="24"/>
      </w:rPr>
    </w:pPr>
    <w:r w:rsidRPr="00954D22">
      <w:rPr>
        <w:szCs w:val="24"/>
      </w:rPr>
      <w:tab/>
      <w:t xml:space="preserve">- </w:t>
    </w:r>
    <w:r w:rsidR="000C413F">
      <w:rPr>
        <w:szCs w:val="24"/>
      </w:rPr>
      <w:fldChar w:fldCharType="begin"/>
    </w:r>
    <w:r>
      <w:rPr>
        <w:szCs w:val="24"/>
      </w:rPr>
      <w:instrText xml:space="preserve"> PAGE   \* MERGEFORMAT </w:instrText>
    </w:r>
    <w:r w:rsidR="000C413F">
      <w:rPr>
        <w:szCs w:val="24"/>
      </w:rPr>
      <w:fldChar w:fldCharType="separate"/>
    </w:r>
    <w:r w:rsidR="00E7787D">
      <w:rPr>
        <w:noProof/>
        <w:szCs w:val="24"/>
      </w:rPr>
      <w:t>1960</w:t>
    </w:r>
    <w:r w:rsidR="000C413F">
      <w:rPr>
        <w:szCs w:val="24"/>
      </w:rPr>
      <w:fldChar w:fldCharType="end"/>
    </w:r>
    <w:r w:rsidRPr="00954D22">
      <w:rPr>
        <w:szCs w:val="24"/>
      </w:rPr>
      <w:t xml:space="preserve"> -</w:t>
    </w:r>
  </w:p>
  <w:p w:rsidR="00734D85" w:rsidRDefault="00734D8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D85" w:rsidRDefault="00E7787D" w:rsidP="00A87207">
    <w:pPr>
      <w:pStyle w:val="Footer"/>
    </w:pPr>
    <w:r>
      <w:pict>
        <v:rect id="_x0000_i1036" style="width:480.95pt;height:1pt" o:hralign="center" o:hrstd="t" o:hrnoshade="t" o:hr="t" fillcolor="black [3213]" stroked="f"/>
      </w:pict>
    </w:r>
  </w:p>
  <w:p w:rsidR="00734D85" w:rsidRPr="00B7374B" w:rsidRDefault="00734D85" w:rsidP="00B7374B">
    <w:pPr>
      <w:tabs>
        <w:tab w:val="center" w:pos="4680"/>
      </w:tabs>
      <w:rPr>
        <w:szCs w:val="24"/>
      </w:rPr>
    </w:pPr>
    <w:r w:rsidRPr="00954D22">
      <w:rPr>
        <w:szCs w:val="24"/>
      </w:rPr>
      <w:tab/>
      <w:t xml:space="preserve">- </w:t>
    </w:r>
    <w:r w:rsidR="000C413F" w:rsidRPr="00954D22">
      <w:rPr>
        <w:szCs w:val="24"/>
      </w:rPr>
      <w:fldChar w:fldCharType="begin"/>
    </w:r>
    <w:r w:rsidRPr="00954D22">
      <w:rPr>
        <w:szCs w:val="24"/>
      </w:rPr>
      <w:instrText xml:space="preserve"> PAGE   \* MERGEFORMAT </w:instrText>
    </w:r>
    <w:r w:rsidR="000C413F" w:rsidRPr="00954D22">
      <w:rPr>
        <w:szCs w:val="24"/>
      </w:rPr>
      <w:fldChar w:fldCharType="separate"/>
    </w:r>
    <w:r>
      <w:rPr>
        <w:noProof/>
        <w:szCs w:val="24"/>
      </w:rPr>
      <w:t>503</w:t>
    </w:r>
    <w:r w:rsidR="000C413F"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D85" w:rsidRDefault="00E7787D"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7" style="width:480.95pt;height:1pt" o:hralign="center" o:hrstd="t" o:hrnoshade="t" o:hr="t" fillcolor="black [3213]" stroked="f"/>
      </w:pict>
    </w:r>
  </w:p>
  <w:p w:rsidR="00734D85" w:rsidRPr="00954D22" w:rsidRDefault="00734D85" w:rsidP="00B7374B">
    <w:pPr>
      <w:tabs>
        <w:tab w:val="center" w:pos="4680"/>
      </w:tabs>
      <w:rPr>
        <w:szCs w:val="24"/>
      </w:rPr>
    </w:pPr>
    <w:r w:rsidRPr="00954D22">
      <w:rPr>
        <w:szCs w:val="24"/>
      </w:rPr>
      <w:tab/>
      <w:t xml:space="preserve">- </w:t>
    </w:r>
    <w:r w:rsidR="000C413F" w:rsidRPr="00954D22">
      <w:rPr>
        <w:szCs w:val="24"/>
      </w:rPr>
      <w:fldChar w:fldCharType="begin"/>
    </w:r>
    <w:r w:rsidRPr="00954D22">
      <w:rPr>
        <w:szCs w:val="24"/>
      </w:rPr>
      <w:instrText xml:space="preserve"> PAGE   \* MERGEFORMAT </w:instrText>
    </w:r>
    <w:r w:rsidR="000C413F" w:rsidRPr="00954D22">
      <w:rPr>
        <w:szCs w:val="24"/>
      </w:rPr>
      <w:fldChar w:fldCharType="separate"/>
    </w:r>
    <w:r w:rsidR="00E7787D">
      <w:rPr>
        <w:noProof/>
        <w:szCs w:val="24"/>
      </w:rPr>
      <w:t>1961</w:t>
    </w:r>
    <w:r w:rsidR="000C413F"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D85" w:rsidRDefault="00734D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734D85" w:rsidRDefault="00734D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34D85" w:rsidRDefault="00734D85">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D85" w:rsidRDefault="00E778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8" style="width:480.95pt;height:1pt" o:hralign="center" o:hrstd="t" o:hrnoshade="t" o:hr="t" fillcolor="black [3213]" stroked="f"/>
      </w:pict>
    </w:r>
  </w:p>
  <w:p w:rsidR="00734D85" w:rsidRPr="0009648D" w:rsidRDefault="00734D85" w:rsidP="00ED7E83">
    <w:pPr>
      <w:tabs>
        <w:tab w:val="center" w:pos="4680"/>
      </w:tabs>
    </w:pPr>
    <w:r>
      <w:tab/>
    </w:r>
    <w:r w:rsidRPr="0009648D">
      <w:t xml:space="preserve">- </w:t>
    </w:r>
    <w:r w:rsidR="00E7787D">
      <w:fldChar w:fldCharType="begin"/>
    </w:r>
    <w:r w:rsidR="00E7787D">
      <w:instrText xml:space="preserve"> PAGE   \* MERGEFORMAT </w:instrText>
    </w:r>
    <w:r w:rsidR="00E7787D">
      <w:fldChar w:fldCharType="separate"/>
    </w:r>
    <w:r w:rsidR="00E7787D">
      <w:rPr>
        <w:noProof/>
      </w:rPr>
      <w:t>1971</w:t>
    </w:r>
    <w:r w:rsidR="00E7787D">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D85" w:rsidRDefault="00734D85" w:rsidP="00A87207">
      <w:r>
        <w:separator/>
      </w:r>
    </w:p>
  </w:footnote>
  <w:footnote w:type="continuationSeparator" w:id="0">
    <w:p w:rsidR="00734D85" w:rsidRDefault="00734D85"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D85" w:rsidRDefault="00734D8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D85" w:rsidRDefault="00734D8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734D85">
      <w:tc>
        <w:tcPr>
          <w:tcW w:w="4230" w:type="dxa"/>
          <w:tcMar>
            <w:left w:w="0" w:type="dxa"/>
            <w:right w:w="0" w:type="dxa"/>
          </w:tcMar>
        </w:tcPr>
        <w:p w:rsidR="00734D85" w:rsidRDefault="00734D8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734D85" w:rsidRDefault="00734D8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34D85" w:rsidRDefault="00734D8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734D85">
      <w:trPr>
        <w:gridAfter w:val="2"/>
        <w:wAfter w:w="5250" w:type="dxa"/>
      </w:trPr>
      <w:tc>
        <w:tcPr>
          <w:tcW w:w="4230" w:type="dxa"/>
          <w:tcMar>
            <w:left w:w="0" w:type="dxa"/>
            <w:right w:w="0" w:type="dxa"/>
          </w:tcMar>
        </w:tcPr>
        <w:p w:rsidR="00734D85" w:rsidRDefault="00734D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734D85" w:rsidRDefault="00734D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734D85" w:rsidRPr="00755F22" w:rsidTr="00245129">
      <w:tc>
        <w:tcPr>
          <w:tcW w:w="4230" w:type="dxa"/>
          <w:tcMar>
            <w:left w:w="0" w:type="dxa"/>
            <w:right w:w="0" w:type="dxa"/>
          </w:tcMar>
        </w:tcPr>
        <w:p w:rsidR="00734D85" w:rsidRPr="00755F22" w:rsidRDefault="00734D85" w:rsidP="00831CA9">
          <w:pPr>
            <w:keepNext/>
            <w:keepLines/>
            <w:rPr>
              <w:sz w:val="20"/>
              <w:szCs w:val="20"/>
            </w:rPr>
          </w:pPr>
          <w:r w:rsidRPr="00755F22">
            <w:rPr>
              <w:sz w:val="20"/>
              <w:szCs w:val="20"/>
            </w:rPr>
            <w:t>MOTIONS</w:t>
          </w:r>
        </w:p>
      </w:tc>
      <w:tc>
        <w:tcPr>
          <w:tcW w:w="1170" w:type="dxa"/>
          <w:tcMar>
            <w:left w:w="0" w:type="dxa"/>
            <w:right w:w="0" w:type="dxa"/>
          </w:tcMar>
        </w:tcPr>
        <w:p w:rsidR="00734D85" w:rsidRPr="00755F22" w:rsidRDefault="00734D85" w:rsidP="00831CA9">
          <w:pPr>
            <w:keepLines/>
            <w:jc w:val="center"/>
            <w:rPr>
              <w:sz w:val="20"/>
              <w:szCs w:val="20"/>
            </w:rPr>
          </w:pPr>
        </w:p>
        <w:p w:rsidR="00734D85" w:rsidRPr="00755F22" w:rsidRDefault="00734D85" w:rsidP="00831CA9">
          <w:pPr>
            <w:keepLines/>
            <w:tabs>
              <w:tab w:val="left" w:pos="-1440"/>
              <w:tab w:val="left" w:pos="-720"/>
            </w:tabs>
            <w:jc w:val="center"/>
            <w:rPr>
              <w:sz w:val="20"/>
              <w:szCs w:val="20"/>
            </w:rPr>
          </w:pPr>
        </w:p>
      </w:tc>
      <w:tc>
        <w:tcPr>
          <w:tcW w:w="4080" w:type="dxa"/>
          <w:tcMar>
            <w:left w:w="0" w:type="dxa"/>
            <w:right w:w="0" w:type="dxa"/>
          </w:tcMar>
        </w:tcPr>
        <w:p w:rsidR="00734D85" w:rsidRPr="00BA6468" w:rsidRDefault="00734D85" w:rsidP="00BA6468">
          <w:pPr>
            <w:keepLines/>
            <w:rPr>
              <w:sz w:val="20"/>
              <w:szCs w:val="20"/>
              <w:lang w:val="fr-CA"/>
            </w:rPr>
          </w:pPr>
          <w:r w:rsidRPr="00BA6468">
            <w:rPr>
              <w:sz w:val="20"/>
              <w:szCs w:val="20"/>
              <w:lang w:val="fr-CA"/>
            </w:rPr>
            <w:t>REQUÊTES</w:t>
          </w:r>
        </w:p>
      </w:tc>
    </w:tr>
  </w:tbl>
  <w:p w:rsidR="00734D85" w:rsidRDefault="00734D85"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D85" w:rsidRDefault="00734D8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34D85" w:rsidRPr="00B52C2C">
      <w:tc>
        <w:tcPr>
          <w:tcW w:w="4200" w:type="dxa"/>
          <w:tcMar>
            <w:left w:w="0" w:type="dxa"/>
            <w:right w:w="0" w:type="dxa"/>
          </w:tcMar>
        </w:tcPr>
        <w:p w:rsidR="00734D85" w:rsidRDefault="00734D85">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734D85" w:rsidRDefault="00734D85">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734D85" w:rsidRDefault="00734D85">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34D85" w:rsidRPr="009256DC" w:rsidRDefault="00734D85">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734D85" w:rsidRPr="009256DC" w:rsidRDefault="00734D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734D85" w:rsidRPr="009256DC" w:rsidRDefault="00734D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34D85" w:rsidRPr="00B52C2C" w:rsidTr="00245129">
      <w:tc>
        <w:tcPr>
          <w:tcW w:w="4200" w:type="dxa"/>
          <w:tcMar>
            <w:left w:w="0" w:type="dxa"/>
            <w:right w:w="0" w:type="dxa"/>
          </w:tcMar>
        </w:tcPr>
        <w:p w:rsidR="00734D85" w:rsidRPr="00802863" w:rsidRDefault="00734D85"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734D85" w:rsidRPr="00802863" w:rsidRDefault="00734D85" w:rsidP="00802863">
          <w:pPr>
            <w:keepNext/>
            <w:keepLines/>
            <w:widowControl w:val="0"/>
            <w:tabs>
              <w:tab w:val="left" w:pos="-1440"/>
              <w:tab w:val="left" w:pos="-720"/>
            </w:tabs>
            <w:jc w:val="center"/>
            <w:rPr>
              <w:sz w:val="20"/>
              <w:szCs w:val="20"/>
            </w:rPr>
          </w:pPr>
        </w:p>
        <w:p w:rsidR="00734D85" w:rsidRPr="00802863" w:rsidRDefault="00734D85" w:rsidP="00802863">
          <w:pPr>
            <w:keepNext/>
            <w:keepLines/>
            <w:widowControl w:val="0"/>
            <w:tabs>
              <w:tab w:val="left" w:pos="-1440"/>
              <w:tab w:val="left" w:pos="-720"/>
            </w:tabs>
            <w:jc w:val="center"/>
            <w:rPr>
              <w:sz w:val="20"/>
              <w:szCs w:val="20"/>
            </w:rPr>
          </w:pPr>
        </w:p>
        <w:p w:rsidR="00734D85" w:rsidRPr="00802863" w:rsidRDefault="00734D85"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734D85" w:rsidRPr="00802863" w:rsidRDefault="00734D85"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734D85" w:rsidRPr="009256DC" w:rsidRDefault="00734D85"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D85" w:rsidRDefault="00734D8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34D85" w:rsidRPr="00B52C2C">
      <w:tc>
        <w:tcPr>
          <w:tcW w:w="4200" w:type="dxa"/>
          <w:tcMar>
            <w:left w:w="0" w:type="dxa"/>
            <w:right w:w="0" w:type="dxa"/>
          </w:tcMar>
        </w:tcPr>
        <w:p w:rsidR="00734D85" w:rsidRDefault="00734D8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734D85" w:rsidRDefault="00734D8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34D85" w:rsidRPr="00283C52" w:rsidRDefault="00734D8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734D85" w:rsidRPr="00283C52" w:rsidRDefault="00734D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734D85" w:rsidRPr="00283C52" w:rsidRDefault="00734D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34D85" w:rsidRPr="00B52C2C" w:rsidTr="00245129">
      <w:tc>
        <w:tcPr>
          <w:tcW w:w="4200" w:type="dxa"/>
          <w:tcMar>
            <w:left w:w="0" w:type="dxa"/>
            <w:right w:w="0" w:type="dxa"/>
          </w:tcMar>
        </w:tcPr>
        <w:p w:rsidR="00734D85" w:rsidRPr="00732DB7" w:rsidRDefault="00734D85"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734D85" w:rsidRPr="00732DB7" w:rsidRDefault="00734D85" w:rsidP="00732DB7">
          <w:pPr>
            <w:keepNext/>
            <w:keepLines/>
            <w:tabs>
              <w:tab w:val="left" w:pos="-1440"/>
              <w:tab w:val="left" w:pos="-720"/>
            </w:tabs>
            <w:jc w:val="center"/>
            <w:rPr>
              <w:sz w:val="20"/>
              <w:szCs w:val="20"/>
            </w:rPr>
          </w:pPr>
        </w:p>
        <w:p w:rsidR="00734D85" w:rsidRPr="00732DB7" w:rsidRDefault="00734D85" w:rsidP="00732DB7">
          <w:pPr>
            <w:keepNext/>
            <w:keepLines/>
            <w:tabs>
              <w:tab w:val="left" w:pos="-1440"/>
              <w:tab w:val="left" w:pos="-720"/>
            </w:tabs>
            <w:jc w:val="center"/>
            <w:rPr>
              <w:sz w:val="20"/>
              <w:szCs w:val="20"/>
            </w:rPr>
          </w:pPr>
        </w:p>
        <w:p w:rsidR="00734D85" w:rsidRPr="00732DB7" w:rsidRDefault="00734D85" w:rsidP="00732DB7">
          <w:pPr>
            <w:keepNext/>
            <w:keepLines/>
            <w:tabs>
              <w:tab w:val="left" w:pos="-1440"/>
              <w:tab w:val="left" w:pos="-720"/>
            </w:tabs>
            <w:jc w:val="center"/>
            <w:rPr>
              <w:sz w:val="20"/>
              <w:szCs w:val="20"/>
            </w:rPr>
          </w:pPr>
        </w:p>
      </w:tc>
      <w:tc>
        <w:tcPr>
          <w:tcW w:w="4080" w:type="dxa"/>
          <w:tcMar>
            <w:left w:w="0" w:type="dxa"/>
            <w:right w:w="0" w:type="dxa"/>
          </w:tcMar>
        </w:tcPr>
        <w:p w:rsidR="00734D85" w:rsidRPr="00732DB7" w:rsidRDefault="00734D85"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734D85" w:rsidRPr="00283C52" w:rsidRDefault="00734D85"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D85" w:rsidRDefault="00734D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D85" w:rsidRDefault="00734D85">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34D85" w:rsidRPr="00B52C2C">
      <w:tc>
        <w:tcPr>
          <w:tcW w:w="4200" w:type="dxa"/>
          <w:tcMar>
            <w:left w:w="0" w:type="dxa"/>
            <w:right w:w="0" w:type="dxa"/>
          </w:tcMar>
        </w:tcPr>
        <w:p w:rsidR="00734D85" w:rsidRDefault="00734D8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734D85" w:rsidRDefault="00734D8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734D85" w:rsidRDefault="00734D8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734D85" w:rsidRPr="003C2C0F" w:rsidRDefault="00734D8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734D85" w:rsidRPr="003C2C0F" w:rsidRDefault="00734D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734D85" w:rsidRPr="003C2C0F" w:rsidRDefault="00734D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34D85" w:rsidRPr="00B52C2C" w:rsidTr="00245129">
      <w:tc>
        <w:tcPr>
          <w:tcW w:w="4200" w:type="dxa"/>
          <w:tcMar>
            <w:left w:w="0" w:type="dxa"/>
            <w:right w:w="0" w:type="dxa"/>
          </w:tcMar>
        </w:tcPr>
        <w:p w:rsidR="00734D85" w:rsidRPr="00FF6EEC" w:rsidRDefault="00734D85" w:rsidP="00FF6EEC">
          <w:pPr>
            <w:rPr>
              <w:sz w:val="20"/>
              <w:szCs w:val="20"/>
            </w:rPr>
          </w:pPr>
          <w:r w:rsidRPr="00FF6EEC">
            <w:rPr>
              <w:sz w:val="20"/>
              <w:szCs w:val="20"/>
            </w:rPr>
            <w:t>PRONOUNCEMENTS OF APPEALS RESERVED</w:t>
          </w:r>
        </w:p>
      </w:tc>
      <w:tc>
        <w:tcPr>
          <w:tcW w:w="1200" w:type="dxa"/>
          <w:tcMar>
            <w:left w:w="0" w:type="dxa"/>
            <w:right w:w="0" w:type="dxa"/>
          </w:tcMar>
        </w:tcPr>
        <w:p w:rsidR="00734D85" w:rsidRPr="00FF6EEC" w:rsidRDefault="00734D85" w:rsidP="00FF6EEC">
          <w:pPr>
            <w:jc w:val="center"/>
            <w:rPr>
              <w:sz w:val="20"/>
              <w:szCs w:val="20"/>
            </w:rPr>
          </w:pPr>
        </w:p>
        <w:p w:rsidR="00734D85" w:rsidRPr="00FF6EEC" w:rsidRDefault="00734D85" w:rsidP="00FF6EEC">
          <w:pPr>
            <w:jc w:val="center"/>
            <w:rPr>
              <w:sz w:val="20"/>
              <w:szCs w:val="20"/>
            </w:rPr>
          </w:pPr>
        </w:p>
        <w:p w:rsidR="00734D85" w:rsidRPr="00FF6EEC" w:rsidRDefault="00734D85" w:rsidP="00FF6EEC">
          <w:pPr>
            <w:jc w:val="center"/>
            <w:rPr>
              <w:sz w:val="20"/>
              <w:szCs w:val="20"/>
            </w:rPr>
          </w:pPr>
        </w:p>
      </w:tc>
      <w:tc>
        <w:tcPr>
          <w:tcW w:w="4080" w:type="dxa"/>
          <w:tcMar>
            <w:left w:w="0" w:type="dxa"/>
            <w:right w:w="0" w:type="dxa"/>
          </w:tcMar>
        </w:tcPr>
        <w:p w:rsidR="00734D85" w:rsidRPr="00FF6EEC" w:rsidRDefault="00734D85" w:rsidP="00FF6EEC">
          <w:pPr>
            <w:rPr>
              <w:sz w:val="20"/>
              <w:szCs w:val="20"/>
              <w:lang w:val="fr-CA"/>
            </w:rPr>
          </w:pPr>
          <w:r w:rsidRPr="00FF6EEC">
            <w:rPr>
              <w:sz w:val="20"/>
              <w:szCs w:val="20"/>
              <w:lang w:val="fr-CA"/>
            </w:rPr>
            <w:t>JUGEMENTS RENDUS SUR LES APPELS EN DÉLIBÉRÉ</w:t>
          </w:r>
        </w:p>
      </w:tc>
    </w:tr>
  </w:tbl>
  <w:p w:rsidR="00734D85" w:rsidRPr="003C2C0F" w:rsidRDefault="00734D85"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D85" w:rsidRDefault="00734D85">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734D85">
      <w:tc>
        <w:tcPr>
          <w:tcW w:w="4230" w:type="dxa"/>
          <w:tcMar>
            <w:left w:w="0" w:type="dxa"/>
            <w:right w:w="0" w:type="dxa"/>
          </w:tcMar>
        </w:tcPr>
        <w:p w:rsidR="00734D85" w:rsidRDefault="00734D8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734D85" w:rsidRDefault="00734D8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734D85" w:rsidRDefault="00734D8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734D85" w:rsidRDefault="00734D8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34D85" w:rsidRDefault="00734D8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734D85" w:rsidRDefault="00734D8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734D85" w:rsidRDefault="00734D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734D85" w:rsidRDefault="00734D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734D85" w:rsidRPr="00782AE4" w:rsidTr="00245129">
      <w:tc>
        <w:tcPr>
          <w:tcW w:w="4230" w:type="dxa"/>
          <w:tcMar>
            <w:left w:w="0" w:type="dxa"/>
            <w:right w:w="0" w:type="dxa"/>
          </w:tcMar>
        </w:tcPr>
        <w:p w:rsidR="00734D85" w:rsidRPr="00782AE4" w:rsidRDefault="00734D85" w:rsidP="00102926">
          <w:pPr>
            <w:keepNext/>
            <w:keepLines/>
            <w:tabs>
              <w:tab w:val="left" w:pos="-1440"/>
              <w:tab w:val="left" w:pos="-720"/>
            </w:tabs>
            <w:rPr>
              <w:sz w:val="20"/>
              <w:szCs w:val="20"/>
            </w:rPr>
          </w:pPr>
          <w:r w:rsidRPr="00782AE4">
            <w:rPr>
              <w:sz w:val="20"/>
              <w:szCs w:val="20"/>
            </w:rPr>
            <w:t xml:space="preserve">HEADNOTES OF RECENT </w:t>
          </w:r>
        </w:p>
        <w:p w:rsidR="00734D85" w:rsidRPr="00782AE4" w:rsidRDefault="00734D8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734D85" w:rsidRDefault="00734D85" w:rsidP="00102926">
          <w:pPr>
            <w:keepNext/>
            <w:keepLines/>
            <w:tabs>
              <w:tab w:val="left" w:pos="-1440"/>
              <w:tab w:val="left" w:pos="-720"/>
            </w:tabs>
            <w:jc w:val="center"/>
            <w:rPr>
              <w:sz w:val="20"/>
              <w:szCs w:val="20"/>
            </w:rPr>
          </w:pPr>
        </w:p>
        <w:p w:rsidR="00734D85" w:rsidRDefault="00734D85" w:rsidP="00102926">
          <w:pPr>
            <w:keepNext/>
            <w:keepLines/>
            <w:tabs>
              <w:tab w:val="left" w:pos="-1440"/>
              <w:tab w:val="left" w:pos="-720"/>
            </w:tabs>
            <w:jc w:val="center"/>
            <w:rPr>
              <w:sz w:val="20"/>
              <w:szCs w:val="20"/>
            </w:rPr>
          </w:pPr>
        </w:p>
        <w:p w:rsidR="00734D85" w:rsidRPr="00782AE4" w:rsidRDefault="00734D85" w:rsidP="00102926">
          <w:pPr>
            <w:keepNext/>
            <w:keepLines/>
            <w:tabs>
              <w:tab w:val="left" w:pos="-1440"/>
              <w:tab w:val="left" w:pos="-720"/>
            </w:tabs>
            <w:jc w:val="center"/>
            <w:rPr>
              <w:sz w:val="20"/>
              <w:szCs w:val="20"/>
            </w:rPr>
          </w:pPr>
        </w:p>
      </w:tc>
      <w:tc>
        <w:tcPr>
          <w:tcW w:w="4080" w:type="dxa"/>
          <w:tcMar>
            <w:left w:w="0" w:type="dxa"/>
            <w:right w:w="0" w:type="dxa"/>
          </w:tcMar>
        </w:tcPr>
        <w:p w:rsidR="00734D85" w:rsidRPr="00102926" w:rsidRDefault="00734D8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734D85" w:rsidRPr="00782AE4" w:rsidRDefault="00734D85" w:rsidP="00102926">
          <w:pPr>
            <w:keepLines/>
            <w:tabs>
              <w:tab w:val="left" w:pos="-1440"/>
              <w:tab w:val="left" w:pos="-720"/>
            </w:tabs>
            <w:rPr>
              <w:sz w:val="20"/>
              <w:szCs w:val="20"/>
            </w:rPr>
          </w:pPr>
          <w:r w:rsidRPr="00102926">
            <w:rPr>
              <w:sz w:val="20"/>
              <w:szCs w:val="20"/>
              <w:lang w:val="fr-CA"/>
            </w:rPr>
            <w:t>RÉCENTS</w:t>
          </w:r>
        </w:p>
      </w:tc>
    </w:tr>
  </w:tbl>
  <w:p w:rsidR="00734D85" w:rsidRDefault="00734D85"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D85" w:rsidRDefault="00734D85">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D85" w:rsidRDefault="00734D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D85" w:rsidRDefault="00734D8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734D85" w:rsidRPr="0044776A" w:rsidTr="00245129">
      <w:tc>
        <w:tcPr>
          <w:tcW w:w="4290" w:type="dxa"/>
          <w:tcMar>
            <w:left w:w="0" w:type="dxa"/>
            <w:right w:w="0" w:type="dxa"/>
          </w:tcMar>
        </w:tcPr>
        <w:p w:rsidR="00734D85" w:rsidRPr="0044776A" w:rsidRDefault="00734D85"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734D85" w:rsidRPr="0044776A" w:rsidRDefault="00734D85" w:rsidP="002E2327">
          <w:pPr>
            <w:keepNext/>
            <w:keepLines/>
            <w:tabs>
              <w:tab w:val="left" w:pos="-1440"/>
              <w:tab w:val="left" w:pos="-720"/>
            </w:tabs>
            <w:jc w:val="center"/>
            <w:rPr>
              <w:sz w:val="20"/>
              <w:szCs w:val="20"/>
            </w:rPr>
          </w:pPr>
        </w:p>
        <w:p w:rsidR="00734D85" w:rsidRPr="0044776A" w:rsidRDefault="00734D85" w:rsidP="002E2327">
          <w:pPr>
            <w:keepNext/>
            <w:keepLines/>
            <w:tabs>
              <w:tab w:val="left" w:pos="-1440"/>
              <w:tab w:val="left" w:pos="-720"/>
            </w:tabs>
            <w:jc w:val="center"/>
            <w:rPr>
              <w:sz w:val="20"/>
              <w:szCs w:val="20"/>
            </w:rPr>
          </w:pPr>
        </w:p>
        <w:p w:rsidR="00734D85" w:rsidRPr="0044776A" w:rsidRDefault="00734D85" w:rsidP="002E2327">
          <w:pPr>
            <w:keepNext/>
            <w:keepLines/>
            <w:tabs>
              <w:tab w:val="left" w:pos="-1440"/>
              <w:tab w:val="left" w:pos="-720"/>
            </w:tabs>
            <w:jc w:val="center"/>
            <w:rPr>
              <w:sz w:val="20"/>
              <w:szCs w:val="20"/>
            </w:rPr>
          </w:pPr>
        </w:p>
      </w:tc>
      <w:tc>
        <w:tcPr>
          <w:tcW w:w="4320" w:type="dxa"/>
          <w:tcMar>
            <w:left w:w="0" w:type="dxa"/>
            <w:right w:w="0" w:type="dxa"/>
          </w:tcMar>
        </w:tcPr>
        <w:p w:rsidR="00734D85" w:rsidRPr="0044776A" w:rsidRDefault="00734D85" w:rsidP="002E2327">
          <w:pPr>
            <w:keepLines/>
            <w:rPr>
              <w:sz w:val="20"/>
              <w:szCs w:val="20"/>
              <w:lang w:val="fr-CA"/>
            </w:rPr>
          </w:pPr>
          <w:r w:rsidRPr="0044776A">
            <w:rPr>
              <w:sz w:val="20"/>
              <w:szCs w:val="20"/>
              <w:lang w:val="fr-CA"/>
            </w:rPr>
            <w:t>DEMANDES D'AUTORISATION D'APPEL DÉPOSÉES</w:t>
          </w:r>
        </w:p>
      </w:tc>
    </w:tr>
  </w:tbl>
  <w:p w:rsidR="00734D85" w:rsidRDefault="00734D8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D85" w:rsidRDefault="00734D8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34D85" w:rsidRPr="00B52C2C" w:rsidTr="00245129">
      <w:tc>
        <w:tcPr>
          <w:tcW w:w="4200" w:type="dxa"/>
          <w:tcMar>
            <w:left w:w="0" w:type="dxa"/>
            <w:right w:w="0" w:type="dxa"/>
          </w:tcMar>
        </w:tcPr>
        <w:p w:rsidR="00734D85" w:rsidRPr="0044776A" w:rsidRDefault="00734D85" w:rsidP="0044776A">
          <w:pPr>
            <w:keepNext/>
            <w:keepLines/>
            <w:widowControl w:val="0"/>
            <w:rPr>
              <w:sz w:val="20"/>
              <w:szCs w:val="20"/>
            </w:rPr>
          </w:pPr>
          <w:r>
            <w:rPr>
              <w:sz w:val="20"/>
              <w:szCs w:val="20"/>
            </w:rPr>
            <w:t>APPLICATIONS FOR LEAVE</w:t>
          </w:r>
        </w:p>
        <w:p w:rsidR="00734D85" w:rsidRPr="0044776A" w:rsidRDefault="00734D85"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734D85" w:rsidRPr="0044776A" w:rsidRDefault="00734D85" w:rsidP="0044776A">
          <w:pPr>
            <w:keepNext/>
            <w:keepLines/>
            <w:widowControl w:val="0"/>
            <w:jc w:val="center"/>
            <w:rPr>
              <w:sz w:val="20"/>
              <w:szCs w:val="20"/>
            </w:rPr>
          </w:pPr>
        </w:p>
        <w:p w:rsidR="00734D85" w:rsidRPr="0044776A" w:rsidRDefault="00734D85" w:rsidP="0044776A">
          <w:pPr>
            <w:keepNext/>
            <w:keepLines/>
            <w:widowControl w:val="0"/>
            <w:jc w:val="center"/>
            <w:rPr>
              <w:sz w:val="20"/>
              <w:szCs w:val="20"/>
            </w:rPr>
          </w:pPr>
        </w:p>
        <w:p w:rsidR="00734D85" w:rsidRPr="0044776A" w:rsidRDefault="00734D85" w:rsidP="0044776A">
          <w:pPr>
            <w:keepNext/>
            <w:keepLines/>
            <w:widowControl w:val="0"/>
            <w:jc w:val="center"/>
            <w:rPr>
              <w:sz w:val="20"/>
              <w:szCs w:val="20"/>
            </w:rPr>
          </w:pPr>
        </w:p>
      </w:tc>
      <w:tc>
        <w:tcPr>
          <w:tcW w:w="4080" w:type="dxa"/>
          <w:tcMar>
            <w:left w:w="0" w:type="dxa"/>
            <w:right w:w="0" w:type="dxa"/>
          </w:tcMar>
        </w:tcPr>
        <w:p w:rsidR="00734D85" w:rsidRPr="0044776A" w:rsidRDefault="00734D85" w:rsidP="0044776A">
          <w:pPr>
            <w:keepLines/>
            <w:widowControl w:val="0"/>
            <w:rPr>
              <w:sz w:val="20"/>
              <w:szCs w:val="20"/>
              <w:lang w:val="fr-CA"/>
            </w:rPr>
          </w:pPr>
          <w:r w:rsidRPr="0044776A">
            <w:rPr>
              <w:sz w:val="20"/>
              <w:szCs w:val="20"/>
              <w:lang w:val="fr-CA"/>
            </w:rPr>
            <w:t>DEMANDES SOUMISES À LA COUR DEPUIS LA DERNIÈRE PARUTION</w:t>
          </w:r>
        </w:p>
        <w:p w:rsidR="00734D85" w:rsidRPr="0044776A" w:rsidRDefault="00734D85" w:rsidP="0044776A">
          <w:pPr>
            <w:widowControl w:val="0"/>
            <w:rPr>
              <w:sz w:val="20"/>
              <w:szCs w:val="20"/>
              <w:lang w:val="fr-CA"/>
            </w:rPr>
          </w:pPr>
        </w:p>
      </w:tc>
    </w:tr>
  </w:tbl>
  <w:p w:rsidR="00734D85" w:rsidRPr="002E2327" w:rsidRDefault="00734D85">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D85" w:rsidRDefault="00734D8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34D85" w:rsidRPr="00B52C2C">
      <w:tc>
        <w:tcPr>
          <w:tcW w:w="4200" w:type="dxa"/>
          <w:tcMar>
            <w:left w:w="0" w:type="dxa"/>
            <w:right w:w="0" w:type="dxa"/>
          </w:tcMar>
        </w:tcPr>
        <w:p w:rsidR="00734D85" w:rsidRDefault="00734D8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734D85" w:rsidRDefault="00734D8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734D85" w:rsidRDefault="00734D8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34D85" w:rsidRPr="00FF6BA5" w:rsidRDefault="00734D8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734D85" w:rsidRPr="00FF6BA5" w:rsidRDefault="00734D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734D85" w:rsidRPr="00FF6BA5" w:rsidRDefault="00734D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734D85" w:rsidRPr="00FF6BA5" w:rsidRDefault="00734D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34D85" w:rsidRPr="00B52C2C" w:rsidTr="00245129">
      <w:tc>
        <w:tcPr>
          <w:tcW w:w="4200" w:type="dxa"/>
          <w:tcMar>
            <w:left w:w="0" w:type="dxa"/>
            <w:right w:w="0" w:type="dxa"/>
          </w:tcMar>
        </w:tcPr>
        <w:p w:rsidR="00734D85" w:rsidRPr="00755F22" w:rsidRDefault="00734D8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734D85" w:rsidRPr="00755F22" w:rsidRDefault="00734D8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734D85" w:rsidRPr="00755F22" w:rsidRDefault="00734D8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34D85" w:rsidRPr="00755F22" w:rsidRDefault="00734D8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34D85" w:rsidRPr="00755F22" w:rsidRDefault="00734D8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734D85" w:rsidRPr="00755F22" w:rsidRDefault="00734D8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734D85" w:rsidRPr="00FF6BA5" w:rsidRDefault="00734D85"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E6FD6"/>
    <w:multiLevelType w:val="hybridMultilevel"/>
    <w:tmpl w:val="C47A2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D12F6"/>
    <w:multiLevelType w:val="hybridMultilevel"/>
    <w:tmpl w:val="469AEFF8"/>
    <w:lvl w:ilvl="0" w:tplc="F920E8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41C751D"/>
    <w:multiLevelType w:val="hybridMultilevel"/>
    <w:tmpl w:val="5DDC2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8DF3E82"/>
    <w:multiLevelType w:val="hybridMultilevel"/>
    <w:tmpl w:val="939441BE"/>
    <w:lvl w:ilvl="0" w:tplc="901C1EFA">
      <w:start w:val="1"/>
      <w:numFmt w:val="decimal"/>
      <w:lvlText w:val="%1."/>
      <w:lvlJc w:val="left"/>
      <w:pPr>
        <w:ind w:left="1080" w:hanging="360"/>
      </w:pPr>
      <w:rPr>
        <w:rFonts w:hint="default"/>
        <w:sz w:val="20"/>
        <w:szCs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60F15B4C"/>
    <w:multiLevelType w:val="hybridMultilevel"/>
    <w:tmpl w:val="15468ED2"/>
    <w:lvl w:ilvl="0" w:tplc="B3488166">
      <w:start w:val="1"/>
      <w:numFmt w:val="decimal"/>
      <w:lvlText w:val="%1."/>
      <w:lvlJc w:val="left"/>
      <w:pPr>
        <w:ind w:left="1080" w:hanging="360"/>
      </w:pPr>
      <w:rPr>
        <w:rFonts w:hint="default"/>
        <w:sz w:val="20"/>
        <w:szCs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629F3513"/>
    <w:multiLevelType w:val="hybridMultilevel"/>
    <w:tmpl w:val="24960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1"/>
  </w:num>
  <w:num w:numId="10">
    <w:abstractNumId w:val="3"/>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isplayHorizontalDrawingGridEvery w:val="2"/>
  <w:characterSpacingControl w:val="doNotCompress"/>
  <w:hdrShapeDefaults>
    <o:shapedefaults v:ext="edit" spidmax="62481"/>
  </w:hdrShapeDefaults>
  <w:footnotePr>
    <w:footnote w:id="-1"/>
    <w:footnote w:id="0"/>
  </w:footnotePr>
  <w:endnotePr>
    <w:endnote w:id="-1"/>
    <w:endnote w:id="0"/>
  </w:endnotePr>
  <w:compat>
    <w:compatSetting w:name="compatibilityMode" w:uri="http://schemas.microsoft.com/office/word" w:val="12"/>
  </w:compat>
  <w:rsids>
    <w:rsidRoot w:val="00D24201"/>
    <w:rsid w:val="00017776"/>
    <w:rsid w:val="0003223B"/>
    <w:rsid w:val="000327B2"/>
    <w:rsid w:val="00091FA6"/>
    <w:rsid w:val="00096BD9"/>
    <w:rsid w:val="000B3C9A"/>
    <w:rsid w:val="000B40A2"/>
    <w:rsid w:val="000B4624"/>
    <w:rsid w:val="000C0ACD"/>
    <w:rsid w:val="000C0D2A"/>
    <w:rsid w:val="000C413F"/>
    <w:rsid w:val="000C5CE8"/>
    <w:rsid w:val="000D7578"/>
    <w:rsid w:val="000E2959"/>
    <w:rsid w:val="000F0B60"/>
    <w:rsid w:val="00102926"/>
    <w:rsid w:val="0010587F"/>
    <w:rsid w:val="00111C6B"/>
    <w:rsid w:val="0012102B"/>
    <w:rsid w:val="0013369E"/>
    <w:rsid w:val="00164E6D"/>
    <w:rsid w:val="00177E00"/>
    <w:rsid w:val="001B157C"/>
    <w:rsid w:val="001B5C23"/>
    <w:rsid w:val="001D0D5F"/>
    <w:rsid w:val="001D6B8C"/>
    <w:rsid w:val="001F1F83"/>
    <w:rsid w:val="001F40DF"/>
    <w:rsid w:val="002021A9"/>
    <w:rsid w:val="002139A7"/>
    <w:rsid w:val="00215F7C"/>
    <w:rsid w:val="0022323B"/>
    <w:rsid w:val="002410B8"/>
    <w:rsid w:val="00242AEE"/>
    <w:rsid w:val="00245129"/>
    <w:rsid w:val="00245879"/>
    <w:rsid w:val="00253E51"/>
    <w:rsid w:val="00267FD5"/>
    <w:rsid w:val="00273931"/>
    <w:rsid w:val="00274D34"/>
    <w:rsid w:val="00283ED8"/>
    <w:rsid w:val="002868D0"/>
    <w:rsid w:val="002A008C"/>
    <w:rsid w:val="002A27D1"/>
    <w:rsid w:val="002A4AFA"/>
    <w:rsid w:val="002B516C"/>
    <w:rsid w:val="002D72EB"/>
    <w:rsid w:val="002E2327"/>
    <w:rsid w:val="002E3583"/>
    <w:rsid w:val="002E4345"/>
    <w:rsid w:val="002E5576"/>
    <w:rsid w:val="002F0FE1"/>
    <w:rsid w:val="00331B52"/>
    <w:rsid w:val="00333C2F"/>
    <w:rsid w:val="003359D3"/>
    <w:rsid w:val="00355967"/>
    <w:rsid w:val="003569EF"/>
    <w:rsid w:val="00371E2F"/>
    <w:rsid w:val="00382C47"/>
    <w:rsid w:val="00384384"/>
    <w:rsid w:val="003866AE"/>
    <w:rsid w:val="003B3977"/>
    <w:rsid w:val="003E5773"/>
    <w:rsid w:val="00432989"/>
    <w:rsid w:val="00440E24"/>
    <w:rsid w:val="0044776A"/>
    <w:rsid w:val="00460AFC"/>
    <w:rsid w:val="0047471F"/>
    <w:rsid w:val="00476FBA"/>
    <w:rsid w:val="004B195E"/>
    <w:rsid w:val="004B66B4"/>
    <w:rsid w:val="004B7F60"/>
    <w:rsid w:val="004C1AAC"/>
    <w:rsid w:val="004E1E0A"/>
    <w:rsid w:val="004F090E"/>
    <w:rsid w:val="00527CC7"/>
    <w:rsid w:val="00563E3D"/>
    <w:rsid w:val="00571CA4"/>
    <w:rsid w:val="00572133"/>
    <w:rsid w:val="00582136"/>
    <w:rsid w:val="005C1ECC"/>
    <w:rsid w:val="005C23FC"/>
    <w:rsid w:val="005C6840"/>
    <w:rsid w:val="005F263E"/>
    <w:rsid w:val="00600252"/>
    <w:rsid w:val="00612A40"/>
    <w:rsid w:val="00615753"/>
    <w:rsid w:val="0062714A"/>
    <w:rsid w:val="00675479"/>
    <w:rsid w:val="00680709"/>
    <w:rsid w:val="00683295"/>
    <w:rsid w:val="00683CFF"/>
    <w:rsid w:val="00696BF9"/>
    <w:rsid w:val="00697521"/>
    <w:rsid w:val="00697C62"/>
    <w:rsid w:val="006A085B"/>
    <w:rsid w:val="006A329B"/>
    <w:rsid w:val="006A7EB8"/>
    <w:rsid w:val="006B22E1"/>
    <w:rsid w:val="006B6926"/>
    <w:rsid w:val="006C3F47"/>
    <w:rsid w:val="006C5F7A"/>
    <w:rsid w:val="006E06AF"/>
    <w:rsid w:val="006F350F"/>
    <w:rsid w:val="00732DB7"/>
    <w:rsid w:val="00734D85"/>
    <w:rsid w:val="00741B40"/>
    <w:rsid w:val="0074238B"/>
    <w:rsid w:val="00745EF7"/>
    <w:rsid w:val="00755F22"/>
    <w:rsid w:val="00766E4A"/>
    <w:rsid w:val="007820CE"/>
    <w:rsid w:val="00782AE4"/>
    <w:rsid w:val="0079724F"/>
    <w:rsid w:val="007A3EAE"/>
    <w:rsid w:val="007C04FC"/>
    <w:rsid w:val="007D3E0F"/>
    <w:rsid w:val="007E4282"/>
    <w:rsid w:val="007F387B"/>
    <w:rsid w:val="00802863"/>
    <w:rsid w:val="0080417A"/>
    <w:rsid w:val="00815B3C"/>
    <w:rsid w:val="0081610A"/>
    <w:rsid w:val="0082783A"/>
    <w:rsid w:val="00831CA9"/>
    <w:rsid w:val="0083449C"/>
    <w:rsid w:val="00850E1F"/>
    <w:rsid w:val="0085476B"/>
    <w:rsid w:val="008713A0"/>
    <w:rsid w:val="00871C1F"/>
    <w:rsid w:val="008822C1"/>
    <w:rsid w:val="0089024C"/>
    <w:rsid w:val="00890FEB"/>
    <w:rsid w:val="008A5C1A"/>
    <w:rsid w:val="008C60DA"/>
    <w:rsid w:val="008D292F"/>
    <w:rsid w:val="008E03DC"/>
    <w:rsid w:val="008F1E87"/>
    <w:rsid w:val="0090145B"/>
    <w:rsid w:val="00902E51"/>
    <w:rsid w:val="00924065"/>
    <w:rsid w:val="00930D68"/>
    <w:rsid w:val="00932DB4"/>
    <w:rsid w:val="00937F92"/>
    <w:rsid w:val="00941A4B"/>
    <w:rsid w:val="00946242"/>
    <w:rsid w:val="009502C7"/>
    <w:rsid w:val="0095096B"/>
    <w:rsid w:val="00970CD3"/>
    <w:rsid w:val="009723FA"/>
    <w:rsid w:val="00984546"/>
    <w:rsid w:val="00996510"/>
    <w:rsid w:val="009D1F15"/>
    <w:rsid w:val="009D555E"/>
    <w:rsid w:val="009F3024"/>
    <w:rsid w:val="00A0355E"/>
    <w:rsid w:val="00A0635C"/>
    <w:rsid w:val="00A375D1"/>
    <w:rsid w:val="00A51D10"/>
    <w:rsid w:val="00A52A83"/>
    <w:rsid w:val="00A6552C"/>
    <w:rsid w:val="00A87207"/>
    <w:rsid w:val="00A935AA"/>
    <w:rsid w:val="00AB2201"/>
    <w:rsid w:val="00AD3259"/>
    <w:rsid w:val="00AE29F4"/>
    <w:rsid w:val="00AF1715"/>
    <w:rsid w:val="00AF3904"/>
    <w:rsid w:val="00B010C0"/>
    <w:rsid w:val="00B4740D"/>
    <w:rsid w:val="00B52C2C"/>
    <w:rsid w:val="00B5664A"/>
    <w:rsid w:val="00B61629"/>
    <w:rsid w:val="00B7374B"/>
    <w:rsid w:val="00B90DC0"/>
    <w:rsid w:val="00BA116A"/>
    <w:rsid w:val="00BA188C"/>
    <w:rsid w:val="00BA5582"/>
    <w:rsid w:val="00BA6468"/>
    <w:rsid w:val="00BB1D44"/>
    <w:rsid w:val="00BD06DA"/>
    <w:rsid w:val="00BD4217"/>
    <w:rsid w:val="00BF25F3"/>
    <w:rsid w:val="00C018C5"/>
    <w:rsid w:val="00C07D78"/>
    <w:rsid w:val="00C1697B"/>
    <w:rsid w:val="00C21CB5"/>
    <w:rsid w:val="00C50A5C"/>
    <w:rsid w:val="00C50FDF"/>
    <w:rsid w:val="00C63381"/>
    <w:rsid w:val="00C73D06"/>
    <w:rsid w:val="00C73E1B"/>
    <w:rsid w:val="00C759B4"/>
    <w:rsid w:val="00C77713"/>
    <w:rsid w:val="00C8307E"/>
    <w:rsid w:val="00C85BB7"/>
    <w:rsid w:val="00CA2DEA"/>
    <w:rsid w:val="00CB43D5"/>
    <w:rsid w:val="00CC4D84"/>
    <w:rsid w:val="00CD05E4"/>
    <w:rsid w:val="00CE198A"/>
    <w:rsid w:val="00CF08C8"/>
    <w:rsid w:val="00D004FC"/>
    <w:rsid w:val="00D01C64"/>
    <w:rsid w:val="00D24201"/>
    <w:rsid w:val="00D5052D"/>
    <w:rsid w:val="00D64901"/>
    <w:rsid w:val="00D76BDF"/>
    <w:rsid w:val="00D8017E"/>
    <w:rsid w:val="00D862C1"/>
    <w:rsid w:val="00D93B50"/>
    <w:rsid w:val="00D94028"/>
    <w:rsid w:val="00D94670"/>
    <w:rsid w:val="00DA46F6"/>
    <w:rsid w:val="00DD0B49"/>
    <w:rsid w:val="00DE0502"/>
    <w:rsid w:val="00DE349D"/>
    <w:rsid w:val="00E0384B"/>
    <w:rsid w:val="00E06DFA"/>
    <w:rsid w:val="00E20A0A"/>
    <w:rsid w:val="00E356C7"/>
    <w:rsid w:val="00E45FE4"/>
    <w:rsid w:val="00E64FA7"/>
    <w:rsid w:val="00E770CB"/>
    <w:rsid w:val="00E7787D"/>
    <w:rsid w:val="00E903A1"/>
    <w:rsid w:val="00E940EB"/>
    <w:rsid w:val="00E9703F"/>
    <w:rsid w:val="00EB2B90"/>
    <w:rsid w:val="00ED7E83"/>
    <w:rsid w:val="00EE091F"/>
    <w:rsid w:val="00EF4B63"/>
    <w:rsid w:val="00F0068D"/>
    <w:rsid w:val="00F0576D"/>
    <w:rsid w:val="00F14E6D"/>
    <w:rsid w:val="00F15EA8"/>
    <w:rsid w:val="00F16C8D"/>
    <w:rsid w:val="00F26C61"/>
    <w:rsid w:val="00F27109"/>
    <w:rsid w:val="00F33CCE"/>
    <w:rsid w:val="00F36B5F"/>
    <w:rsid w:val="00F40249"/>
    <w:rsid w:val="00F526C8"/>
    <w:rsid w:val="00F761A3"/>
    <w:rsid w:val="00F9272D"/>
    <w:rsid w:val="00F9518C"/>
    <w:rsid w:val="00FA316E"/>
    <w:rsid w:val="00FA59EF"/>
    <w:rsid w:val="00FB19A2"/>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2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paragraph" w:customStyle="1" w:styleId="SCCLsocParty">
    <w:name w:val="SCC.Lsoc.Party"/>
    <w:basedOn w:val="Normal"/>
    <w:next w:val="Normal"/>
    <w:link w:val="SCCLsocPartyChar"/>
    <w:rsid w:val="00871C1F"/>
    <w:pPr>
      <w:jc w:val="both"/>
    </w:pPr>
    <w:rPr>
      <w:rFonts w:eastAsia="Calibri" w:cs="Times New Roman"/>
      <w:i/>
      <w:lang w:val="fr-CA"/>
    </w:rPr>
  </w:style>
  <w:style w:type="character" w:customStyle="1" w:styleId="SCCLsocPartyChar">
    <w:name w:val="SCC.Lsoc.Party Char"/>
    <w:basedOn w:val="DefaultParagraphFont"/>
    <w:link w:val="SCCLsocParty"/>
    <w:rsid w:val="00871C1F"/>
    <w:rPr>
      <w:rFonts w:eastAsia="Calibri" w:cs="Times New Roman"/>
      <w:i/>
      <w:lang w:val="fr-CA"/>
    </w:rPr>
  </w:style>
  <w:style w:type="table" w:customStyle="1" w:styleId="TableGrid1">
    <w:name w:val="Table Grid1"/>
    <w:basedOn w:val="TableNormal"/>
    <w:next w:val="TableGrid"/>
    <w:uiPriority w:val="59"/>
    <w:rsid w:val="005C1ECC"/>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CCLsocLastPartyInRole">
    <w:name w:val="SCC.Lsoc.LastPartyInRole"/>
    <w:basedOn w:val="Normal"/>
    <w:next w:val="Normal"/>
    <w:link w:val="SCCLsocLastPartyInRoleChar"/>
    <w:qFormat/>
    <w:rsid w:val="00F36B5F"/>
    <w:pPr>
      <w:tabs>
        <w:tab w:val="right" w:pos="8222"/>
      </w:tabs>
      <w:spacing w:after="720"/>
    </w:pPr>
    <w:rPr>
      <w:rFonts w:eastAsia="Times New Roman" w:cs="Times New Roman"/>
      <w:b/>
      <w:szCs w:val="20"/>
      <w:lang w:eastAsia="en-CA"/>
    </w:rPr>
  </w:style>
  <w:style w:type="character" w:customStyle="1" w:styleId="SCCLsocLastPartyInRoleChar">
    <w:name w:val="SCC.Lsoc.LastPartyInRole Char"/>
    <w:basedOn w:val="SCCLsocPartyChar"/>
    <w:link w:val="SCCLsocLastPartyInRole"/>
    <w:rsid w:val="00F36B5F"/>
    <w:rPr>
      <w:rFonts w:eastAsia="Times New Roman" w:cs="Times New Roman"/>
      <w:b/>
      <w:i/>
      <w:szCs w:val="20"/>
      <w:lang w:val="en-CA" w:eastAsia="en-CA"/>
    </w:rPr>
  </w:style>
  <w:style w:type="table" w:customStyle="1" w:styleId="TableGrid2">
    <w:name w:val="Table Grid2"/>
    <w:basedOn w:val="TableNormal"/>
    <w:next w:val="TableGrid"/>
    <w:uiPriority w:val="59"/>
    <w:rsid w:val="00C07D78"/>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C07D78"/>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C07D78"/>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C07D78"/>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C07D78"/>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734D85"/>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734D85"/>
    <w:rPr>
      <w:rFonts w:eastAsia="Times New Roman" w:cs="Times New Roman"/>
      <w:i/>
      <w:iCs/>
      <w:color w:val="000000" w:themeColor="text1"/>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canlii.ca/fr/qc/qccs/doc/2011/2011qccs918/2011qccs918.html?searchUrlHash=AAAAAQANMjAxMSBRQ0NTIDkxOAAAAAAB" TargetMode="External"/><Relationship Id="rId39" Type="http://schemas.openxmlformats.org/officeDocument/2006/relationships/footer" Target="footer9.xml"/><Relationship Id="rId21" Type="http://schemas.openxmlformats.org/officeDocument/2006/relationships/footer" Target="footer6.xml"/><Relationship Id="rId34" Type="http://schemas.openxmlformats.org/officeDocument/2006/relationships/hyperlink" Target="http://www.canlii.ca/en/mb/mbqb/doc/2005/2005mbqb278/2005mbqb278.html?searchUrlHash=AAAAAQAPaGFybWluZGVyIHdhbGlhAAAAAAE" TargetMode="External"/><Relationship Id="rId42" Type="http://schemas.openxmlformats.org/officeDocument/2006/relationships/header" Target="header11.xml"/><Relationship Id="rId47" Type="http://schemas.openxmlformats.org/officeDocument/2006/relationships/footer" Target="footer13.xml"/><Relationship Id="rId50" Type="http://schemas.openxmlformats.org/officeDocument/2006/relationships/footer" Target="footer14.xml"/><Relationship Id="rId55" Type="http://schemas.openxmlformats.org/officeDocument/2006/relationships/hyperlink" Target="http://www.scc-csc.ca/case-dossier/info/sum-som-eng.aspx?cas=35093" TargetMode="External"/><Relationship Id="rId63" Type="http://schemas.openxmlformats.org/officeDocument/2006/relationships/header" Target="header20.xml"/><Relationship Id="rId68" Type="http://schemas.openxmlformats.org/officeDocument/2006/relationships/footer" Target="footer22.xml"/><Relationship Id="rId76" Type="http://schemas.openxmlformats.org/officeDocument/2006/relationships/footer" Target="footer25.xml"/><Relationship Id="rId7" Type="http://schemas.openxmlformats.org/officeDocument/2006/relationships/image" Target="media/image1.wmf"/><Relationship Id="rId71" Type="http://schemas.openxmlformats.org/officeDocument/2006/relationships/header" Target="header23.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canlii.ca/t/g03kf" TargetMode="External"/><Relationship Id="rId11" Type="http://schemas.openxmlformats.org/officeDocument/2006/relationships/header" Target="header2.xml"/><Relationship Id="rId24" Type="http://schemas.openxmlformats.org/officeDocument/2006/relationships/hyperlink" Target="http://canlii.ca/fr/qc/qccs/doc/2011/2011qccs918/2011qccs918.html?searchUrlHash=AAAAAQANMjAxMSBRQ0NTIDkxOAAAAAAB" TargetMode="External"/><Relationship Id="rId32" Type="http://schemas.openxmlformats.org/officeDocument/2006/relationships/hyperlink" Target="http://www.canlii.ca/en/mb/mbqb/doc/2005/2005mbqb278/2005mbqb278.html?searchUrlHash=AAAAAQAPaGFybWluZGVyIHdhbGlhAAAAAAE" TargetMode="External"/><Relationship Id="rId37" Type="http://schemas.openxmlformats.org/officeDocument/2006/relationships/header" Target="header9.xml"/><Relationship Id="rId40" Type="http://schemas.openxmlformats.org/officeDocument/2006/relationships/header" Target="header10.xml"/><Relationship Id="rId45" Type="http://schemas.openxmlformats.org/officeDocument/2006/relationships/footer" Target="footer12.xml"/><Relationship Id="rId53" Type="http://schemas.openxmlformats.org/officeDocument/2006/relationships/footer" Target="footer16.xml"/><Relationship Id="rId58" Type="http://schemas.openxmlformats.org/officeDocument/2006/relationships/header" Target="header18.xml"/><Relationship Id="rId66" Type="http://schemas.openxmlformats.org/officeDocument/2006/relationships/footer" Target="footer21.xml"/><Relationship Id="rId74" Type="http://schemas.openxmlformats.org/officeDocument/2006/relationships/footer" Target="footer24.xm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canlii.ca/t/g03kf" TargetMode="External"/><Relationship Id="rId44" Type="http://schemas.openxmlformats.org/officeDocument/2006/relationships/footer" Target="footer11.xml"/><Relationship Id="rId52" Type="http://schemas.openxmlformats.org/officeDocument/2006/relationships/header" Target="header16.xml"/><Relationship Id="rId60" Type="http://schemas.openxmlformats.org/officeDocument/2006/relationships/footer" Target="footer18.xml"/><Relationship Id="rId65" Type="http://schemas.openxmlformats.org/officeDocument/2006/relationships/footer" Target="footer20.xml"/><Relationship Id="rId73" Type="http://schemas.openxmlformats.org/officeDocument/2006/relationships/footer" Target="footer23.xml"/><Relationship Id="rId78" Type="http://schemas.openxmlformats.org/officeDocument/2006/relationships/footer" Target="footer26.xml"/><Relationship Id="rId4" Type="http://schemas.openxmlformats.org/officeDocument/2006/relationships/webSettings" Target="webSettings.xml"/><Relationship Id="rId9" Type="http://schemas.openxmlformats.org/officeDocument/2006/relationships/hyperlink" Target="http://www.scc-cs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canlii.ca/en/qc/qcca/doc/2013/2013qcca923/2013qcca923.html?searchUrlHash=AAAAAQANMjAxMyBRQ0NBIDkyMwAAAAAB" TargetMode="External"/><Relationship Id="rId30" Type="http://schemas.openxmlformats.org/officeDocument/2006/relationships/hyperlink" Target="http://canlii.ca/t/fvn7x" TargetMode="External"/><Relationship Id="rId35" Type="http://schemas.openxmlformats.org/officeDocument/2006/relationships/hyperlink" Target="http://www.canlii.ca/en/mb/mbca/doc/2013/2013mbca61/2013mbca61.html" TargetMode="External"/><Relationship Id="rId43" Type="http://schemas.openxmlformats.org/officeDocument/2006/relationships/header" Target="header12.xml"/><Relationship Id="rId48" Type="http://schemas.openxmlformats.org/officeDocument/2006/relationships/header" Target="header14.xml"/><Relationship Id="rId56" Type="http://schemas.openxmlformats.org/officeDocument/2006/relationships/hyperlink" Target="http://www.scc-csc.ca/case-dossier/info/sum-som-eng.aspx?cas=34949" TargetMode="External"/><Relationship Id="rId64" Type="http://schemas.openxmlformats.org/officeDocument/2006/relationships/header" Target="header21.xml"/><Relationship Id="rId69" Type="http://schemas.openxmlformats.org/officeDocument/2006/relationships/hyperlink" Target="http://www.scc-csc.ca/case-dossier/info/sum-som-eng.aspx?cas=34593" TargetMode="External"/><Relationship Id="rId77" Type="http://schemas.openxmlformats.org/officeDocument/2006/relationships/header" Target="header26.xml"/><Relationship Id="rId8" Type="http://schemas.openxmlformats.org/officeDocument/2006/relationships/hyperlink" Target="http://www.scc-csc.ca" TargetMode="External"/><Relationship Id="rId51" Type="http://schemas.openxmlformats.org/officeDocument/2006/relationships/footer" Target="footer15.xml"/><Relationship Id="rId72" Type="http://schemas.openxmlformats.org/officeDocument/2006/relationships/header" Target="header24.xm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canlii.ca/en/qc/qcca/doc/2013/2013qcca923/2013qcca923.html?searchUrlHash=AAAAAQANMjAxMyBRQ0NBIDkyMwAAAAAB" TargetMode="External"/><Relationship Id="rId33" Type="http://schemas.openxmlformats.org/officeDocument/2006/relationships/hyperlink" Target="http://www.canlii.ca/en/mb/mbca/doc/2013/2013mbca61/2013mbca61.html" TargetMode="External"/><Relationship Id="rId38" Type="http://schemas.openxmlformats.org/officeDocument/2006/relationships/footer" Target="footer8.xml"/><Relationship Id="rId46" Type="http://schemas.openxmlformats.org/officeDocument/2006/relationships/header" Target="header13.xml"/><Relationship Id="rId59" Type="http://schemas.openxmlformats.org/officeDocument/2006/relationships/footer" Target="footer17.xml"/><Relationship Id="rId67" Type="http://schemas.openxmlformats.org/officeDocument/2006/relationships/header" Target="header22.xml"/><Relationship Id="rId20" Type="http://schemas.openxmlformats.org/officeDocument/2006/relationships/header" Target="header6.xml"/><Relationship Id="rId41" Type="http://schemas.openxmlformats.org/officeDocument/2006/relationships/footer" Target="footer10.xml"/><Relationship Id="rId54" Type="http://schemas.openxmlformats.org/officeDocument/2006/relationships/hyperlink" Target="http://www.scc-csc.ca/case-dossier/info/sum-som-eng.aspx?cas=35049" TargetMode="External"/><Relationship Id="rId62" Type="http://schemas.openxmlformats.org/officeDocument/2006/relationships/footer" Target="footer19.xml"/><Relationship Id="rId70" Type="http://schemas.openxmlformats.org/officeDocument/2006/relationships/hyperlink" Target="http://www.scc-csc.ca/case-dossier/info/sum-som-fra.aspx?cas=34743" TargetMode="External"/><Relationship Id="rId75"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canlii.ca/t/fvn7x" TargetMode="External"/><Relationship Id="rId36" Type="http://schemas.openxmlformats.org/officeDocument/2006/relationships/header" Target="header8.xml"/><Relationship Id="rId49" Type="http://schemas.openxmlformats.org/officeDocument/2006/relationships/header" Target="header15.xml"/><Relationship Id="rId57"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13548</Words>
  <Characters>77229</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2013-12-02T20:33:00Z</dcterms:created>
  <dcterms:modified xsi:type="dcterms:W3CDTF">2015-12-18T19:23:00Z</dcterms:modified>
</cp:coreProperties>
</file>