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C541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C541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C5411"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7C541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C5411" w:rsidTr="002E5576">
        <w:tc>
          <w:tcPr>
            <w:tcW w:w="4518" w:type="dxa"/>
          </w:tcPr>
          <w:p w:rsidR="00BF25F3" w:rsidRPr="002E2327" w:rsidRDefault="00FD4200"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FD4200"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C5411"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7C5411"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7C5411">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7C5411">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January</w:t>
      </w:r>
      <w:r w:rsidR="00440E24" w:rsidRPr="00675479">
        <w:rPr>
          <w:lang w:val="fr-CA"/>
        </w:rPr>
        <w:t xml:space="preserve"> </w:t>
      </w:r>
      <w:r w:rsidR="00027083">
        <w:rPr>
          <w:lang w:val="fr-CA"/>
        </w:rPr>
        <w:t>24</w:t>
      </w:r>
      <w:r w:rsidR="00440E24" w:rsidRPr="00675479">
        <w:rPr>
          <w:lang w:val="fr-CA"/>
        </w:rPr>
        <w:t>, 201</w:t>
      </w:r>
      <w:r w:rsidR="00501F3C">
        <w:rPr>
          <w:lang w:val="fr-CA"/>
        </w:rPr>
        <w:t>4</w:t>
      </w:r>
      <w:r w:rsidR="00F0068D" w:rsidRPr="00675479">
        <w:rPr>
          <w:lang w:val="fr-CA"/>
        </w:rPr>
        <w:tab/>
      </w:r>
      <w:r w:rsidR="00027083">
        <w:rPr>
          <w:lang w:val="fr-CA"/>
        </w:rPr>
        <w:t>94</w:t>
      </w:r>
      <w:r w:rsidR="00F0068D" w:rsidRPr="00675479">
        <w:rPr>
          <w:lang w:val="fr-CA"/>
        </w:rPr>
        <w:t xml:space="preserve"> - </w:t>
      </w:r>
      <w:r w:rsidR="003A5C99">
        <w:rPr>
          <w:lang w:val="fr-CA"/>
        </w:rPr>
        <w:t>146</w:t>
      </w:r>
      <w:r w:rsidR="00440E24" w:rsidRPr="00675479">
        <w:rPr>
          <w:lang w:val="fr-CA"/>
        </w:rPr>
        <w:tab/>
      </w:r>
      <w:r w:rsidR="00440E24" w:rsidRPr="002E2327">
        <w:rPr>
          <w:lang w:val="fr-CA"/>
        </w:rPr>
        <w:t>Le</w:t>
      </w:r>
      <w:r>
        <w:rPr>
          <w:lang w:val="fr-CA"/>
        </w:rPr>
        <w:t xml:space="preserve"> </w:t>
      </w:r>
      <w:r w:rsidR="00027083">
        <w:rPr>
          <w:lang w:val="fr-CA"/>
        </w:rPr>
        <w:t>24</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lastRenderedPageBreak/>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3B3FAA" w:rsidP="0095096B">
            <w:pPr>
              <w:tabs>
                <w:tab w:val="right" w:pos="9360"/>
              </w:tabs>
              <w:rPr>
                <w:rFonts w:cs="Times New Roman"/>
                <w:sz w:val="20"/>
                <w:szCs w:val="20"/>
              </w:rPr>
            </w:pPr>
            <w:r>
              <w:rPr>
                <w:rFonts w:cs="Times New Roman"/>
                <w:sz w:val="20"/>
                <w:szCs w:val="20"/>
              </w:rPr>
              <w:t>Amended judgment</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AE215F">
            <w:pPr>
              <w:tabs>
                <w:tab w:val="right" w:pos="9360"/>
              </w:tabs>
              <w:rPr>
                <w:rFonts w:cs="Times New Roman"/>
                <w:sz w:val="20"/>
                <w:szCs w:val="20"/>
              </w:rPr>
            </w:pPr>
          </w:p>
        </w:tc>
        <w:tc>
          <w:tcPr>
            <w:tcW w:w="1980" w:type="dxa"/>
          </w:tcPr>
          <w:p w:rsidR="0095096B" w:rsidRPr="002E2327" w:rsidRDefault="00027083" w:rsidP="0095096B">
            <w:pPr>
              <w:jc w:val="center"/>
              <w:rPr>
                <w:rFonts w:cs="Times New Roman"/>
                <w:sz w:val="20"/>
                <w:szCs w:val="20"/>
              </w:rPr>
            </w:pPr>
            <w:r>
              <w:rPr>
                <w:rFonts w:cs="Times New Roman"/>
                <w:sz w:val="20"/>
                <w:szCs w:val="20"/>
              </w:rPr>
              <w:t>94</w:t>
            </w:r>
            <w:r w:rsidR="00FD4200" w:rsidRPr="002E2327">
              <w:rPr>
                <w:rFonts w:cs="Times New Roman"/>
                <w:sz w:val="20"/>
                <w:szCs w:val="20"/>
              </w:rPr>
              <w:fldChar w:fldCharType="begin"/>
            </w:r>
            <w:r w:rsidR="0095096B" w:rsidRPr="002E2327">
              <w:rPr>
                <w:rFonts w:cs="Times New Roman"/>
                <w:sz w:val="20"/>
                <w:szCs w:val="20"/>
              </w:rPr>
              <w:instrText xml:space="preserve"> SEQ CHAPTER \h \r 1</w:instrText>
            </w:r>
            <w:r w:rsidR="00FD4200"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817EC" w:rsidP="0095096B">
            <w:pPr>
              <w:jc w:val="center"/>
              <w:rPr>
                <w:rFonts w:cs="Times New Roman"/>
                <w:sz w:val="20"/>
                <w:szCs w:val="20"/>
              </w:rPr>
            </w:pPr>
            <w:r>
              <w:rPr>
                <w:rFonts w:cs="Times New Roman"/>
                <w:sz w:val="20"/>
                <w:szCs w:val="20"/>
              </w:rPr>
              <w:t>95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E215F" w:rsidP="0095096B">
            <w:pPr>
              <w:jc w:val="center"/>
              <w:rPr>
                <w:rFonts w:cs="Times New Roman"/>
                <w:sz w:val="20"/>
                <w:szCs w:val="20"/>
              </w:rPr>
            </w:pPr>
            <w:r>
              <w:rPr>
                <w:rFonts w:cs="Times New Roman"/>
                <w:sz w:val="20"/>
                <w:szCs w:val="20"/>
              </w:rPr>
              <w:t xml:space="preserve">96 </w:t>
            </w:r>
            <w:r w:rsidR="0095096B" w:rsidRPr="002E2327">
              <w:rPr>
                <w:rFonts w:cs="Times New Roman"/>
                <w:sz w:val="20"/>
                <w:szCs w:val="20"/>
              </w:rPr>
              <w:t>-</w:t>
            </w:r>
            <w:r w:rsidR="002E14C3">
              <w:rPr>
                <w:rFonts w:cs="Times New Roman"/>
                <w:sz w:val="20"/>
                <w:szCs w:val="20"/>
              </w:rPr>
              <w:t xml:space="preserve"> 117</w:t>
            </w:r>
          </w:p>
          <w:p w:rsidR="0095096B" w:rsidRPr="002E2327" w:rsidRDefault="0095096B" w:rsidP="0095096B">
            <w:pPr>
              <w:jc w:val="center"/>
              <w:rPr>
                <w:rFonts w:cs="Times New Roman"/>
                <w:sz w:val="20"/>
                <w:szCs w:val="20"/>
              </w:rPr>
            </w:pPr>
          </w:p>
          <w:p w:rsidR="002E14C3" w:rsidRDefault="002E14C3" w:rsidP="0095096B">
            <w:pPr>
              <w:jc w:val="center"/>
              <w:rPr>
                <w:rFonts w:cs="Times New Roman"/>
                <w:sz w:val="20"/>
                <w:szCs w:val="20"/>
              </w:rPr>
            </w:pPr>
          </w:p>
          <w:p w:rsidR="0095096B" w:rsidRPr="002E2327" w:rsidRDefault="002E14C3" w:rsidP="0095096B">
            <w:pPr>
              <w:jc w:val="center"/>
              <w:rPr>
                <w:rFonts w:cs="Times New Roman"/>
                <w:sz w:val="20"/>
                <w:szCs w:val="20"/>
              </w:rPr>
            </w:pPr>
            <w:r>
              <w:rPr>
                <w:rFonts w:cs="Times New Roman"/>
                <w:sz w:val="20"/>
                <w:szCs w:val="20"/>
              </w:rPr>
              <w:t xml:space="preserve">118 </w:t>
            </w:r>
            <w:r w:rsidR="0095096B" w:rsidRPr="002E2327">
              <w:rPr>
                <w:rFonts w:cs="Times New Roman"/>
                <w:sz w:val="20"/>
                <w:szCs w:val="20"/>
              </w:rPr>
              <w:t>-</w:t>
            </w:r>
            <w:r>
              <w:rPr>
                <w:rFonts w:cs="Times New Roman"/>
                <w:sz w:val="20"/>
                <w:szCs w:val="20"/>
              </w:rPr>
              <w:t xml:space="preserve"> 124</w:t>
            </w:r>
          </w:p>
          <w:p w:rsidR="0095096B" w:rsidRPr="002E2327" w:rsidRDefault="0095096B" w:rsidP="0095096B">
            <w:pPr>
              <w:jc w:val="center"/>
              <w:rPr>
                <w:rFonts w:cs="Times New Roman"/>
                <w:sz w:val="20"/>
                <w:szCs w:val="20"/>
              </w:rPr>
            </w:pPr>
          </w:p>
          <w:p w:rsidR="0095096B" w:rsidRDefault="002E14C3" w:rsidP="0095096B">
            <w:pPr>
              <w:jc w:val="center"/>
              <w:rPr>
                <w:rFonts w:cs="Times New Roman"/>
                <w:sz w:val="20"/>
                <w:szCs w:val="20"/>
              </w:rPr>
            </w:pPr>
            <w:r>
              <w:rPr>
                <w:rFonts w:cs="Times New Roman"/>
                <w:sz w:val="20"/>
                <w:szCs w:val="20"/>
              </w:rPr>
              <w:t>125</w:t>
            </w:r>
          </w:p>
          <w:p w:rsidR="002E14C3" w:rsidRPr="002E2327" w:rsidRDefault="002E14C3" w:rsidP="0095096B">
            <w:pPr>
              <w:jc w:val="center"/>
              <w:rPr>
                <w:rFonts w:cs="Times New Roman"/>
                <w:sz w:val="20"/>
                <w:szCs w:val="20"/>
              </w:rPr>
            </w:pPr>
          </w:p>
          <w:p w:rsidR="0095096B" w:rsidRPr="002E2327" w:rsidRDefault="002E14C3" w:rsidP="0095096B">
            <w:pPr>
              <w:jc w:val="center"/>
              <w:rPr>
                <w:rFonts w:cs="Times New Roman"/>
                <w:sz w:val="20"/>
                <w:szCs w:val="20"/>
              </w:rPr>
            </w:pPr>
            <w:r>
              <w:rPr>
                <w:rFonts w:cs="Times New Roman"/>
                <w:sz w:val="20"/>
                <w:szCs w:val="20"/>
              </w:rPr>
              <w:t>126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E14C3" w:rsidP="0095096B">
            <w:pPr>
              <w:jc w:val="center"/>
              <w:rPr>
                <w:rFonts w:cs="Times New Roman"/>
                <w:sz w:val="20"/>
                <w:szCs w:val="20"/>
              </w:rPr>
            </w:pPr>
            <w:r>
              <w:rPr>
                <w:rFonts w:cs="Times New Roman"/>
                <w:sz w:val="20"/>
                <w:szCs w:val="20"/>
              </w:rPr>
              <w:t xml:space="preserve">127 </w:t>
            </w:r>
            <w:r w:rsidR="0095096B" w:rsidRPr="002E2327">
              <w:rPr>
                <w:rFonts w:cs="Times New Roman"/>
                <w:sz w:val="20"/>
                <w:szCs w:val="20"/>
              </w:rPr>
              <w:t>-</w:t>
            </w:r>
            <w:r w:rsidR="003A5C99">
              <w:rPr>
                <w:rFonts w:cs="Times New Roman"/>
                <w:sz w:val="20"/>
                <w:szCs w:val="20"/>
              </w:rPr>
              <w:t xml:space="preserve"> 136</w:t>
            </w:r>
          </w:p>
          <w:p w:rsidR="0095096B" w:rsidRDefault="0095096B" w:rsidP="0095096B">
            <w:pPr>
              <w:jc w:val="center"/>
              <w:rPr>
                <w:rFonts w:cs="Times New Roman"/>
                <w:sz w:val="20"/>
                <w:szCs w:val="20"/>
              </w:rPr>
            </w:pPr>
          </w:p>
          <w:p w:rsidR="002E14C3" w:rsidRPr="002E2327" w:rsidRDefault="002E14C3" w:rsidP="0095096B">
            <w:pPr>
              <w:jc w:val="center"/>
              <w:rPr>
                <w:rFonts w:cs="Times New Roman"/>
                <w:sz w:val="20"/>
                <w:szCs w:val="20"/>
              </w:rPr>
            </w:pPr>
          </w:p>
          <w:p w:rsidR="0095096B" w:rsidRDefault="003A5C99" w:rsidP="0095096B">
            <w:pPr>
              <w:jc w:val="center"/>
              <w:rPr>
                <w:rFonts w:cs="Times New Roman"/>
                <w:sz w:val="20"/>
                <w:szCs w:val="20"/>
              </w:rPr>
            </w:pPr>
            <w:r>
              <w:rPr>
                <w:rFonts w:cs="Times New Roman"/>
                <w:sz w:val="20"/>
                <w:szCs w:val="20"/>
              </w:rPr>
              <w:t>137</w:t>
            </w:r>
          </w:p>
          <w:p w:rsidR="00AD0CDB" w:rsidRPr="002E2327" w:rsidRDefault="00AD0CD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A5C99" w:rsidP="0095096B">
            <w:pPr>
              <w:jc w:val="center"/>
              <w:rPr>
                <w:rFonts w:cs="Times New Roman"/>
                <w:sz w:val="20"/>
                <w:szCs w:val="20"/>
              </w:rPr>
            </w:pPr>
            <w:r>
              <w:rPr>
                <w:rFonts w:cs="Times New Roman"/>
                <w:sz w:val="20"/>
                <w:szCs w:val="20"/>
              </w:rPr>
              <w:t xml:space="preserve">138 </w:t>
            </w:r>
            <w:r w:rsidR="0095096B" w:rsidRPr="002E2327">
              <w:rPr>
                <w:rFonts w:cs="Times New Roman"/>
                <w:sz w:val="20"/>
                <w:szCs w:val="20"/>
              </w:rPr>
              <w:t>-</w:t>
            </w:r>
            <w:r>
              <w:rPr>
                <w:rFonts w:cs="Times New Roman"/>
                <w:sz w:val="20"/>
                <w:szCs w:val="20"/>
              </w:rPr>
              <w:t xml:space="preserve"> 146</w:t>
            </w:r>
          </w:p>
          <w:p w:rsidR="00A87207" w:rsidRPr="002E2327" w:rsidRDefault="00A87207" w:rsidP="00AE215F">
            <w:pPr>
              <w:tabs>
                <w:tab w:val="right" w:pos="9360"/>
              </w:tabs>
              <w:jc w:val="center"/>
              <w:rPr>
                <w:rFonts w:cs="Times New Roman"/>
                <w:sz w:val="20"/>
                <w:szCs w:val="20"/>
              </w:rPr>
            </w:pPr>
          </w:p>
        </w:tc>
        <w:tc>
          <w:tcPr>
            <w:tcW w:w="3888" w:type="dxa"/>
          </w:tcPr>
          <w:p w:rsidR="0095096B" w:rsidRPr="002E2327" w:rsidRDefault="00FD4200"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3B3FAA" w:rsidP="0095096B">
            <w:pPr>
              <w:rPr>
                <w:rFonts w:cs="Times New Roman"/>
                <w:sz w:val="20"/>
                <w:szCs w:val="20"/>
                <w:lang w:val="fr-CA"/>
              </w:rPr>
            </w:pPr>
            <w:r>
              <w:rPr>
                <w:rFonts w:cs="Times New Roman"/>
                <w:sz w:val="20"/>
                <w:szCs w:val="20"/>
                <w:lang w:val="fr-CA"/>
              </w:rPr>
              <w:t>Jugement modifié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AE215F">
            <w:pPr>
              <w:tabs>
                <w:tab w:val="right" w:pos="9360"/>
              </w:tabs>
              <w:rPr>
                <w:rFonts w:cs="Times New Roman"/>
                <w:sz w:val="20"/>
                <w:szCs w:val="20"/>
                <w:lang w:val="fr-CA"/>
              </w:rPr>
            </w:pPr>
          </w:p>
        </w:tc>
      </w:tr>
    </w:tbl>
    <w:p w:rsidR="0095096B" w:rsidRDefault="0095096B" w:rsidP="0095096B">
      <w:pPr>
        <w:tabs>
          <w:tab w:val="right" w:pos="9360"/>
        </w:tabs>
      </w:pPr>
    </w:p>
    <w:p w:rsidR="00AE215F" w:rsidRDefault="00AE215F" w:rsidP="0095096B">
      <w:pPr>
        <w:tabs>
          <w:tab w:val="right" w:pos="9360"/>
        </w:tabs>
      </w:pPr>
    </w:p>
    <w:p w:rsidR="00AE215F" w:rsidRDefault="00AE215F" w:rsidP="0095096B">
      <w:pPr>
        <w:tabs>
          <w:tab w:val="right" w:pos="9360"/>
        </w:tabs>
      </w:pPr>
    </w:p>
    <w:p w:rsidR="00AE215F" w:rsidRDefault="00AE215F" w:rsidP="0095096B">
      <w:pPr>
        <w:tabs>
          <w:tab w:val="right" w:pos="9360"/>
        </w:tabs>
      </w:pPr>
    </w:p>
    <w:p w:rsidR="00AE215F" w:rsidRPr="002E2327" w:rsidRDefault="00AE215F" w:rsidP="0095096B">
      <w:pPr>
        <w:tabs>
          <w:tab w:val="right" w:pos="9360"/>
        </w:tabs>
      </w:pPr>
    </w:p>
    <w:tbl>
      <w:tblPr>
        <w:tblStyle w:val="TableGrid"/>
        <w:tblW w:w="0" w:type="auto"/>
        <w:tblLook w:val="04A0" w:firstRow="1" w:lastRow="0" w:firstColumn="1" w:lastColumn="0" w:noHBand="0" w:noVBand="1"/>
      </w:tblPr>
      <w:tblGrid>
        <w:gridCol w:w="9576"/>
      </w:tblGrid>
      <w:tr w:rsidR="0079724F" w:rsidRPr="007C5411"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42AEE" w:rsidRPr="00A935AA" w:rsidTr="003B3977">
        <w:tc>
          <w:tcPr>
            <w:tcW w:w="4320" w:type="dxa"/>
            <w:shd w:val="clear" w:color="auto" w:fill="auto"/>
          </w:tcPr>
          <w:p w:rsidR="00242AEE" w:rsidRPr="00A935AA" w:rsidRDefault="00723477" w:rsidP="003B3977">
            <w:pPr>
              <w:rPr>
                <w:b/>
                <w:sz w:val="20"/>
                <w:szCs w:val="20"/>
              </w:rPr>
            </w:pPr>
            <w:r>
              <w:rPr>
                <w:b/>
                <w:sz w:val="20"/>
                <w:szCs w:val="20"/>
              </w:rPr>
              <w:t>Derek Wyatt Crowther</w:t>
            </w:r>
            <w:r w:rsidR="00E90160">
              <w:rPr>
                <w:b/>
                <w:sz w:val="20"/>
                <w:szCs w:val="20"/>
              </w:rPr>
              <w:t xml:space="preserve"> et al.</w:t>
            </w:r>
          </w:p>
          <w:p w:rsidR="00242AEE" w:rsidRPr="00E90160" w:rsidRDefault="00242AEE" w:rsidP="003B3977">
            <w:pPr>
              <w:tabs>
                <w:tab w:val="left" w:pos="-1440"/>
                <w:tab w:val="left" w:pos="-720"/>
              </w:tabs>
              <w:rPr>
                <w:sz w:val="20"/>
                <w:szCs w:val="20"/>
                <w:lang w:val="fr-CA"/>
              </w:rPr>
            </w:pPr>
            <w:r w:rsidRPr="00A935AA">
              <w:rPr>
                <w:sz w:val="20"/>
                <w:szCs w:val="20"/>
              </w:rPr>
              <w:tab/>
            </w:r>
            <w:r w:rsidR="00E90160" w:rsidRPr="00E90160">
              <w:rPr>
                <w:sz w:val="20"/>
                <w:szCs w:val="20"/>
                <w:lang w:val="fr-CA"/>
              </w:rPr>
              <w:t>Robert A. Mulligan, Q.C.</w:t>
            </w:r>
          </w:p>
          <w:p w:rsidR="00242AEE" w:rsidRPr="00E90160" w:rsidRDefault="00242AEE" w:rsidP="003B3977">
            <w:pPr>
              <w:tabs>
                <w:tab w:val="left" w:pos="-1440"/>
                <w:tab w:val="left" w:pos="-720"/>
              </w:tabs>
              <w:rPr>
                <w:sz w:val="20"/>
                <w:szCs w:val="20"/>
              </w:rPr>
            </w:pPr>
            <w:r w:rsidRPr="00E90160">
              <w:rPr>
                <w:sz w:val="20"/>
                <w:szCs w:val="20"/>
                <w:lang w:val="fr-CA"/>
              </w:rPr>
              <w:tab/>
            </w:r>
            <w:r w:rsidR="00E90160" w:rsidRPr="00E90160">
              <w:rPr>
                <w:sz w:val="20"/>
                <w:szCs w:val="20"/>
              </w:rPr>
              <w:t>Mulligan Tam Pearson Law Corporation</w:t>
            </w:r>
          </w:p>
          <w:p w:rsidR="00242AEE" w:rsidRPr="00E90160"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E90160">
              <w:rPr>
                <w:sz w:val="20"/>
                <w:szCs w:val="20"/>
              </w:rPr>
              <w:tab/>
            </w:r>
            <w:r w:rsidRPr="00A935AA">
              <w:rPr>
                <w:sz w:val="20"/>
                <w:szCs w:val="20"/>
              </w:rPr>
              <w:t>v. (3</w:t>
            </w:r>
            <w:r w:rsidR="00D116A3">
              <w:rPr>
                <w:sz w:val="20"/>
                <w:szCs w:val="20"/>
              </w:rPr>
              <w:t>5</w:t>
            </w:r>
            <w:r w:rsidR="00E90160">
              <w:rPr>
                <w:sz w:val="20"/>
                <w:szCs w:val="20"/>
              </w:rPr>
              <w:t>660</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E90160"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(B.C.)</w:t>
            </w:r>
          </w:p>
          <w:p w:rsidR="00242AEE" w:rsidRPr="00A935AA" w:rsidRDefault="00242AEE" w:rsidP="003B3977">
            <w:pPr>
              <w:tabs>
                <w:tab w:val="left" w:pos="-1440"/>
                <w:tab w:val="left" w:pos="-720"/>
              </w:tabs>
              <w:rPr>
                <w:sz w:val="20"/>
                <w:szCs w:val="20"/>
              </w:rPr>
            </w:pPr>
            <w:r w:rsidRPr="00A935AA">
              <w:rPr>
                <w:sz w:val="20"/>
                <w:szCs w:val="20"/>
              </w:rPr>
              <w:tab/>
            </w:r>
            <w:r w:rsidR="00E90160">
              <w:rPr>
                <w:sz w:val="20"/>
                <w:szCs w:val="20"/>
              </w:rPr>
              <w:t>Beverly A. MacLean</w:t>
            </w:r>
          </w:p>
          <w:p w:rsidR="00242AEE" w:rsidRPr="00A935AA" w:rsidRDefault="00242AEE" w:rsidP="003B3977">
            <w:pPr>
              <w:tabs>
                <w:tab w:val="left" w:pos="-1440"/>
                <w:tab w:val="left" w:pos="-720"/>
              </w:tabs>
              <w:rPr>
                <w:sz w:val="20"/>
                <w:szCs w:val="20"/>
              </w:rPr>
            </w:pPr>
            <w:r w:rsidRPr="00A935AA">
              <w:rPr>
                <w:sz w:val="20"/>
                <w:szCs w:val="20"/>
              </w:rPr>
              <w:tab/>
            </w:r>
            <w:r w:rsidR="00E90160">
              <w:rPr>
                <w:sz w:val="20"/>
                <w:szCs w:val="20"/>
              </w:rPr>
              <w:t>A.G. of British Columbia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FILING DATE: 2</w:t>
            </w:r>
            <w:r w:rsidR="00E934B6">
              <w:rPr>
                <w:sz w:val="20"/>
                <w:szCs w:val="20"/>
              </w:rPr>
              <w:t>0</w:t>
            </w:r>
            <w:r w:rsidRPr="00A935AA">
              <w:rPr>
                <w:sz w:val="20"/>
                <w:szCs w:val="20"/>
              </w:rPr>
              <w:t>.</w:t>
            </w:r>
            <w:r w:rsidR="00D116A3">
              <w:rPr>
                <w:sz w:val="20"/>
                <w:szCs w:val="20"/>
              </w:rPr>
              <w:t>12</w:t>
            </w:r>
            <w:r w:rsidRPr="00A935AA">
              <w:rPr>
                <w:sz w:val="20"/>
                <w:szCs w:val="20"/>
              </w:rPr>
              <w:t>.201</w:t>
            </w:r>
            <w:r w:rsidR="00D116A3">
              <w:rPr>
                <w:sz w:val="20"/>
                <w:szCs w:val="20"/>
              </w:rPr>
              <w:t>3</w:t>
            </w:r>
          </w:p>
          <w:p w:rsidR="00242AEE" w:rsidRPr="00A935AA" w:rsidRDefault="007C5411" w:rsidP="003B3977">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E934B6" w:rsidP="003B3977">
            <w:pPr>
              <w:keepNext/>
              <w:keepLines/>
              <w:tabs>
                <w:tab w:val="left" w:pos="-1440"/>
                <w:tab w:val="left" w:pos="-720"/>
              </w:tabs>
              <w:rPr>
                <w:b/>
                <w:sz w:val="20"/>
                <w:szCs w:val="20"/>
              </w:rPr>
            </w:pPr>
            <w:r>
              <w:rPr>
                <w:b/>
                <w:sz w:val="20"/>
                <w:szCs w:val="20"/>
              </w:rPr>
              <w:t>Vijay Arora et al.</w:t>
            </w:r>
          </w:p>
          <w:p w:rsidR="00242AEE" w:rsidRPr="00A935AA" w:rsidRDefault="00D116A3" w:rsidP="003B3977">
            <w:pPr>
              <w:keepNext/>
              <w:keepLines/>
              <w:tabs>
                <w:tab w:val="left" w:pos="-1440"/>
                <w:tab w:val="left" w:pos="-720"/>
              </w:tabs>
              <w:rPr>
                <w:sz w:val="20"/>
                <w:szCs w:val="20"/>
              </w:rPr>
            </w:pPr>
            <w:r>
              <w:rPr>
                <w:sz w:val="20"/>
                <w:szCs w:val="20"/>
              </w:rPr>
              <w:tab/>
            </w:r>
            <w:r w:rsidR="00E934B6">
              <w:rPr>
                <w:sz w:val="20"/>
                <w:szCs w:val="20"/>
              </w:rPr>
              <w:t>Harvin D. Pitch</w:t>
            </w:r>
          </w:p>
          <w:p w:rsidR="00242AEE" w:rsidRPr="00A935AA" w:rsidRDefault="00242AEE" w:rsidP="003B3977">
            <w:pPr>
              <w:keepNext/>
              <w:keepLines/>
              <w:tabs>
                <w:tab w:val="left" w:pos="-1440"/>
                <w:tab w:val="left" w:pos="-720"/>
              </w:tabs>
              <w:rPr>
                <w:sz w:val="20"/>
                <w:szCs w:val="20"/>
              </w:rPr>
            </w:pPr>
            <w:r w:rsidRPr="00A935AA">
              <w:rPr>
                <w:sz w:val="20"/>
                <w:szCs w:val="20"/>
              </w:rPr>
              <w:tab/>
            </w:r>
            <w:r w:rsidR="00E934B6">
              <w:rPr>
                <w:sz w:val="20"/>
                <w:szCs w:val="20"/>
              </w:rPr>
              <w:t>Teplitsky, Colson</w:t>
            </w:r>
          </w:p>
          <w:p w:rsidR="00242AEE" w:rsidRPr="00A935AA" w:rsidRDefault="00242AEE" w:rsidP="003B3977">
            <w:pPr>
              <w:keepNext/>
              <w:keepLines/>
              <w:tabs>
                <w:tab w:val="left" w:pos="-1440"/>
                <w:tab w:val="left" w:pos="-720"/>
              </w:tabs>
              <w:rPr>
                <w:sz w:val="20"/>
                <w:szCs w:val="20"/>
              </w:rPr>
            </w:pPr>
          </w:p>
          <w:p w:rsidR="00242AEE" w:rsidRPr="00E934B6" w:rsidRDefault="00242AEE" w:rsidP="003B3977">
            <w:pPr>
              <w:keepNext/>
              <w:keepLines/>
              <w:tabs>
                <w:tab w:val="left" w:pos="-1440"/>
                <w:tab w:val="left" w:pos="-720"/>
              </w:tabs>
              <w:rPr>
                <w:sz w:val="20"/>
                <w:szCs w:val="20"/>
              </w:rPr>
            </w:pPr>
            <w:r w:rsidRPr="00A935AA">
              <w:rPr>
                <w:sz w:val="20"/>
                <w:szCs w:val="20"/>
              </w:rPr>
              <w:tab/>
            </w:r>
            <w:r w:rsidRPr="00E934B6">
              <w:rPr>
                <w:sz w:val="20"/>
                <w:szCs w:val="20"/>
              </w:rPr>
              <w:t>v. (3</w:t>
            </w:r>
            <w:r w:rsidR="00D116A3" w:rsidRPr="00E934B6">
              <w:rPr>
                <w:sz w:val="20"/>
                <w:szCs w:val="20"/>
              </w:rPr>
              <w:t>5</w:t>
            </w:r>
            <w:r w:rsidR="00E934B6">
              <w:rPr>
                <w:sz w:val="20"/>
                <w:szCs w:val="20"/>
              </w:rPr>
              <w:t>661</w:t>
            </w:r>
            <w:r w:rsidRPr="00E934B6">
              <w:rPr>
                <w:sz w:val="20"/>
                <w:szCs w:val="20"/>
              </w:rPr>
              <w:t>)</w:t>
            </w:r>
          </w:p>
          <w:p w:rsidR="00242AEE" w:rsidRPr="00E934B6" w:rsidRDefault="00242AEE" w:rsidP="003B3977">
            <w:pPr>
              <w:keepNext/>
              <w:keepLines/>
              <w:tabs>
                <w:tab w:val="left" w:pos="-1440"/>
                <w:tab w:val="left" w:pos="-720"/>
              </w:tabs>
              <w:rPr>
                <w:sz w:val="20"/>
                <w:szCs w:val="20"/>
              </w:rPr>
            </w:pPr>
          </w:p>
          <w:p w:rsidR="00242AEE" w:rsidRPr="00E934B6" w:rsidRDefault="00E934B6" w:rsidP="003B3977">
            <w:pPr>
              <w:keepNext/>
              <w:keepLines/>
              <w:tabs>
                <w:tab w:val="left" w:pos="-1440"/>
                <w:tab w:val="left" w:pos="-720"/>
              </w:tabs>
              <w:rPr>
                <w:b/>
                <w:sz w:val="20"/>
                <w:szCs w:val="20"/>
              </w:rPr>
            </w:pPr>
            <w:r>
              <w:rPr>
                <w:b/>
                <w:sz w:val="20"/>
                <w:szCs w:val="20"/>
              </w:rPr>
              <w:t xml:space="preserve">Whirlpool Canada LP et al. </w:t>
            </w:r>
            <w:r w:rsidR="00242AEE" w:rsidRPr="00E934B6">
              <w:rPr>
                <w:b/>
                <w:sz w:val="20"/>
                <w:szCs w:val="20"/>
              </w:rPr>
              <w:t>(Ont.)</w:t>
            </w:r>
          </w:p>
          <w:p w:rsidR="00242AEE" w:rsidRPr="00E934B6" w:rsidRDefault="00242AEE" w:rsidP="003B3977">
            <w:pPr>
              <w:keepNext/>
              <w:keepLines/>
              <w:tabs>
                <w:tab w:val="left" w:pos="-1440"/>
                <w:tab w:val="left" w:pos="-720"/>
              </w:tabs>
              <w:rPr>
                <w:sz w:val="20"/>
                <w:szCs w:val="20"/>
              </w:rPr>
            </w:pPr>
            <w:r w:rsidRPr="00E934B6">
              <w:rPr>
                <w:sz w:val="20"/>
                <w:szCs w:val="20"/>
              </w:rPr>
              <w:tab/>
            </w:r>
            <w:r w:rsidR="00E934B6">
              <w:rPr>
                <w:sz w:val="20"/>
                <w:szCs w:val="20"/>
              </w:rPr>
              <w:t>Tim Buckley</w:t>
            </w:r>
          </w:p>
          <w:p w:rsidR="00242AEE" w:rsidRPr="00E934B6" w:rsidRDefault="00242AEE" w:rsidP="003B3977">
            <w:pPr>
              <w:keepNext/>
              <w:keepLines/>
              <w:tabs>
                <w:tab w:val="left" w:pos="-1440"/>
                <w:tab w:val="left" w:pos="-720"/>
              </w:tabs>
              <w:rPr>
                <w:sz w:val="20"/>
                <w:szCs w:val="20"/>
              </w:rPr>
            </w:pPr>
            <w:r w:rsidRPr="00E934B6">
              <w:rPr>
                <w:sz w:val="20"/>
                <w:szCs w:val="20"/>
              </w:rPr>
              <w:tab/>
            </w:r>
            <w:r w:rsidR="00E934B6">
              <w:rPr>
                <w:sz w:val="20"/>
                <w:szCs w:val="20"/>
              </w:rPr>
              <w:t>Borden Ladner Gervais LLP</w:t>
            </w:r>
          </w:p>
          <w:p w:rsidR="00242AEE" w:rsidRPr="00E934B6" w:rsidRDefault="00242AEE" w:rsidP="003B3977">
            <w:pPr>
              <w:keepNext/>
              <w:keepLines/>
              <w:tabs>
                <w:tab w:val="left" w:pos="-1440"/>
                <w:tab w:val="left" w:pos="-720"/>
              </w:tabs>
              <w:rPr>
                <w:sz w:val="20"/>
                <w:szCs w:val="20"/>
              </w:rPr>
            </w:pPr>
          </w:p>
          <w:p w:rsidR="00242AEE" w:rsidRPr="00A935AA" w:rsidRDefault="00242AEE" w:rsidP="00E934B6">
            <w:pPr>
              <w:rPr>
                <w:sz w:val="20"/>
                <w:szCs w:val="20"/>
              </w:rPr>
            </w:pPr>
            <w:r w:rsidRPr="00A935AA">
              <w:rPr>
                <w:sz w:val="20"/>
                <w:szCs w:val="20"/>
              </w:rPr>
              <w:t>FILING DATE: 2</w:t>
            </w:r>
            <w:r w:rsidR="00E934B6">
              <w:rPr>
                <w:sz w:val="20"/>
                <w:szCs w:val="20"/>
              </w:rPr>
              <w:t>0</w:t>
            </w:r>
            <w:r w:rsidRPr="00A935AA">
              <w:rPr>
                <w:sz w:val="20"/>
                <w:szCs w:val="20"/>
              </w:rPr>
              <w:t>.</w:t>
            </w:r>
            <w:r w:rsidR="00D116A3">
              <w:rPr>
                <w:sz w:val="20"/>
                <w:szCs w:val="20"/>
              </w:rPr>
              <w:t>12</w:t>
            </w:r>
            <w:r w:rsidRPr="00A935AA">
              <w:rPr>
                <w:sz w:val="20"/>
                <w:szCs w:val="20"/>
              </w:rPr>
              <w:t>.201</w:t>
            </w:r>
            <w:r w:rsidR="00D116A3">
              <w:rPr>
                <w:sz w:val="20"/>
                <w:szCs w:val="20"/>
              </w:rPr>
              <w:t>3</w:t>
            </w:r>
            <w:r w:rsidR="007C5411">
              <w:rPr>
                <w:sz w:val="20"/>
                <w:szCs w:val="20"/>
                <w:lang w:val="fr-CA"/>
              </w:rPr>
              <w:pict>
                <v:rect id="_x0000_i1026" style="width:108pt;height:1pt" o:hrpct="0" o:hralign="center" o:hrstd="t" o:hrnoshade="t" o:hr="t" fillcolor="black [3213]" stroked="f"/>
              </w:pict>
            </w:r>
          </w:p>
        </w:tc>
      </w:tr>
      <w:tr w:rsidR="00E6551C" w:rsidRPr="00A935AA" w:rsidTr="003B3977">
        <w:tc>
          <w:tcPr>
            <w:tcW w:w="4320" w:type="dxa"/>
            <w:shd w:val="clear" w:color="auto" w:fill="auto"/>
          </w:tcPr>
          <w:p w:rsidR="00E6551C" w:rsidRPr="00E90160" w:rsidRDefault="00E90160" w:rsidP="00E6551C">
            <w:pPr>
              <w:rPr>
                <w:b/>
                <w:sz w:val="20"/>
                <w:szCs w:val="20"/>
                <w:lang w:val="fr-CA"/>
              </w:rPr>
            </w:pPr>
            <w:r w:rsidRPr="00E90160">
              <w:rPr>
                <w:b/>
                <w:sz w:val="20"/>
                <w:szCs w:val="20"/>
                <w:lang w:val="fr-CA"/>
              </w:rPr>
              <w:t>Sylvie Larouche</w:t>
            </w:r>
            <w:r w:rsidR="003D19D3">
              <w:rPr>
                <w:b/>
                <w:sz w:val="20"/>
                <w:szCs w:val="20"/>
                <w:lang w:val="fr-CA"/>
              </w:rPr>
              <w:t xml:space="preserve"> et autres </w:t>
            </w:r>
          </w:p>
          <w:p w:rsidR="00E6551C" w:rsidRPr="00E90160" w:rsidRDefault="00E6551C" w:rsidP="00E6551C">
            <w:pPr>
              <w:tabs>
                <w:tab w:val="left" w:pos="-1440"/>
                <w:tab w:val="left" w:pos="-720"/>
              </w:tabs>
              <w:rPr>
                <w:sz w:val="20"/>
                <w:szCs w:val="20"/>
                <w:lang w:val="fr-CA"/>
              </w:rPr>
            </w:pPr>
            <w:r w:rsidRPr="00E90160">
              <w:rPr>
                <w:sz w:val="20"/>
                <w:szCs w:val="20"/>
                <w:lang w:val="fr-CA"/>
              </w:rPr>
              <w:tab/>
            </w:r>
            <w:r w:rsidR="00E90160" w:rsidRPr="00E90160">
              <w:rPr>
                <w:sz w:val="20"/>
                <w:szCs w:val="20"/>
                <w:lang w:val="fr-CA"/>
              </w:rPr>
              <w:t>Marie Noël Jacob</w:t>
            </w:r>
          </w:p>
          <w:p w:rsidR="00E6551C" w:rsidRPr="00E90160" w:rsidRDefault="00E6551C" w:rsidP="00E6551C">
            <w:pPr>
              <w:tabs>
                <w:tab w:val="left" w:pos="-1440"/>
                <w:tab w:val="left" w:pos="-720"/>
              </w:tabs>
              <w:rPr>
                <w:sz w:val="20"/>
                <w:szCs w:val="20"/>
                <w:lang w:val="fr-CA"/>
              </w:rPr>
            </w:pPr>
            <w:r w:rsidRPr="00E90160">
              <w:rPr>
                <w:sz w:val="20"/>
                <w:szCs w:val="20"/>
                <w:lang w:val="fr-CA"/>
              </w:rPr>
              <w:tab/>
            </w:r>
            <w:r w:rsidR="00E90160" w:rsidRPr="00E90160">
              <w:rPr>
                <w:sz w:val="20"/>
                <w:szCs w:val="20"/>
                <w:lang w:val="fr-CA"/>
              </w:rPr>
              <w:t xml:space="preserve">Perrier </w:t>
            </w:r>
            <w:r w:rsidR="007D7A4B">
              <w:rPr>
                <w:sz w:val="20"/>
                <w:szCs w:val="20"/>
                <w:lang w:val="fr-CA"/>
              </w:rPr>
              <w:t xml:space="preserve">et </w:t>
            </w:r>
            <w:r w:rsidR="00E90160" w:rsidRPr="00E90160">
              <w:rPr>
                <w:sz w:val="20"/>
                <w:szCs w:val="20"/>
                <w:lang w:val="fr-CA"/>
              </w:rPr>
              <w:t>Avocats</w:t>
            </w:r>
          </w:p>
          <w:p w:rsidR="00E6551C" w:rsidRPr="00E90160" w:rsidRDefault="00E6551C" w:rsidP="00E6551C">
            <w:pPr>
              <w:tabs>
                <w:tab w:val="left" w:pos="-1440"/>
                <w:tab w:val="left" w:pos="-720"/>
              </w:tabs>
              <w:rPr>
                <w:sz w:val="20"/>
                <w:szCs w:val="20"/>
                <w:lang w:val="fr-CA"/>
              </w:rPr>
            </w:pPr>
          </w:p>
          <w:p w:rsidR="00E6551C" w:rsidRPr="003D19D3" w:rsidRDefault="00E90160" w:rsidP="00E6551C">
            <w:pPr>
              <w:tabs>
                <w:tab w:val="left" w:pos="-1440"/>
                <w:tab w:val="left" w:pos="-720"/>
              </w:tabs>
              <w:rPr>
                <w:sz w:val="20"/>
                <w:szCs w:val="20"/>
                <w:lang w:val="fr-CA"/>
              </w:rPr>
            </w:pPr>
            <w:r w:rsidRPr="00E90160">
              <w:rPr>
                <w:sz w:val="20"/>
                <w:szCs w:val="20"/>
                <w:lang w:val="fr-CA"/>
              </w:rPr>
              <w:tab/>
            </w:r>
            <w:r w:rsidRPr="003D19D3">
              <w:rPr>
                <w:sz w:val="20"/>
                <w:szCs w:val="20"/>
                <w:lang w:val="fr-CA"/>
              </w:rPr>
              <w:t>c</w:t>
            </w:r>
            <w:r w:rsidR="00E6551C" w:rsidRPr="003D19D3">
              <w:rPr>
                <w:sz w:val="20"/>
                <w:szCs w:val="20"/>
                <w:lang w:val="fr-CA"/>
              </w:rPr>
              <w:t>. (35</w:t>
            </w:r>
            <w:r w:rsidRPr="003D19D3">
              <w:rPr>
                <w:sz w:val="20"/>
                <w:szCs w:val="20"/>
                <w:lang w:val="fr-CA"/>
              </w:rPr>
              <w:t>662</w:t>
            </w:r>
            <w:r w:rsidR="00E6551C" w:rsidRPr="003D19D3">
              <w:rPr>
                <w:sz w:val="20"/>
                <w:szCs w:val="20"/>
                <w:lang w:val="fr-CA"/>
              </w:rPr>
              <w:t>)</w:t>
            </w:r>
          </w:p>
          <w:p w:rsidR="00E6551C" w:rsidRPr="003D19D3" w:rsidRDefault="00E6551C" w:rsidP="00E6551C">
            <w:pPr>
              <w:tabs>
                <w:tab w:val="left" w:pos="-1440"/>
                <w:tab w:val="left" w:pos="-720"/>
              </w:tabs>
              <w:rPr>
                <w:sz w:val="20"/>
                <w:szCs w:val="20"/>
                <w:lang w:val="fr-CA"/>
              </w:rPr>
            </w:pPr>
          </w:p>
          <w:p w:rsidR="00E6551C" w:rsidRPr="003D19D3" w:rsidRDefault="003D19D3" w:rsidP="00E6551C">
            <w:pPr>
              <w:tabs>
                <w:tab w:val="left" w:pos="-1440"/>
                <w:tab w:val="left" w:pos="-720"/>
              </w:tabs>
              <w:rPr>
                <w:b/>
                <w:sz w:val="20"/>
                <w:szCs w:val="20"/>
                <w:lang w:val="fr-CA"/>
              </w:rPr>
            </w:pPr>
            <w:r w:rsidRPr="003D19D3">
              <w:rPr>
                <w:b/>
                <w:sz w:val="20"/>
                <w:szCs w:val="20"/>
                <w:lang w:val="fr-CA"/>
              </w:rPr>
              <w:t xml:space="preserve">Ville de Montréal </w:t>
            </w:r>
            <w:r w:rsidR="00E6551C" w:rsidRPr="003D19D3">
              <w:rPr>
                <w:b/>
                <w:sz w:val="20"/>
                <w:szCs w:val="20"/>
                <w:lang w:val="fr-CA"/>
              </w:rPr>
              <w:t>(</w:t>
            </w:r>
            <w:r w:rsidRPr="003D19D3">
              <w:rPr>
                <w:b/>
                <w:sz w:val="20"/>
                <w:szCs w:val="20"/>
                <w:lang w:val="fr-CA"/>
              </w:rPr>
              <w:t>Qc</w:t>
            </w:r>
            <w:r w:rsidR="00E6551C" w:rsidRPr="003D19D3">
              <w:rPr>
                <w:b/>
                <w:sz w:val="20"/>
                <w:szCs w:val="20"/>
                <w:lang w:val="fr-CA"/>
              </w:rPr>
              <w:t>)</w:t>
            </w:r>
          </w:p>
          <w:p w:rsidR="00E6551C" w:rsidRPr="003D19D3" w:rsidRDefault="00E6551C" w:rsidP="00E6551C">
            <w:pPr>
              <w:tabs>
                <w:tab w:val="left" w:pos="-1440"/>
                <w:tab w:val="left" w:pos="-720"/>
              </w:tabs>
              <w:rPr>
                <w:sz w:val="20"/>
                <w:szCs w:val="20"/>
                <w:lang w:val="fr-CA"/>
              </w:rPr>
            </w:pPr>
            <w:r w:rsidRPr="003D19D3">
              <w:rPr>
                <w:sz w:val="20"/>
                <w:szCs w:val="20"/>
                <w:lang w:val="fr-CA"/>
              </w:rPr>
              <w:tab/>
            </w:r>
            <w:r w:rsidR="003D19D3">
              <w:rPr>
                <w:sz w:val="20"/>
                <w:szCs w:val="20"/>
                <w:lang w:val="fr-CA"/>
              </w:rPr>
              <w:t>Dominique Launay</w:t>
            </w:r>
          </w:p>
          <w:p w:rsidR="00E6551C" w:rsidRPr="003D19D3" w:rsidRDefault="00E6551C" w:rsidP="00E6551C">
            <w:pPr>
              <w:tabs>
                <w:tab w:val="left" w:pos="-1440"/>
                <w:tab w:val="left" w:pos="-720"/>
              </w:tabs>
              <w:rPr>
                <w:sz w:val="20"/>
                <w:szCs w:val="20"/>
                <w:lang w:val="fr-CA"/>
              </w:rPr>
            </w:pPr>
            <w:r w:rsidRPr="003D19D3">
              <w:rPr>
                <w:sz w:val="20"/>
                <w:szCs w:val="20"/>
                <w:lang w:val="fr-CA"/>
              </w:rPr>
              <w:tab/>
            </w:r>
            <w:r w:rsidR="003D19D3">
              <w:rPr>
                <w:sz w:val="20"/>
                <w:szCs w:val="20"/>
                <w:lang w:val="fr-CA"/>
              </w:rPr>
              <w:t>Dagenais Gagnier Biron Avocats</w:t>
            </w:r>
          </w:p>
          <w:p w:rsidR="00E6551C" w:rsidRPr="003D19D3" w:rsidRDefault="00E6551C" w:rsidP="00E6551C">
            <w:pPr>
              <w:tabs>
                <w:tab w:val="left" w:pos="-1440"/>
                <w:tab w:val="left" w:pos="-720"/>
              </w:tabs>
              <w:rPr>
                <w:sz w:val="20"/>
                <w:szCs w:val="20"/>
                <w:lang w:val="fr-CA"/>
              </w:rPr>
            </w:pPr>
          </w:p>
          <w:p w:rsidR="00E6551C" w:rsidRPr="00A935AA" w:rsidRDefault="00E6551C" w:rsidP="00E6551C">
            <w:pPr>
              <w:rPr>
                <w:sz w:val="20"/>
                <w:szCs w:val="20"/>
              </w:rPr>
            </w:pPr>
            <w:r w:rsidRPr="00A935AA">
              <w:rPr>
                <w:sz w:val="20"/>
                <w:szCs w:val="20"/>
              </w:rPr>
              <w:t>DATE</w:t>
            </w:r>
            <w:r w:rsidR="00E90160">
              <w:rPr>
                <w:sz w:val="20"/>
                <w:szCs w:val="20"/>
              </w:rPr>
              <w:t xml:space="preserve"> DE PRODUCTION </w:t>
            </w:r>
            <w:r w:rsidRPr="00A935AA">
              <w:rPr>
                <w:sz w:val="20"/>
                <w:szCs w:val="20"/>
              </w:rPr>
              <w:t>: 2</w:t>
            </w:r>
            <w:r w:rsidR="00E90160">
              <w:rPr>
                <w:sz w:val="20"/>
                <w:szCs w:val="20"/>
              </w:rPr>
              <w:t>3</w:t>
            </w:r>
            <w:r w:rsidRPr="00A935AA">
              <w:rPr>
                <w:sz w:val="20"/>
                <w:szCs w:val="20"/>
              </w:rPr>
              <w:t>.</w:t>
            </w:r>
            <w:r>
              <w:rPr>
                <w:sz w:val="20"/>
                <w:szCs w:val="20"/>
              </w:rPr>
              <w:t>12</w:t>
            </w:r>
            <w:r w:rsidRPr="00A935AA">
              <w:rPr>
                <w:sz w:val="20"/>
                <w:szCs w:val="20"/>
              </w:rPr>
              <w:t>.201</w:t>
            </w:r>
            <w:r>
              <w:rPr>
                <w:sz w:val="20"/>
                <w:szCs w:val="20"/>
              </w:rPr>
              <w:t>3</w:t>
            </w:r>
          </w:p>
          <w:p w:rsidR="00E6551C" w:rsidRPr="00A935AA" w:rsidRDefault="007C5411" w:rsidP="00E6551C">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tc>
        <w:tc>
          <w:tcPr>
            <w:tcW w:w="4320" w:type="dxa"/>
            <w:shd w:val="clear" w:color="auto" w:fill="auto"/>
          </w:tcPr>
          <w:p w:rsidR="00E6551C" w:rsidRPr="00A935AA" w:rsidRDefault="003D19D3" w:rsidP="00E6551C">
            <w:pPr>
              <w:keepNext/>
              <w:keepLines/>
              <w:tabs>
                <w:tab w:val="left" w:pos="-1440"/>
                <w:tab w:val="left" w:pos="-720"/>
              </w:tabs>
              <w:rPr>
                <w:b/>
                <w:sz w:val="20"/>
                <w:szCs w:val="20"/>
              </w:rPr>
            </w:pPr>
            <w:r>
              <w:rPr>
                <w:b/>
                <w:sz w:val="20"/>
                <w:szCs w:val="20"/>
              </w:rPr>
              <w:t>Danny Lalumiere</w:t>
            </w:r>
          </w:p>
          <w:p w:rsidR="00E6551C" w:rsidRPr="00A935AA" w:rsidRDefault="00E6551C" w:rsidP="00E6551C">
            <w:pPr>
              <w:keepNext/>
              <w:keepLines/>
              <w:tabs>
                <w:tab w:val="left" w:pos="-1440"/>
                <w:tab w:val="left" w:pos="-720"/>
              </w:tabs>
              <w:rPr>
                <w:sz w:val="20"/>
                <w:szCs w:val="20"/>
              </w:rPr>
            </w:pPr>
            <w:r>
              <w:rPr>
                <w:sz w:val="20"/>
                <w:szCs w:val="20"/>
              </w:rPr>
              <w:tab/>
            </w:r>
            <w:r w:rsidR="003D19D3">
              <w:rPr>
                <w:sz w:val="20"/>
                <w:szCs w:val="20"/>
              </w:rPr>
              <w:t>Brian Snell</w:t>
            </w:r>
          </w:p>
          <w:p w:rsidR="00E6551C" w:rsidRPr="00A935AA" w:rsidRDefault="00E6551C" w:rsidP="00E6551C">
            <w:pPr>
              <w:keepNext/>
              <w:keepLines/>
              <w:tabs>
                <w:tab w:val="left" w:pos="-1440"/>
                <w:tab w:val="left" w:pos="-720"/>
              </w:tabs>
              <w:rPr>
                <w:sz w:val="20"/>
                <w:szCs w:val="20"/>
              </w:rPr>
            </w:pPr>
            <w:r w:rsidRPr="00A935AA">
              <w:rPr>
                <w:sz w:val="20"/>
                <w:szCs w:val="20"/>
              </w:rPr>
              <w:tab/>
            </w:r>
            <w:r w:rsidR="003D19D3">
              <w:rPr>
                <w:sz w:val="20"/>
                <w:szCs w:val="20"/>
              </w:rPr>
              <w:t>Lockyer Campbell Posner</w:t>
            </w:r>
          </w:p>
          <w:p w:rsidR="00E6551C" w:rsidRPr="00A935AA" w:rsidRDefault="00E6551C" w:rsidP="00E6551C">
            <w:pPr>
              <w:keepNext/>
              <w:keepLines/>
              <w:tabs>
                <w:tab w:val="left" w:pos="-1440"/>
                <w:tab w:val="left" w:pos="-720"/>
              </w:tabs>
              <w:rPr>
                <w:sz w:val="20"/>
                <w:szCs w:val="20"/>
              </w:rPr>
            </w:pPr>
          </w:p>
          <w:p w:rsidR="00E6551C" w:rsidRPr="00E934B6" w:rsidRDefault="00E6551C" w:rsidP="00E6551C">
            <w:pPr>
              <w:keepNext/>
              <w:keepLines/>
              <w:tabs>
                <w:tab w:val="left" w:pos="-1440"/>
                <w:tab w:val="left" w:pos="-720"/>
              </w:tabs>
              <w:rPr>
                <w:sz w:val="20"/>
                <w:szCs w:val="20"/>
              </w:rPr>
            </w:pPr>
            <w:r w:rsidRPr="00A935AA">
              <w:rPr>
                <w:sz w:val="20"/>
                <w:szCs w:val="20"/>
              </w:rPr>
              <w:tab/>
            </w:r>
            <w:r w:rsidRPr="00E934B6">
              <w:rPr>
                <w:sz w:val="20"/>
                <w:szCs w:val="20"/>
              </w:rPr>
              <w:t>v. (35</w:t>
            </w:r>
            <w:r w:rsidR="003D19D3">
              <w:rPr>
                <w:sz w:val="20"/>
                <w:szCs w:val="20"/>
              </w:rPr>
              <w:t>663</w:t>
            </w:r>
            <w:r w:rsidRPr="00E934B6">
              <w:rPr>
                <w:sz w:val="20"/>
                <w:szCs w:val="20"/>
              </w:rPr>
              <w:t>)</w:t>
            </w:r>
          </w:p>
          <w:p w:rsidR="00E6551C" w:rsidRPr="00E934B6" w:rsidRDefault="00E6551C" w:rsidP="00E6551C">
            <w:pPr>
              <w:keepNext/>
              <w:keepLines/>
              <w:tabs>
                <w:tab w:val="left" w:pos="-1440"/>
                <w:tab w:val="left" w:pos="-720"/>
              </w:tabs>
              <w:rPr>
                <w:sz w:val="20"/>
                <w:szCs w:val="20"/>
              </w:rPr>
            </w:pPr>
          </w:p>
          <w:p w:rsidR="00E6551C" w:rsidRPr="00E934B6" w:rsidRDefault="003D19D3" w:rsidP="00E6551C">
            <w:pPr>
              <w:keepNext/>
              <w:keepLines/>
              <w:tabs>
                <w:tab w:val="left" w:pos="-1440"/>
                <w:tab w:val="left" w:pos="-720"/>
              </w:tabs>
              <w:rPr>
                <w:b/>
                <w:sz w:val="20"/>
                <w:szCs w:val="20"/>
              </w:rPr>
            </w:pPr>
            <w:r>
              <w:rPr>
                <w:b/>
                <w:sz w:val="20"/>
                <w:szCs w:val="20"/>
              </w:rPr>
              <w:t xml:space="preserve">Her Majesty the Queen </w:t>
            </w:r>
            <w:r w:rsidR="00E6551C" w:rsidRPr="00E934B6">
              <w:rPr>
                <w:b/>
                <w:sz w:val="20"/>
                <w:szCs w:val="20"/>
              </w:rPr>
              <w:t>(Ont.)</w:t>
            </w:r>
          </w:p>
          <w:p w:rsidR="00E6551C" w:rsidRPr="00E934B6" w:rsidRDefault="00E6551C" w:rsidP="00E6551C">
            <w:pPr>
              <w:keepNext/>
              <w:keepLines/>
              <w:tabs>
                <w:tab w:val="left" w:pos="-1440"/>
                <w:tab w:val="left" w:pos="-720"/>
              </w:tabs>
              <w:rPr>
                <w:sz w:val="20"/>
                <w:szCs w:val="20"/>
              </w:rPr>
            </w:pPr>
            <w:r w:rsidRPr="00E934B6">
              <w:rPr>
                <w:sz w:val="20"/>
                <w:szCs w:val="20"/>
              </w:rPr>
              <w:tab/>
            </w:r>
            <w:r w:rsidR="003D19D3">
              <w:rPr>
                <w:sz w:val="20"/>
                <w:szCs w:val="20"/>
              </w:rPr>
              <w:t>Randy Schwartz</w:t>
            </w:r>
          </w:p>
          <w:p w:rsidR="00E6551C" w:rsidRPr="00E934B6" w:rsidRDefault="00E6551C" w:rsidP="00E6551C">
            <w:pPr>
              <w:keepNext/>
              <w:keepLines/>
              <w:tabs>
                <w:tab w:val="left" w:pos="-1440"/>
                <w:tab w:val="left" w:pos="-720"/>
              </w:tabs>
              <w:rPr>
                <w:sz w:val="20"/>
                <w:szCs w:val="20"/>
              </w:rPr>
            </w:pPr>
            <w:r w:rsidRPr="00E934B6">
              <w:rPr>
                <w:sz w:val="20"/>
                <w:szCs w:val="20"/>
              </w:rPr>
              <w:tab/>
            </w:r>
            <w:r w:rsidR="003D19D3">
              <w:rPr>
                <w:sz w:val="20"/>
                <w:szCs w:val="20"/>
              </w:rPr>
              <w:t>A.G. of Ontario</w:t>
            </w:r>
          </w:p>
          <w:p w:rsidR="00E6551C" w:rsidRPr="00E934B6" w:rsidRDefault="00E6551C" w:rsidP="00E6551C">
            <w:pPr>
              <w:keepNext/>
              <w:keepLines/>
              <w:tabs>
                <w:tab w:val="left" w:pos="-1440"/>
                <w:tab w:val="left" w:pos="-720"/>
              </w:tabs>
              <w:rPr>
                <w:sz w:val="20"/>
                <w:szCs w:val="20"/>
              </w:rPr>
            </w:pPr>
          </w:p>
          <w:p w:rsidR="00E6551C" w:rsidRPr="00A935AA" w:rsidRDefault="00E6551C" w:rsidP="003D19D3">
            <w:pPr>
              <w:rPr>
                <w:sz w:val="20"/>
                <w:szCs w:val="20"/>
              </w:rPr>
            </w:pPr>
            <w:r w:rsidRPr="00A935AA">
              <w:rPr>
                <w:sz w:val="20"/>
                <w:szCs w:val="20"/>
              </w:rPr>
              <w:t>FILING DATE: 2</w:t>
            </w:r>
            <w:r w:rsidR="003D19D3">
              <w:rPr>
                <w:sz w:val="20"/>
                <w:szCs w:val="20"/>
              </w:rPr>
              <w:t>3</w:t>
            </w:r>
            <w:r w:rsidRPr="00A935AA">
              <w:rPr>
                <w:sz w:val="20"/>
                <w:szCs w:val="20"/>
              </w:rPr>
              <w:t>.</w:t>
            </w:r>
            <w:r>
              <w:rPr>
                <w:sz w:val="20"/>
                <w:szCs w:val="20"/>
              </w:rPr>
              <w:t>12</w:t>
            </w:r>
            <w:r w:rsidRPr="00A935AA">
              <w:rPr>
                <w:sz w:val="20"/>
                <w:szCs w:val="20"/>
              </w:rPr>
              <w:t>.201</w:t>
            </w:r>
            <w:r>
              <w:rPr>
                <w:sz w:val="20"/>
                <w:szCs w:val="20"/>
              </w:rPr>
              <w:t>3</w:t>
            </w:r>
            <w:r w:rsidR="007C5411">
              <w:rPr>
                <w:sz w:val="20"/>
                <w:szCs w:val="20"/>
                <w:lang w:val="fr-CA"/>
              </w:rPr>
              <w:pict>
                <v:rect id="_x0000_i1028" style="width:108pt;height:1pt" o:hrpct="0" o:hralign="center" o:hrstd="t" o:hrnoshade="t" o:hr="t" fillcolor="black [3213]" stroked="f"/>
              </w:pict>
            </w:r>
          </w:p>
        </w:tc>
      </w:tr>
      <w:tr w:rsidR="00E6551C" w:rsidRPr="00A935AA" w:rsidTr="003B3977">
        <w:tc>
          <w:tcPr>
            <w:tcW w:w="4320" w:type="dxa"/>
            <w:shd w:val="clear" w:color="auto" w:fill="auto"/>
          </w:tcPr>
          <w:p w:rsidR="00E6551C" w:rsidRPr="00A935AA" w:rsidRDefault="003D19D3" w:rsidP="00E6551C">
            <w:pPr>
              <w:rPr>
                <w:b/>
                <w:sz w:val="20"/>
                <w:szCs w:val="20"/>
              </w:rPr>
            </w:pPr>
            <w:r>
              <w:rPr>
                <w:b/>
                <w:sz w:val="20"/>
                <w:szCs w:val="20"/>
              </w:rPr>
              <w:t>Her Majesty the Queen</w:t>
            </w:r>
          </w:p>
          <w:p w:rsidR="00E6551C" w:rsidRPr="00A935AA" w:rsidRDefault="00E6551C" w:rsidP="00E6551C">
            <w:pPr>
              <w:tabs>
                <w:tab w:val="left" w:pos="-1440"/>
                <w:tab w:val="left" w:pos="-720"/>
              </w:tabs>
              <w:rPr>
                <w:sz w:val="20"/>
                <w:szCs w:val="20"/>
              </w:rPr>
            </w:pPr>
            <w:r w:rsidRPr="00A935AA">
              <w:rPr>
                <w:sz w:val="20"/>
                <w:szCs w:val="20"/>
              </w:rPr>
              <w:tab/>
            </w:r>
            <w:r w:rsidR="003D19D3">
              <w:rPr>
                <w:sz w:val="20"/>
                <w:szCs w:val="20"/>
              </w:rPr>
              <w:t>Amiram Kotler</w:t>
            </w:r>
          </w:p>
          <w:p w:rsidR="00E6551C" w:rsidRPr="00A935AA" w:rsidRDefault="00E6551C" w:rsidP="00E6551C">
            <w:pPr>
              <w:tabs>
                <w:tab w:val="left" w:pos="-1440"/>
                <w:tab w:val="left" w:pos="-720"/>
              </w:tabs>
              <w:rPr>
                <w:sz w:val="20"/>
                <w:szCs w:val="20"/>
              </w:rPr>
            </w:pPr>
            <w:r w:rsidRPr="00A935AA">
              <w:rPr>
                <w:sz w:val="20"/>
                <w:szCs w:val="20"/>
              </w:rPr>
              <w:tab/>
            </w:r>
            <w:r w:rsidR="003D19D3">
              <w:rPr>
                <w:sz w:val="20"/>
                <w:szCs w:val="20"/>
              </w:rPr>
              <w:t>A.G. of Manitoba</w:t>
            </w:r>
          </w:p>
          <w:p w:rsidR="00E6551C" w:rsidRPr="00A935AA" w:rsidRDefault="00E6551C" w:rsidP="00E6551C">
            <w:pPr>
              <w:tabs>
                <w:tab w:val="left" w:pos="-1440"/>
                <w:tab w:val="left" w:pos="-720"/>
              </w:tabs>
              <w:rPr>
                <w:sz w:val="20"/>
                <w:szCs w:val="20"/>
              </w:rPr>
            </w:pPr>
          </w:p>
          <w:p w:rsidR="00E6551C" w:rsidRPr="00A935AA" w:rsidRDefault="00E6551C" w:rsidP="00E6551C">
            <w:pPr>
              <w:tabs>
                <w:tab w:val="left" w:pos="-1440"/>
                <w:tab w:val="left" w:pos="-720"/>
              </w:tabs>
              <w:rPr>
                <w:sz w:val="20"/>
                <w:szCs w:val="20"/>
              </w:rPr>
            </w:pPr>
            <w:r w:rsidRPr="00A935AA">
              <w:rPr>
                <w:sz w:val="20"/>
                <w:szCs w:val="20"/>
              </w:rPr>
              <w:tab/>
              <w:t>v. (3</w:t>
            </w:r>
            <w:r>
              <w:rPr>
                <w:sz w:val="20"/>
                <w:szCs w:val="20"/>
              </w:rPr>
              <w:t>5</w:t>
            </w:r>
            <w:r w:rsidR="003D19D3">
              <w:rPr>
                <w:sz w:val="20"/>
                <w:szCs w:val="20"/>
              </w:rPr>
              <w:t>664</w:t>
            </w:r>
            <w:r w:rsidRPr="00A935AA">
              <w:rPr>
                <w:sz w:val="20"/>
                <w:szCs w:val="20"/>
              </w:rPr>
              <w:t>)</w:t>
            </w:r>
          </w:p>
          <w:p w:rsidR="00E6551C" w:rsidRPr="00A935AA" w:rsidRDefault="00E6551C" w:rsidP="00E6551C">
            <w:pPr>
              <w:tabs>
                <w:tab w:val="left" w:pos="-1440"/>
                <w:tab w:val="left" w:pos="-720"/>
              </w:tabs>
              <w:rPr>
                <w:sz w:val="20"/>
                <w:szCs w:val="20"/>
              </w:rPr>
            </w:pPr>
          </w:p>
          <w:p w:rsidR="00E6551C" w:rsidRPr="00A935AA" w:rsidRDefault="003D19D3" w:rsidP="00E6551C">
            <w:pPr>
              <w:tabs>
                <w:tab w:val="left" w:pos="-1440"/>
                <w:tab w:val="left" w:pos="-720"/>
              </w:tabs>
              <w:rPr>
                <w:b/>
                <w:sz w:val="20"/>
                <w:szCs w:val="20"/>
              </w:rPr>
            </w:pPr>
            <w:r>
              <w:rPr>
                <w:b/>
                <w:sz w:val="20"/>
                <w:szCs w:val="20"/>
              </w:rPr>
              <w:t xml:space="preserve">Mark Edward Grant </w:t>
            </w:r>
            <w:r w:rsidR="00E6551C" w:rsidRPr="00A935AA">
              <w:rPr>
                <w:b/>
                <w:sz w:val="20"/>
                <w:szCs w:val="20"/>
              </w:rPr>
              <w:t>(</w:t>
            </w:r>
            <w:r>
              <w:rPr>
                <w:b/>
                <w:sz w:val="20"/>
                <w:szCs w:val="20"/>
              </w:rPr>
              <w:t>Man</w:t>
            </w:r>
            <w:r w:rsidR="00E6551C" w:rsidRPr="00A935AA">
              <w:rPr>
                <w:b/>
                <w:sz w:val="20"/>
                <w:szCs w:val="20"/>
              </w:rPr>
              <w:t>.)</w:t>
            </w:r>
          </w:p>
          <w:p w:rsidR="00E6551C" w:rsidRPr="00A935AA" w:rsidRDefault="00E6551C" w:rsidP="00E6551C">
            <w:pPr>
              <w:tabs>
                <w:tab w:val="left" w:pos="-1440"/>
                <w:tab w:val="left" w:pos="-720"/>
              </w:tabs>
              <w:rPr>
                <w:sz w:val="20"/>
                <w:szCs w:val="20"/>
              </w:rPr>
            </w:pPr>
            <w:r w:rsidRPr="00A935AA">
              <w:rPr>
                <w:sz w:val="20"/>
                <w:szCs w:val="20"/>
              </w:rPr>
              <w:tab/>
            </w:r>
            <w:r w:rsidR="003D19D3">
              <w:rPr>
                <w:sz w:val="20"/>
                <w:szCs w:val="20"/>
              </w:rPr>
              <w:t>Saul B. Simmonds</w:t>
            </w:r>
          </w:p>
          <w:p w:rsidR="00E6551C" w:rsidRPr="00A935AA" w:rsidRDefault="00E6551C" w:rsidP="00E6551C">
            <w:pPr>
              <w:tabs>
                <w:tab w:val="left" w:pos="-1440"/>
                <w:tab w:val="left" w:pos="-720"/>
              </w:tabs>
              <w:rPr>
                <w:sz w:val="20"/>
                <w:szCs w:val="20"/>
              </w:rPr>
            </w:pPr>
            <w:r w:rsidRPr="00A935AA">
              <w:rPr>
                <w:sz w:val="20"/>
                <w:szCs w:val="20"/>
              </w:rPr>
              <w:tab/>
            </w:r>
            <w:r w:rsidR="003D19D3">
              <w:rPr>
                <w:sz w:val="20"/>
                <w:szCs w:val="20"/>
              </w:rPr>
              <w:t>Gindin, Wolson, Simmonds</w:t>
            </w:r>
          </w:p>
          <w:p w:rsidR="00E6551C" w:rsidRPr="00A935AA" w:rsidRDefault="00E6551C" w:rsidP="00E6551C">
            <w:pPr>
              <w:tabs>
                <w:tab w:val="left" w:pos="-1440"/>
                <w:tab w:val="left" w:pos="-720"/>
              </w:tabs>
              <w:rPr>
                <w:sz w:val="20"/>
                <w:szCs w:val="20"/>
              </w:rPr>
            </w:pPr>
          </w:p>
          <w:p w:rsidR="00E6551C" w:rsidRPr="00A935AA" w:rsidRDefault="00E6551C" w:rsidP="00E6551C">
            <w:pPr>
              <w:rPr>
                <w:sz w:val="20"/>
                <w:szCs w:val="20"/>
              </w:rPr>
            </w:pPr>
            <w:r w:rsidRPr="00A935AA">
              <w:rPr>
                <w:sz w:val="20"/>
                <w:szCs w:val="20"/>
              </w:rPr>
              <w:t>FILING DATE: 2</w:t>
            </w:r>
            <w:r w:rsidR="003D19D3">
              <w:rPr>
                <w:sz w:val="20"/>
                <w:szCs w:val="20"/>
              </w:rPr>
              <w:t>4</w:t>
            </w:r>
            <w:r w:rsidRPr="00A935AA">
              <w:rPr>
                <w:sz w:val="20"/>
                <w:szCs w:val="20"/>
              </w:rPr>
              <w:t>.</w:t>
            </w:r>
            <w:r>
              <w:rPr>
                <w:sz w:val="20"/>
                <w:szCs w:val="20"/>
              </w:rPr>
              <w:t>12</w:t>
            </w:r>
            <w:r w:rsidRPr="00A935AA">
              <w:rPr>
                <w:sz w:val="20"/>
                <w:szCs w:val="20"/>
              </w:rPr>
              <w:t>.201</w:t>
            </w:r>
            <w:r>
              <w:rPr>
                <w:sz w:val="20"/>
                <w:szCs w:val="20"/>
              </w:rPr>
              <w:t>3</w:t>
            </w:r>
          </w:p>
          <w:p w:rsidR="00E6551C" w:rsidRPr="00A935AA" w:rsidRDefault="007C5411" w:rsidP="00E6551C">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Default="00E6551C" w:rsidP="00242AEE">
            <w:pPr>
              <w:jc w:val="center"/>
              <w:rPr>
                <w:sz w:val="20"/>
                <w:szCs w:val="20"/>
              </w:rPr>
            </w:pPr>
          </w:p>
          <w:p w:rsidR="00E6551C" w:rsidRPr="00A935AA" w:rsidRDefault="00E6551C" w:rsidP="00242AEE">
            <w:pPr>
              <w:jc w:val="center"/>
              <w:rPr>
                <w:sz w:val="20"/>
                <w:szCs w:val="20"/>
              </w:rPr>
            </w:pPr>
          </w:p>
        </w:tc>
        <w:tc>
          <w:tcPr>
            <w:tcW w:w="4320" w:type="dxa"/>
            <w:shd w:val="clear" w:color="auto" w:fill="auto"/>
          </w:tcPr>
          <w:p w:rsidR="00E6551C" w:rsidRPr="003D19D3" w:rsidRDefault="003D19D3" w:rsidP="00E6551C">
            <w:pPr>
              <w:keepNext/>
              <w:keepLines/>
              <w:tabs>
                <w:tab w:val="left" w:pos="-1440"/>
                <w:tab w:val="left" w:pos="-720"/>
              </w:tabs>
              <w:rPr>
                <w:b/>
                <w:sz w:val="20"/>
                <w:szCs w:val="20"/>
                <w:lang w:val="fr-CA"/>
              </w:rPr>
            </w:pPr>
            <w:r w:rsidRPr="003D19D3">
              <w:rPr>
                <w:b/>
                <w:sz w:val="20"/>
                <w:szCs w:val="20"/>
                <w:lang w:val="fr-CA"/>
              </w:rPr>
              <w:t>Terrence Cecil Robinson</w:t>
            </w:r>
          </w:p>
          <w:p w:rsidR="00E6551C" w:rsidRPr="003D19D3" w:rsidRDefault="00E6551C" w:rsidP="00E6551C">
            <w:pPr>
              <w:keepNext/>
              <w:keepLines/>
              <w:tabs>
                <w:tab w:val="left" w:pos="-1440"/>
                <w:tab w:val="left" w:pos="-720"/>
              </w:tabs>
              <w:rPr>
                <w:sz w:val="20"/>
                <w:szCs w:val="20"/>
                <w:lang w:val="fr-CA"/>
              </w:rPr>
            </w:pPr>
            <w:r w:rsidRPr="003D19D3">
              <w:rPr>
                <w:sz w:val="20"/>
                <w:szCs w:val="20"/>
                <w:lang w:val="fr-CA"/>
              </w:rPr>
              <w:tab/>
            </w:r>
            <w:r w:rsidR="003D19D3" w:rsidRPr="003D19D3">
              <w:rPr>
                <w:sz w:val="20"/>
                <w:szCs w:val="20"/>
                <w:lang w:val="fr-CA"/>
              </w:rPr>
              <w:t>Terrence Cecil Robinson</w:t>
            </w:r>
          </w:p>
          <w:p w:rsidR="00E6551C" w:rsidRPr="003D19D3" w:rsidRDefault="00E6551C" w:rsidP="00E6551C">
            <w:pPr>
              <w:keepNext/>
              <w:keepLines/>
              <w:tabs>
                <w:tab w:val="left" w:pos="-1440"/>
                <w:tab w:val="left" w:pos="-720"/>
              </w:tabs>
              <w:rPr>
                <w:sz w:val="20"/>
                <w:szCs w:val="20"/>
                <w:lang w:val="fr-CA"/>
              </w:rPr>
            </w:pPr>
          </w:p>
          <w:p w:rsidR="00E6551C" w:rsidRPr="003D19D3" w:rsidRDefault="00E6551C" w:rsidP="00E6551C">
            <w:pPr>
              <w:keepNext/>
              <w:keepLines/>
              <w:tabs>
                <w:tab w:val="left" w:pos="-1440"/>
                <w:tab w:val="left" w:pos="-720"/>
              </w:tabs>
              <w:rPr>
                <w:sz w:val="20"/>
                <w:szCs w:val="20"/>
              </w:rPr>
            </w:pPr>
            <w:r w:rsidRPr="003D19D3">
              <w:rPr>
                <w:sz w:val="20"/>
                <w:szCs w:val="20"/>
                <w:lang w:val="fr-CA"/>
              </w:rPr>
              <w:tab/>
            </w:r>
            <w:r w:rsidRPr="003D19D3">
              <w:rPr>
                <w:sz w:val="20"/>
                <w:szCs w:val="20"/>
              </w:rPr>
              <w:t>v. (35</w:t>
            </w:r>
            <w:r w:rsidR="003D19D3">
              <w:rPr>
                <w:sz w:val="20"/>
                <w:szCs w:val="20"/>
              </w:rPr>
              <w:t>673</w:t>
            </w:r>
            <w:r w:rsidRPr="003D19D3">
              <w:rPr>
                <w:sz w:val="20"/>
                <w:szCs w:val="20"/>
              </w:rPr>
              <w:t>)</w:t>
            </w:r>
          </w:p>
          <w:p w:rsidR="00E6551C" w:rsidRPr="003D19D3" w:rsidRDefault="00E6551C" w:rsidP="00E6551C">
            <w:pPr>
              <w:keepNext/>
              <w:keepLines/>
              <w:tabs>
                <w:tab w:val="left" w:pos="-1440"/>
                <w:tab w:val="left" w:pos="-720"/>
              </w:tabs>
              <w:rPr>
                <w:sz w:val="20"/>
                <w:szCs w:val="20"/>
              </w:rPr>
            </w:pPr>
          </w:p>
          <w:p w:rsidR="00E6551C" w:rsidRPr="003D19D3" w:rsidRDefault="003D19D3" w:rsidP="00E6551C">
            <w:pPr>
              <w:keepNext/>
              <w:keepLines/>
              <w:tabs>
                <w:tab w:val="left" w:pos="-1440"/>
                <w:tab w:val="left" w:pos="-720"/>
              </w:tabs>
              <w:rPr>
                <w:b/>
                <w:sz w:val="20"/>
                <w:szCs w:val="20"/>
              </w:rPr>
            </w:pPr>
            <w:r>
              <w:rPr>
                <w:b/>
                <w:sz w:val="20"/>
                <w:szCs w:val="20"/>
              </w:rPr>
              <w:t xml:space="preserve">Attorney General of Canada </w:t>
            </w:r>
            <w:r w:rsidR="00E6551C" w:rsidRPr="003D19D3">
              <w:rPr>
                <w:b/>
                <w:sz w:val="20"/>
                <w:szCs w:val="20"/>
              </w:rPr>
              <w:t>(</w:t>
            </w:r>
            <w:r>
              <w:rPr>
                <w:b/>
                <w:sz w:val="20"/>
                <w:szCs w:val="20"/>
              </w:rPr>
              <w:t>F.C</w:t>
            </w:r>
            <w:r w:rsidR="00E6551C" w:rsidRPr="003D19D3">
              <w:rPr>
                <w:b/>
                <w:sz w:val="20"/>
                <w:szCs w:val="20"/>
              </w:rPr>
              <w:t>.)</w:t>
            </w:r>
          </w:p>
          <w:p w:rsidR="00E6551C" w:rsidRPr="003D19D3" w:rsidRDefault="00E6551C" w:rsidP="00E6551C">
            <w:pPr>
              <w:keepNext/>
              <w:keepLines/>
              <w:tabs>
                <w:tab w:val="left" w:pos="-1440"/>
                <w:tab w:val="left" w:pos="-720"/>
              </w:tabs>
              <w:rPr>
                <w:sz w:val="20"/>
                <w:szCs w:val="20"/>
              </w:rPr>
            </w:pPr>
            <w:r w:rsidRPr="003D19D3">
              <w:rPr>
                <w:sz w:val="20"/>
                <w:szCs w:val="20"/>
              </w:rPr>
              <w:tab/>
            </w:r>
            <w:r w:rsidR="003D19D3">
              <w:rPr>
                <w:sz w:val="20"/>
                <w:szCs w:val="20"/>
              </w:rPr>
              <w:t>Julien Matte</w:t>
            </w:r>
          </w:p>
          <w:p w:rsidR="00E6551C" w:rsidRPr="003D19D3" w:rsidRDefault="00E6551C" w:rsidP="00E6551C">
            <w:pPr>
              <w:keepNext/>
              <w:keepLines/>
              <w:tabs>
                <w:tab w:val="left" w:pos="-1440"/>
                <w:tab w:val="left" w:pos="-720"/>
              </w:tabs>
              <w:rPr>
                <w:sz w:val="20"/>
                <w:szCs w:val="20"/>
              </w:rPr>
            </w:pPr>
            <w:r w:rsidRPr="003D19D3">
              <w:rPr>
                <w:sz w:val="20"/>
                <w:szCs w:val="20"/>
              </w:rPr>
              <w:tab/>
            </w:r>
            <w:r w:rsidR="003D19D3">
              <w:rPr>
                <w:sz w:val="20"/>
                <w:szCs w:val="20"/>
              </w:rPr>
              <w:t>A.G. of Canada</w:t>
            </w:r>
          </w:p>
          <w:p w:rsidR="00E6551C" w:rsidRPr="003D19D3" w:rsidRDefault="00E6551C" w:rsidP="00E6551C">
            <w:pPr>
              <w:keepNext/>
              <w:keepLines/>
              <w:tabs>
                <w:tab w:val="left" w:pos="-1440"/>
                <w:tab w:val="left" w:pos="-720"/>
              </w:tabs>
              <w:rPr>
                <w:sz w:val="20"/>
                <w:szCs w:val="20"/>
              </w:rPr>
            </w:pPr>
          </w:p>
          <w:p w:rsidR="00E6551C" w:rsidRPr="00A935AA" w:rsidRDefault="00E6551C" w:rsidP="003D19D3">
            <w:pPr>
              <w:rPr>
                <w:sz w:val="20"/>
                <w:szCs w:val="20"/>
              </w:rPr>
            </w:pPr>
            <w:r w:rsidRPr="00A935AA">
              <w:rPr>
                <w:sz w:val="20"/>
                <w:szCs w:val="20"/>
              </w:rPr>
              <w:t xml:space="preserve">FILING DATE: </w:t>
            </w:r>
            <w:r w:rsidR="003D19D3">
              <w:rPr>
                <w:sz w:val="20"/>
                <w:szCs w:val="20"/>
              </w:rPr>
              <w:t>30</w:t>
            </w:r>
            <w:r w:rsidRPr="00A935AA">
              <w:rPr>
                <w:sz w:val="20"/>
                <w:szCs w:val="20"/>
              </w:rPr>
              <w:t>.</w:t>
            </w:r>
            <w:r>
              <w:rPr>
                <w:sz w:val="20"/>
                <w:szCs w:val="20"/>
              </w:rPr>
              <w:t>12</w:t>
            </w:r>
            <w:r w:rsidRPr="00A935AA">
              <w:rPr>
                <w:sz w:val="20"/>
                <w:szCs w:val="20"/>
              </w:rPr>
              <w:t>.201</w:t>
            </w:r>
            <w:r>
              <w:rPr>
                <w:sz w:val="20"/>
                <w:szCs w:val="20"/>
              </w:rPr>
              <w:t>3</w:t>
            </w:r>
            <w:r w:rsidR="007C5411">
              <w:rPr>
                <w:sz w:val="20"/>
                <w:szCs w:val="20"/>
                <w:lang w:val="fr-CA"/>
              </w:rPr>
              <w:pict>
                <v:rect id="_x0000_i1030" style="width:108pt;height:1pt" o:hrpct="0" o:hralign="center" o:hrstd="t" o:hrnoshade="t" o:hr="t" fillcolor="black [3213]" stroked="f"/>
              </w:pict>
            </w:r>
          </w:p>
        </w:tc>
      </w:tr>
      <w:tr w:rsidR="00E6551C" w:rsidRPr="00A935AA" w:rsidTr="003B3977">
        <w:trPr>
          <w:cantSplit/>
        </w:trPr>
        <w:tc>
          <w:tcPr>
            <w:tcW w:w="4320" w:type="dxa"/>
            <w:shd w:val="clear" w:color="auto" w:fill="auto"/>
          </w:tcPr>
          <w:p w:rsidR="00E6551C" w:rsidRDefault="00E6551C" w:rsidP="00E6551C">
            <w:pPr>
              <w:rPr>
                <w:b/>
                <w:sz w:val="20"/>
                <w:szCs w:val="20"/>
              </w:rPr>
            </w:pPr>
          </w:p>
          <w:p w:rsidR="003D19D3" w:rsidRPr="00A935AA" w:rsidRDefault="003D19D3" w:rsidP="00E6551C">
            <w:pPr>
              <w:rPr>
                <w:b/>
                <w:sz w:val="20"/>
                <w:szCs w:val="20"/>
              </w:rPr>
            </w:pPr>
            <w:r>
              <w:rPr>
                <w:b/>
                <w:sz w:val="20"/>
                <w:szCs w:val="20"/>
              </w:rPr>
              <w:t>GF Partnership</w:t>
            </w:r>
          </w:p>
          <w:p w:rsidR="00E6551C" w:rsidRPr="00A935AA" w:rsidRDefault="00E6551C" w:rsidP="00E6551C">
            <w:pPr>
              <w:tabs>
                <w:tab w:val="left" w:pos="-1440"/>
                <w:tab w:val="left" w:pos="-720"/>
              </w:tabs>
              <w:rPr>
                <w:sz w:val="20"/>
                <w:szCs w:val="20"/>
              </w:rPr>
            </w:pPr>
            <w:r w:rsidRPr="00A935AA">
              <w:rPr>
                <w:sz w:val="20"/>
                <w:szCs w:val="20"/>
              </w:rPr>
              <w:tab/>
            </w:r>
            <w:r w:rsidR="003D19D3">
              <w:rPr>
                <w:sz w:val="20"/>
                <w:szCs w:val="20"/>
              </w:rPr>
              <w:t>Irving Marks</w:t>
            </w:r>
          </w:p>
          <w:p w:rsidR="00E6551C" w:rsidRPr="00A935AA" w:rsidRDefault="00E6551C" w:rsidP="00E6551C">
            <w:pPr>
              <w:tabs>
                <w:tab w:val="left" w:pos="-1440"/>
                <w:tab w:val="left" w:pos="-720"/>
              </w:tabs>
              <w:rPr>
                <w:sz w:val="20"/>
                <w:szCs w:val="20"/>
              </w:rPr>
            </w:pPr>
            <w:r w:rsidRPr="00A935AA">
              <w:rPr>
                <w:sz w:val="20"/>
                <w:szCs w:val="20"/>
              </w:rPr>
              <w:tab/>
            </w:r>
            <w:r w:rsidR="003D19D3">
              <w:rPr>
                <w:sz w:val="20"/>
                <w:szCs w:val="20"/>
              </w:rPr>
              <w:t>Robins Appleby &amp; Taub LLP</w:t>
            </w:r>
          </w:p>
          <w:p w:rsidR="00E6551C" w:rsidRPr="00A935AA" w:rsidRDefault="00E6551C" w:rsidP="00E6551C">
            <w:pPr>
              <w:tabs>
                <w:tab w:val="left" w:pos="-1440"/>
                <w:tab w:val="left" w:pos="-720"/>
              </w:tabs>
              <w:rPr>
                <w:sz w:val="20"/>
                <w:szCs w:val="20"/>
              </w:rPr>
            </w:pPr>
          </w:p>
          <w:p w:rsidR="00E6551C" w:rsidRPr="00A935AA" w:rsidRDefault="00E6551C" w:rsidP="00E6551C">
            <w:pPr>
              <w:tabs>
                <w:tab w:val="left" w:pos="-1440"/>
                <w:tab w:val="left" w:pos="-720"/>
              </w:tabs>
              <w:rPr>
                <w:sz w:val="20"/>
                <w:szCs w:val="20"/>
              </w:rPr>
            </w:pPr>
            <w:r w:rsidRPr="00A935AA">
              <w:rPr>
                <w:sz w:val="20"/>
                <w:szCs w:val="20"/>
              </w:rPr>
              <w:tab/>
              <w:t>v. (3</w:t>
            </w:r>
            <w:r>
              <w:rPr>
                <w:sz w:val="20"/>
                <w:szCs w:val="20"/>
              </w:rPr>
              <w:t>5</w:t>
            </w:r>
            <w:r w:rsidR="003D19D3">
              <w:rPr>
                <w:sz w:val="20"/>
                <w:szCs w:val="20"/>
              </w:rPr>
              <w:t>668</w:t>
            </w:r>
            <w:r w:rsidRPr="00A935AA">
              <w:rPr>
                <w:sz w:val="20"/>
                <w:szCs w:val="20"/>
              </w:rPr>
              <w:t>)</w:t>
            </w:r>
          </w:p>
          <w:p w:rsidR="00E6551C" w:rsidRPr="00A935AA" w:rsidRDefault="00E6551C" w:rsidP="00E6551C">
            <w:pPr>
              <w:tabs>
                <w:tab w:val="left" w:pos="-1440"/>
                <w:tab w:val="left" w:pos="-720"/>
              </w:tabs>
              <w:rPr>
                <w:sz w:val="20"/>
                <w:szCs w:val="20"/>
              </w:rPr>
            </w:pPr>
          </w:p>
          <w:p w:rsidR="00E6551C" w:rsidRPr="00A935AA" w:rsidRDefault="003D19D3" w:rsidP="00E6551C">
            <w:pPr>
              <w:tabs>
                <w:tab w:val="left" w:pos="-1440"/>
                <w:tab w:val="left" w:pos="-720"/>
              </w:tabs>
              <w:rPr>
                <w:b/>
                <w:sz w:val="20"/>
                <w:szCs w:val="20"/>
              </w:rPr>
            </w:pPr>
            <w:r>
              <w:rPr>
                <w:b/>
                <w:sz w:val="20"/>
                <w:szCs w:val="20"/>
              </w:rPr>
              <w:t xml:space="preserve">Her Majesty the Queen </w:t>
            </w:r>
            <w:r w:rsidR="00E6551C" w:rsidRPr="00A935AA">
              <w:rPr>
                <w:b/>
                <w:sz w:val="20"/>
                <w:szCs w:val="20"/>
              </w:rPr>
              <w:t>(</w:t>
            </w:r>
            <w:r>
              <w:rPr>
                <w:b/>
                <w:sz w:val="20"/>
                <w:szCs w:val="20"/>
              </w:rPr>
              <w:t>F</w:t>
            </w:r>
            <w:r w:rsidR="00E6551C" w:rsidRPr="00A935AA">
              <w:rPr>
                <w:b/>
                <w:sz w:val="20"/>
                <w:szCs w:val="20"/>
              </w:rPr>
              <w:t>.C.)</w:t>
            </w:r>
          </w:p>
          <w:p w:rsidR="00E6551C" w:rsidRPr="00A935AA" w:rsidRDefault="00E6551C" w:rsidP="00E6551C">
            <w:pPr>
              <w:tabs>
                <w:tab w:val="left" w:pos="-1440"/>
                <w:tab w:val="left" w:pos="-720"/>
              </w:tabs>
              <w:rPr>
                <w:sz w:val="20"/>
                <w:szCs w:val="20"/>
              </w:rPr>
            </w:pPr>
            <w:r w:rsidRPr="00A935AA">
              <w:rPr>
                <w:sz w:val="20"/>
                <w:szCs w:val="20"/>
              </w:rPr>
              <w:tab/>
            </w:r>
            <w:r w:rsidR="003D19D3">
              <w:rPr>
                <w:sz w:val="20"/>
                <w:szCs w:val="20"/>
              </w:rPr>
              <w:t>Michael Usher Ezri</w:t>
            </w:r>
          </w:p>
          <w:p w:rsidR="00E6551C" w:rsidRPr="00A935AA" w:rsidRDefault="00E6551C" w:rsidP="00E6551C">
            <w:pPr>
              <w:tabs>
                <w:tab w:val="left" w:pos="-1440"/>
                <w:tab w:val="left" w:pos="-720"/>
              </w:tabs>
              <w:rPr>
                <w:sz w:val="20"/>
                <w:szCs w:val="20"/>
              </w:rPr>
            </w:pPr>
            <w:r w:rsidRPr="00A935AA">
              <w:rPr>
                <w:sz w:val="20"/>
                <w:szCs w:val="20"/>
              </w:rPr>
              <w:tab/>
            </w:r>
            <w:r w:rsidR="003D19D3">
              <w:rPr>
                <w:sz w:val="20"/>
                <w:szCs w:val="20"/>
              </w:rPr>
              <w:t>A.G. of Canada</w:t>
            </w:r>
          </w:p>
          <w:p w:rsidR="00E6551C" w:rsidRPr="00A935AA" w:rsidRDefault="00E6551C" w:rsidP="00E6551C">
            <w:pPr>
              <w:tabs>
                <w:tab w:val="left" w:pos="-1440"/>
                <w:tab w:val="left" w:pos="-720"/>
              </w:tabs>
              <w:rPr>
                <w:sz w:val="20"/>
                <w:szCs w:val="20"/>
              </w:rPr>
            </w:pPr>
          </w:p>
          <w:p w:rsidR="00E6551C" w:rsidRPr="00A935AA" w:rsidRDefault="00E6551C" w:rsidP="00E6551C">
            <w:pPr>
              <w:rPr>
                <w:sz w:val="20"/>
                <w:szCs w:val="20"/>
              </w:rPr>
            </w:pPr>
            <w:r w:rsidRPr="00A935AA">
              <w:rPr>
                <w:sz w:val="20"/>
                <w:szCs w:val="20"/>
              </w:rPr>
              <w:t xml:space="preserve">FILING DATE: </w:t>
            </w:r>
            <w:r w:rsidR="003D19D3">
              <w:rPr>
                <w:sz w:val="20"/>
                <w:szCs w:val="20"/>
              </w:rPr>
              <w:t>02</w:t>
            </w:r>
            <w:r w:rsidRPr="00A935AA">
              <w:rPr>
                <w:sz w:val="20"/>
                <w:szCs w:val="20"/>
              </w:rPr>
              <w:t>.</w:t>
            </w:r>
            <w:r w:rsidR="003D19D3">
              <w:rPr>
                <w:sz w:val="20"/>
                <w:szCs w:val="20"/>
              </w:rPr>
              <w:t>0</w:t>
            </w:r>
            <w:r>
              <w:rPr>
                <w:sz w:val="20"/>
                <w:szCs w:val="20"/>
              </w:rPr>
              <w:t>1</w:t>
            </w:r>
            <w:r w:rsidRPr="00A935AA">
              <w:rPr>
                <w:sz w:val="20"/>
                <w:szCs w:val="20"/>
              </w:rPr>
              <w:t>.201</w:t>
            </w:r>
            <w:r w:rsidR="003D19D3">
              <w:rPr>
                <w:sz w:val="20"/>
                <w:szCs w:val="20"/>
              </w:rPr>
              <w:t>4</w:t>
            </w:r>
          </w:p>
          <w:p w:rsidR="00E6551C" w:rsidRPr="00A935AA" w:rsidRDefault="007C5411" w:rsidP="00E6551C">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p w:rsidR="00E6551C" w:rsidRPr="00A935AA" w:rsidRDefault="00E6551C" w:rsidP="00242AEE">
            <w:pPr>
              <w:jc w:val="center"/>
              <w:rPr>
                <w:sz w:val="20"/>
                <w:szCs w:val="20"/>
              </w:rPr>
            </w:pPr>
          </w:p>
        </w:tc>
        <w:tc>
          <w:tcPr>
            <w:tcW w:w="4320" w:type="dxa"/>
            <w:shd w:val="clear" w:color="auto" w:fill="auto"/>
          </w:tcPr>
          <w:p w:rsidR="00E6551C" w:rsidRPr="00A935AA" w:rsidRDefault="003D19D3" w:rsidP="00E6551C">
            <w:pPr>
              <w:keepNext/>
              <w:keepLines/>
              <w:tabs>
                <w:tab w:val="left" w:pos="-1440"/>
                <w:tab w:val="left" w:pos="-720"/>
              </w:tabs>
              <w:rPr>
                <w:b/>
                <w:sz w:val="20"/>
                <w:szCs w:val="20"/>
              </w:rPr>
            </w:pPr>
            <w:r>
              <w:rPr>
                <w:b/>
                <w:sz w:val="20"/>
                <w:szCs w:val="20"/>
              </w:rPr>
              <w:t>Roman Catholic Episcopal Corporation of St. John’s</w:t>
            </w:r>
          </w:p>
          <w:p w:rsidR="00E6551C" w:rsidRPr="00A935AA" w:rsidRDefault="00E6551C" w:rsidP="00E6551C">
            <w:pPr>
              <w:keepNext/>
              <w:keepLines/>
              <w:tabs>
                <w:tab w:val="left" w:pos="-1440"/>
                <w:tab w:val="left" w:pos="-720"/>
              </w:tabs>
              <w:rPr>
                <w:sz w:val="20"/>
                <w:szCs w:val="20"/>
              </w:rPr>
            </w:pPr>
            <w:r>
              <w:rPr>
                <w:sz w:val="20"/>
                <w:szCs w:val="20"/>
              </w:rPr>
              <w:tab/>
            </w:r>
            <w:r w:rsidR="003D19D3">
              <w:rPr>
                <w:sz w:val="20"/>
                <w:szCs w:val="20"/>
              </w:rPr>
              <w:t>Thomas J. O’Reilly, Q.C.</w:t>
            </w:r>
          </w:p>
          <w:p w:rsidR="00E6551C" w:rsidRPr="00A935AA" w:rsidRDefault="00E6551C" w:rsidP="00E6551C">
            <w:pPr>
              <w:keepNext/>
              <w:keepLines/>
              <w:tabs>
                <w:tab w:val="left" w:pos="-1440"/>
                <w:tab w:val="left" w:pos="-720"/>
              </w:tabs>
              <w:rPr>
                <w:sz w:val="20"/>
                <w:szCs w:val="20"/>
              </w:rPr>
            </w:pPr>
            <w:r w:rsidRPr="00A935AA">
              <w:rPr>
                <w:sz w:val="20"/>
                <w:szCs w:val="20"/>
              </w:rPr>
              <w:tab/>
            </w:r>
            <w:r w:rsidR="003D19D3">
              <w:rPr>
                <w:sz w:val="20"/>
                <w:szCs w:val="20"/>
              </w:rPr>
              <w:t>Cox &amp; Palmer</w:t>
            </w:r>
          </w:p>
          <w:p w:rsidR="00E6551C" w:rsidRPr="00A935AA" w:rsidRDefault="00E6551C" w:rsidP="00E6551C">
            <w:pPr>
              <w:keepNext/>
              <w:keepLines/>
              <w:tabs>
                <w:tab w:val="left" w:pos="-1440"/>
                <w:tab w:val="left" w:pos="-720"/>
              </w:tabs>
              <w:rPr>
                <w:sz w:val="20"/>
                <w:szCs w:val="20"/>
              </w:rPr>
            </w:pPr>
          </w:p>
          <w:p w:rsidR="00E6551C" w:rsidRPr="003D19D3" w:rsidRDefault="00E6551C" w:rsidP="00E6551C">
            <w:pPr>
              <w:keepNext/>
              <w:keepLines/>
              <w:tabs>
                <w:tab w:val="left" w:pos="-1440"/>
                <w:tab w:val="left" w:pos="-720"/>
              </w:tabs>
              <w:rPr>
                <w:sz w:val="20"/>
                <w:szCs w:val="20"/>
              </w:rPr>
            </w:pPr>
            <w:r w:rsidRPr="00A935AA">
              <w:rPr>
                <w:sz w:val="20"/>
                <w:szCs w:val="20"/>
              </w:rPr>
              <w:tab/>
            </w:r>
            <w:r w:rsidRPr="003D19D3">
              <w:rPr>
                <w:sz w:val="20"/>
                <w:szCs w:val="20"/>
              </w:rPr>
              <w:t>v. (35</w:t>
            </w:r>
            <w:r w:rsidR="003D19D3" w:rsidRPr="003D19D3">
              <w:rPr>
                <w:sz w:val="20"/>
                <w:szCs w:val="20"/>
              </w:rPr>
              <w:t>667</w:t>
            </w:r>
            <w:r w:rsidRPr="003D19D3">
              <w:rPr>
                <w:sz w:val="20"/>
                <w:szCs w:val="20"/>
              </w:rPr>
              <w:t>)</w:t>
            </w:r>
          </w:p>
          <w:p w:rsidR="00E6551C" w:rsidRPr="003D19D3" w:rsidRDefault="00E6551C" w:rsidP="00E6551C">
            <w:pPr>
              <w:keepNext/>
              <w:keepLines/>
              <w:tabs>
                <w:tab w:val="left" w:pos="-1440"/>
                <w:tab w:val="left" w:pos="-720"/>
              </w:tabs>
              <w:rPr>
                <w:sz w:val="20"/>
                <w:szCs w:val="20"/>
              </w:rPr>
            </w:pPr>
          </w:p>
          <w:p w:rsidR="00E6551C" w:rsidRPr="003D19D3" w:rsidRDefault="003D19D3" w:rsidP="00E6551C">
            <w:pPr>
              <w:keepNext/>
              <w:keepLines/>
              <w:tabs>
                <w:tab w:val="left" w:pos="-1440"/>
                <w:tab w:val="left" w:pos="-720"/>
              </w:tabs>
              <w:rPr>
                <w:b/>
                <w:sz w:val="20"/>
                <w:szCs w:val="20"/>
              </w:rPr>
            </w:pPr>
            <w:r w:rsidRPr="003D19D3">
              <w:rPr>
                <w:b/>
                <w:sz w:val="20"/>
                <w:szCs w:val="20"/>
              </w:rPr>
              <w:t xml:space="preserve">Guardian Insurance Company of Canada </w:t>
            </w:r>
            <w:r w:rsidR="00E6551C" w:rsidRPr="003D19D3">
              <w:rPr>
                <w:b/>
                <w:sz w:val="20"/>
                <w:szCs w:val="20"/>
              </w:rPr>
              <w:t>(</w:t>
            </w:r>
            <w:r w:rsidRPr="003D19D3">
              <w:rPr>
                <w:b/>
                <w:sz w:val="20"/>
                <w:szCs w:val="20"/>
              </w:rPr>
              <w:t>N.L</w:t>
            </w:r>
            <w:r w:rsidR="00E6551C" w:rsidRPr="003D19D3">
              <w:rPr>
                <w:b/>
                <w:sz w:val="20"/>
                <w:szCs w:val="20"/>
              </w:rPr>
              <w:t>.)</w:t>
            </w:r>
          </w:p>
          <w:p w:rsidR="00E6551C" w:rsidRPr="003D19D3" w:rsidRDefault="00E6551C" w:rsidP="00E6551C">
            <w:pPr>
              <w:keepNext/>
              <w:keepLines/>
              <w:tabs>
                <w:tab w:val="left" w:pos="-1440"/>
                <w:tab w:val="left" w:pos="-720"/>
              </w:tabs>
              <w:rPr>
                <w:sz w:val="20"/>
                <w:szCs w:val="20"/>
              </w:rPr>
            </w:pPr>
            <w:r w:rsidRPr="003D19D3">
              <w:rPr>
                <w:sz w:val="20"/>
                <w:szCs w:val="20"/>
              </w:rPr>
              <w:tab/>
            </w:r>
            <w:r w:rsidR="003D19D3">
              <w:rPr>
                <w:sz w:val="20"/>
                <w:szCs w:val="20"/>
              </w:rPr>
              <w:t>Philip J. Buckingham</w:t>
            </w:r>
          </w:p>
          <w:p w:rsidR="00E6551C" w:rsidRPr="003D19D3" w:rsidRDefault="00E6551C" w:rsidP="00E6551C">
            <w:pPr>
              <w:keepNext/>
              <w:keepLines/>
              <w:tabs>
                <w:tab w:val="left" w:pos="-1440"/>
                <w:tab w:val="left" w:pos="-720"/>
              </w:tabs>
              <w:rPr>
                <w:sz w:val="20"/>
                <w:szCs w:val="20"/>
              </w:rPr>
            </w:pPr>
            <w:r w:rsidRPr="003D19D3">
              <w:rPr>
                <w:sz w:val="20"/>
                <w:szCs w:val="20"/>
              </w:rPr>
              <w:tab/>
            </w:r>
            <w:r w:rsidR="003D19D3">
              <w:rPr>
                <w:sz w:val="20"/>
                <w:szCs w:val="20"/>
              </w:rPr>
              <w:t>Goodland O’Flaherty</w:t>
            </w:r>
          </w:p>
          <w:p w:rsidR="00E6551C" w:rsidRPr="003D19D3" w:rsidRDefault="00E6551C" w:rsidP="00E6551C">
            <w:pPr>
              <w:keepNext/>
              <w:keepLines/>
              <w:tabs>
                <w:tab w:val="left" w:pos="-1440"/>
                <w:tab w:val="left" w:pos="-720"/>
              </w:tabs>
              <w:rPr>
                <w:sz w:val="20"/>
                <w:szCs w:val="20"/>
              </w:rPr>
            </w:pPr>
          </w:p>
          <w:p w:rsidR="00E6551C" w:rsidRPr="00A935AA" w:rsidRDefault="00E6551C" w:rsidP="003D19D3">
            <w:pPr>
              <w:rPr>
                <w:sz w:val="20"/>
                <w:szCs w:val="20"/>
              </w:rPr>
            </w:pPr>
            <w:r w:rsidRPr="00A935AA">
              <w:rPr>
                <w:sz w:val="20"/>
                <w:szCs w:val="20"/>
              </w:rPr>
              <w:t xml:space="preserve">FILING DATE: </w:t>
            </w:r>
            <w:r w:rsidR="003D19D3">
              <w:rPr>
                <w:sz w:val="20"/>
                <w:szCs w:val="20"/>
              </w:rPr>
              <w:t>02</w:t>
            </w:r>
            <w:r w:rsidRPr="00A935AA">
              <w:rPr>
                <w:sz w:val="20"/>
                <w:szCs w:val="20"/>
              </w:rPr>
              <w:t>.</w:t>
            </w:r>
            <w:r w:rsidR="003D19D3">
              <w:rPr>
                <w:sz w:val="20"/>
                <w:szCs w:val="20"/>
              </w:rPr>
              <w:t>0</w:t>
            </w:r>
            <w:r>
              <w:rPr>
                <w:sz w:val="20"/>
                <w:szCs w:val="20"/>
              </w:rPr>
              <w:t>1</w:t>
            </w:r>
            <w:r w:rsidRPr="00A935AA">
              <w:rPr>
                <w:sz w:val="20"/>
                <w:szCs w:val="20"/>
              </w:rPr>
              <w:t>.201</w:t>
            </w:r>
            <w:r w:rsidR="003D19D3">
              <w:rPr>
                <w:sz w:val="20"/>
                <w:szCs w:val="20"/>
              </w:rPr>
              <w:t>4</w:t>
            </w:r>
            <w:r w:rsidR="007C5411">
              <w:rPr>
                <w:sz w:val="20"/>
                <w:szCs w:val="20"/>
                <w:lang w:val="fr-CA"/>
              </w:rPr>
              <w:pict>
                <v:rect id="_x0000_i1032" style="width:108pt;height:1pt" o:hrpct="0" o:hralign="center" o:hrstd="t" o:hrnoshade="t" o:hr="t" fillcolor="black [3213]" stroked="f"/>
              </w:pict>
            </w: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027083">
          <w:headerReference w:type="default" r:id="rId17"/>
          <w:footerReference w:type="default" r:id="rId18"/>
          <w:headerReference w:type="first" r:id="rId19"/>
          <w:footerReference w:type="first" r:id="rId20"/>
          <w:pgSz w:w="12240" w:h="15840"/>
          <w:pgMar w:top="720" w:right="965" w:bottom="1080" w:left="1656" w:header="706" w:footer="706" w:gutter="0"/>
          <w:pgNumType w:start="9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7C5411"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9A4354" w:rsidP="004B7F60">
      <w:pPr>
        <w:widowControl w:val="0"/>
        <w:rPr>
          <w:b/>
          <w:sz w:val="20"/>
          <w:szCs w:val="20"/>
        </w:rPr>
      </w:pPr>
      <w:r>
        <w:rPr>
          <w:b/>
          <w:sz w:val="20"/>
          <w:szCs w:val="20"/>
        </w:rPr>
        <w:t>JANUARY</w:t>
      </w:r>
      <w:r w:rsidR="00F761A3">
        <w:rPr>
          <w:b/>
          <w:sz w:val="20"/>
          <w:szCs w:val="20"/>
        </w:rPr>
        <w:t xml:space="preserve"> </w:t>
      </w:r>
      <w:r>
        <w:rPr>
          <w:b/>
          <w:sz w:val="20"/>
          <w:szCs w:val="20"/>
        </w:rPr>
        <w:t>2</w:t>
      </w:r>
      <w:r w:rsidR="008B7E1B">
        <w:rPr>
          <w:b/>
          <w:sz w:val="20"/>
          <w:szCs w:val="20"/>
        </w:rPr>
        <w:t>0</w:t>
      </w:r>
      <w:r w:rsidR="004B7F60" w:rsidRPr="00C50A5C">
        <w:rPr>
          <w:b/>
          <w:sz w:val="20"/>
          <w:szCs w:val="20"/>
        </w:rPr>
        <w:t>, 201</w:t>
      </w:r>
      <w:r>
        <w:rPr>
          <w:b/>
          <w:sz w:val="20"/>
          <w:szCs w:val="20"/>
        </w:rPr>
        <w:t>4</w:t>
      </w:r>
      <w:r w:rsidR="004B7F60" w:rsidRPr="00C50A5C">
        <w:rPr>
          <w:b/>
          <w:sz w:val="20"/>
          <w:szCs w:val="20"/>
        </w:rPr>
        <w:t xml:space="preserve"> / LE </w:t>
      </w:r>
      <w:r>
        <w:rPr>
          <w:b/>
          <w:sz w:val="20"/>
          <w:szCs w:val="20"/>
        </w:rPr>
        <w:t>2</w:t>
      </w:r>
      <w:r w:rsidR="008B7E1B">
        <w:rPr>
          <w:b/>
          <w:sz w:val="20"/>
          <w:szCs w:val="20"/>
        </w:rPr>
        <w:t>0</w:t>
      </w:r>
      <w:r>
        <w:rPr>
          <w:b/>
          <w:sz w:val="20"/>
          <w:szCs w:val="20"/>
        </w:rPr>
        <w:t xml:space="preserve"> JANVIER</w:t>
      </w:r>
      <w:r w:rsidR="004B7F60" w:rsidRPr="00C50A5C">
        <w:rPr>
          <w:b/>
          <w:sz w:val="20"/>
          <w:szCs w:val="20"/>
        </w:rPr>
        <w:t xml:space="preserve"> 201</w:t>
      </w:r>
      <w:r>
        <w:rPr>
          <w:b/>
          <w:sz w:val="20"/>
          <w:szCs w:val="20"/>
        </w:rPr>
        <w:t>4</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C50A5C" w:rsidRDefault="00A00F2C" w:rsidP="004B7F60">
      <w:pPr>
        <w:pStyle w:val="ListParagraph"/>
        <w:widowControl w:val="0"/>
        <w:numPr>
          <w:ilvl w:val="0"/>
          <w:numId w:val="1"/>
        </w:numPr>
        <w:ind w:hanging="720"/>
        <w:jc w:val="both"/>
        <w:rPr>
          <w:sz w:val="20"/>
          <w:szCs w:val="20"/>
        </w:rPr>
      </w:pPr>
      <w:r w:rsidRPr="00A00F2C">
        <w:rPr>
          <w:i/>
          <w:sz w:val="20"/>
          <w:szCs w:val="20"/>
          <w:lang w:val="fr-CA"/>
        </w:rPr>
        <w:t>Michael Cytrynbaum et al. v. Look Communications Inc.</w:t>
      </w:r>
      <w:r w:rsidRPr="00A00F2C">
        <w:rPr>
          <w:sz w:val="20"/>
          <w:szCs w:val="20"/>
          <w:lang w:val="fr-CA"/>
        </w:rPr>
        <w:t xml:space="preserve"> </w:t>
      </w:r>
      <w:r w:rsidRPr="000362B5">
        <w:rPr>
          <w:sz w:val="20"/>
          <w:szCs w:val="20"/>
        </w:rPr>
        <w:t>(Ont.) (Civil) (By Leave)</w:t>
      </w:r>
      <w:r w:rsidRPr="00C50A5C">
        <w:rPr>
          <w:sz w:val="20"/>
          <w:szCs w:val="20"/>
        </w:rPr>
        <w:t xml:space="preserve"> </w:t>
      </w:r>
      <w:r w:rsidR="004B7F60" w:rsidRPr="00C50A5C">
        <w:rPr>
          <w:sz w:val="20"/>
          <w:szCs w:val="20"/>
        </w:rPr>
        <w:t>(3</w:t>
      </w:r>
      <w:r>
        <w:rPr>
          <w:sz w:val="20"/>
          <w:szCs w:val="20"/>
        </w:rPr>
        <w:t>5559</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A00F2C" w:rsidP="004B7F60">
      <w:pPr>
        <w:pStyle w:val="ListParagraph"/>
        <w:widowControl w:val="0"/>
        <w:numPr>
          <w:ilvl w:val="0"/>
          <w:numId w:val="1"/>
        </w:numPr>
        <w:ind w:hanging="720"/>
        <w:jc w:val="both"/>
        <w:rPr>
          <w:sz w:val="20"/>
          <w:szCs w:val="20"/>
        </w:rPr>
      </w:pPr>
      <w:r w:rsidRPr="00A00F2C">
        <w:rPr>
          <w:i/>
          <w:sz w:val="20"/>
          <w:szCs w:val="20"/>
        </w:rPr>
        <w:t>Jolian Investments Limited et al. v. Look Communications Inc.</w:t>
      </w:r>
      <w:r w:rsidRPr="000362B5">
        <w:rPr>
          <w:sz w:val="20"/>
          <w:szCs w:val="20"/>
        </w:rPr>
        <w:t xml:space="preserve"> (Ont.) (Civil) (By Leave)</w:t>
      </w:r>
      <w:r w:rsidRPr="00C612D0">
        <w:rPr>
          <w:sz w:val="20"/>
          <w:szCs w:val="20"/>
        </w:rPr>
        <w:t xml:space="preserve"> </w:t>
      </w:r>
      <w:r w:rsidR="004B7F60" w:rsidRPr="00C612D0">
        <w:rPr>
          <w:sz w:val="20"/>
          <w:szCs w:val="20"/>
        </w:rPr>
        <w:t>(3</w:t>
      </w:r>
      <w:r>
        <w:rPr>
          <w:sz w:val="20"/>
          <w:szCs w:val="20"/>
        </w:rPr>
        <w:t>5560</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A00F2C" w:rsidP="004B7F60">
      <w:pPr>
        <w:pStyle w:val="ListParagraph"/>
        <w:widowControl w:val="0"/>
        <w:numPr>
          <w:ilvl w:val="0"/>
          <w:numId w:val="1"/>
        </w:numPr>
        <w:ind w:hanging="720"/>
        <w:jc w:val="both"/>
        <w:rPr>
          <w:sz w:val="20"/>
          <w:szCs w:val="20"/>
        </w:rPr>
      </w:pPr>
      <w:r w:rsidRPr="00A00F2C">
        <w:rPr>
          <w:i/>
          <w:sz w:val="20"/>
          <w:szCs w:val="20"/>
        </w:rPr>
        <w:t>BDO Canada Limited, in its Capacity as Trustee of the Estate of Michel Dorais, Deceased, A Bankrupt v. Zypherus Holdings Inc.</w:t>
      </w:r>
      <w:r w:rsidRPr="000362B5">
        <w:rPr>
          <w:sz w:val="20"/>
          <w:szCs w:val="20"/>
        </w:rPr>
        <w:t xml:space="preserve"> (Alta.) (Civil) (By Leave)</w:t>
      </w:r>
      <w:r w:rsidRPr="00940CAD">
        <w:rPr>
          <w:sz w:val="20"/>
          <w:szCs w:val="20"/>
        </w:rPr>
        <w:t xml:space="preserve"> </w:t>
      </w:r>
      <w:r w:rsidR="004B7F60" w:rsidRPr="00940CAD">
        <w:rPr>
          <w:sz w:val="20"/>
          <w:szCs w:val="20"/>
        </w:rPr>
        <w:t>(3</w:t>
      </w:r>
      <w:r>
        <w:rPr>
          <w:sz w:val="20"/>
          <w:szCs w:val="20"/>
        </w:rPr>
        <w:t>5582</w:t>
      </w:r>
      <w:r w:rsidR="004B7F60" w:rsidRPr="00940CAD">
        <w:rPr>
          <w:sz w:val="20"/>
          <w:szCs w:val="20"/>
        </w:rPr>
        <w:t>)</w:t>
      </w:r>
    </w:p>
    <w:p w:rsidR="004B7F60" w:rsidRPr="00C50A5C" w:rsidRDefault="004B7F60" w:rsidP="004B7F60">
      <w:pPr>
        <w:widowControl w:val="0"/>
        <w:rPr>
          <w:sz w:val="20"/>
          <w:szCs w:val="20"/>
        </w:rPr>
      </w:pPr>
    </w:p>
    <w:p w:rsidR="004B7F60" w:rsidRPr="00C50A5C" w:rsidRDefault="00A00F2C" w:rsidP="004B7F60">
      <w:pPr>
        <w:pStyle w:val="ListParagraph"/>
        <w:widowControl w:val="0"/>
        <w:numPr>
          <w:ilvl w:val="0"/>
          <w:numId w:val="1"/>
        </w:numPr>
        <w:ind w:hanging="720"/>
        <w:jc w:val="both"/>
        <w:rPr>
          <w:sz w:val="20"/>
          <w:szCs w:val="20"/>
        </w:rPr>
      </w:pPr>
      <w:r w:rsidRPr="00A00F2C">
        <w:rPr>
          <w:i/>
          <w:sz w:val="20"/>
          <w:szCs w:val="20"/>
        </w:rPr>
        <w:t>Howard Vance Gimbel et al. v. Her Majesty the Queen in Right of Alberta, as Represented by the Minister of Public Works, Supply &amp; Services (Now Infrastructure)</w:t>
      </w:r>
      <w:r w:rsidRPr="000362B5">
        <w:rPr>
          <w:sz w:val="20"/>
          <w:szCs w:val="20"/>
        </w:rPr>
        <w:t xml:space="preserve"> (Alta.) (Civil) (By Leave)</w:t>
      </w:r>
      <w:r w:rsidRPr="00C50A5C">
        <w:rPr>
          <w:sz w:val="20"/>
          <w:szCs w:val="20"/>
        </w:rPr>
        <w:t xml:space="preserve"> </w:t>
      </w:r>
      <w:r w:rsidR="004B7F60" w:rsidRPr="00C50A5C">
        <w:rPr>
          <w:sz w:val="20"/>
          <w:szCs w:val="20"/>
        </w:rPr>
        <w:t>(3</w:t>
      </w:r>
      <w:r>
        <w:rPr>
          <w:sz w:val="20"/>
          <w:szCs w:val="20"/>
        </w:rPr>
        <w:t>5</w:t>
      </w:r>
      <w:r w:rsidR="004B7F60">
        <w:rPr>
          <w:sz w:val="20"/>
          <w:szCs w:val="20"/>
        </w:rPr>
        <w:t>6</w:t>
      </w:r>
      <w:r>
        <w:rPr>
          <w:sz w:val="20"/>
          <w:szCs w:val="20"/>
        </w:rPr>
        <w:t>03</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sidR="0062714A">
        <w:rPr>
          <w:b/>
          <w:sz w:val="20"/>
          <w:szCs w:val="20"/>
        </w:rPr>
        <w:t>K</w:t>
      </w:r>
      <w:r>
        <w:rPr>
          <w:b/>
          <w:sz w:val="20"/>
          <w:szCs w:val="20"/>
        </w:rPr>
        <w:t>a</w:t>
      </w:r>
      <w:r w:rsidR="0062714A">
        <w:rPr>
          <w:b/>
          <w:sz w:val="20"/>
          <w:szCs w:val="20"/>
        </w:rPr>
        <w:t>rakatsanis</w:t>
      </w:r>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sidR="0062714A">
        <w:rPr>
          <w:b/>
          <w:sz w:val="20"/>
          <w:szCs w:val="20"/>
          <w:lang w:val="fr-CA"/>
        </w:rPr>
        <w:t>K</w:t>
      </w:r>
      <w:r>
        <w:rPr>
          <w:b/>
          <w:sz w:val="20"/>
          <w:szCs w:val="20"/>
          <w:lang w:val="fr-CA"/>
        </w:rPr>
        <w:t>a</w:t>
      </w:r>
      <w:r w:rsidR="0062714A">
        <w:rPr>
          <w:b/>
          <w:sz w:val="20"/>
          <w:szCs w:val="20"/>
          <w:lang w:val="fr-CA"/>
        </w:rPr>
        <w:t>rakatsanis</w:t>
      </w:r>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C612D0" w:rsidRDefault="00A00F2C" w:rsidP="004B7F60">
      <w:pPr>
        <w:pStyle w:val="ListParagraph"/>
        <w:widowControl w:val="0"/>
        <w:numPr>
          <w:ilvl w:val="0"/>
          <w:numId w:val="1"/>
        </w:numPr>
        <w:ind w:hanging="720"/>
        <w:jc w:val="both"/>
        <w:rPr>
          <w:sz w:val="20"/>
          <w:szCs w:val="20"/>
          <w:lang w:val="fr-CA"/>
        </w:rPr>
      </w:pPr>
      <w:r w:rsidRPr="00A00F2C">
        <w:rPr>
          <w:i/>
          <w:sz w:val="20"/>
          <w:szCs w:val="20"/>
          <w:lang w:val="fr-CA"/>
        </w:rPr>
        <w:t>Theratechnologies inc. et autres c. 121851 Canada inc.</w:t>
      </w:r>
      <w:r w:rsidRPr="000362B5">
        <w:rPr>
          <w:sz w:val="20"/>
          <w:szCs w:val="20"/>
          <w:lang w:val="fr-CA"/>
        </w:rPr>
        <w:t xml:space="preserve"> (Qc) (Civile) (Autorisation)</w:t>
      </w:r>
      <w:r w:rsidRPr="00C612D0">
        <w:rPr>
          <w:sz w:val="20"/>
          <w:szCs w:val="20"/>
          <w:lang w:val="fr-CA"/>
        </w:rPr>
        <w:t xml:space="preserve"> </w:t>
      </w:r>
      <w:r w:rsidR="004B7F60" w:rsidRPr="00C612D0">
        <w:rPr>
          <w:sz w:val="20"/>
          <w:szCs w:val="20"/>
          <w:lang w:val="fr-CA"/>
        </w:rPr>
        <w:t>(3</w:t>
      </w:r>
      <w:r>
        <w:rPr>
          <w:sz w:val="20"/>
          <w:szCs w:val="20"/>
          <w:lang w:val="fr-CA"/>
        </w:rPr>
        <w:t>5550</w:t>
      </w:r>
      <w:r w:rsidR="004B7F60" w:rsidRPr="00C612D0">
        <w:rPr>
          <w:sz w:val="20"/>
          <w:szCs w:val="20"/>
          <w:lang w:val="fr-CA"/>
        </w:rPr>
        <w:t>)</w:t>
      </w:r>
    </w:p>
    <w:p w:rsidR="004B7F60" w:rsidRPr="00115C9E" w:rsidRDefault="004B7F60" w:rsidP="004B7F60">
      <w:pPr>
        <w:widowControl w:val="0"/>
        <w:jc w:val="both"/>
        <w:rPr>
          <w:sz w:val="20"/>
          <w:szCs w:val="20"/>
          <w:lang w:val="fr-CA"/>
        </w:rPr>
      </w:pPr>
    </w:p>
    <w:p w:rsidR="004B7F60" w:rsidRPr="00A00F2C" w:rsidRDefault="00A00F2C" w:rsidP="004B7F60">
      <w:pPr>
        <w:pStyle w:val="ListParagraph"/>
        <w:widowControl w:val="0"/>
        <w:numPr>
          <w:ilvl w:val="0"/>
          <w:numId w:val="1"/>
        </w:numPr>
        <w:ind w:hanging="720"/>
        <w:jc w:val="both"/>
        <w:rPr>
          <w:sz w:val="20"/>
          <w:szCs w:val="20"/>
        </w:rPr>
      </w:pPr>
      <w:r w:rsidRPr="00A00F2C">
        <w:rPr>
          <w:i/>
          <w:sz w:val="20"/>
          <w:szCs w:val="20"/>
        </w:rPr>
        <w:t>Bernard Musoni v. Logitek Technology Ltd.</w:t>
      </w:r>
      <w:r w:rsidRPr="000362B5">
        <w:rPr>
          <w:sz w:val="20"/>
          <w:szCs w:val="20"/>
        </w:rPr>
        <w:t xml:space="preserve"> (Ont.) (Civil) (By Leave)</w:t>
      </w:r>
      <w:r w:rsidRPr="00A00F2C">
        <w:rPr>
          <w:sz w:val="20"/>
          <w:szCs w:val="20"/>
        </w:rPr>
        <w:t xml:space="preserve"> </w:t>
      </w:r>
      <w:r w:rsidR="004B7F60" w:rsidRPr="00A00F2C">
        <w:rPr>
          <w:sz w:val="20"/>
          <w:szCs w:val="20"/>
        </w:rPr>
        <w:t>(35</w:t>
      </w:r>
      <w:r w:rsidRPr="00A00F2C">
        <w:rPr>
          <w:sz w:val="20"/>
          <w:szCs w:val="20"/>
        </w:rPr>
        <w:t>621</w:t>
      </w:r>
      <w:r w:rsidR="004B7F60" w:rsidRPr="00A00F2C">
        <w:rPr>
          <w:sz w:val="20"/>
          <w:szCs w:val="20"/>
        </w:rPr>
        <w:t>)</w:t>
      </w:r>
    </w:p>
    <w:p w:rsidR="004B7F60" w:rsidRPr="00A00F2C" w:rsidRDefault="004B7F60" w:rsidP="004B7F60">
      <w:pPr>
        <w:widowControl w:val="0"/>
        <w:jc w:val="both"/>
        <w:rPr>
          <w:sz w:val="20"/>
          <w:szCs w:val="20"/>
        </w:rPr>
      </w:pPr>
    </w:p>
    <w:p w:rsidR="004B7F60" w:rsidRPr="00C50A5C" w:rsidRDefault="00A00F2C" w:rsidP="004B7F60">
      <w:pPr>
        <w:pStyle w:val="ListParagraph"/>
        <w:widowControl w:val="0"/>
        <w:numPr>
          <w:ilvl w:val="0"/>
          <w:numId w:val="1"/>
        </w:numPr>
        <w:ind w:hanging="720"/>
        <w:jc w:val="both"/>
        <w:rPr>
          <w:sz w:val="20"/>
          <w:szCs w:val="20"/>
          <w:lang w:val="fr-CA"/>
        </w:rPr>
      </w:pPr>
      <w:r w:rsidRPr="00A00F2C">
        <w:rPr>
          <w:i/>
          <w:sz w:val="20"/>
          <w:szCs w:val="20"/>
          <w:lang w:val="fr-CA"/>
        </w:rPr>
        <w:t>Ville de Longueuil c. 4053532 Canada Inc.</w:t>
      </w:r>
      <w:r w:rsidRPr="000362B5">
        <w:rPr>
          <w:sz w:val="20"/>
          <w:szCs w:val="20"/>
          <w:lang w:val="fr-CA"/>
        </w:rPr>
        <w:t xml:space="preserve"> (Qc) (Civile) (Autorisation)</w:t>
      </w:r>
      <w:r w:rsidRPr="00C50A5C">
        <w:rPr>
          <w:sz w:val="20"/>
          <w:szCs w:val="20"/>
          <w:lang w:val="fr-CA"/>
        </w:rPr>
        <w:t xml:space="preserve"> </w:t>
      </w:r>
      <w:r w:rsidR="004B7F60" w:rsidRPr="00C50A5C">
        <w:rPr>
          <w:sz w:val="20"/>
          <w:szCs w:val="20"/>
          <w:lang w:val="fr-CA"/>
        </w:rPr>
        <w:t>(3</w:t>
      </w:r>
      <w:r>
        <w:rPr>
          <w:sz w:val="20"/>
          <w:szCs w:val="20"/>
          <w:lang w:val="fr-CA"/>
        </w:rPr>
        <w:t>5595)</w:t>
      </w:r>
    </w:p>
    <w:p w:rsidR="004B7F60" w:rsidRDefault="004B7F60" w:rsidP="004B7F60">
      <w:pPr>
        <w:widowControl w:val="0"/>
        <w:rPr>
          <w:sz w:val="20"/>
          <w:szCs w:val="20"/>
          <w:lang w:val="fr-CA"/>
        </w:rPr>
      </w:pPr>
    </w:p>
    <w:p w:rsidR="004B7F60" w:rsidRPr="00C50A5C" w:rsidRDefault="00A00F2C" w:rsidP="004B7F60">
      <w:pPr>
        <w:pStyle w:val="ListParagraph"/>
        <w:widowControl w:val="0"/>
        <w:numPr>
          <w:ilvl w:val="0"/>
          <w:numId w:val="1"/>
        </w:numPr>
        <w:ind w:hanging="720"/>
        <w:jc w:val="both"/>
        <w:rPr>
          <w:sz w:val="20"/>
          <w:szCs w:val="20"/>
          <w:lang w:val="fr-CA"/>
        </w:rPr>
      </w:pPr>
      <w:r w:rsidRPr="00A00F2C">
        <w:rPr>
          <w:i/>
          <w:sz w:val="20"/>
          <w:szCs w:val="20"/>
          <w:lang w:val="fr-CA"/>
        </w:rPr>
        <w:t>C.J.R. c. I.A.C.</w:t>
      </w:r>
      <w:r w:rsidRPr="000362B5">
        <w:rPr>
          <w:sz w:val="20"/>
          <w:szCs w:val="20"/>
          <w:lang w:val="fr-CA"/>
        </w:rPr>
        <w:t xml:space="preserve"> (Qc) (Civile) (Autorisation)</w:t>
      </w:r>
      <w:r w:rsidRPr="00C50A5C">
        <w:rPr>
          <w:sz w:val="20"/>
          <w:szCs w:val="20"/>
          <w:lang w:val="fr-CA"/>
        </w:rPr>
        <w:t xml:space="preserve"> </w:t>
      </w:r>
      <w:r w:rsidR="004B7F60" w:rsidRPr="00C50A5C">
        <w:rPr>
          <w:sz w:val="20"/>
          <w:szCs w:val="20"/>
          <w:lang w:val="fr-CA"/>
        </w:rPr>
        <w:t>(3</w:t>
      </w:r>
      <w:r>
        <w:rPr>
          <w:sz w:val="20"/>
          <w:szCs w:val="20"/>
          <w:lang w:val="fr-CA"/>
        </w:rPr>
        <w:t>5617</w:t>
      </w:r>
      <w:r w:rsidR="004B7F60" w:rsidRPr="00C50A5C">
        <w:rPr>
          <w:sz w:val="20"/>
          <w:szCs w:val="20"/>
          <w:lang w:val="fr-CA"/>
        </w:rPr>
        <w:t>)</w:t>
      </w:r>
    </w:p>
    <w:p w:rsidR="004B7F60" w:rsidRDefault="004B7F60" w:rsidP="004B7F60">
      <w:pPr>
        <w:widowControl w:val="0"/>
        <w:jc w:val="both"/>
        <w:rPr>
          <w:sz w:val="20"/>
          <w:szCs w:val="20"/>
          <w:lang w:val="fr-CA"/>
        </w:rPr>
      </w:pPr>
    </w:p>
    <w:p w:rsidR="009A4354" w:rsidRDefault="009A4354" w:rsidP="004B7F60">
      <w:pPr>
        <w:widowControl w:val="0"/>
        <w:jc w:val="both"/>
        <w:rPr>
          <w:sz w:val="20"/>
          <w:szCs w:val="20"/>
          <w:lang w:val="fr-CA"/>
        </w:rPr>
      </w:pPr>
    </w:p>
    <w:p w:rsidR="009A4354" w:rsidRPr="00C50A5C" w:rsidRDefault="009A4354" w:rsidP="009A4354">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9A4354" w:rsidRPr="00C50A5C" w:rsidRDefault="009A4354" w:rsidP="009A4354">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9A4354" w:rsidRPr="00C50A5C" w:rsidRDefault="009A4354" w:rsidP="009A4354">
      <w:pPr>
        <w:widowControl w:val="0"/>
        <w:rPr>
          <w:sz w:val="20"/>
          <w:szCs w:val="20"/>
          <w:lang w:val="fr-CA"/>
        </w:rPr>
      </w:pPr>
    </w:p>
    <w:p w:rsidR="004B7F60" w:rsidRPr="00115C9E" w:rsidRDefault="00A00F2C" w:rsidP="004B7F60">
      <w:pPr>
        <w:pStyle w:val="ListParagraph"/>
        <w:widowControl w:val="0"/>
        <w:numPr>
          <w:ilvl w:val="0"/>
          <w:numId w:val="1"/>
        </w:numPr>
        <w:ind w:hanging="720"/>
        <w:jc w:val="both"/>
        <w:rPr>
          <w:sz w:val="20"/>
          <w:szCs w:val="20"/>
        </w:rPr>
      </w:pPr>
      <w:r w:rsidRPr="00A00F2C">
        <w:rPr>
          <w:i/>
          <w:sz w:val="20"/>
          <w:szCs w:val="20"/>
        </w:rPr>
        <w:t>Don Staniford, and the said Don Staniford carrying on business as The Global Alliance Against Industrial Aquaculture v. Mainstream Canada, a Division of EWOS Canada Ltd.</w:t>
      </w:r>
      <w:r w:rsidRPr="000362B5">
        <w:rPr>
          <w:sz w:val="20"/>
          <w:szCs w:val="20"/>
        </w:rPr>
        <w:t xml:space="preserve"> (B.C.) (Civil) (By Leave)</w:t>
      </w:r>
      <w:r w:rsidRPr="00115C9E">
        <w:rPr>
          <w:sz w:val="20"/>
          <w:szCs w:val="20"/>
        </w:rPr>
        <w:t xml:space="preserve"> </w:t>
      </w:r>
      <w:r w:rsidR="004B7F60" w:rsidRPr="00115C9E">
        <w:rPr>
          <w:sz w:val="20"/>
          <w:szCs w:val="20"/>
        </w:rPr>
        <w:t>(3</w:t>
      </w:r>
      <w:r>
        <w:rPr>
          <w:sz w:val="20"/>
          <w:szCs w:val="20"/>
        </w:rPr>
        <w:t>55</w:t>
      </w:r>
      <w:r w:rsidR="004B7F60" w:rsidRPr="00115C9E">
        <w:rPr>
          <w:sz w:val="20"/>
          <w:szCs w:val="20"/>
        </w:rPr>
        <w:t>4</w:t>
      </w:r>
      <w:r>
        <w:rPr>
          <w:sz w:val="20"/>
          <w:szCs w:val="20"/>
        </w:rPr>
        <w:t>5</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A00F2C" w:rsidP="004B7F60">
      <w:pPr>
        <w:pStyle w:val="ListParagraph"/>
        <w:widowControl w:val="0"/>
        <w:numPr>
          <w:ilvl w:val="0"/>
          <w:numId w:val="1"/>
        </w:numPr>
        <w:ind w:hanging="720"/>
        <w:jc w:val="both"/>
        <w:rPr>
          <w:sz w:val="20"/>
          <w:szCs w:val="20"/>
        </w:rPr>
      </w:pPr>
      <w:r w:rsidRPr="00A00F2C">
        <w:rPr>
          <w:i/>
          <w:sz w:val="20"/>
          <w:szCs w:val="20"/>
        </w:rPr>
        <w:t xml:space="preserve">Jens Peter Elmgreen v. J. William Evans </w:t>
      </w:r>
      <w:r w:rsidRPr="000362B5">
        <w:rPr>
          <w:sz w:val="20"/>
          <w:szCs w:val="20"/>
        </w:rPr>
        <w:t>(Ont.) (Civil) (By Leave)</w:t>
      </w:r>
      <w:r w:rsidRPr="00115C9E">
        <w:rPr>
          <w:sz w:val="20"/>
          <w:szCs w:val="20"/>
        </w:rPr>
        <w:t xml:space="preserve"> </w:t>
      </w:r>
      <w:r w:rsidR="004B7F60" w:rsidRPr="00115C9E">
        <w:rPr>
          <w:sz w:val="20"/>
          <w:szCs w:val="20"/>
        </w:rPr>
        <w:t>(3</w:t>
      </w:r>
      <w:r>
        <w:rPr>
          <w:sz w:val="20"/>
          <w:szCs w:val="20"/>
        </w:rPr>
        <w:t>56</w:t>
      </w:r>
      <w:r w:rsidR="004B7F60" w:rsidRPr="00115C9E">
        <w:rPr>
          <w:sz w:val="20"/>
          <w:szCs w:val="20"/>
        </w:rPr>
        <w:t>43)</w:t>
      </w:r>
    </w:p>
    <w:p w:rsidR="004B7F60" w:rsidRPr="00115C9E" w:rsidRDefault="004B7F60" w:rsidP="004B7F60">
      <w:pPr>
        <w:widowControl w:val="0"/>
        <w:jc w:val="both"/>
        <w:rPr>
          <w:sz w:val="20"/>
          <w:szCs w:val="20"/>
        </w:rPr>
      </w:pPr>
    </w:p>
    <w:p w:rsidR="004B7F60" w:rsidRDefault="00A00F2C" w:rsidP="004B7F60">
      <w:pPr>
        <w:pStyle w:val="ListParagraph"/>
        <w:widowControl w:val="0"/>
        <w:numPr>
          <w:ilvl w:val="0"/>
          <w:numId w:val="1"/>
        </w:numPr>
        <w:ind w:hanging="720"/>
        <w:jc w:val="both"/>
        <w:rPr>
          <w:sz w:val="20"/>
          <w:szCs w:val="20"/>
        </w:rPr>
      </w:pPr>
      <w:r w:rsidRPr="00A00F2C">
        <w:rPr>
          <w:i/>
          <w:sz w:val="20"/>
          <w:szCs w:val="20"/>
        </w:rPr>
        <w:t>A.T.M. v. T.Y.</w:t>
      </w:r>
      <w:r w:rsidRPr="000362B5">
        <w:rPr>
          <w:sz w:val="20"/>
          <w:szCs w:val="20"/>
        </w:rPr>
        <w:t xml:space="preserve"> (N.L.) (Civil) (By Leave)</w:t>
      </w:r>
      <w:r w:rsidRPr="00C50A5C">
        <w:rPr>
          <w:sz w:val="20"/>
          <w:szCs w:val="20"/>
        </w:rPr>
        <w:t xml:space="preserve"> </w:t>
      </w:r>
      <w:r w:rsidR="004B7F60" w:rsidRPr="00C50A5C">
        <w:rPr>
          <w:sz w:val="20"/>
          <w:szCs w:val="20"/>
        </w:rPr>
        <w:t>(3</w:t>
      </w:r>
      <w:r>
        <w:rPr>
          <w:sz w:val="20"/>
          <w:szCs w:val="20"/>
        </w:rPr>
        <w:t>56</w:t>
      </w:r>
      <w:r w:rsidR="004B7F60">
        <w:rPr>
          <w:sz w:val="20"/>
          <w:szCs w:val="20"/>
        </w:rPr>
        <w:t>4</w:t>
      </w:r>
      <w:r>
        <w:rPr>
          <w:sz w:val="20"/>
          <w:szCs w:val="20"/>
        </w:rPr>
        <w:t>7</w:t>
      </w:r>
      <w:r w:rsidR="004B7F60" w:rsidRPr="00C50A5C">
        <w:rPr>
          <w:sz w:val="20"/>
          <w:szCs w:val="20"/>
        </w:rPr>
        <w:t>)</w:t>
      </w:r>
    </w:p>
    <w:p w:rsidR="004B7F60" w:rsidRDefault="004B7F60" w:rsidP="004B7F60">
      <w:pPr>
        <w:widowControl w:val="0"/>
        <w:rPr>
          <w:sz w:val="20"/>
          <w:szCs w:val="20"/>
        </w:rPr>
      </w:pPr>
    </w:p>
    <w:p w:rsidR="002E2327" w:rsidRPr="00A00F2C" w:rsidRDefault="00A00F2C" w:rsidP="00C50A5C">
      <w:pPr>
        <w:pStyle w:val="ListParagraph"/>
        <w:widowControl w:val="0"/>
        <w:numPr>
          <w:ilvl w:val="0"/>
          <w:numId w:val="1"/>
        </w:numPr>
        <w:ind w:hanging="720"/>
        <w:jc w:val="both"/>
        <w:rPr>
          <w:sz w:val="20"/>
          <w:szCs w:val="20"/>
        </w:rPr>
      </w:pPr>
      <w:r w:rsidRPr="00A00F2C">
        <w:rPr>
          <w:i/>
          <w:sz w:val="20"/>
          <w:szCs w:val="20"/>
        </w:rPr>
        <w:t>Paul Slansky v. Attorney General of Canada, Her Majesty the Queen et al.</w:t>
      </w:r>
      <w:r w:rsidRPr="000362B5">
        <w:rPr>
          <w:sz w:val="20"/>
          <w:szCs w:val="20"/>
        </w:rPr>
        <w:t xml:space="preserve"> (F.C.) (Civil) (By Leave)</w:t>
      </w:r>
      <w:r w:rsidRPr="00A00F2C">
        <w:rPr>
          <w:sz w:val="20"/>
          <w:szCs w:val="20"/>
        </w:rPr>
        <w:t xml:space="preserve"> </w:t>
      </w:r>
      <w:r w:rsidR="002E2327" w:rsidRPr="00A00F2C">
        <w:rPr>
          <w:sz w:val="20"/>
          <w:szCs w:val="20"/>
        </w:rPr>
        <w:t>(3</w:t>
      </w:r>
      <w:r w:rsidRPr="00A00F2C">
        <w:rPr>
          <w:sz w:val="20"/>
          <w:szCs w:val="20"/>
        </w:rPr>
        <w:t>5</w:t>
      </w:r>
      <w:r w:rsidR="002E2327" w:rsidRPr="00A00F2C">
        <w:rPr>
          <w:sz w:val="20"/>
          <w:szCs w:val="20"/>
        </w:rPr>
        <w:t>6</w:t>
      </w:r>
      <w:r w:rsidRPr="00A00F2C">
        <w:rPr>
          <w:sz w:val="20"/>
          <w:szCs w:val="20"/>
        </w:rPr>
        <w:t>0</w:t>
      </w:r>
      <w:r w:rsidR="002E2327" w:rsidRPr="00A00F2C">
        <w:rPr>
          <w:sz w:val="20"/>
          <w:szCs w:val="20"/>
        </w:rPr>
        <w:t>6)</w:t>
      </w:r>
    </w:p>
    <w:p w:rsidR="002E2327" w:rsidRPr="00A00F2C" w:rsidRDefault="002E2327" w:rsidP="00C50A5C">
      <w:pPr>
        <w:widowControl w:val="0"/>
        <w:jc w:val="both"/>
        <w:rPr>
          <w:sz w:val="20"/>
          <w:szCs w:val="20"/>
        </w:rPr>
      </w:pPr>
    </w:p>
    <w:p w:rsidR="002E2327" w:rsidRPr="00A00F2C" w:rsidRDefault="00A00F2C" w:rsidP="00C50A5C">
      <w:pPr>
        <w:pStyle w:val="ListParagraph"/>
        <w:widowControl w:val="0"/>
        <w:numPr>
          <w:ilvl w:val="0"/>
          <w:numId w:val="1"/>
        </w:numPr>
        <w:ind w:hanging="720"/>
        <w:jc w:val="both"/>
        <w:rPr>
          <w:sz w:val="20"/>
          <w:szCs w:val="20"/>
        </w:rPr>
      </w:pPr>
      <w:r w:rsidRPr="00A00F2C">
        <w:rPr>
          <w:i/>
          <w:sz w:val="20"/>
          <w:szCs w:val="20"/>
        </w:rPr>
        <w:t>Joe Chan v. Samuel Michael Katz</w:t>
      </w:r>
      <w:r w:rsidRPr="000362B5">
        <w:rPr>
          <w:sz w:val="20"/>
          <w:szCs w:val="20"/>
        </w:rPr>
        <w:t xml:space="preserve"> (Man.) (Civil) (By Leave)</w:t>
      </w:r>
      <w:r w:rsidRPr="00A00F2C">
        <w:rPr>
          <w:sz w:val="20"/>
          <w:szCs w:val="20"/>
        </w:rPr>
        <w:t xml:space="preserve"> </w:t>
      </w:r>
      <w:r w:rsidR="002E2327" w:rsidRPr="00A00F2C">
        <w:rPr>
          <w:sz w:val="20"/>
          <w:szCs w:val="20"/>
        </w:rPr>
        <w:t>(3</w:t>
      </w:r>
      <w:r w:rsidRPr="00A00F2C">
        <w:rPr>
          <w:sz w:val="20"/>
          <w:szCs w:val="20"/>
        </w:rPr>
        <w:t>5</w:t>
      </w:r>
      <w:r w:rsidR="002E2327" w:rsidRPr="00A00F2C">
        <w:rPr>
          <w:sz w:val="20"/>
          <w:szCs w:val="20"/>
        </w:rPr>
        <w:t>63</w:t>
      </w:r>
      <w:r w:rsidRPr="00A00F2C">
        <w:rPr>
          <w:sz w:val="20"/>
          <w:szCs w:val="20"/>
        </w:rPr>
        <w:t>6</w:t>
      </w:r>
      <w:r w:rsidR="002E2327" w:rsidRPr="00A00F2C">
        <w:rPr>
          <w:sz w:val="20"/>
          <w:szCs w:val="20"/>
        </w:rPr>
        <w:t>)</w:t>
      </w:r>
    </w:p>
    <w:p w:rsidR="002E2327" w:rsidRPr="00A00F2C" w:rsidRDefault="002E2327" w:rsidP="002E2327">
      <w:pPr>
        <w:widowControl w:val="0"/>
        <w:rPr>
          <w:sz w:val="20"/>
          <w:szCs w:val="20"/>
        </w:rPr>
      </w:pPr>
    </w:p>
    <w:p w:rsidR="002E2327" w:rsidRDefault="007C5411" w:rsidP="002E2327">
      <w:pPr>
        <w:widowControl w:val="0"/>
        <w:rPr>
          <w:sz w:val="20"/>
          <w:szCs w:val="20"/>
        </w:rPr>
      </w:pPr>
      <w:r>
        <w:rPr>
          <w:sz w:val="20"/>
          <w:szCs w:val="20"/>
        </w:rPr>
        <w:pict>
          <v:rect id="_x0000_i1035"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7C5411"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597D06" w:rsidP="000E2959">
      <w:pPr>
        <w:rPr>
          <w:b/>
          <w:sz w:val="20"/>
          <w:szCs w:val="20"/>
        </w:rPr>
      </w:pPr>
      <w:r>
        <w:rPr>
          <w:b/>
          <w:sz w:val="20"/>
          <w:szCs w:val="20"/>
        </w:rPr>
        <w:t>JANUARY</w:t>
      </w:r>
      <w:r w:rsidR="000E2959" w:rsidRPr="00C50A5C">
        <w:rPr>
          <w:b/>
          <w:sz w:val="20"/>
          <w:szCs w:val="20"/>
        </w:rPr>
        <w:t xml:space="preserve"> 2</w:t>
      </w:r>
      <w:r w:rsidR="000E2959">
        <w:rPr>
          <w:b/>
          <w:sz w:val="20"/>
          <w:szCs w:val="20"/>
        </w:rPr>
        <w:t>3</w:t>
      </w:r>
      <w:r w:rsidR="000E2959" w:rsidRPr="00C50A5C">
        <w:rPr>
          <w:b/>
          <w:sz w:val="20"/>
          <w:szCs w:val="20"/>
        </w:rPr>
        <w:t>, 201</w:t>
      </w:r>
      <w:r>
        <w:rPr>
          <w:b/>
          <w:sz w:val="20"/>
          <w:szCs w:val="20"/>
        </w:rPr>
        <w:t>4</w:t>
      </w:r>
      <w:r w:rsidR="000E2959" w:rsidRPr="00C50A5C">
        <w:rPr>
          <w:b/>
          <w:sz w:val="20"/>
          <w:szCs w:val="20"/>
        </w:rPr>
        <w:t xml:space="preserve"> / LE 2</w:t>
      </w:r>
      <w:r w:rsidR="000E2959">
        <w:rPr>
          <w:b/>
          <w:sz w:val="20"/>
          <w:szCs w:val="20"/>
        </w:rPr>
        <w:t>3</w:t>
      </w:r>
      <w:r w:rsidR="000E2959" w:rsidRPr="00C50A5C">
        <w:rPr>
          <w:b/>
          <w:sz w:val="20"/>
          <w:szCs w:val="20"/>
        </w:rPr>
        <w:t xml:space="preserve"> </w:t>
      </w:r>
      <w:r>
        <w:rPr>
          <w:b/>
          <w:sz w:val="20"/>
          <w:szCs w:val="20"/>
        </w:rPr>
        <w:t>JANV</w:t>
      </w:r>
      <w:r w:rsidR="000E2959" w:rsidRPr="00C50A5C">
        <w:rPr>
          <w:b/>
          <w:sz w:val="20"/>
          <w:szCs w:val="20"/>
        </w:rPr>
        <w:t>I</w:t>
      </w:r>
      <w:r>
        <w:rPr>
          <w:b/>
          <w:sz w:val="20"/>
          <w:szCs w:val="20"/>
        </w:rPr>
        <w:t>ER</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1B40" w:rsidRPr="000E1B40" w:rsidTr="00E8338B">
        <w:trPr>
          <w:cantSplit/>
        </w:trPr>
        <w:tc>
          <w:tcPr>
            <w:tcW w:w="1458" w:type="dxa"/>
          </w:tcPr>
          <w:p w:rsidR="000E1B40" w:rsidRPr="000E1B40" w:rsidRDefault="000E1B40" w:rsidP="000E1B40">
            <w:pPr>
              <w:rPr>
                <w:sz w:val="20"/>
              </w:rPr>
            </w:pPr>
            <w:r w:rsidRPr="000E1B40">
              <w:rPr>
                <w:b/>
                <w:sz w:val="20"/>
                <w:lang w:val="fr-CA"/>
              </w:rPr>
              <w:t>34645</w:t>
            </w:r>
          </w:p>
          <w:p w:rsidR="000E1B40" w:rsidRPr="000E1B40" w:rsidRDefault="000E1B40" w:rsidP="000E1B40">
            <w:pPr>
              <w:rPr>
                <w:b/>
                <w:sz w:val="20"/>
                <w:lang w:val="fr-CA"/>
              </w:rPr>
            </w:pPr>
          </w:p>
        </w:tc>
        <w:tc>
          <w:tcPr>
            <w:tcW w:w="8118" w:type="dxa"/>
          </w:tcPr>
          <w:p w:rsidR="000E1B40" w:rsidRPr="000E1B40" w:rsidRDefault="000E1B40" w:rsidP="000E1B40">
            <w:pPr>
              <w:rPr>
                <w:sz w:val="20"/>
              </w:rPr>
            </w:pPr>
            <w:r w:rsidRPr="000E1B40">
              <w:rPr>
                <w:b/>
                <w:sz w:val="20"/>
                <w:u w:val="single"/>
              </w:rPr>
              <w:t>Bruno Appliance and Furniture, Inc. v. Robert Hryniak</w:t>
            </w:r>
            <w:r w:rsidRPr="000E1B40">
              <w:rPr>
                <w:sz w:val="20"/>
              </w:rPr>
              <w:t xml:space="preserve"> (Ont.) (Civil) (By Leave)</w:t>
            </w:r>
          </w:p>
          <w:p w:rsidR="000E1B40" w:rsidRPr="000E1B40" w:rsidRDefault="000E1B40" w:rsidP="000E1B40">
            <w:pPr>
              <w:rPr>
                <w:sz w:val="20"/>
              </w:rPr>
            </w:pPr>
          </w:p>
        </w:tc>
      </w:tr>
      <w:tr w:rsidR="000E1B40" w:rsidRPr="000E1B40" w:rsidTr="00E8338B">
        <w:trPr>
          <w:cantSplit/>
        </w:trPr>
        <w:tc>
          <w:tcPr>
            <w:tcW w:w="1458" w:type="dxa"/>
          </w:tcPr>
          <w:p w:rsidR="000E1B40" w:rsidRPr="000E1B40" w:rsidRDefault="000E1B40" w:rsidP="000E1B40">
            <w:pPr>
              <w:rPr>
                <w:sz w:val="20"/>
              </w:rPr>
            </w:pPr>
            <w:r w:rsidRPr="000E1B40">
              <w:rPr>
                <w:sz w:val="20"/>
              </w:rPr>
              <w:t>Coram :</w:t>
            </w:r>
          </w:p>
        </w:tc>
        <w:tc>
          <w:tcPr>
            <w:tcW w:w="8118" w:type="dxa"/>
          </w:tcPr>
          <w:p w:rsidR="000E1B40" w:rsidRPr="000E1B40" w:rsidRDefault="000E1B40" w:rsidP="000E1B40">
            <w:pPr>
              <w:rPr>
                <w:sz w:val="20"/>
              </w:rPr>
            </w:pPr>
            <w:r w:rsidRPr="000E1B40">
              <w:rPr>
                <w:sz w:val="20"/>
                <w:u w:val="single"/>
              </w:rPr>
              <w:t>LeBel, Karakatsanis and Wagner JJ.</w:t>
            </w:r>
          </w:p>
          <w:p w:rsidR="000E1B40" w:rsidRPr="000E1B40" w:rsidRDefault="000E1B40" w:rsidP="000E1B40">
            <w:pPr>
              <w:rPr>
                <w:sz w:val="20"/>
                <w:u w:val="single"/>
              </w:rPr>
            </w:pPr>
          </w:p>
        </w:tc>
      </w:tr>
      <w:tr w:rsidR="000E1B40" w:rsidRPr="007C5411" w:rsidTr="00E8338B">
        <w:trPr>
          <w:cantSplit/>
        </w:trPr>
        <w:tc>
          <w:tcPr>
            <w:tcW w:w="9576" w:type="dxa"/>
            <w:gridSpan w:val="2"/>
          </w:tcPr>
          <w:p w:rsidR="000E1B40" w:rsidRPr="000E1B40" w:rsidRDefault="000E1B40" w:rsidP="000E1B40">
            <w:pPr>
              <w:ind w:firstLine="720"/>
              <w:jc w:val="both"/>
              <w:rPr>
                <w:sz w:val="20"/>
              </w:rPr>
            </w:pPr>
            <w:r w:rsidRPr="000E1B40">
              <w:rPr>
                <w:sz w:val="20"/>
              </w:rPr>
              <w:t>The application for leave to appeal from the judgment of the Court of Appeal for Ontario, Number C52913, 2013 ONCA 307, dated May 8, 2013, is dismissed without costs.</w:t>
            </w:r>
          </w:p>
          <w:p w:rsidR="000E1B40" w:rsidRPr="000E1B40" w:rsidRDefault="000E1B40" w:rsidP="000E1B40">
            <w:pPr>
              <w:jc w:val="both"/>
              <w:rPr>
                <w:sz w:val="20"/>
              </w:rPr>
            </w:pPr>
          </w:p>
          <w:p w:rsidR="000E1B40" w:rsidRPr="000E1B40" w:rsidRDefault="000E1B40" w:rsidP="000E1B40">
            <w:pPr>
              <w:ind w:firstLine="720"/>
              <w:jc w:val="both"/>
              <w:rPr>
                <w:sz w:val="20"/>
                <w:lang w:val="fr-CA"/>
              </w:rPr>
            </w:pPr>
            <w:r w:rsidRPr="000E1B40">
              <w:rPr>
                <w:sz w:val="20"/>
                <w:lang w:val="fr-CA"/>
              </w:rPr>
              <w:t>La demande d’autorisation d’appel de l’arrêt de la Cour d’appel de l’Ontario, numéro C52913, 2013 ONCA 307, daté du 8 mai 2013, est rejetée sans dépens.</w:t>
            </w:r>
          </w:p>
        </w:tc>
      </w:tr>
    </w:tbl>
    <w:p w:rsidR="000E1B40" w:rsidRPr="000E1B40" w:rsidRDefault="000E1B40" w:rsidP="000E1B40">
      <w:pPr>
        <w:rPr>
          <w:sz w:val="20"/>
          <w:szCs w:val="20"/>
          <w:lang w:val="fr-CA"/>
        </w:rPr>
      </w:pPr>
    </w:p>
    <w:p w:rsidR="000E1B40" w:rsidRPr="001B157C" w:rsidRDefault="000E1B40" w:rsidP="000E1B40">
      <w:pPr>
        <w:rPr>
          <w:sz w:val="20"/>
          <w:szCs w:val="20"/>
          <w:u w:val="single"/>
        </w:rPr>
      </w:pPr>
      <w:r w:rsidRPr="001B157C">
        <w:rPr>
          <w:sz w:val="20"/>
          <w:szCs w:val="20"/>
          <w:u w:val="single"/>
        </w:rPr>
        <w:t>CASE SUMMARY</w:t>
      </w:r>
    </w:p>
    <w:p w:rsidR="000E1B40" w:rsidRDefault="000E1B40" w:rsidP="000E1B4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1B40" w:rsidRPr="00073183" w:rsidTr="00E8338B">
        <w:tc>
          <w:tcPr>
            <w:tcW w:w="5000" w:type="pct"/>
            <w:gridSpan w:val="3"/>
          </w:tcPr>
          <w:p w:rsidR="000E1B40" w:rsidRPr="00073183" w:rsidRDefault="000E1B40" w:rsidP="00E8338B">
            <w:pPr>
              <w:jc w:val="both"/>
              <w:rPr>
                <w:rFonts w:eastAsia="Calibri"/>
                <w:sz w:val="20"/>
              </w:rPr>
            </w:pPr>
            <w:r w:rsidRPr="00073183">
              <w:rPr>
                <w:rFonts w:eastAsia="Calibri"/>
                <w:sz w:val="20"/>
              </w:rPr>
              <w:t xml:space="preserve">Judgments and orders ― Reasons ― Court of Appeal issuing cost endorsement 17 months after releasing its decision on main appeal and six weeks after Supreme Court of Canada heard appeal on matter and reserved judgment ― Whether appellate courts permitted to release judgments on costs when Supreme Court of Canada is already seized of cost issue and while an appeal on substantive issues is under adjudication before Supreme Court of Canada? </w:t>
            </w:r>
          </w:p>
          <w:p w:rsidR="000E1B40" w:rsidRPr="00073183" w:rsidRDefault="000E1B40" w:rsidP="00E8338B">
            <w:pPr>
              <w:jc w:val="both"/>
              <w:rPr>
                <w:rFonts w:eastAsia="Calibri"/>
                <w:sz w:val="20"/>
              </w:rPr>
            </w:pPr>
          </w:p>
          <w:p w:rsidR="000E1B40" w:rsidRPr="00073183" w:rsidRDefault="000E1B40" w:rsidP="00E8338B">
            <w:pPr>
              <w:jc w:val="both"/>
              <w:rPr>
                <w:rFonts w:eastAsia="Calibri"/>
                <w:sz w:val="20"/>
              </w:rPr>
            </w:pPr>
            <w:r w:rsidRPr="00073183">
              <w:rPr>
                <w:rFonts w:eastAsia="Calibri"/>
                <w:sz w:val="20"/>
              </w:rPr>
              <w:t xml:space="preserve">On March 26, 2013, the Supreme Court of Canada heard the appeal of </w:t>
            </w:r>
            <w:r w:rsidRPr="00073183">
              <w:rPr>
                <w:rFonts w:eastAsia="Calibri"/>
                <w:i/>
                <w:sz w:val="20"/>
              </w:rPr>
              <w:t xml:space="preserve">Bruno Appliance and Furniture Inc., v. Robert Hryniak </w:t>
            </w:r>
            <w:r w:rsidRPr="00073183">
              <w:rPr>
                <w:rFonts w:eastAsia="Calibri"/>
                <w:sz w:val="20"/>
              </w:rPr>
              <w:t>(34645).  This Court reserved its decision and no judgment has yet been rendered on this appeal.</w:t>
            </w:r>
          </w:p>
          <w:p w:rsidR="000E1B40" w:rsidRPr="00073183" w:rsidRDefault="000E1B40" w:rsidP="00E8338B">
            <w:pPr>
              <w:jc w:val="both"/>
              <w:rPr>
                <w:rFonts w:eastAsia="Calibri"/>
                <w:sz w:val="20"/>
              </w:rPr>
            </w:pPr>
          </w:p>
          <w:p w:rsidR="000E1B40" w:rsidRPr="00073183" w:rsidRDefault="000E1B40" w:rsidP="00E8338B">
            <w:pPr>
              <w:jc w:val="both"/>
              <w:rPr>
                <w:rFonts w:eastAsia="Calibri"/>
                <w:sz w:val="20"/>
              </w:rPr>
            </w:pPr>
            <w:r w:rsidRPr="00073183">
              <w:rPr>
                <w:rFonts w:eastAsia="Calibri"/>
                <w:sz w:val="20"/>
              </w:rPr>
              <w:t xml:space="preserve">On August 7, 2013, the Court received a second leave application relating to the appeal stemming from a recent May 8, 2013 costs endorsement released by the Court of Appeal.  This cost endorsement was released six weeks after the Court had heard the appeal and reserved its judgment.  The costs endorsement was released 17 months after the Court of Appeal decision on the main appeal.  </w:t>
            </w:r>
          </w:p>
          <w:p w:rsidR="000E1B40" w:rsidRPr="00073183" w:rsidRDefault="000E1B40" w:rsidP="00E8338B">
            <w:pPr>
              <w:jc w:val="both"/>
              <w:rPr>
                <w:rFonts w:eastAsia="Calibri"/>
                <w:sz w:val="20"/>
              </w:rPr>
            </w:pPr>
          </w:p>
          <w:p w:rsidR="000E1B40" w:rsidRPr="00073183" w:rsidRDefault="000E1B40" w:rsidP="00E8338B">
            <w:pPr>
              <w:jc w:val="both"/>
              <w:rPr>
                <w:rFonts w:eastAsia="Calibri"/>
                <w:sz w:val="20"/>
              </w:rPr>
            </w:pPr>
            <w:r w:rsidRPr="00073183">
              <w:rPr>
                <w:rFonts w:eastAsia="Calibri"/>
                <w:sz w:val="20"/>
              </w:rPr>
              <w:t xml:space="preserve">In its costs endorsement, the Court of Appeal made a number of orders including an order that the Sanderson Order in respect of the costs of the </w:t>
            </w:r>
            <w:r w:rsidRPr="00073183">
              <w:rPr>
                <w:rFonts w:eastAsia="Calibri"/>
                <w:i/>
                <w:sz w:val="20"/>
              </w:rPr>
              <w:t>Bruno</w:t>
            </w:r>
            <w:r w:rsidRPr="00073183">
              <w:rPr>
                <w:rFonts w:eastAsia="Calibri"/>
                <w:sz w:val="20"/>
              </w:rPr>
              <w:t xml:space="preserve"> motion be set aside such that Hryniak is no longer obliged to pay the costs of his co-defendants.  The Sanderson Order now makes Bruno responsible for these payments.  </w:t>
            </w:r>
          </w:p>
          <w:p w:rsidR="000E1B40" w:rsidRPr="00073183" w:rsidRDefault="000E1B40" w:rsidP="00E8338B">
            <w:pPr>
              <w:jc w:val="both"/>
              <w:rPr>
                <w:rFonts w:eastAsia="Calibri"/>
                <w:sz w:val="20"/>
              </w:rPr>
            </w:pPr>
          </w:p>
        </w:tc>
      </w:tr>
      <w:tr w:rsidR="000E1B40" w:rsidRPr="00073183" w:rsidTr="00E8338B">
        <w:tc>
          <w:tcPr>
            <w:tcW w:w="2427" w:type="pct"/>
          </w:tcPr>
          <w:p w:rsidR="000E1B40" w:rsidRPr="00073183" w:rsidRDefault="000E1B40" w:rsidP="00E8338B">
            <w:pPr>
              <w:jc w:val="both"/>
              <w:rPr>
                <w:rFonts w:eastAsia="Calibri"/>
                <w:sz w:val="20"/>
              </w:rPr>
            </w:pPr>
            <w:r w:rsidRPr="00073183">
              <w:rPr>
                <w:rFonts w:eastAsia="Calibri"/>
                <w:sz w:val="20"/>
              </w:rPr>
              <w:t>October 22, 2010</w:t>
            </w:r>
          </w:p>
          <w:p w:rsidR="000E1B40" w:rsidRPr="00073183" w:rsidRDefault="000E1B40" w:rsidP="00E8338B">
            <w:pPr>
              <w:jc w:val="both"/>
              <w:rPr>
                <w:rFonts w:eastAsia="Calibri"/>
                <w:sz w:val="20"/>
              </w:rPr>
            </w:pPr>
            <w:r w:rsidRPr="00073183">
              <w:rPr>
                <w:rFonts w:eastAsia="Calibri"/>
                <w:sz w:val="20"/>
              </w:rPr>
              <w:t>Ontario Superior Court of Justice</w:t>
            </w:r>
          </w:p>
          <w:p w:rsidR="000E1B40" w:rsidRPr="00073183" w:rsidRDefault="000E1B40" w:rsidP="00E8338B">
            <w:pPr>
              <w:jc w:val="both"/>
              <w:rPr>
                <w:rFonts w:eastAsia="Calibri"/>
                <w:sz w:val="20"/>
              </w:rPr>
            </w:pPr>
            <w:r w:rsidRPr="00073183">
              <w:rPr>
                <w:rFonts w:eastAsia="Calibri"/>
                <w:sz w:val="20"/>
              </w:rPr>
              <w:t>(Grace J.)</w:t>
            </w:r>
          </w:p>
          <w:p w:rsidR="000E1B40" w:rsidRPr="00073183" w:rsidRDefault="007C5411" w:rsidP="00E8338B">
            <w:pPr>
              <w:jc w:val="both"/>
              <w:rPr>
                <w:rFonts w:eastAsia="Calibri"/>
                <w:sz w:val="20"/>
              </w:rPr>
            </w:pPr>
            <w:hyperlink r:id="rId25" w:history="1">
              <w:r w:rsidR="000E1B40" w:rsidRPr="00073183">
                <w:rPr>
                  <w:rFonts w:eastAsia="Calibri"/>
                  <w:color w:val="0000FF"/>
                  <w:sz w:val="20"/>
                  <w:u w:val="single"/>
                </w:rPr>
                <w:t>2010 ONSC 5490</w:t>
              </w:r>
            </w:hyperlink>
          </w:p>
          <w:p w:rsidR="000E1B40" w:rsidRPr="00073183" w:rsidRDefault="000E1B40" w:rsidP="00E8338B">
            <w:pPr>
              <w:jc w:val="both"/>
              <w:rPr>
                <w:rFonts w:eastAsia="Calibri"/>
                <w:sz w:val="20"/>
              </w:rPr>
            </w:pPr>
          </w:p>
        </w:tc>
        <w:tc>
          <w:tcPr>
            <w:tcW w:w="243" w:type="pct"/>
          </w:tcPr>
          <w:p w:rsidR="000E1B40" w:rsidRPr="00073183" w:rsidRDefault="000E1B40" w:rsidP="00E8338B">
            <w:pPr>
              <w:jc w:val="both"/>
              <w:rPr>
                <w:rFonts w:eastAsia="Calibri"/>
                <w:sz w:val="20"/>
              </w:rPr>
            </w:pPr>
          </w:p>
        </w:tc>
        <w:tc>
          <w:tcPr>
            <w:tcW w:w="2330" w:type="pct"/>
          </w:tcPr>
          <w:p w:rsidR="000E1B40" w:rsidRPr="00073183" w:rsidRDefault="000E1B40" w:rsidP="00E8338B">
            <w:pPr>
              <w:jc w:val="both"/>
              <w:rPr>
                <w:rFonts w:eastAsia="Calibri"/>
                <w:sz w:val="20"/>
              </w:rPr>
            </w:pPr>
            <w:r w:rsidRPr="00073183">
              <w:rPr>
                <w:rFonts w:eastAsia="Calibri"/>
                <w:sz w:val="20"/>
              </w:rPr>
              <w:t xml:space="preserve">Summary judgment granted against Mr. Hryniak  </w:t>
            </w:r>
          </w:p>
          <w:p w:rsidR="000E1B40" w:rsidRPr="00073183" w:rsidRDefault="000E1B40" w:rsidP="00E8338B">
            <w:pPr>
              <w:jc w:val="both"/>
              <w:rPr>
                <w:rFonts w:eastAsia="Calibri"/>
                <w:sz w:val="20"/>
              </w:rPr>
            </w:pPr>
          </w:p>
          <w:p w:rsidR="000E1B40" w:rsidRPr="00073183" w:rsidRDefault="000E1B40" w:rsidP="00E8338B">
            <w:pPr>
              <w:jc w:val="both"/>
              <w:rPr>
                <w:rFonts w:eastAsia="Calibri"/>
                <w:sz w:val="20"/>
              </w:rPr>
            </w:pPr>
          </w:p>
        </w:tc>
      </w:tr>
      <w:tr w:rsidR="000E1B40" w:rsidRPr="00073183" w:rsidTr="00E8338B">
        <w:tc>
          <w:tcPr>
            <w:tcW w:w="2427" w:type="pct"/>
          </w:tcPr>
          <w:p w:rsidR="000E1B40" w:rsidRPr="00073183" w:rsidRDefault="000E1B40" w:rsidP="00E8338B">
            <w:pPr>
              <w:jc w:val="both"/>
              <w:rPr>
                <w:rFonts w:eastAsia="Calibri"/>
                <w:sz w:val="20"/>
              </w:rPr>
            </w:pPr>
            <w:r w:rsidRPr="00073183">
              <w:rPr>
                <w:rFonts w:eastAsia="Calibri"/>
                <w:sz w:val="20"/>
              </w:rPr>
              <w:t>December 5, 2011</w:t>
            </w:r>
          </w:p>
          <w:p w:rsidR="000E1B40" w:rsidRPr="00073183" w:rsidRDefault="000E1B40" w:rsidP="00E8338B">
            <w:pPr>
              <w:jc w:val="both"/>
              <w:rPr>
                <w:rFonts w:eastAsia="Calibri"/>
                <w:sz w:val="20"/>
              </w:rPr>
            </w:pPr>
            <w:r w:rsidRPr="00073183">
              <w:rPr>
                <w:rFonts w:eastAsia="Calibri"/>
                <w:sz w:val="20"/>
              </w:rPr>
              <w:t>Court of Appeal for Ontario</w:t>
            </w:r>
          </w:p>
          <w:p w:rsidR="000E1B40" w:rsidRPr="00073183" w:rsidRDefault="000E1B40" w:rsidP="00E8338B">
            <w:pPr>
              <w:jc w:val="both"/>
              <w:rPr>
                <w:rFonts w:eastAsia="Calibri"/>
                <w:sz w:val="20"/>
              </w:rPr>
            </w:pPr>
            <w:r w:rsidRPr="00073183">
              <w:rPr>
                <w:rFonts w:eastAsia="Calibri"/>
                <w:sz w:val="20"/>
              </w:rPr>
              <w:t>(Winkler C.J.O. and Laskin, Sharpe, Armstrong and Rouleau JJ.A.)</w:t>
            </w:r>
          </w:p>
          <w:p w:rsidR="000E1B40" w:rsidRPr="00073183" w:rsidRDefault="000E1B40" w:rsidP="00E8338B">
            <w:pPr>
              <w:jc w:val="both"/>
              <w:rPr>
                <w:rFonts w:eastAsia="Calibri"/>
                <w:sz w:val="20"/>
              </w:rPr>
            </w:pPr>
            <w:r w:rsidRPr="00073183">
              <w:rPr>
                <w:rFonts w:eastAsia="Calibri"/>
                <w:sz w:val="20"/>
              </w:rPr>
              <w:t>File No.: C52913</w:t>
            </w:r>
          </w:p>
          <w:p w:rsidR="000E1B40" w:rsidRPr="00073183" w:rsidRDefault="007C5411" w:rsidP="00E8338B">
            <w:pPr>
              <w:jc w:val="both"/>
              <w:rPr>
                <w:rFonts w:eastAsia="Calibri"/>
                <w:sz w:val="20"/>
              </w:rPr>
            </w:pPr>
            <w:hyperlink r:id="rId26" w:history="1">
              <w:r w:rsidR="000E1B40" w:rsidRPr="00073183">
                <w:rPr>
                  <w:rFonts w:eastAsia="Calibri"/>
                  <w:color w:val="0000FF"/>
                  <w:sz w:val="20"/>
                  <w:u w:val="single"/>
                </w:rPr>
                <w:t>2011 ONCA 764</w:t>
              </w:r>
            </w:hyperlink>
          </w:p>
          <w:p w:rsidR="000E1B40" w:rsidRPr="00073183" w:rsidRDefault="000E1B40" w:rsidP="00E8338B">
            <w:pPr>
              <w:jc w:val="both"/>
              <w:rPr>
                <w:rFonts w:eastAsia="Calibri"/>
                <w:sz w:val="20"/>
              </w:rPr>
            </w:pPr>
          </w:p>
        </w:tc>
        <w:tc>
          <w:tcPr>
            <w:tcW w:w="243" w:type="pct"/>
          </w:tcPr>
          <w:p w:rsidR="000E1B40" w:rsidRPr="00073183" w:rsidRDefault="000E1B40" w:rsidP="00E8338B">
            <w:pPr>
              <w:jc w:val="both"/>
              <w:rPr>
                <w:rFonts w:eastAsia="Calibri"/>
                <w:sz w:val="20"/>
              </w:rPr>
            </w:pPr>
          </w:p>
        </w:tc>
        <w:tc>
          <w:tcPr>
            <w:tcW w:w="2330" w:type="pct"/>
          </w:tcPr>
          <w:p w:rsidR="000E1B40" w:rsidRPr="00073183" w:rsidRDefault="000E1B40" w:rsidP="00E8338B">
            <w:pPr>
              <w:jc w:val="both"/>
              <w:rPr>
                <w:rFonts w:eastAsia="Calibri"/>
                <w:sz w:val="20"/>
              </w:rPr>
            </w:pPr>
            <w:r w:rsidRPr="00073183">
              <w:rPr>
                <w:rFonts w:eastAsia="Calibri"/>
                <w:sz w:val="20"/>
              </w:rPr>
              <w:t xml:space="preserve">Appeal allowed; </w:t>
            </w:r>
            <w:r w:rsidRPr="00073183">
              <w:rPr>
                <w:rFonts w:eastAsia="Calibri"/>
                <w:i/>
                <w:sz w:val="20"/>
              </w:rPr>
              <w:t>Bruno</w:t>
            </w:r>
            <w:r w:rsidRPr="00073183">
              <w:rPr>
                <w:rFonts w:eastAsia="Calibri"/>
                <w:sz w:val="20"/>
              </w:rPr>
              <w:t xml:space="preserve"> action ordered to proceed to trial expeditiously</w:t>
            </w:r>
          </w:p>
          <w:p w:rsidR="000E1B40" w:rsidRPr="00073183" w:rsidRDefault="000E1B40" w:rsidP="00E8338B">
            <w:pPr>
              <w:jc w:val="both"/>
              <w:rPr>
                <w:rFonts w:eastAsia="Calibri"/>
                <w:sz w:val="20"/>
              </w:rPr>
            </w:pPr>
          </w:p>
        </w:tc>
      </w:tr>
      <w:tr w:rsidR="000E1B40" w:rsidRPr="00073183" w:rsidTr="00E8338B">
        <w:tc>
          <w:tcPr>
            <w:tcW w:w="2427" w:type="pct"/>
          </w:tcPr>
          <w:p w:rsidR="000E1B40" w:rsidRPr="00073183" w:rsidRDefault="000E1B40" w:rsidP="00E8338B">
            <w:pPr>
              <w:jc w:val="both"/>
              <w:rPr>
                <w:rFonts w:eastAsia="Calibri"/>
                <w:sz w:val="20"/>
              </w:rPr>
            </w:pPr>
            <w:r w:rsidRPr="00073183">
              <w:rPr>
                <w:rFonts w:eastAsia="Calibri"/>
                <w:sz w:val="20"/>
              </w:rPr>
              <w:t>February 3, 2012</w:t>
            </w:r>
          </w:p>
          <w:p w:rsidR="000E1B40" w:rsidRPr="00073183" w:rsidRDefault="000E1B40" w:rsidP="00E8338B">
            <w:pPr>
              <w:jc w:val="both"/>
              <w:rPr>
                <w:rFonts w:eastAsia="Calibri"/>
                <w:sz w:val="20"/>
              </w:rPr>
            </w:pPr>
            <w:r w:rsidRPr="00073183">
              <w:rPr>
                <w:rFonts w:eastAsia="Calibri"/>
                <w:sz w:val="20"/>
              </w:rPr>
              <w:lastRenderedPageBreak/>
              <w:t>Supreme Court of Canada</w:t>
            </w:r>
          </w:p>
          <w:p w:rsidR="000E1B40" w:rsidRPr="00073183" w:rsidRDefault="000E1B40" w:rsidP="00E8338B">
            <w:pPr>
              <w:jc w:val="both"/>
              <w:rPr>
                <w:rFonts w:eastAsia="Calibri"/>
                <w:sz w:val="20"/>
              </w:rPr>
            </w:pPr>
          </w:p>
        </w:tc>
        <w:tc>
          <w:tcPr>
            <w:tcW w:w="243" w:type="pct"/>
          </w:tcPr>
          <w:p w:rsidR="000E1B40" w:rsidRPr="00073183" w:rsidRDefault="000E1B40" w:rsidP="00E8338B">
            <w:pPr>
              <w:jc w:val="both"/>
              <w:rPr>
                <w:rFonts w:eastAsia="Calibri"/>
                <w:sz w:val="20"/>
              </w:rPr>
            </w:pPr>
          </w:p>
        </w:tc>
        <w:tc>
          <w:tcPr>
            <w:tcW w:w="2330" w:type="pct"/>
          </w:tcPr>
          <w:p w:rsidR="000E1B40" w:rsidRPr="00073183" w:rsidRDefault="000E1B40" w:rsidP="00E8338B">
            <w:pPr>
              <w:jc w:val="both"/>
              <w:rPr>
                <w:rFonts w:eastAsia="Calibri"/>
                <w:sz w:val="20"/>
              </w:rPr>
            </w:pPr>
            <w:r w:rsidRPr="00073183">
              <w:rPr>
                <w:rFonts w:eastAsia="Calibri"/>
                <w:sz w:val="20"/>
              </w:rPr>
              <w:t>First Application for leave to appeal filed.</w:t>
            </w:r>
          </w:p>
          <w:p w:rsidR="000E1B40" w:rsidRPr="00073183" w:rsidRDefault="000E1B40" w:rsidP="00E8338B">
            <w:pPr>
              <w:jc w:val="both"/>
              <w:rPr>
                <w:rFonts w:eastAsia="Calibri"/>
                <w:sz w:val="20"/>
              </w:rPr>
            </w:pPr>
          </w:p>
        </w:tc>
      </w:tr>
      <w:tr w:rsidR="000E1B40" w:rsidRPr="00073183" w:rsidTr="00E8338B">
        <w:tc>
          <w:tcPr>
            <w:tcW w:w="2427" w:type="pct"/>
          </w:tcPr>
          <w:p w:rsidR="000E1B40" w:rsidRPr="00073183" w:rsidRDefault="000E1B40" w:rsidP="00E8338B">
            <w:pPr>
              <w:jc w:val="both"/>
              <w:rPr>
                <w:rFonts w:eastAsia="Calibri"/>
                <w:sz w:val="20"/>
              </w:rPr>
            </w:pPr>
            <w:r w:rsidRPr="00073183">
              <w:rPr>
                <w:rFonts w:eastAsia="Calibri"/>
                <w:sz w:val="20"/>
              </w:rPr>
              <w:lastRenderedPageBreak/>
              <w:t>June 28, 2012</w:t>
            </w:r>
          </w:p>
          <w:p w:rsidR="000E1B40" w:rsidRPr="00073183" w:rsidRDefault="000E1B40" w:rsidP="00E8338B">
            <w:pPr>
              <w:jc w:val="both"/>
              <w:rPr>
                <w:rFonts w:eastAsia="Calibri"/>
                <w:sz w:val="20"/>
              </w:rPr>
            </w:pPr>
            <w:r w:rsidRPr="00073183">
              <w:rPr>
                <w:rFonts w:eastAsia="Calibri"/>
                <w:sz w:val="20"/>
              </w:rPr>
              <w:t>Supreme Court of Canada</w:t>
            </w:r>
          </w:p>
          <w:p w:rsidR="000E1B40" w:rsidRPr="00073183" w:rsidRDefault="000E1B40" w:rsidP="00E8338B">
            <w:pPr>
              <w:jc w:val="both"/>
              <w:rPr>
                <w:rFonts w:eastAsia="Calibri"/>
                <w:sz w:val="20"/>
              </w:rPr>
            </w:pPr>
          </w:p>
        </w:tc>
        <w:tc>
          <w:tcPr>
            <w:tcW w:w="243" w:type="pct"/>
          </w:tcPr>
          <w:p w:rsidR="000E1B40" w:rsidRPr="00073183" w:rsidRDefault="000E1B40" w:rsidP="00E8338B">
            <w:pPr>
              <w:jc w:val="both"/>
              <w:rPr>
                <w:rFonts w:eastAsia="Calibri"/>
                <w:sz w:val="20"/>
              </w:rPr>
            </w:pPr>
          </w:p>
        </w:tc>
        <w:tc>
          <w:tcPr>
            <w:tcW w:w="2330" w:type="pct"/>
          </w:tcPr>
          <w:p w:rsidR="000E1B40" w:rsidRPr="00073183" w:rsidRDefault="000E1B40" w:rsidP="00E8338B">
            <w:pPr>
              <w:jc w:val="both"/>
              <w:rPr>
                <w:rFonts w:eastAsia="Calibri"/>
                <w:sz w:val="20"/>
              </w:rPr>
            </w:pPr>
            <w:r w:rsidRPr="00073183">
              <w:rPr>
                <w:rFonts w:eastAsia="Calibri"/>
                <w:sz w:val="20"/>
              </w:rPr>
              <w:t>Leave to appeal granted.</w:t>
            </w:r>
          </w:p>
          <w:p w:rsidR="000E1B40" w:rsidRPr="00073183" w:rsidRDefault="000E1B40" w:rsidP="00E8338B">
            <w:pPr>
              <w:jc w:val="both"/>
              <w:rPr>
                <w:rFonts w:eastAsia="Calibri"/>
                <w:sz w:val="20"/>
              </w:rPr>
            </w:pPr>
          </w:p>
        </w:tc>
      </w:tr>
      <w:tr w:rsidR="000E1B40" w:rsidRPr="00073183" w:rsidTr="00E8338B">
        <w:tc>
          <w:tcPr>
            <w:tcW w:w="2427" w:type="pct"/>
          </w:tcPr>
          <w:p w:rsidR="000E1B40" w:rsidRPr="00073183" w:rsidRDefault="000E1B40" w:rsidP="00E8338B">
            <w:pPr>
              <w:jc w:val="both"/>
              <w:rPr>
                <w:rFonts w:eastAsia="Calibri"/>
                <w:sz w:val="20"/>
              </w:rPr>
            </w:pPr>
            <w:r w:rsidRPr="00073183">
              <w:rPr>
                <w:rFonts w:eastAsia="Calibri"/>
                <w:sz w:val="20"/>
              </w:rPr>
              <w:t>March 26, 2013</w:t>
            </w:r>
          </w:p>
          <w:p w:rsidR="000E1B40" w:rsidRPr="00073183" w:rsidRDefault="000E1B40" w:rsidP="00E8338B">
            <w:pPr>
              <w:jc w:val="both"/>
              <w:rPr>
                <w:rFonts w:eastAsia="Calibri"/>
                <w:sz w:val="20"/>
              </w:rPr>
            </w:pPr>
            <w:r w:rsidRPr="00073183">
              <w:rPr>
                <w:rFonts w:eastAsia="Calibri"/>
                <w:sz w:val="20"/>
              </w:rPr>
              <w:t>Supreme Court of Canada</w:t>
            </w:r>
          </w:p>
          <w:p w:rsidR="000E1B40" w:rsidRPr="00073183" w:rsidRDefault="000E1B40" w:rsidP="00E8338B">
            <w:pPr>
              <w:jc w:val="both"/>
              <w:rPr>
                <w:rFonts w:eastAsia="Calibri"/>
                <w:sz w:val="20"/>
              </w:rPr>
            </w:pPr>
          </w:p>
        </w:tc>
        <w:tc>
          <w:tcPr>
            <w:tcW w:w="243" w:type="pct"/>
          </w:tcPr>
          <w:p w:rsidR="000E1B40" w:rsidRPr="00073183" w:rsidRDefault="000E1B40" w:rsidP="00E8338B">
            <w:pPr>
              <w:jc w:val="both"/>
              <w:rPr>
                <w:rFonts w:eastAsia="Calibri"/>
                <w:sz w:val="20"/>
              </w:rPr>
            </w:pPr>
          </w:p>
        </w:tc>
        <w:tc>
          <w:tcPr>
            <w:tcW w:w="2330" w:type="pct"/>
          </w:tcPr>
          <w:p w:rsidR="000E1B40" w:rsidRPr="00073183" w:rsidRDefault="000E1B40" w:rsidP="00E8338B">
            <w:pPr>
              <w:jc w:val="both"/>
              <w:rPr>
                <w:rFonts w:eastAsia="Calibri"/>
                <w:sz w:val="20"/>
              </w:rPr>
            </w:pPr>
            <w:r w:rsidRPr="00073183">
              <w:rPr>
                <w:rFonts w:eastAsia="Calibri"/>
                <w:sz w:val="20"/>
              </w:rPr>
              <w:t>Appeal heard together with File No. 34641 (</w:t>
            </w:r>
            <w:r w:rsidRPr="00073183">
              <w:rPr>
                <w:rFonts w:eastAsia="Calibri"/>
                <w:i/>
                <w:sz w:val="20"/>
              </w:rPr>
              <w:t>Hryniak v. Mauldin</w:t>
            </w:r>
            <w:r w:rsidRPr="00073183">
              <w:rPr>
                <w:rFonts w:eastAsia="Calibri"/>
                <w:sz w:val="20"/>
              </w:rPr>
              <w:t>)</w:t>
            </w:r>
          </w:p>
          <w:p w:rsidR="000E1B40" w:rsidRPr="00073183" w:rsidRDefault="000E1B40" w:rsidP="00E8338B">
            <w:pPr>
              <w:jc w:val="both"/>
              <w:rPr>
                <w:rFonts w:eastAsia="Calibri"/>
                <w:sz w:val="20"/>
              </w:rPr>
            </w:pPr>
          </w:p>
        </w:tc>
      </w:tr>
      <w:tr w:rsidR="000E1B40" w:rsidRPr="00073183" w:rsidTr="00E8338B">
        <w:tc>
          <w:tcPr>
            <w:tcW w:w="2427" w:type="pct"/>
          </w:tcPr>
          <w:p w:rsidR="000E1B40" w:rsidRPr="00073183" w:rsidRDefault="000E1B40" w:rsidP="00E8338B">
            <w:pPr>
              <w:jc w:val="both"/>
              <w:rPr>
                <w:rFonts w:eastAsia="Calibri"/>
                <w:sz w:val="20"/>
              </w:rPr>
            </w:pPr>
            <w:r w:rsidRPr="00073183">
              <w:rPr>
                <w:rFonts w:eastAsia="Calibri"/>
                <w:sz w:val="20"/>
              </w:rPr>
              <w:t>May 8, 2013</w:t>
            </w:r>
          </w:p>
          <w:p w:rsidR="000E1B40" w:rsidRPr="00073183" w:rsidRDefault="000E1B40" w:rsidP="00E8338B">
            <w:pPr>
              <w:jc w:val="both"/>
              <w:rPr>
                <w:rFonts w:eastAsia="Calibri"/>
                <w:sz w:val="20"/>
              </w:rPr>
            </w:pPr>
            <w:r w:rsidRPr="00073183">
              <w:rPr>
                <w:rFonts w:eastAsia="Calibri"/>
                <w:sz w:val="20"/>
              </w:rPr>
              <w:t>Court of Appeal for Ontario</w:t>
            </w:r>
          </w:p>
          <w:p w:rsidR="000E1B40" w:rsidRPr="00073183" w:rsidRDefault="000E1B40" w:rsidP="00E8338B">
            <w:pPr>
              <w:jc w:val="both"/>
              <w:rPr>
                <w:rFonts w:eastAsia="Calibri"/>
                <w:sz w:val="20"/>
              </w:rPr>
            </w:pPr>
            <w:r w:rsidRPr="00073183">
              <w:rPr>
                <w:rFonts w:eastAsia="Calibri"/>
                <w:sz w:val="20"/>
              </w:rPr>
              <w:t>(Winkler C.J.O. and Laskin, Sharpe, Armstrong and Rouleau JJ.A.)</w:t>
            </w:r>
          </w:p>
          <w:p w:rsidR="000E1B40" w:rsidRPr="00073183" w:rsidRDefault="000E1B40" w:rsidP="00E8338B">
            <w:pPr>
              <w:jc w:val="both"/>
              <w:rPr>
                <w:rFonts w:eastAsia="Calibri"/>
                <w:sz w:val="20"/>
              </w:rPr>
            </w:pPr>
            <w:r w:rsidRPr="00073183">
              <w:rPr>
                <w:rFonts w:eastAsia="Calibri"/>
                <w:sz w:val="20"/>
              </w:rPr>
              <w:t>File No.: C52912 and C52913</w:t>
            </w:r>
          </w:p>
          <w:p w:rsidR="000E1B40" w:rsidRPr="00073183" w:rsidRDefault="007C5411" w:rsidP="00E8338B">
            <w:pPr>
              <w:jc w:val="both"/>
              <w:rPr>
                <w:rFonts w:eastAsia="Calibri"/>
                <w:sz w:val="20"/>
              </w:rPr>
            </w:pPr>
            <w:hyperlink r:id="rId27" w:history="1">
              <w:r w:rsidR="000E1B40" w:rsidRPr="00073183">
                <w:rPr>
                  <w:rFonts w:eastAsia="Calibri"/>
                  <w:color w:val="0000FF"/>
                  <w:sz w:val="20"/>
                  <w:u w:val="single"/>
                </w:rPr>
                <w:t>2013 ONCA 307</w:t>
              </w:r>
            </w:hyperlink>
          </w:p>
          <w:p w:rsidR="000E1B40" w:rsidRPr="00073183" w:rsidRDefault="000E1B40" w:rsidP="00E8338B">
            <w:pPr>
              <w:jc w:val="both"/>
              <w:rPr>
                <w:rFonts w:eastAsia="Calibri"/>
                <w:sz w:val="20"/>
              </w:rPr>
            </w:pPr>
          </w:p>
        </w:tc>
        <w:tc>
          <w:tcPr>
            <w:tcW w:w="243" w:type="pct"/>
          </w:tcPr>
          <w:p w:rsidR="000E1B40" w:rsidRPr="00073183" w:rsidRDefault="000E1B40" w:rsidP="00E8338B">
            <w:pPr>
              <w:jc w:val="both"/>
              <w:rPr>
                <w:rFonts w:eastAsia="Calibri"/>
                <w:sz w:val="20"/>
              </w:rPr>
            </w:pPr>
          </w:p>
        </w:tc>
        <w:tc>
          <w:tcPr>
            <w:tcW w:w="2330" w:type="pct"/>
          </w:tcPr>
          <w:p w:rsidR="000E1B40" w:rsidRPr="00073183" w:rsidRDefault="000E1B40" w:rsidP="00E8338B">
            <w:pPr>
              <w:jc w:val="both"/>
              <w:rPr>
                <w:rFonts w:eastAsia="Calibri"/>
                <w:sz w:val="20"/>
              </w:rPr>
            </w:pPr>
            <w:r w:rsidRPr="00073183">
              <w:rPr>
                <w:rFonts w:eastAsia="Calibri"/>
                <w:sz w:val="20"/>
              </w:rPr>
              <w:t>Costs awarded to Hryniak from Bruno and setting aside of Sanderson Order.  Cost endorsement awarding costs to Mauldin group from Hryniak.  Parties to return to determine letter of credit issue after release of Supreme Court of Canada decision.</w:t>
            </w:r>
          </w:p>
        </w:tc>
      </w:tr>
      <w:tr w:rsidR="000E1B40" w:rsidRPr="00073183" w:rsidTr="00E8338B">
        <w:tc>
          <w:tcPr>
            <w:tcW w:w="2427" w:type="pct"/>
          </w:tcPr>
          <w:p w:rsidR="000E1B40" w:rsidRPr="00073183" w:rsidRDefault="000E1B40" w:rsidP="00E8338B">
            <w:pPr>
              <w:jc w:val="both"/>
              <w:rPr>
                <w:rFonts w:eastAsia="Calibri"/>
                <w:sz w:val="20"/>
              </w:rPr>
            </w:pPr>
            <w:r w:rsidRPr="00073183">
              <w:rPr>
                <w:rFonts w:eastAsia="Calibri"/>
                <w:sz w:val="20"/>
              </w:rPr>
              <w:t>August 7, 2013</w:t>
            </w:r>
          </w:p>
          <w:p w:rsidR="000E1B40" w:rsidRPr="00073183" w:rsidRDefault="000E1B40" w:rsidP="00E8338B">
            <w:pPr>
              <w:jc w:val="both"/>
              <w:rPr>
                <w:rFonts w:eastAsia="Calibri"/>
                <w:sz w:val="20"/>
              </w:rPr>
            </w:pPr>
            <w:r w:rsidRPr="00073183">
              <w:rPr>
                <w:rFonts w:eastAsia="Calibri"/>
                <w:sz w:val="20"/>
              </w:rPr>
              <w:t>Supreme Court of Canada</w:t>
            </w:r>
          </w:p>
        </w:tc>
        <w:tc>
          <w:tcPr>
            <w:tcW w:w="243" w:type="pct"/>
          </w:tcPr>
          <w:p w:rsidR="000E1B40" w:rsidRPr="00073183" w:rsidRDefault="000E1B40" w:rsidP="00E8338B">
            <w:pPr>
              <w:jc w:val="both"/>
              <w:rPr>
                <w:rFonts w:eastAsia="Calibri"/>
                <w:sz w:val="20"/>
              </w:rPr>
            </w:pPr>
          </w:p>
        </w:tc>
        <w:tc>
          <w:tcPr>
            <w:tcW w:w="2330" w:type="pct"/>
          </w:tcPr>
          <w:p w:rsidR="000E1B40" w:rsidRPr="00073183" w:rsidRDefault="000E1B40" w:rsidP="00E8338B">
            <w:pPr>
              <w:jc w:val="both"/>
              <w:rPr>
                <w:rFonts w:eastAsia="Calibri"/>
                <w:sz w:val="20"/>
              </w:rPr>
            </w:pPr>
            <w:r w:rsidRPr="00073183">
              <w:rPr>
                <w:rFonts w:eastAsia="Calibri"/>
                <w:sz w:val="20"/>
              </w:rPr>
              <w:t xml:space="preserve">Second </w:t>
            </w:r>
            <w:r w:rsidRPr="00073183">
              <w:rPr>
                <w:rFonts w:eastAsia="Calibri"/>
                <w:i/>
                <w:sz w:val="20"/>
              </w:rPr>
              <w:t>Bruno</w:t>
            </w:r>
            <w:r w:rsidRPr="00073183">
              <w:rPr>
                <w:rFonts w:eastAsia="Calibri"/>
                <w:sz w:val="20"/>
              </w:rPr>
              <w:t xml:space="preserve"> application for leave to appeal filed </w:t>
            </w:r>
          </w:p>
        </w:tc>
      </w:tr>
    </w:tbl>
    <w:p w:rsidR="000E1B40" w:rsidRDefault="000E1B40" w:rsidP="000E1B40">
      <w:pPr>
        <w:rPr>
          <w:sz w:val="20"/>
          <w:szCs w:val="20"/>
        </w:rPr>
      </w:pPr>
    </w:p>
    <w:p w:rsidR="000E1B40" w:rsidRPr="00C50A5C" w:rsidRDefault="007C5411" w:rsidP="000E1B40">
      <w:pPr>
        <w:rPr>
          <w:sz w:val="20"/>
          <w:szCs w:val="20"/>
        </w:rPr>
      </w:pPr>
      <w:r>
        <w:rPr>
          <w:sz w:val="20"/>
          <w:szCs w:val="20"/>
          <w:lang w:val="fr-CA"/>
        </w:rPr>
        <w:pict>
          <v:rect id="_x0000_i1038" style="width:2in;height:1pt" o:hrpct="0" o:hralign="center" o:hrstd="t" o:hrnoshade="t" o:hr="t" fillcolor="black [3213]" stroked="f"/>
        </w:pict>
      </w:r>
    </w:p>
    <w:p w:rsidR="000E1B40" w:rsidRDefault="000E1B40" w:rsidP="000E1B40">
      <w:pPr>
        <w:rPr>
          <w:sz w:val="20"/>
          <w:szCs w:val="20"/>
        </w:rPr>
      </w:pPr>
    </w:p>
    <w:p w:rsidR="000E1B40" w:rsidRPr="001B157C" w:rsidRDefault="000E1B40" w:rsidP="000E1B40">
      <w:pPr>
        <w:rPr>
          <w:sz w:val="20"/>
          <w:szCs w:val="20"/>
          <w:u w:val="single"/>
          <w:lang w:val="fr-CA"/>
        </w:rPr>
      </w:pPr>
      <w:r w:rsidRPr="001B157C">
        <w:rPr>
          <w:sz w:val="20"/>
          <w:szCs w:val="20"/>
          <w:u w:val="single"/>
          <w:lang w:val="fr-CA"/>
        </w:rPr>
        <w:t>RÉSUMÉ DE L’AFFAIRE</w:t>
      </w:r>
    </w:p>
    <w:p w:rsidR="000E1B40" w:rsidRDefault="000E1B40" w:rsidP="000E1B4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1B40" w:rsidRPr="007C5411" w:rsidTr="00E8338B">
        <w:tc>
          <w:tcPr>
            <w:tcW w:w="5000" w:type="pct"/>
            <w:gridSpan w:val="3"/>
          </w:tcPr>
          <w:p w:rsidR="000E1B40" w:rsidRPr="00073183" w:rsidRDefault="000E1B40" w:rsidP="00E8338B">
            <w:pPr>
              <w:jc w:val="both"/>
              <w:rPr>
                <w:rFonts w:eastAsia="Calibri"/>
                <w:sz w:val="20"/>
                <w:lang w:val="fr-CA"/>
              </w:rPr>
            </w:pPr>
            <w:r w:rsidRPr="00073183">
              <w:rPr>
                <w:rFonts w:eastAsia="Calibri"/>
                <w:sz w:val="20"/>
                <w:lang w:val="fr-CA"/>
              </w:rPr>
              <w:t>Jugements et ordonnances ― Motifs ― La Cour d’appel rend une décision sur les dépens 17 mois après le prononcé de sa décision sur l’appel principal et six semaines après que la Cour suprême du Canada eut entendu l’appel sur cette affaire et mis sa décision en délibéré ― Les cours d’appel sont</w:t>
            </w:r>
            <w:r w:rsidRPr="00073183">
              <w:rPr>
                <w:rFonts w:eastAsia="Calibri"/>
                <w:sz w:val="20"/>
                <w:lang w:val="fr-CA"/>
              </w:rPr>
              <w:noBreakHyphen/>
              <w:t xml:space="preserve">elles autorisées à statuer sur les dépens quand à Cour suprême du Canada est déjà saisie de la question des dépens et lorsqu’un appel sur des questions substantielles est en instance devant la Cour suprême du Canada? </w:t>
            </w:r>
          </w:p>
          <w:p w:rsidR="000E1B40" w:rsidRPr="00073183" w:rsidRDefault="000E1B40" w:rsidP="00E8338B">
            <w:pPr>
              <w:jc w:val="both"/>
              <w:rPr>
                <w:rFonts w:eastAsia="Calibri"/>
                <w:sz w:val="20"/>
                <w:lang w:val="fr-CA"/>
              </w:rPr>
            </w:pPr>
          </w:p>
          <w:p w:rsidR="000E1B40" w:rsidRPr="00073183" w:rsidRDefault="000E1B40" w:rsidP="00E8338B">
            <w:pPr>
              <w:jc w:val="both"/>
              <w:rPr>
                <w:rFonts w:eastAsia="Calibri"/>
                <w:sz w:val="20"/>
                <w:lang w:val="fr-CA"/>
              </w:rPr>
            </w:pPr>
            <w:r w:rsidRPr="00073183">
              <w:rPr>
                <w:rFonts w:eastAsia="Calibri"/>
                <w:sz w:val="20"/>
                <w:lang w:val="fr-CA"/>
              </w:rPr>
              <w:t xml:space="preserve">Le 26 mars 2013, la Cour suprême du Canada a entendu l’appel de </w:t>
            </w:r>
            <w:r w:rsidRPr="00073183">
              <w:rPr>
                <w:rFonts w:eastAsia="Calibri"/>
                <w:i/>
                <w:sz w:val="20"/>
                <w:lang w:val="fr-CA"/>
              </w:rPr>
              <w:t xml:space="preserve">Bruno Appliance and Furniture Inc. c. Robert Hryniak </w:t>
            </w:r>
            <w:r w:rsidRPr="00073183">
              <w:rPr>
                <w:rFonts w:eastAsia="Calibri"/>
                <w:sz w:val="20"/>
                <w:lang w:val="fr-CA"/>
              </w:rPr>
              <w:t>(34645).  La Cour a mis sa décision en délibéré et ne s’est pas encore prononcée sur cet appel.</w:t>
            </w:r>
          </w:p>
          <w:p w:rsidR="000E1B40" w:rsidRPr="00073183" w:rsidRDefault="000E1B40" w:rsidP="00E8338B">
            <w:pPr>
              <w:jc w:val="both"/>
              <w:rPr>
                <w:rFonts w:eastAsia="Calibri"/>
                <w:sz w:val="20"/>
                <w:lang w:val="fr-CA"/>
              </w:rPr>
            </w:pPr>
          </w:p>
          <w:p w:rsidR="000E1B40" w:rsidRPr="00073183" w:rsidRDefault="000E1B40" w:rsidP="00E8338B">
            <w:pPr>
              <w:jc w:val="both"/>
              <w:rPr>
                <w:rFonts w:eastAsia="Calibri"/>
                <w:sz w:val="20"/>
                <w:lang w:val="fr-CA"/>
              </w:rPr>
            </w:pPr>
            <w:r w:rsidRPr="00073183">
              <w:rPr>
                <w:rFonts w:eastAsia="Calibri"/>
                <w:sz w:val="20"/>
                <w:lang w:val="fr-CA"/>
              </w:rPr>
              <w:t xml:space="preserve">Le 7 août 2013, la Cour a reçu une deuxième demande d’autorisation d’appel, visant une décision récente sur les dépens rendue par la Cour d’appel le 8 mai 2013.  Cette décision sur les dépens a été rendue six semaines après que la Cour eut entendu l’appel et pris la décision en délibéré.  La décision sur les dépens a été rendue 17 mois après que la Cour d’appel se fut prononcée sur l’appel principal.  </w:t>
            </w:r>
          </w:p>
          <w:p w:rsidR="000E1B40" w:rsidRPr="00073183" w:rsidRDefault="000E1B40" w:rsidP="00E8338B">
            <w:pPr>
              <w:jc w:val="both"/>
              <w:rPr>
                <w:rFonts w:eastAsia="Calibri"/>
                <w:sz w:val="20"/>
                <w:lang w:val="fr-CA"/>
              </w:rPr>
            </w:pPr>
          </w:p>
          <w:p w:rsidR="000E1B40" w:rsidRPr="00073183" w:rsidRDefault="000E1B40" w:rsidP="00E8338B">
            <w:pPr>
              <w:jc w:val="both"/>
              <w:rPr>
                <w:rFonts w:eastAsia="Calibri"/>
                <w:sz w:val="20"/>
                <w:lang w:val="fr-CA"/>
              </w:rPr>
            </w:pPr>
            <w:r w:rsidRPr="00073183">
              <w:rPr>
                <w:rFonts w:eastAsia="Calibri"/>
                <w:sz w:val="20"/>
                <w:lang w:val="fr-CA"/>
              </w:rPr>
              <w:t xml:space="preserve">Dans sa décision sur les dépens, la Cour d’appel a rendu un certain nombre d’ordonnances, y compris une ordonnance selon laquelle l’ordonnance de type Sanderson relative aux dépens de la requête de </w:t>
            </w:r>
            <w:r w:rsidRPr="00073183">
              <w:rPr>
                <w:rFonts w:eastAsia="Calibri"/>
                <w:i/>
                <w:sz w:val="20"/>
                <w:lang w:val="fr-CA"/>
              </w:rPr>
              <w:t>Bruno</w:t>
            </w:r>
            <w:r w:rsidRPr="00073183">
              <w:rPr>
                <w:rFonts w:eastAsia="Calibri"/>
                <w:sz w:val="20"/>
                <w:lang w:val="fr-CA"/>
              </w:rPr>
              <w:t xml:space="preserve"> est annulée de telle sorte que M. Hryniak n’est plus tenu de payer les dépens de ses codéfendeurs. L’ordonnance de type Sanderson condamne Bruno au paiement de ces dépens.  </w:t>
            </w:r>
          </w:p>
        </w:tc>
      </w:tr>
      <w:tr w:rsidR="000E1B40" w:rsidRPr="007C5411" w:rsidTr="00E8338B">
        <w:tc>
          <w:tcPr>
            <w:tcW w:w="5000" w:type="pct"/>
            <w:gridSpan w:val="3"/>
          </w:tcPr>
          <w:p w:rsidR="000E1B40" w:rsidRPr="00073183" w:rsidRDefault="000E1B40" w:rsidP="00E8338B">
            <w:pPr>
              <w:jc w:val="both"/>
              <w:rPr>
                <w:rFonts w:eastAsia="Calibri"/>
                <w:sz w:val="20"/>
                <w:lang w:val="fr-CA"/>
              </w:rPr>
            </w:pPr>
          </w:p>
        </w:tc>
      </w:tr>
      <w:tr w:rsidR="000E1B40" w:rsidRPr="007C5411" w:rsidTr="00E8338B">
        <w:tc>
          <w:tcPr>
            <w:tcW w:w="2427" w:type="pct"/>
          </w:tcPr>
          <w:p w:rsidR="000E1B40" w:rsidRPr="00073183" w:rsidRDefault="000E1B40" w:rsidP="00E8338B">
            <w:pPr>
              <w:jc w:val="both"/>
              <w:rPr>
                <w:rFonts w:eastAsia="Calibri"/>
                <w:sz w:val="20"/>
                <w:lang w:val="fr-CA"/>
              </w:rPr>
            </w:pPr>
            <w:r w:rsidRPr="00073183">
              <w:rPr>
                <w:rFonts w:eastAsia="Calibri"/>
                <w:sz w:val="20"/>
                <w:lang w:val="fr-CA"/>
              </w:rPr>
              <w:t>22 octobre 2010</w:t>
            </w:r>
          </w:p>
          <w:p w:rsidR="000E1B40" w:rsidRPr="00073183" w:rsidRDefault="000E1B40" w:rsidP="00E8338B">
            <w:pPr>
              <w:jc w:val="both"/>
              <w:rPr>
                <w:rFonts w:eastAsia="Calibri"/>
                <w:sz w:val="20"/>
                <w:lang w:val="fr-CA"/>
              </w:rPr>
            </w:pPr>
            <w:r w:rsidRPr="00073183">
              <w:rPr>
                <w:rFonts w:eastAsia="Calibri"/>
                <w:sz w:val="20"/>
                <w:lang w:val="fr-CA"/>
              </w:rPr>
              <w:t>Cour supérieure de justice de l’Ontario</w:t>
            </w:r>
          </w:p>
          <w:p w:rsidR="000E1B40" w:rsidRPr="00073183" w:rsidRDefault="000E1B40" w:rsidP="00E8338B">
            <w:pPr>
              <w:jc w:val="both"/>
              <w:rPr>
                <w:rFonts w:eastAsia="Calibri"/>
                <w:sz w:val="20"/>
                <w:lang w:val="fr-CA"/>
              </w:rPr>
            </w:pPr>
            <w:r w:rsidRPr="00073183">
              <w:rPr>
                <w:rFonts w:eastAsia="Calibri"/>
                <w:sz w:val="20"/>
                <w:lang w:val="fr-CA"/>
              </w:rPr>
              <w:t>(Juge Grace)</w:t>
            </w:r>
          </w:p>
          <w:p w:rsidR="000E1B40" w:rsidRPr="00073183" w:rsidRDefault="007C5411" w:rsidP="00E8338B">
            <w:pPr>
              <w:jc w:val="both"/>
              <w:rPr>
                <w:rFonts w:eastAsia="Calibri"/>
                <w:sz w:val="20"/>
                <w:lang w:val="fr-CA"/>
              </w:rPr>
            </w:pPr>
            <w:hyperlink r:id="rId28" w:history="1">
              <w:r w:rsidR="000E1B40" w:rsidRPr="00073183">
                <w:rPr>
                  <w:rFonts w:eastAsia="Calibri"/>
                  <w:color w:val="0000FF"/>
                  <w:sz w:val="20"/>
                  <w:u w:val="single"/>
                  <w:lang w:val="fr-CA"/>
                </w:rPr>
                <w:t>2010 ONSC 5490</w:t>
              </w:r>
            </w:hyperlink>
          </w:p>
          <w:p w:rsidR="000E1B40" w:rsidRPr="00073183" w:rsidRDefault="000E1B40" w:rsidP="00E8338B">
            <w:pPr>
              <w:jc w:val="both"/>
              <w:rPr>
                <w:rFonts w:eastAsia="Calibri"/>
                <w:sz w:val="20"/>
                <w:lang w:val="fr-CA"/>
              </w:rPr>
            </w:pPr>
          </w:p>
        </w:tc>
        <w:tc>
          <w:tcPr>
            <w:tcW w:w="243" w:type="pct"/>
          </w:tcPr>
          <w:p w:rsidR="000E1B40" w:rsidRPr="00073183" w:rsidRDefault="000E1B40" w:rsidP="00E8338B">
            <w:pPr>
              <w:jc w:val="both"/>
              <w:rPr>
                <w:rFonts w:eastAsia="Calibri"/>
                <w:sz w:val="20"/>
                <w:lang w:val="fr-CA"/>
              </w:rPr>
            </w:pPr>
          </w:p>
        </w:tc>
        <w:tc>
          <w:tcPr>
            <w:tcW w:w="2330" w:type="pct"/>
          </w:tcPr>
          <w:p w:rsidR="000E1B40" w:rsidRPr="00073183" w:rsidRDefault="000E1B40" w:rsidP="00E8338B">
            <w:pPr>
              <w:jc w:val="both"/>
              <w:rPr>
                <w:rFonts w:eastAsia="Calibri"/>
                <w:sz w:val="20"/>
                <w:lang w:val="fr-CA"/>
              </w:rPr>
            </w:pPr>
            <w:r w:rsidRPr="00073183">
              <w:rPr>
                <w:rFonts w:eastAsia="Calibri"/>
                <w:sz w:val="20"/>
                <w:lang w:val="fr-CA"/>
              </w:rPr>
              <w:t>Jugement sommaire contre M. Hryniak accordé.</w:t>
            </w:r>
          </w:p>
          <w:p w:rsidR="000E1B40" w:rsidRPr="00073183" w:rsidRDefault="000E1B40" w:rsidP="00E8338B">
            <w:pPr>
              <w:jc w:val="both"/>
              <w:rPr>
                <w:rFonts w:eastAsia="Calibri"/>
                <w:sz w:val="20"/>
                <w:lang w:val="fr-CA"/>
              </w:rPr>
            </w:pPr>
          </w:p>
          <w:p w:rsidR="000E1B40" w:rsidRPr="00073183" w:rsidRDefault="000E1B40" w:rsidP="00E8338B">
            <w:pPr>
              <w:jc w:val="both"/>
              <w:rPr>
                <w:rFonts w:eastAsia="Calibri"/>
                <w:sz w:val="20"/>
                <w:lang w:val="fr-CA"/>
              </w:rPr>
            </w:pPr>
          </w:p>
        </w:tc>
      </w:tr>
      <w:tr w:rsidR="000E1B40" w:rsidRPr="007C5411" w:rsidTr="00E8338B">
        <w:tc>
          <w:tcPr>
            <w:tcW w:w="2427" w:type="pct"/>
          </w:tcPr>
          <w:p w:rsidR="000E1B40" w:rsidRPr="00073183" w:rsidRDefault="000E1B40" w:rsidP="00E8338B">
            <w:pPr>
              <w:jc w:val="both"/>
              <w:rPr>
                <w:rFonts w:eastAsia="Calibri"/>
                <w:sz w:val="20"/>
                <w:lang w:val="fr-CA"/>
              </w:rPr>
            </w:pPr>
            <w:r w:rsidRPr="00073183">
              <w:rPr>
                <w:rFonts w:eastAsia="Calibri"/>
                <w:sz w:val="20"/>
                <w:lang w:val="fr-CA"/>
              </w:rPr>
              <w:lastRenderedPageBreak/>
              <w:t>5 décembre 2011</w:t>
            </w:r>
          </w:p>
          <w:p w:rsidR="000E1B40" w:rsidRPr="00073183" w:rsidRDefault="000E1B40" w:rsidP="00E8338B">
            <w:pPr>
              <w:jc w:val="both"/>
              <w:rPr>
                <w:rFonts w:eastAsia="Calibri"/>
                <w:sz w:val="20"/>
                <w:lang w:val="fr-CA"/>
              </w:rPr>
            </w:pPr>
            <w:r w:rsidRPr="00073183">
              <w:rPr>
                <w:rFonts w:eastAsia="Calibri"/>
                <w:sz w:val="20"/>
                <w:lang w:val="fr-CA"/>
              </w:rPr>
              <w:t>Cour d’appel de l’Ontario</w:t>
            </w:r>
          </w:p>
          <w:p w:rsidR="000E1B40" w:rsidRPr="00073183" w:rsidRDefault="000E1B40" w:rsidP="00E8338B">
            <w:pPr>
              <w:jc w:val="both"/>
              <w:rPr>
                <w:rFonts w:eastAsia="Calibri"/>
                <w:sz w:val="20"/>
                <w:lang w:val="fr-CA"/>
              </w:rPr>
            </w:pPr>
            <w:r w:rsidRPr="00073183">
              <w:rPr>
                <w:rFonts w:eastAsia="Calibri"/>
                <w:sz w:val="20"/>
                <w:lang w:val="fr-CA"/>
              </w:rPr>
              <w:t>(Juge en chef Winkler, juges Laskin, Sharpe, Armstrong et Rouleau)</w:t>
            </w:r>
          </w:p>
          <w:p w:rsidR="000E1B40" w:rsidRPr="00073183" w:rsidRDefault="000E1B40" w:rsidP="00E8338B">
            <w:pPr>
              <w:jc w:val="both"/>
              <w:rPr>
                <w:rFonts w:eastAsia="Calibri"/>
                <w:sz w:val="20"/>
                <w:lang w:val="fr-CA"/>
              </w:rPr>
            </w:pPr>
            <w:r w:rsidRPr="00073183">
              <w:rPr>
                <w:rFonts w:eastAsia="Calibri"/>
                <w:sz w:val="20"/>
                <w:lang w:val="fr-CA"/>
              </w:rPr>
              <w:t>N</w:t>
            </w:r>
            <w:r w:rsidRPr="00073183">
              <w:rPr>
                <w:rFonts w:eastAsia="Calibri"/>
                <w:sz w:val="20"/>
                <w:vertAlign w:val="superscript"/>
                <w:lang w:val="fr-CA"/>
              </w:rPr>
              <w:t>o</w:t>
            </w:r>
            <w:r w:rsidRPr="00073183">
              <w:rPr>
                <w:rFonts w:eastAsia="Calibri"/>
                <w:sz w:val="20"/>
                <w:lang w:val="fr-CA"/>
              </w:rPr>
              <w:t> du greffe : C52913</w:t>
            </w:r>
          </w:p>
          <w:p w:rsidR="000E1B40" w:rsidRPr="00073183" w:rsidRDefault="007C5411" w:rsidP="00E8338B">
            <w:pPr>
              <w:jc w:val="both"/>
              <w:rPr>
                <w:rFonts w:eastAsia="Calibri"/>
                <w:sz w:val="20"/>
                <w:lang w:val="fr-CA"/>
              </w:rPr>
            </w:pPr>
            <w:hyperlink r:id="rId29" w:history="1">
              <w:r w:rsidR="000E1B40" w:rsidRPr="00073183">
                <w:rPr>
                  <w:rFonts w:eastAsia="Calibri"/>
                  <w:color w:val="0000FF"/>
                  <w:sz w:val="20"/>
                  <w:u w:val="single"/>
                  <w:lang w:val="fr-CA"/>
                </w:rPr>
                <w:t>2011 ONCA 764</w:t>
              </w:r>
            </w:hyperlink>
          </w:p>
          <w:p w:rsidR="000E1B40" w:rsidRPr="00073183" w:rsidRDefault="000E1B40" w:rsidP="00E8338B">
            <w:pPr>
              <w:jc w:val="both"/>
              <w:rPr>
                <w:rFonts w:eastAsia="Calibri"/>
                <w:sz w:val="20"/>
                <w:lang w:val="fr-CA"/>
              </w:rPr>
            </w:pPr>
          </w:p>
        </w:tc>
        <w:tc>
          <w:tcPr>
            <w:tcW w:w="243" w:type="pct"/>
          </w:tcPr>
          <w:p w:rsidR="000E1B40" w:rsidRPr="00073183" w:rsidRDefault="000E1B40" w:rsidP="00E8338B">
            <w:pPr>
              <w:jc w:val="both"/>
              <w:rPr>
                <w:rFonts w:eastAsia="Calibri"/>
                <w:sz w:val="20"/>
                <w:lang w:val="fr-CA"/>
              </w:rPr>
            </w:pPr>
          </w:p>
        </w:tc>
        <w:tc>
          <w:tcPr>
            <w:tcW w:w="2330" w:type="pct"/>
          </w:tcPr>
          <w:p w:rsidR="000E1B40" w:rsidRPr="00073183" w:rsidRDefault="000E1B40" w:rsidP="00E8338B">
            <w:pPr>
              <w:jc w:val="both"/>
              <w:rPr>
                <w:rFonts w:eastAsia="Calibri"/>
                <w:sz w:val="20"/>
                <w:lang w:val="fr-CA"/>
              </w:rPr>
            </w:pPr>
            <w:r w:rsidRPr="00073183">
              <w:rPr>
                <w:rFonts w:eastAsia="Calibri"/>
                <w:sz w:val="20"/>
                <w:lang w:val="fr-CA"/>
              </w:rPr>
              <w:t xml:space="preserve">Appel accueilli; la cour ordonne que l’action intentée par </w:t>
            </w:r>
            <w:r w:rsidRPr="00073183">
              <w:rPr>
                <w:rFonts w:eastAsia="Calibri"/>
                <w:i/>
                <w:sz w:val="20"/>
                <w:lang w:val="fr-CA"/>
              </w:rPr>
              <w:t>Bruno</w:t>
            </w:r>
            <w:r w:rsidRPr="00073183">
              <w:rPr>
                <w:rFonts w:eastAsia="Calibri"/>
                <w:sz w:val="20"/>
                <w:lang w:val="fr-CA"/>
              </w:rPr>
              <w:t xml:space="preserve"> soit instruite dans les meilleurs délais.</w:t>
            </w:r>
          </w:p>
          <w:p w:rsidR="000E1B40" w:rsidRPr="00073183" w:rsidRDefault="000E1B40" w:rsidP="00E8338B">
            <w:pPr>
              <w:jc w:val="both"/>
              <w:rPr>
                <w:rFonts w:eastAsia="Calibri"/>
                <w:sz w:val="20"/>
                <w:lang w:val="fr-CA"/>
              </w:rPr>
            </w:pPr>
          </w:p>
        </w:tc>
      </w:tr>
      <w:tr w:rsidR="000E1B40" w:rsidRPr="007C5411" w:rsidTr="00E8338B">
        <w:tc>
          <w:tcPr>
            <w:tcW w:w="2427" w:type="pct"/>
          </w:tcPr>
          <w:p w:rsidR="000E1B40" w:rsidRPr="00073183" w:rsidRDefault="000E1B40" w:rsidP="00E8338B">
            <w:pPr>
              <w:jc w:val="both"/>
              <w:rPr>
                <w:rFonts w:eastAsia="Calibri"/>
                <w:sz w:val="20"/>
                <w:lang w:val="fr-CA"/>
              </w:rPr>
            </w:pPr>
            <w:r w:rsidRPr="00073183">
              <w:rPr>
                <w:rFonts w:eastAsia="Calibri"/>
                <w:sz w:val="20"/>
                <w:lang w:val="fr-CA"/>
              </w:rPr>
              <w:t>3 février 2012</w:t>
            </w:r>
          </w:p>
          <w:p w:rsidR="000E1B40" w:rsidRPr="00073183" w:rsidRDefault="000E1B40" w:rsidP="00E8338B">
            <w:pPr>
              <w:jc w:val="both"/>
              <w:rPr>
                <w:rFonts w:eastAsia="Calibri"/>
                <w:sz w:val="20"/>
                <w:lang w:val="fr-CA"/>
              </w:rPr>
            </w:pPr>
            <w:r w:rsidRPr="00073183">
              <w:rPr>
                <w:rFonts w:eastAsia="Calibri"/>
                <w:sz w:val="20"/>
                <w:lang w:val="fr-CA"/>
              </w:rPr>
              <w:t>Cour suprême du Canada</w:t>
            </w:r>
          </w:p>
          <w:p w:rsidR="000E1B40" w:rsidRPr="00073183" w:rsidRDefault="000E1B40" w:rsidP="00E8338B">
            <w:pPr>
              <w:jc w:val="both"/>
              <w:rPr>
                <w:rFonts w:eastAsia="Calibri"/>
                <w:sz w:val="20"/>
                <w:lang w:val="fr-CA"/>
              </w:rPr>
            </w:pPr>
          </w:p>
        </w:tc>
        <w:tc>
          <w:tcPr>
            <w:tcW w:w="243" w:type="pct"/>
          </w:tcPr>
          <w:p w:rsidR="000E1B40" w:rsidRPr="00073183" w:rsidRDefault="000E1B40" w:rsidP="00E8338B">
            <w:pPr>
              <w:jc w:val="both"/>
              <w:rPr>
                <w:rFonts w:eastAsia="Calibri"/>
                <w:sz w:val="20"/>
                <w:lang w:val="fr-CA"/>
              </w:rPr>
            </w:pPr>
          </w:p>
        </w:tc>
        <w:tc>
          <w:tcPr>
            <w:tcW w:w="2330" w:type="pct"/>
          </w:tcPr>
          <w:p w:rsidR="000E1B40" w:rsidRPr="00073183" w:rsidRDefault="000E1B40" w:rsidP="00E8338B">
            <w:pPr>
              <w:jc w:val="both"/>
              <w:rPr>
                <w:rFonts w:eastAsia="Calibri"/>
                <w:sz w:val="20"/>
                <w:lang w:val="fr-CA"/>
              </w:rPr>
            </w:pPr>
            <w:r w:rsidRPr="00073183">
              <w:rPr>
                <w:rFonts w:eastAsia="Calibri"/>
                <w:sz w:val="20"/>
                <w:lang w:val="fr-CA"/>
              </w:rPr>
              <w:t>Première demande d’autorisation d’appel déposée.</w:t>
            </w:r>
          </w:p>
          <w:p w:rsidR="000E1B40" w:rsidRPr="00073183" w:rsidRDefault="000E1B40" w:rsidP="00E8338B">
            <w:pPr>
              <w:jc w:val="both"/>
              <w:rPr>
                <w:rFonts w:eastAsia="Calibri"/>
                <w:sz w:val="20"/>
                <w:lang w:val="fr-CA"/>
              </w:rPr>
            </w:pPr>
          </w:p>
        </w:tc>
      </w:tr>
      <w:tr w:rsidR="000E1B40" w:rsidRPr="00073183" w:rsidTr="00E8338B">
        <w:tc>
          <w:tcPr>
            <w:tcW w:w="2427" w:type="pct"/>
          </w:tcPr>
          <w:p w:rsidR="000E1B40" w:rsidRPr="00073183" w:rsidRDefault="000E1B40" w:rsidP="00E8338B">
            <w:pPr>
              <w:jc w:val="both"/>
              <w:rPr>
                <w:rFonts w:eastAsia="Calibri"/>
                <w:sz w:val="20"/>
                <w:lang w:val="fr-CA"/>
              </w:rPr>
            </w:pPr>
            <w:r w:rsidRPr="00073183">
              <w:rPr>
                <w:rFonts w:eastAsia="Calibri"/>
                <w:sz w:val="20"/>
                <w:lang w:val="fr-CA"/>
              </w:rPr>
              <w:t>28 juin 2012</w:t>
            </w:r>
          </w:p>
          <w:p w:rsidR="000E1B40" w:rsidRPr="00073183" w:rsidRDefault="000E1B40" w:rsidP="00E8338B">
            <w:pPr>
              <w:jc w:val="both"/>
              <w:rPr>
                <w:rFonts w:eastAsia="Calibri"/>
                <w:sz w:val="20"/>
                <w:lang w:val="fr-CA"/>
              </w:rPr>
            </w:pPr>
            <w:r w:rsidRPr="00073183">
              <w:rPr>
                <w:rFonts w:eastAsia="Calibri"/>
                <w:sz w:val="20"/>
                <w:lang w:val="fr-CA"/>
              </w:rPr>
              <w:t>Cour suprême du Canada</w:t>
            </w:r>
          </w:p>
          <w:p w:rsidR="000E1B40" w:rsidRPr="00073183" w:rsidRDefault="000E1B40" w:rsidP="00E8338B">
            <w:pPr>
              <w:jc w:val="both"/>
              <w:rPr>
                <w:rFonts w:eastAsia="Calibri"/>
                <w:sz w:val="20"/>
                <w:lang w:val="fr-CA"/>
              </w:rPr>
            </w:pPr>
          </w:p>
        </w:tc>
        <w:tc>
          <w:tcPr>
            <w:tcW w:w="243" w:type="pct"/>
          </w:tcPr>
          <w:p w:rsidR="000E1B40" w:rsidRPr="00073183" w:rsidRDefault="000E1B40" w:rsidP="00E8338B">
            <w:pPr>
              <w:jc w:val="both"/>
              <w:rPr>
                <w:rFonts w:eastAsia="Calibri"/>
                <w:sz w:val="20"/>
                <w:lang w:val="fr-CA"/>
              </w:rPr>
            </w:pPr>
          </w:p>
        </w:tc>
        <w:tc>
          <w:tcPr>
            <w:tcW w:w="2330" w:type="pct"/>
          </w:tcPr>
          <w:p w:rsidR="000E1B40" w:rsidRPr="00073183" w:rsidRDefault="000E1B40" w:rsidP="00E8338B">
            <w:pPr>
              <w:jc w:val="both"/>
              <w:rPr>
                <w:rFonts w:eastAsia="Calibri"/>
                <w:sz w:val="20"/>
                <w:lang w:val="fr-CA"/>
              </w:rPr>
            </w:pPr>
            <w:r w:rsidRPr="00073183">
              <w:rPr>
                <w:rFonts w:eastAsia="Calibri"/>
                <w:sz w:val="20"/>
                <w:lang w:val="fr-CA"/>
              </w:rPr>
              <w:t>Autorisation d’appel accordée.</w:t>
            </w:r>
          </w:p>
          <w:p w:rsidR="000E1B40" w:rsidRPr="00073183" w:rsidRDefault="000E1B40" w:rsidP="00E8338B">
            <w:pPr>
              <w:jc w:val="both"/>
              <w:rPr>
                <w:rFonts w:eastAsia="Calibri"/>
                <w:sz w:val="20"/>
                <w:lang w:val="fr-CA"/>
              </w:rPr>
            </w:pPr>
          </w:p>
        </w:tc>
      </w:tr>
      <w:tr w:rsidR="000E1B40" w:rsidRPr="007C5411" w:rsidTr="00E8338B">
        <w:tc>
          <w:tcPr>
            <w:tcW w:w="2427" w:type="pct"/>
          </w:tcPr>
          <w:p w:rsidR="000E1B40" w:rsidRPr="00073183" w:rsidRDefault="000E1B40" w:rsidP="00E8338B">
            <w:pPr>
              <w:jc w:val="both"/>
              <w:rPr>
                <w:rFonts w:eastAsia="Calibri"/>
                <w:sz w:val="20"/>
                <w:lang w:val="fr-CA"/>
              </w:rPr>
            </w:pPr>
            <w:r w:rsidRPr="00073183">
              <w:rPr>
                <w:rFonts w:eastAsia="Calibri"/>
                <w:sz w:val="20"/>
                <w:lang w:val="fr-CA"/>
              </w:rPr>
              <w:t>26 mars 2013</w:t>
            </w:r>
          </w:p>
          <w:p w:rsidR="000E1B40" w:rsidRPr="00073183" w:rsidRDefault="000E1B40" w:rsidP="00E8338B">
            <w:pPr>
              <w:jc w:val="both"/>
              <w:rPr>
                <w:rFonts w:eastAsia="Calibri"/>
                <w:sz w:val="20"/>
                <w:lang w:val="fr-CA"/>
              </w:rPr>
            </w:pPr>
            <w:r w:rsidRPr="00073183">
              <w:rPr>
                <w:rFonts w:eastAsia="Calibri"/>
                <w:sz w:val="20"/>
                <w:lang w:val="fr-CA"/>
              </w:rPr>
              <w:t>Cour suprême du Canada</w:t>
            </w:r>
          </w:p>
          <w:p w:rsidR="000E1B40" w:rsidRPr="00073183" w:rsidRDefault="000E1B40" w:rsidP="00E8338B">
            <w:pPr>
              <w:jc w:val="both"/>
              <w:rPr>
                <w:rFonts w:eastAsia="Calibri"/>
                <w:sz w:val="20"/>
                <w:lang w:val="fr-CA"/>
              </w:rPr>
            </w:pPr>
          </w:p>
        </w:tc>
        <w:tc>
          <w:tcPr>
            <w:tcW w:w="243" w:type="pct"/>
          </w:tcPr>
          <w:p w:rsidR="000E1B40" w:rsidRPr="00073183" w:rsidRDefault="000E1B40" w:rsidP="00E8338B">
            <w:pPr>
              <w:jc w:val="both"/>
              <w:rPr>
                <w:rFonts w:eastAsia="Calibri"/>
                <w:sz w:val="20"/>
                <w:lang w:val="fr-CA"/>
              </w:rPr>
            </w:pPr>
          </w:p>
        </w:tc>
        <w:tc>
          <w:tcPr>
            <w:tcW w:w="2330" w:type="pct"/>
          </w:tcPr>
          <w:p w:rsidR="000E1B40" w:rsidRPr="00073183" w:rsidRDefault="000E1B40" w:rsidP="00E8338B">
            <w:pPr>
              <w:jc w:val="both"/>
              <w:rPr>
                <w:rFonts w:eastAsia="Calibri"/>
                <w:sz w:val="20"/>
                <w:lang w:val="fr-CA"/>
              </w:rPr>
            </w:pPr>
            <w:r w:rsidRPr="00073183">
              <w:rPr>
                <w:rFonts w:eastAsia="Calibri"/>
                <w:sz w:val="20"/>
                <w:lang w:val="fr-CA"/>
              </w:rPr>
              <w:t>Appel entendu conjointement avec l’appel dans le dossier 34641 (</w:t>
            </w:r>
            <w:r w:rsidRPr="00073183">
              <w:rPr>
                <w:rFonts w:eastAsia="Calibri"/>
                <w:i/>
                <w:sz w:val="20"/>
                <w:lang w:val="fr-CA"/>
              </w:rPr>
              <w:t>Hryniak c. Mauldin</w:t>
            </w:r>
            <w:r w:rsidRPr="00073183">
              <w:rPr>
                <w:rFonts w:eastAsia="Calibri"/>
                <w:sz w:val="20"/>
                <w:lang w:val="fr-CA"/>
              </w:rPr>
              <w:t>)</w:t>
            </w:r>
          </w:p>
          <w:p w:rsidR="000E1B40" w:rsidRPr="00073183" w:rsidRDefault="000E1B40" w:rsidP="00E8338B">
            <w:pPr>
              <w:jc w:val="both"/>
              <w:rPr>
                <w:rFonts w:eastAsia="Calibri"/>
                <w:sz w:val="20"/>
                <w:lang w:val="fr-CA"/>
              </w:rPr>
            </w:pPr>
          </w:p>
        </w:tc>
      </w:tr>
      <w:tr w:rsidR="000E1B40" w:rsidRPr="007C5411" w:rsidTr="00E8338B">
        <w:tc>
          <w:tcPr>
            <w:tcW w:w="2427" w:type="pct"/>
          </w:tcPr>
          <w:p w:rsidR="000E1B40" w:rsidRPr="00073183" w:rsidRDefault="000E1B40" w:rsidP="00E8338B">
            <w:pPr>
              <w:jc w:val="both"/>
              <w:rPr>
                <w:rFonts w:eastAsia="Calibri"/>
                <w:sz w:val="20"/>
                <w:lang w:val="fr-CA"/>
              </w:rPr>
            </w:pPr>
            <w:r w:rsidRPr="00073183">
              <w:rPr>
                <w:rFonts w:eastAsia="Calibri"/>
                <w:sz w:val="20"/>
                <w:lang w:val="fr-CA"/>
              </w:rPr>
              <w:t>8 mai 2013</w:t>
            </w:r>
          </w:p>
          <w:p w:rsidR="000E1B40" w:rsidRPr="00073183" w:rsidRDefault="000E1B40" w:rsidP="00E8338B">
            <w:pPr>
              <w:jc w:val="both"/>
              <w:rPr>
                <w:rFonts w:eastAsia="Calibri"/>
                <w:sz w:val="20"/>
                <w:lang w:val="fr-CA"/>
              </w:rPr>
            </w:pPr>
            <w:r w:rsidRPr="00073183">
              <w:rPr>
                <w:rFonts w:eastAsia="Calibri"/>
                <w:sz w:val="20"/>
                <w:lang w:val="fr-CA"/>
              </w:rPr>
              <w:t>Cour d’appel de l’Ontario</w:t>
            </w:r>
          </w:p>
          <w:p w:rsidR="000E1B40" w:rsidRPr="00073183" w:rsidRDefault="000E1B40" w:rsidP="00E8338B">
            <w:pPr>
              <w:jc w:val="both"/>
              <w:rPr>
                <w:rFonts w:eastAsia="Calibri"/>
                <w:sz w:val="20"/>
                <w:lang w:val="fr-CA"/>
              </w:rPr>
            </w:pPr>
            <w:r w:rsidRPr="00073183">
              <w:rPr>
                <w:rFonts w:eastAsia="Calibri"/>
                <w:sz w:val="20"/>
                <w:lang w:val="fr-CA"/>
              </w:rPr>
              <w:t>(Juge en chef Winkler, juges Laskin, Sharpe, Armstrong et Rouleau)</w:t>
            </w:r>
          </w:p>
          <w:p w:rsidR="000E1B40" w:rsidRPr="00073183" w:rsidRDefault="000E1B40" w:rsidP="00E8338B">
            <w:pPr>
              <w:jc w:val="both"/>
              <w:rPr>
                <w:rFonts w:eastAsia="Calibri"/>
                <w:sz w:val="20"/>
                <w:lang w:val="fr-CA"/>
              </w:rPr>
            </w:pPr>
            <w:r w:rsidRPr="00073183">
              <w:rPr>
                <w:rFonts w:eastAsia="Calibri"/>
                <w:sz w:val="20"/>
                <w:lang w:val="fr-CA"/>
              </w:rPr>
              <w:t>N</w:t>
            </w:r>
            <w:r w:rsidRPr="00073183">
              <w:rPr>
                <w:rFonts w:eastAsia="Calibri"/>
                <w:sz w:val="20"/>
                <w:vertAlign w:val="superscript"/>
                <w:lang w:val="fr-CA"/>
              </w:rPr>
              <w:t>os</w:t>
            </w:r>
            <w:r w:rsidRPr="00073183">
              <w:rPr>
                <w:rFonts w:eastAsia="Calibri"/>
                <w:sz w:val="20"/>
                <w:lang w:val="fr-CA"/>
              </w:rPr>
              <w:t xml:space="preserve"> du greffe : C52912 et C52913</w:t>
            </w:r>
          </w:p>
          <w:p w:rsidR="000E1B40" w:rsidRPr="00073183" w:rsidRDefault="007C5411" w:rsidP="00E8338B">
            <w:pPr>
              <w:jc w:val="both"/>
              <w:rPr>
                <w:rFonts w:eastAsia="Calibri"/>
                <w:sz w:val="20"/>
                <w:lang w:val="fr-CA"/>
              </w:rPr>
            </w:pPr>
            <w:hyperlink r:id="rId30" w:history="1">
              <w:r w:rsidR="000E1B40" w:rsidRPr="00073183">
                <w:rPr>
                  <w:rFonts w:eastAsia="Calibri"/>
                  <w:color w:val="0000FF"/>
                  <w:sz w:val="20"/>
                  <w:u w:val="single"/>
                  <w:lang w:val="fr-CA"/>
                </w:rPr>
                <w:t>2013 ONCA 307</w:t>
              </w:r>
            </w:hyperlink>
          </w:p>
          <w:p w:rsidR="000E1B40" w:rsidRPr="00073183" w:rsidRDefault="000E1B40" w:rsidP="00E8338B">
            <w:pPr>
              <w:jc w:val="both"/>
              <w:rPr>
                <w:rFonts w:eastAsia="Calibri"/>
                <w:sz w:val="20"/>
                <w:lang w:val="fr-CA"/>
              </w:rPr>
            </w:pPr>
          </w:p>
        </w:tc>
        <w:tc>
          <w:tcPr>
            <w:tcW w:w="243" w:type="pct"/>
          </w:tcPr>
          <w:p w:rsidR="000E1B40" w:rsidRPr="00073183" w:rsidRDefault="000E1B40" w:rsidP="00E8338B">
            <w:pPr>
              <w:jc w:val="both"/>
              <w:rPr>
                <w:rFonts w:eastAsia="Calibri"/>
                <w:sz w:val="20"/>
                <w:lang w:val="fr-CA"/>
              </w:rPr>
            </w:pPr>
          </w:p>
        </w:tc>
        <w:tc>
          <w:tcPr>
            <w:tcW w:w="2330" w:type="pct"/>
          </w:tcPr>
          <w:p w:rsidR="000E1B40" w:rsidRPr="00073183" w:rsidRDefault="000E1B40" w:rsidP="00E8338B">
            <w:pPr>
              <w:jc w:val="both"/>
              <w:rPr>
                <w:rFonts w:eastAsia="Calibri"/>
                <w:sz w:val="20"/>
                <w:lang w:val="fr-CA"/>
              </w:rPr>
            </w:pPr>
            <w:r w:rsidRPr="00073183">
              <w:rPr>
                <w:rFonts w:eastAsia="Calibri"/>
                <w:sz w:val="20"/>
                <w:lang w:val="fr-CA"/>
              </w:rPr>
              <w:t>La cour ordonne à Bruno de payer les dépens accordés à M. Hryniak et annule l’ordonnance de type Sanderson. De plus, elle ordonne à  M. Hryniak de payer les dépens accordés au Mauldin group. Les parties reviendront en cour pour débattre de la question relative à la lettre de crédit après que la Cour suprême du Canada aura rendu sa décision.</w:t>
            </w:r>
          </w:p>
          <w:p w:rsidR="000E1B40" w:rsidRPr="00073183" w:rsidRDefault="000E1B40" w:rsidP="00E8338B">
            <w:pPr>
              <w:jc w:val="both"/>
              <w:rPr>
                <w:rFonts w:eastAsia="Calibri"/>
                <w:sz w:val="20"/>
                <w:lang w:val="fr-CA"/>
              </w:rPr>
            </w:pPr>
          </w:p>
        </w:tc>
      </w:tr>
      <w:tr w:rsidR="000E1B40" w:rsidRPr="007C5411" w:rsidTr="00E8338B">
        <w:tc>
          <w:tcPr>
            <w:tcW w:w="2427" w:type="pct"/>
          </w:tcPr>
          <w:p w:rsidR="000E1B40" w:rsidRPr="00073183" w:rsidRDefault="000E1B40" w:rsidP="00E8338B">
            <w:pPr>
              <w:jc w:val="both"/>
              <w:rPr>
                <w:rFonts w:eastAsia="Calibri"/>
                <w:sz w:val="20"/>
                <w:lang w:val="fr-CA"/>
              </w:rPr>
            </w:pPr>
            <w:r w:rsidRPr="00073183">
              <w:rPr>
                <w:rFonts w:eastAsia="Calibri"/>
                <w:sz w:val="20"/>
                <w:lang w:val="fr-CA"/>
              </w:rPr>
              <w:t>7 août 2013</w:t>
            </w:r>
          </w:p>
          <w:p w:rsidR="000E1B40" w:rsidRPr="00073183" w:rsidRDefault="000E1B40" w:rsidP="00E8338B">
            <w:pPr>
              <w:jc w:val="both"/>
              <w:rPr>
                <w:rFonts w:eastAsia="Calibri"/>
                <w:sz w:val="20"/>
                <w:lang w:val="fr-CA"/>
              </w:rPr>
            </w:pPr>
            <w:r w:rsidRPr="00073183">
              <w:rPr>
                <w:rFonts w:eastAsia="Calibri"/>
                <w:sz w:val="20"/>
                <w:lang w:val="fr-CA"/>
              </w:rPr>
              <w:t>Cour suprême du Canada</w:t>
            </w:r>
          </w:p>
        </w:tc>
        <w:tc>
          <w:tcPr>
            <w:tcW w:w="243" w:type="pct"/>
          </w:tcPr>
          <w:p w:rsidR="000E1B40" w:rsidRPr="00073183" w:rsidRDefault="000E1B40" w:rsidP="00E8338B">
            <w:pPr>
              <w:jc w:val="both"/>
              <w:rPr>
                <w:rFonts w:eastAsia="Calibri"/>
                <w:sz w:val="20"/>
                <w:lang w:val="fr-CA"/>
              </w:rPr>
            </w:pPr>
          </w:p>
        </w:tc>
        <w:tc>
          <w:tcPr>
            <w:tcW w:w="2330" w:type="pct"/>
          </w:tcPr>
          <w:p w:rsidR="000E1B40" w:rsidRPr="00073183" w:rsidRDefault="000E1B40" w:rsidP="00E8338B">
            <w:pPr>
              <w:jc w:val="both"/>
              <w:rPr>
                <w:rFonts w:eastAsia="Calibri"/>
                <w:sz w:val="20"/>
                <w:lang w:val="fr-CA"/>
              </w:rPr>
            </w:pPr>
            <w:r w:rsidRPr="00073183">
              <w:rPr>
                <w:rFonts w:eastAsia="Calibri"/>
                <w:i/>
                <w:sz w:val="20"/>
                <w:lang w:val="fr-CA"/>
              </w:rPr>
              <w:t>Bruno</w:t>
            </w:r>
            <w:r w:rsidRPr="00073183">
              <w:rPr>
                <w:rFonts w:eastAsia="Calibri"/>
                <w:sz w:val="20"/>
                <w:lang w:val="fr-CA"/>
              </w:rPr>
              <w:t xml:space="preserve"> dépose une deuxième demande d’autorisation d’appel. </w:t>
            </w:r>
          </w:p>
        </w:tc>
      </w:tr>
    </w:tbl>
    <w:p w:rsidR="000E1B40" w:rsidRPr="00F57F04" w:rsidRDefault="000E1B40" w:rsidP="000E1B40">
      <w:pPr>
        <w:rPr>
          <w:sz w:val="20"/>
          <w:szCs w:val="20"/>
          <w:lang w:val="fr-CA"/>
        </w:rPr>
      </w:pPr>
    </w:p>
    <w:p w:rsidR="000E1B40" w:rsidRDefault="007C5411" w:rsidP="000E1B40">
      <w:pPr>
        <w:rPr>
          <w:sz w:val="20"/>
          <w:szCs w:val="20"/>
        </w:rPr>
      </w:pPr>
      <w:r>
        <w:rPr>
          <w:sz w:val="20"/>
          <w:szCs w:val="20"/>
          <w:lang w:val="fr-CA"/>
        </w:rPr>
        <w:pict>
          <v:rect id="_x0000_i1039" style="width:2in;height:1pt" o:hrpct="0" o:hralign="center" o:hrstd="t" o:hrnoshade="t" o:hr="t" fillcolor="black [3213]" stroked="f"/>
        </w:pict>
      </w:r>
    </w:p>
    <w:p w:rsidR="000E1B40" w:rsidRDefault="000E1B40" w:rsidP="000E1B40">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1B40" w:rsidRPr="000E1B40" w:rsidTr="00E8338B">
        <w:trPr>
          <w:cantSplit/>
        </w:trPr>
        <w:tc>
          <w:tcPr>
            <w:tcW w:w="1458" w:type="dxa"/>
          </w:tcPr>
          <w:p w:rsidR="000E1B40" w:rsidRPr="000E1B40" w:rsidRDefault="000E1B40" w:rsidP="000E1B40">
            <w:pPr>
              <w:rPr>
                <w:sz w:val="20"/>
              </w:rPr>
            </w:pPr>
            <w:r w:rsidRPr="000E1B40">
              <w:rPr>
                <w:b/>
                <w:sz w:val="20"/>
                <w:lang w:val="fr-CA"/>
              </w:rPr>
              <w:t>35354</w:t>
            </w:r>
          </w:p>
          <w:p w:rsidR="000E1B40" w:rsidRPr="000E1B40" w:rsidRDefault="000E1B40" w:rsidP="000E1B40">
            <w:pPr>
              <w:rPr>
                <w:b/>
                <w:sz w:val="20"/>
                <w:lang w:val="fr-CA"/>
              </w:rPr>
            </w:pPr>
          </w:p>
        </w:tc>
        <w:tc>
          <w:tcPr>
            <w:tcW w:w="8118" w:type="dxa"/>
          </w:tcPr>
          <w:p w:rsidR="000E1B40" w:rsidRPr="000E1B40" w:rsidRDefault="000E1B40" w:rsidP="000E1B40">
            <w:pPr>
              <w:jc w:val="both"/>
              <w:rPr>
                <w:sz w:val="20"/>
                <w:lang w:val="fr-CA"/>
              </w:rPr>
            </w:pPr>
            <w:r w:rsidRPr="000E1B40">
              <w:rPr>
                <w:b/>
                <w:sz w:val="20"/>
                <w:u w:val="single"/>
                <w:lang w:val="fr-CA"/>
              </w:rPr>
              <w:t>Serge Tremblay et Bruce Beaver c. La Capitale Assureur de l’administration publique inc. et  La Capitale Assurances et gestion du patrimoine inc.</w:t>
            </w:r>
            <w:r w:rsidRPr="000E1B40">
              <w:rPr>
                <w:sz w:val="20"/>
                <w:lang w:val="fr-CA"/>
              </w:rPr>
              <w:t xml:space="preserve"> (Qc) (Civile) (Autorisation)</w:t>
            </w:r>
          </w:p>
          <w:p w:rsidR="000E1B40" w:rsidRPr="000E1B40" w:rsidRDefault="000E1B40" w:rsidP="000E1B40">
            <w:pPr>
              <w:jc w:val="both"/>
              <w:rPr>
                <w:sz w:val="20"/>
                <w:lang w:val="fr-CA"/>
              </w:rPr>
            </w:pPr>
          </w:p>
        </w:tc>
      </w:tr>
      <w:tr w:rsidR="000E1B40" w:rsidRPr="007C5411" w:rsidTr="00E8338B">
        <w:trPr>
          <w:cantSplit/>
        </w:trPr>
        <w:tc>
          <w:tcPr>
            <w:tcW w:w="1458" w:type="dxa"/>
          </w:tcPr>
          <w:p w:rsidR="000E1B40" w:rsidRPr="000E1B40" w:rsidRDefault="000E1B40" w:rsidP="000E1B40">
            <w:pPr>
              <w:rPr>
                <w:sz w:val="20"/>
                <w:lang w:val="fr-CA"/>
              </w:rPr>
            </w:pPr>
            <w:r w:rsidRPr="000E1B40">
              <w:rPr>
                <w:sz w:val="20"/>
                <w:lang w:val="fr-CA"/>
              </w:rPr>
              <w:t>Coram :</w:t>
            </w:r>
          </w:p>
        </w:tc>
        <w:tc>
          <w:tcPr>
            <w:tcW w:w="8118" w:type="dxa"/>
          </w:tcPr>
          <w:p w:rsidR="000E1B40" w:rsidRPr="000E1B40" w:rsidRDefault="000E1B40" w:rsidP="000E1B40">
            <w:pPr>
              <w:rPr>
                <w:sz w:val="20"/>
                <w:lang w:val="fr-CA"/>
              </w:rPr>
            </w:pPr>
            <w:r w:rsidRPr="000E1B40">
              <w:rPr>
                <w:sz w:val="20"/>
                <w:u w:val="single"/>
                <w:lang w:val="fr-CA"/>
              </w:rPr>
              <w:t>Les juges LeBel, Karakatsanis et Wagner</w:t>
            </w:r>
          </w:p>
          <w:p w:rsidR="000E1B40" w:rsidRPr="000E1B40" w:rsidRDefault="000E1B40" w:rsidP="000E1B40">
            <w:pPr>
              <w:rPr>
                <w:sz w:val="20"/>
                <w:u w:val="single"/>
                <w:lang w:val="fr-CA"/>
              </w:rPr>
            </w:pPr>
          </w:p>
        </w:tc>
      </w:tr>
      <w:tr w:rsidR="000E1B40" w:rsidRPr="000E1B40" w:rsidTr="00E8338B">
        <w:trPr>
          <w:cantSplit/>
        </w:trPr>
        <w:tc>
          <w:tcPr>
            <w:tcW w:w="9576" w:type="dxa"/>
            <w:gridSpan w:val="2"/>
          </w:tcPr>
          <w:p w:rsidR="000E1B40" w:rsidRPr="000E1B40" w:rsidRDefault="000E1B40" w:rsidP="000E1B40">
            <w:pPr>
              <w:ind w:firstLine="720"/>
              <w:jc w:val="both"/>
              <w:rPr>
                <w:sz w:val="20"/>
                <w:lang w:val="fr-CA"/>
              </w:rPr>
            </w:pPr>
            <w:r w:rsidRPr="000E1B40">
              <w:rPr>
                <w:sz w:val="20"/>
                <w:lang w:val="fr-CA"/>
              </w:rPr>
              <w:t>La requête en prorogation du délai de signification et de dépôt de la demande d’autorisation d’appel est accueillie. La demande d’autorisation d’appel de l’arrêt de la Cour d’appel du Québec (Québec), numéro 200-09-007669-127, 2013 QCCA 410, daté du 7 mars 2013, est rejetée avec dépens.</w:t>
            </w:r>
          </w:p>
          <w:p w:rsidR="000E1B40" w:rsidRPr="000E1B40" w:rsidRDefault="000E1B40" w:rsidP="000E1B40">
            <w:pPr>
              <w:jc w:val="both"/>
              <w:rPr>
                <w:sz w:val="20"/>
                <w:lang w:val="fr-CA"/>
              </w:rPr>
            </w:pPr>
          </w:p>
          <w:p w:rsidR="000E1B40" w:rsidRPr="000E1B40" w:rsidRDefault="000E1B40" w:rsidP="000E1B40">
            <w:pPr>
              <w:ind w:firstLine="720"/>
              <w:jc w:val="both"/>
              <w:rPr>
                <w:sz w:val="20"/>
              </w:rPr>
            </w:pPr>
            <w:r w:rsidRPr="000E1B40">
              <w:rPr>
                <w:sz w:val="20"/>
              </w:rPr>
              <w:t>The motion for an extension of time to serve and file the application for leave to appeal is granted. The application for leave to appeal from the judgment of the Court of Appeal of Quebec (Québec), Number 200-09-007669-127, 2013 QCCA 410, dated March 7, 2013, is dismissed with costs.</w:t>
            </w:r>
          </w:p>
        </w:tc>
      </w:tr>
    </w:tbl>
    <w:p w:rsidR="00597D06" w:rsidRPr="000E1B40" w:rsidRDefault="00597D06" w:rsidP="000E2959">
      <w:pPr>
        <w:rPr>
          <w:sz w:val="20"/>
          <w:szCs w:val="20"/>
        </w:rPr>
      </w:pPr>
    </w:p>
    <w:p w:rsidR="00597D06" w:rsidRPr="001B157C" w:rsidRDefault="00597D06" w:rsidP="00597D06">
      <w:pPr>
        <w:rPr>
          <w:sz w:val="20"/>
          <w:szCs w:val="20"/>
          <w:u w:val="single"/>
        </w:rPr>
      </w:pPr>
      <w:r w:rsidRPr="001B157C">
        <w:rPr>
          <w:sz w:val="20"/>
          <w:szCs w:val="20"/>
          <w:u w:val="single"/>
        </w:rPr>
        <w:t>CASE SUMMARY</w:t>
      </w:r>
    </w:p>
    <w:p w:rsidR="00597D06" w:rsidRDefault="00597D06" w:rsidP="00597D0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14AE6" w:rsidRPr="00073183" w:rsidTr="00114AE6">
        <w:tc>
          <w:tcPr>
            <w:tcW w:w="5000" w:type="pct"/>
            <w:gridSpan w:val="3"/>
          </w:tcPr>
          <w:p w:rsidR="00114AE6" w:rsidRPr="00073183" w:rsidRDefault="00114AE6" w:rsidP="00114AE6">
            <w:pPr>
              <w:jc w:val="both"/>
              <w:rPr>
                <w:rFonts w:eastAsia="Calibri"/>
                <w:sz w:val="20"/>
              </w:rPr>
            </w:pPr>
            <w:r w:rsidRPr="00073183">
              <w:rPr>
                <w:rFonts w:eastAsia="Calibri"/>
                <w:sz w:val="20"/>
              </w:rPr>
              <w:t>Insurance – Group health insurance – Disability</w:t>
            </w:r>
            <w:r w:rsidRPr="00073183">
              <w:rPr>
                <w:rFonts w:eastAsia="Calibri"/>
                <w:sz w:val="20"/>
              </w:rPr>
              <w:noBreakHyphen/>
              <w:t xml:space="preserve">related conditions in parapublic sector contract changed after start of performance of insurer’s obligation in case of 1,200 or more persons – Concepts of consolidated contract and new </w:t>
            </w:r>
            <w:r w:rsidRPr="00073183">
              <w:rPr>
                <w:rFonts w:eastAsia="Calibri"/>
                <w:sz w:val="20"/>
              </w:rPr>
              <w:lastRenderedPageBreak/>
              <w:t xml:space="preserve">contract – Applicability of </w:t>
            </w:r>
            <w:r w:rsidRPr="00073183">
              <w:rPr>
                <w:rFonts w:eastAsia="Calibri"/>
                <w:i/>
                <w:sz w:val="20"/>
              </w:rPr>
              <w:t>Lachapelle v. La Croix bleue</w:t>
            </w:r>
            <w:r w:rsidRPr="00073183">
              <w:rPr>
                <w:rFonts w:eastAsia="Calibri"/>
                <w:sz w:val="20"/>
              </w:rPr>
              <w:t xml:space="preserve">, [1996] R.R.A. 302 (C.A.) – Whether insurance contract amended, in relation to insured who have already begun benefiting from its performance by insurer, by restrictions placed on conditions of master policy by policyholder and insurer – If so, whether terms of master policy in issue permitted this application – Whether insurer can retroactively withdraw insurance coverage from disabled participants – Whether disability is peril insured against for purposes of waiver of premiums in event of disability in group health insurance – Whether Court of Appeal erred in law in answering these questions – Whether aggrieved insured entitled to compensation – </w:t>
            </w:r>
            <w:r w:rsidRPr="00073183">
              <w:rPr>
                <w:rFonts w:eastAsia="Calibri"/>
                <w:i/>
                <w:sz w:val="20"/>
              </w:rPr>
              <w:t>Civil Code of Québec</w:t>
            </w:r>
            <w:r w:rsidRPr="00073183">
              <w:rPr>
                <w:rFonts w:eastAsia="Calibri"/>
                <w:sz w:val="20"/>
              </w:rPr>
              <w:t>, S.Q. 1991, c. 64, art. 2392.</w:t>
            </w:r>
          </w:p>
        </w:tc>
      </w:tr>
      <w:tr w:rsidR="00114AE6" w:rsidRPr="00073183" w:rsidTr="00114AE6">
        <w:tc>
          <w:tcPr>
            <w:tcW w:w="5000" w:type="pct"/>
            <w:gridSpan w:val="3"/>
          </w:tcPr>
          <w:p w:rsidR="00114AE6" w:rsidRPr="00073183" w:rsidRDefault="00114AE6" w:rsidP="00114AE6">
            <w:pPr>
              <w:jc w:val="both"/>
              <w:rPr>
                <w:rFonts w:eastAsia="Calibri"/>
                <w:sz w:val="20"/>
              </w:rPr>
            </w:pPr>
          </w:p>
        </w:tc>
      </w:tr>
      <w:tr w:rsidR="00114AE6" w:rsidRPr="00073183" w:rsidTr="00114AE6">
        <w:tc>
          <w:tcPr>
            <w:tcW w:w="5000" w:type="pct"/>
            <w:gridSpan w:val="3"/>
          </w:tcPr>
          <w:p w:rsidR="00114AE6" w:rsidRPr="00073183" w:rsidRDefault="00114AE6" w:rsidP="00114AE6">
            <w:pPr>
              <w:jc w:val="both"/>
              <w:rPr>
                <w:rFonts w:eastAsia="Calibri"/>
                <w:sz w:val="20"/>
              </w:rPr>
            </w:pPr>
            <w:r w:rsidRPr="00073183">
              <w:rPr>
                <w:rFonts w:eastAsia="Calibri"/>
                <w:sz w:val="20"/>
              </w:rPr>
              <w:t>The applicants, as insured from the parapublic sector who became disabled in 1996 and 1997, respectively, represent two groups totalling just over 1,200 persons in their class action against the respondent insurers.  Their initial health insurance contract from 1991, which was consolidated in 1997 and 2001, provided, in the event of disability, for both coverage until age 65 and the waiver of premiums.  Since January 1, 1997, a clause in the master policy has made it possible to apply changes to the terms to all insured, regardless of their status.  The applicant Mr. Tremblay and the other members of his group were notified of the termination of insurance coverage because of a change of union affiliation that occurred in 2001.  The applicant Mr. Beaver and the other members of his group were notified of the termination of the waiver of premiums because of a change made to the policy in 2008 limiting the duration of that benefit.</w:t>
            </w:r>
          </w:p>
          <w:p w:rsidR="00114AE6" w:rsidRPr="00073183" w:rsidRDefault="00114AE6" w:rsidP="00114AE6">
            <w:pPr>
              <w:jc w:val="both"/>
              <w:rPr>
                <w:rFonts w:eastAsia="Calibri"/>
                <w:sz w:val="20"/>
              </w:rPr>
            </w:pPr>
          </w:p>
        </w:tc>
      </w:tr>
      <w:tr w:rsidR="00114AE6" w:rsidRPr="00073183" w:rsidTr="00114AE6">
        <w:tc>
          <w:tcPr>
            <w:tcW w:w="2427" w:type="pct"/>
          </w:tcPr>
          <w:p w:rsidR="00114AE6" w:rsidRPr="00073183" w:rsidRDefault="00114AE6" w:rsidP="00114AE6">
            <w:pPr>
              <w:jc w:val="both"/>
              <w:rPr>
                <w:rFonts w:eastAsia="Calibri"/>
                <w:sz w:val="20"/>
              </w:rPr>
            </w:pPr>
            <w:r w:rsidRPr="00073183">
              <w:rPr>
                <w:rFonts w:eastAsia="Calibri"/>
                <w:sz w:val="20"/>
              </w:rPr>
              <w:t>February 8, 2012</w:t>
            </w:r>
          </w:p>
          <w:p w:rsidR="00114AE6" w:rsidRPr="00073183" w:rsidRDefault="00114AE6" w:rsidP="00114AE6">
            <w:pPr>
              <w:jc w:val="both"/>
              <w:rPr>
                <w:rFonts w:eastAsia="Calibri"/>
                <w:sz w:val="20"/>
              </w:rPr>
            </w:pPr>
            <w:r w:rsidRPr="00073183">
              <w:rPr>
                <w:rFonts w:eastAsia="Calibri"/>
                <w:sz w:val="20"/>
              </w:rPr>
              <w:t>Quebec Superior Court</w:t>
            </w:r>
          </w:p>
          <w:p w:rsidR="00114AE6" w:rsidRPr="00073183" w:rsidRDefault="00114AE6" w:rsidP="00114AE6">
            <w:pPr>
              <w:jc w:val="both"/>
              <w:rPr>
                <w:rFonts w:eastAsia="Calibri"/>
                <w:sz w:val="20"/>
              </w:rPr>
            </w:pPr>
            <w:r w:rsidRPr="00073183">
              <w:rPr>
                <w:rFonts w:eastAsia="Calibri"/>
                <w:sz w:val="20"/>
              </w:rPr>
              <w:t>(Lemelin J.)</w:t>
            </w:r>
          </w:p>
          <w:p w:rsidR="00114AE6" w:rsidRPr="00073183" w:rsidRDefault="00114AE6" w:rsidP="00114AE6">
            <w:pPr>
              <w:jc w:val="both"/>
              <w:rPr>
                <w:rFonts w:eastAsia="Calibri"/>
                <w:sz w:val="20"/>
              </w:rPr>
            </w:pPr>
            <w:r w:rsidRPr="00073183">
              <w:rPr>
                <w:rFonts w:eastAsia="Calibri"/>
                <w:sz w:val="20"/>
              </w:rPr>
              <w:t>2012 QCCS 746</w:t>
            </w:r>
          </w:p>
          <w:p w:rsidR="00114AE6" w:rsidRPr="00073183" w:rsidRDefault="00114AE6" w:rsidP="00114AE6">
            <w:pPr>
              <w:jc w:val="both"/>
              <w:rPr>
                <w:rFonts w:eastAsia="Calibri"/>
                <w:sz w:val="20"/>
              </w:rPr>
            </w:pPr>
          </w:p>
        </w:tc>
        <w:tc>
          <w:tcPr>
            <w:tcW w:w="243" w:type="pct"/>
          </w:tcPr>
          <w:p w:rsidR="00114AE6" w:rsidRPr="00073183" w:rsidRDefault="00114AE6" w:rsidP="00114AE6">
            <w:pPr>
              <w:jc w:val="both"/>
              <w:rPr>
                <w:rFonts w:eastAsia="Calibri"/>
                <w:sz w:val="20"/>
              </w:rPr>
            </w:pPr>
          </w:p>
        </w:tc>
        <w:tc>
          <w:tcPr>
            <w:tcW w:w="2330" w:type="pct"/>
          </w:tcPr>
          <w:p w:rsidR="00114AE6" w:rsidRPr="00073183" w:rsidRDefault="00114AE6" w:rsidP="00114AE6">
            <w:pPr>
              <w:jc w:val="both"/>
              <w:rPr>
                <w:rFonts w:eastAsia="Calibri"/>
                <w:sz w:val="20"/>
              </w:rPr>
            </w:pPr>
            <w:r w:rsidRPr="00073183">
              <w:rPr>
                <w:rFonts w:eastAsia="Calibri"/>
                <w:sz w:val="20"/>
              </w:rPr>
              <w:t>Class actions in which applicants acting as representatives dismissed</w:t>
            </w:r>
          </w:p>
          <w:p w:rsidR="00114AE6" w:rsidRPr="00073183" w:rsidRDefault="00114AE6" w:rsidP="00114AE6">
            <w:pPr>
              <w:jc w:val="both"/>
              <w:rPr>
                <w:rFonts w:eastAsia="Calibri"/>
                <w:sz w:val="20"/>
              </w:rPr>
            </w:pPr>
          </w:p>
        </w:tc>
      </w:tr>
      <w:tr w:rsidR="00114AE6" w:rsidRPr="00073183" w:rsidTr="00114AE6">
        <w:tc>
          <w:tcPr>
            <w:tcW w:w="2427" w:type="pct"/>
          </w:tcPr>
          <w:p w:rsidR="00114AE6" w:rsidRPr="00073183" w:rsidRDefault="00114AE6" w:rsidP="00114AE6">
            <w:pPr>
              <w:jc w:val="both"/>
              <w:rPr>
                <w:rFonts w:eastAsia="Calibri"/>
                <w:sz w:val="20"/>
              </w:rPr>
            </w:pPr>
            <w:r w:rsidRPr="00073183">
              <w:rPr>
                <w:rFonts w:eastAsia="Calibri"/>
                <w:sz w:val="20"/>
              </w:rPr>
              <w:t>March 7, 2013</w:t>
            </w:r>
          </w:p>
          <w:p w:rsidR="00114AE6" w:rsidRPr="00073183" w:rsidRDefault="00114AE6" w:rsidP="00114AE6">
            <w:pPr>
              <w:jc w:val="both"/>
              <w:rPr>
                <w:rFonts w:eastAsia="Calibri"/>
                <w:sz w:val="20"/>
              </w:rPr>
            </w:pPr>
            <w:r w:rsidRPr="00073183">
              <w:rPr>
                <w:rFonts w:eastAsia="Calibri"/>
                <w:sz w:val="20"/>
              </w:rPr>
              <w:t>Quebec Court of Appeal (Québec)</w:t>
            </w:r>
          </w:p>
          <w:p w:rsidR="00114AE6" w:rsidRPr="00073183" w:rsidRDefault="00114AE6" w:rsidP="00114AE6">
            <w:pPr>
              <w:jc w:val="both"/>
              <w:rPr>
                <w:rFonts w:eastAsia="Calibri"/>
                <w:sz w:val="20"/>
              </w:rPr>
            </w:pPr>
            <w:r w:rsidRPr="00073183">
              <w:rPr>
                <w:rFonts w:eastAsia="Calibri"/>
                <w:sz w:val="20"/>
              </w:rPr>
              <w:t>(Thibault, Pelletier and Bouchard JJ.A.)</w:t>
            </w:r>
          </w:p>
          <w:p w:rsidR="00114AE6" w:rsidRPr="00073183" w:rsidRDefault="007C5411" w:rsidP="00114AE6">
            <w:pPr>
              <w:jc w:val="both"/>
              <w:rPr>
                <w:rFonts w:eastAsia="Calibri"/>
                <w:sz w:val="20"/>
              </w:rPr>
            </w:pPr>
            <w:hyperlink r:id="rId31" w:history="1">
              <w:r w:rsidR="00114AE6" w:rsidRPr="00073183">
                <w:rPr>
                  <w:rFonts w:eastAsia="Calibri"/>
                  <w:color w:val="0000FF"/>
                  <w:sz w:val="20"/>
                  <w:u w:val="single"/>
                </w:rPr>
                <w:t>2013 QCCA 410</w:t>
              </w:r>
            </w:hyperlink>
          </w:p>
          <w:p w:rsidR="00114AE6" w:rsidRPr="00073183" w:rsidRDefault="00114AE6" w:rsidP="00114AE6">
            <w:pPr>
              <w:jc w:val="both"/>
              <w:rPr>
                <w:rFonts w:eastAsia="Calibri"/>
                <w:sz w:val="20"/>
              </w:rPr>
            </w:pPr>
          </w:p>
        </w:tc>
        <w:tc>
          <w:tcPr>
            <w:tcW w:w="243" w:type="pct"/>
          </w:tcPr>
          <w:p w:rsidR="00114AE6" w:rsidRPr="00073183" w:rsidRDefault="00114AE6" w:rsidP="00114AE6">
            <w:pPr>
              <w:jc w:val="both"/>
              <w:rPr>
                <w:rFonts w:eastAsia="Calibri"/>
                <w:sz w:val="20"/>
              </w:rPr>
            </w:pPr>
          </w:p>
        </w:tc>
        <w:tc>
          <w:tcPr>
            <w:tcW w:w="2330" w:type="pct"/>
          </w:tcPr>
          <w:p w:rsidR="00114AE6" w:rsidRPr="00073183" w:rsidRDefault="00114AE6" w:rsidP="00114AE6">
            <w:pPr>
              <w:jc w:val="both"/>
              <w:rPr>
                <w:rFonts w:eastAsia="Calibri"/>
                <w:sz w:val="20"/>
              </w:rPr>
            </w:pPr>
            <w:r w:rsidRPr="00073183">
              <w:rPr>
                <w:rFonts w:eastAsia="Calibri"/>
                <w:sz w:val="20"/>
              </w:rPr>
              <w:t>Appeal dismissed</w:t>
            </w:r>
          </w:p>
          <w:p w:rsidR="00114AE6" w:rsidRPr="00073183" w:rsidRDefault="00114AE6" w:rsidP="00114AE6">
            <w:pPr>
              <w:jc w:val="both"/>
              <w:rPr>
                <w:rFonts w:eastAsia="Calibri"/>
                <w:sz w:val="20"/>
              </w:rPr>
            </w:pPr>
          </w:p>
        </w:tc>
      </w:tr>
      <w:tr w:rsidR="00114AE6" w:rsidRPr="00073183" w:rsidTr="00114AE6">
        <w:tc>
          <w:tcPr>
            <w:tcW w:w="2427" w:type="pct"/>
          </w:tcPr>
          <w:p w:rsidR="00114AE6" w:rsidRPr="00073183" w:rsidRDefault="00114AE6" w:rsidP="00114AE6">
            <w:pPr>
              <w:jc w:val="both"/>
              <w:rPr>
                <w:rFonts w:eastAsia="Calibri"/>
                <w:sz w:val="20"/>
              </w:rPr>
            </w:pPr>
            <w:r w:rsidRPr="00073183">
              <w:rPr>
                <w:rFonts w:eastAsia="Calibri"/>
                <w:sz w:val="20"/>
              </w:rPr>
              <w:t>May 6, 2013</w:t>
            </w:r>
          </w:p>
          <w:p w:rsidR="00114AE6" w:rsidRPr="00073183" w:rsidRDefault="00114AE6" w:rsidP="00114AE6">
            <w:pPr>
              <w:jc w:val="both"/>
              <w:rPr>
                <w:rFonts w:eastAsia="Calibri"/>
                <w:sz w:val="20"/>
              </w:rPr>
            </w:pPr>
            <w:r w:rsidRPr="00073183">
              <w:rPr>
                <w:rFonts w:eastAsia="Calibri"/>
                <w:sz w:val="20"/>
              </w:rPr>
              <w:t>Supreme Court of Canada</w:t>
            </w:r>
          </w:p>
        </w:tc>
        <w:tc>
          <w:tcPr>
            <w:tcW w:w="243" w:type="pct"/>
          </w:tcPr>
          <w:p w:rsidR="00114AE6" w:rsidRPr="00073183" w:rsidRDefault="00114AE6" w:rsidP="00114AE6">
            <w:pPr>
              <w:jc w:val="both"/>
              <w:rPr>
                <w:rFonts w:eastAsia="Calibri"/>
                <w:sz w:val="20"/>
              </w:rPr>
            </w:pPr>
          </w:p>
        </w:tc>
        <w:tc>
          <w:tcPr>
            <w:tcW w:w="2330" w:type="pct"/>
          </w:tcPr>
          <w:p w:rsidR="00114AE6" w:rsidRPr="00073183" w:rsidRDefault="00114AE6" w:rsidP="00114AE6">
            <w:pPr>
              <w:jc w:val="both"/>
              <w:rPr>
                <w:rFonts w:eastAsia="Calibri"/>
                <w:sz w:val="20"/>
              </w:rPr>
            </w:pPr>
            <w:r w:rsidRPr="00073183">
              <w:rPr>
                <w:rFonts w:eastAsia="Calibri"/>
                <w:sz w:val="20"/>
              </w:rPr>
              <w:t>Application for leave to appeal and motion to extend time to serve and file application filed</w:t>
            </w:r>
          </w:p>
        </w:tc>
      </w:tr>
    </w:tbl>
    <w:p w:rsidR="00597D06" w:rsidRDefault="00597D06" w:rsidP="00597D06">
      <w:pPr>
        <w:rPr>
          <w:sz w:val="20"/>
          <w:szCs w:val="20"/>
        </w:rPr>
      </w:pPr>
    </w:p>
    <w:p w:rsidR="00597D06" w:rsidRPr="00C50A5C" w:rsidRDefault="007C5411" w:rsidP="00597D06">
      <w:pPr>
        <w:rPr>
          <w:sz w:val="20"/>
          <w:szCs w:val="20"/>
        </w:rPr>
      </w:pPr>
      <w:r>
        <w:rPr>
          <w:sz w:val="20"/>
          <w:szCs w:val="20"/>
          <w:lang w:val="fr-CA"/>
        </w:rPr>
        <w:pict>
          <v:rect id="_x0000_i1040" style="width:2in;height:1pt" o:hrpct="0" o:hralign="center" o:hrstd="t" o:hrnoshade="t" o:hr="t" fillcolor="black [3213]" stroked="f"/>
        </w:pict>
      </w:r>
    </w:p>
    <w:p w:rsidR="00597D06" w:rsidRDefault="00597D06" w:rsidP="00597D06">
      <w:pPr>
        <w:rPr>
          <w:sz w:val="20"/>
          <w:szCs w:val="20"/>
        </w:rPr>
      </w:pPr>
    </w:p>
    <w:p w:rsidR="00597D06" w:rsidRPr="001B157C" w:rsidRDefault="00597D06" w:rsidP="00597D06">
      <w:pPr>
        <w:rPr>
          <w:sz w:val="20"/>
          <w:szCs w:val="20"/>
          <w:u w:val="single"/>
          <w:lang w:val="fr-CA"/>
        </w:rPr>
      </w:pPr>
      <w:r w:rsidRPr="001B157C">
        <w:rPr>
          <w:sz w:val="20"/>
          <w:szCs w:val="20"/>
          <w:u w:val="single"/>
          <w:lang w:val="fr-CA"/>
        </w:rPr>
        <w:t>RÉSUMÉ DE L’AFFAIRE</w:t>
      </w:r>
    </w:p>
    <w:p w:rsidR="00597D06" w:rsidRDefault="00597D06"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F69AD" w:rsidRPr="007C5411" w:rsidTr="008F755D">
        <w:tc>
          <w:tcPr>
            <w:tcW w:w="5000" w:type="pct"/>
            <w:gridSpan w:val="3"/>
          </w:tcPr>
          <w:p w:rsidR="000F69AD" w:rsidRPr="00073183" w:rsidRDefault="000F69AD" w:rsidP="008F755D">
            <w:pPr>
              <w:jc w:val="both"/>
              <w:rPr>
                <w:rFonts w:eastAsia="Calibri"/>
                <w:sz w:val="20"/>
                <w:lang w:val="fr-CA"/>
              </w:rPr>
            </w:pPr>
            <w:r w:rsidRPr="00073183">
              <w:rPr>
                <w:rFonts w:eastAsia="Calibri"/>
                <w:sz w:val="20"/>
                <w:lang w:val="fr-CA"/>
              </w:rPr>
              <w:t xml:space="preserve">Assurance – Assurance maladie collective – Conditions relatives à l’invalidité contenues dans un contrat du secteur parapublic et modifiées après le début de l’exécution de l’obligation de l’assureur dans le cas de 1200 personnes ou plus – Notions de contrat consolidé et de nouveau contrat – Application ou non de </w:t>
            </w:r>
            <w:r w:rsidRPr="00073183">
              <w:rPr>
                <w:rFonts w:eastAsia="Calibri"/>
                <w:i/>
                <w:sz w:val="20"/>
                <w:lang w:val="fr-CA"/>
              </w:rPr>
              <w:t>Lachapelle c. La Croix bleue</w:t>
            </w:r>
            <w:r w:rsidRPr="00073183">
              <w:rPr>
                <w:rFonts w:eastAsia="Calibri"/>
                <w:sz w:val="20"/>
                <w:lang w:val="fr-CA"/>
              </w:rPr>
              <w:t>, (1996) R.R.A. 302 (C.A.) – Un contrat d’assurance est-il modifié, à l’égard des assurés ayant déjà commencé à bénéficier de son exécution par l’assureur, par les restrictions apportées aux conditions du contrat-cadre par le preneur et l’assureur? – Dans l’affirmative, les termes du contrat-cadre en litige permettaient-ils cette application? – L’assureur peut-il retirer rétroactivement la couverture d’assurance aux adhérents invalides? - L’invalidité est-elle le risque assuré aux fins d’exonération de primes en cas d’invalidité dans une assurance-maladie collective? – La Cour d’appel a</w:t>
            </w:r>
            <w:r w:rsidRPr="00073183">
              <w:rPr>
                <w:rFonts w:eastAsia="Calibri"/>
                <w:sz w:val="20"/>
                <w:lang w:val="fr-CA"/>
              </w:rPr>
              <w:noBreakHyphen/>
              <w:t xml:space="preserve">t-elle </w:t>
            </w:r>
            <w:r w:rsidRPr="00073183">
              <w:rPr>
                <w:rFonts w:eastAsia="Calibri"/>
                <w:sz w:val="20"/>
                <w:lang w:val="fr-CA"/>
              </w:rPr>
              <w:lastRenderedPageBreak/>
              <w:t xml:space="preserve">erré en droit en répondant à ces questions? – Les assurés lésés ont-ils droit à une compensation? -  </w:t>
            </w:r>
            <w:r w:rsidRPr="00073183">
              <w:rPr>
                <w:rFonts w:eastAsia="Calibri"/>
                <w:i/>
                <w:sz w:val="20"/>
                <w:lang w:val="fr-CA"/>
              </w:rPr>
              <w:t>Code civil du Québec</w:t>
            </w:r>
            <w:r w:rsidRPr="00073183">
              <w:rPr>
                <w:rFonts w:eastAsia="Calibri"/>
                <w:sz w:val="20"/>
                <w:lang w:val="fr-CA"/>
              </w:rPr>
              <w:t>, L.Q. 1991, ch. 64, art. 2392.</w:t>
            </w:r>
          </w:p>
        </w:tc>
      </w:tr>
      <w:tr w:rsidR="000F69AD" w:rsidRPr="007C5411" w:rsidTr="008F755D">
        <w:tc>
          <w:tcPr>
            <w:tcW w:w="5000" w:type="pct"/>
            <w:gridSpan w:val="3"/>
          </w:tcPr>
          <w:p w:rsidR="000F69AD" w:rsidRPr="00073183" w:rsidRDefault="000F69AD" w:rsidP="008F755D">
            <w:pPr>
              <w:jc w:val="both"/>
              <w:rPr>
                <w:rFonts w:eastAsia="Calibri"/>
                <w:sz w:val="20"/>
                <w:lang w:val="fr-CA"/>
              </w:rPr>
            </w:pPr>
          </w:p>
        </w:tc>
      </w:tr>
      <w:tr w:rsidR="000F69AD" w:rsidRPr="007C5411" w:rsidTr="008F755D">
        <w:tc>
          <w:tcPr>
            <w:tcW w:w="5000" w:type="pct"/>
            <w:gridSpan w:val="3"/>
          </w:tcPr>
          <w:p w:rsidR="000F69AD" w:rsidRPr="00073183" w:rsidRDefault="000F69AD" w:rsidP="008F755D">
            <w:pPr>
              <w:jc w:val="both"/>
              <w:rPr>
                <w:rFonts w:eastAsia="Calibri"/>
                <w:sz w:val="20"/>
                <w:lang w:val="fr-CA"/>
              </w:rPr>
            </w:pPr>
            <w:r w:rsidRPr="00073183">
              <w:rPr>
                <w:rFonts w:eastAsia="Calibri"/>
                <w:sz w:val="20"/>
                <w:lang w:val="fr-CA"/>
              </w:rPr>
              <w:t>Les demandeurs, en tant qu’assurés du secteur parapublic devenus invalides en 1996 et 1997 respectivement, représentent deux groupes d’un peu plus de 1200 personnes en tout, dans leur recours collectif contre les assureurs intimés. Leur contrat d’assurance-maladie initial de 1991, consolidé en 1997 et 2001, comportait, outre la couverture jusqu’à l’âge de 65 ans en cas d’invalidité, une exonération de primes en cas d’invalidité. Une clause du contrat-cadre permet, depuis le 1</w:t>
            </w:r>
            <w:r w:rsidRPr="00073183">
              <w:rPr>
                <w:rFonts w:eastAsia="Calibri"/>
                <w:sz w:val="20"/>
                <w:vertAlign w:val="superscript"/>
                <w:lang w:val="fr-CA"/>
              </w:rPr>
              <w:t>er</w:t>
            </w:r>
            <w:r w:rsidRPr="00073183">
              <w:rPr>
                <w:rFonts w:eastAsia="Calibri"/>
                <w:sz w:val="20"/>
                <w:lang w:val="fr-CA"/>
              </w:rPr>
              <w:t xml:space="preserve"> janvier 1997, d’appliquer les modifications des termes à tous les assurés, sans égard à leur statut. Le demandeur Tremblay et les autres membres de son groupe ont été avisés de la fin de la couverture d’assurance au motif d’un changement d’affiliation syndicale, survenu en 2001. Le demandeur Beaver et les autres membres de son groupe ont été avisés de la fin de l’exonération de prime au motif d’une modification limitant la durée de ce bénéfice, introduite dans la police en 2008.</w:t>
            </w:r>
          </w:p>
          <w:p w:rsidR="000F69AD" w:rsidRPr="00073183" w:rsidRDefault="000F69AD" w:rsidP="008F755D">
            <w:pPr>
              <w:jc w:val="both"/>
              <w:rPr>
                <w:rFonts w:eastAsia="Calibri"/>
                <w:sz w:val="20"/>
                <w:lang w:val="fr-CA"/>
              </w:rPr>
            </w:pPr>
          </w:p>
        </w:tc>
      </w:tr>
      <w:tr w:rsidR="000F69AD" w:rsidRPr="007C5411" w:rsidTr="008F755D">
        <w:tc>
          <w:tcPr>
            <w:tcW w:w="2427" w:type="pct"/>
          </w:tcPr>
          <w:p w:rsidR="000F69AD" w:rsidRPr="00073183" w:rsidRDefault="000F69AD" w:rsidP="008F755D">
            <w:pPr>
              <w:jc w:val="both"/>
              <w:rPr>
                <w:rFonts w:eastAsia="Calibri"/>
                <w:sz w:val="20"/>
                <w:lang w:val="fr-CA"/>
              </w:rPr>
            </w:pPr>
            <w:r w:rsidRPr="00073183">
              <w:rPr>
                <w:rFonts w:eastAsia="Calibri"/>
                <w:sz w:val="20"/>
                <w:lang w:val="fr-CA"/>
              </w:rPr>
              <w:t>Le 8 février 2012</w:t>
            </w:r>
          </w:p>
          <w:p w:rsidR="000F69AD" w:rsidRPr="00073183" w:rsidRDefault="000F69AD" w:rsidP="008F755D">
            <w:pPr>
              <w:jc w:val="both"/>
              <w:rPr>
                <w:rFonts w:eastAsia="Calibri"/>
                <w:sz w:val="20"/>
                <w:lang w:val="fr-CA"/>
              </w:rPr>
            </w:pPr>
            <w:r w:rsidRPr="00073183">
              <w:rPr>
                <w:rFonts w:eastAsia="Calibri"/>
                <w:sz w:val="20"/>
                <w:lang w:val="fr-CA"/>
              </w:rPr>
              <w:t>Cour supérieure du Québec</w:t>
            </w:r>
          </w:p>
          <w:p w:rsidR="000F69AD" w:rsidRPr="00073183" w:rsidRDefault="000F69AD" w:rsidP="008F755D">
            <w:pPr>
              <w:jc w:val="both"/>
              <w:rPr>
                <w:rFonts w:eastAsia="Calibri"/>
                <w:sz w:val="20"/>
                <w:lang w:val="fr-CA"/>
              </w:rPr>
            </w:pPr>
            <w:r w:rsidRPr="00073183">
              <w:rPr>
                <w:rFonts w:eastAsia="Calibri"/>
                <w:sz w:val="20"/>
                <w:lang w:val="fr-CA"/>
              </w:rPr>
              <w:t>(Le juge Lemelin)</w:t>
            </w:r>
          </w:p>
          <w:p w:rsidR="000F69AD" w:rsidRPr="00073183" w:rsidRDefault="000F69AD" w:rsidP="008F755D">
            <w:pPr>
              <w:jc w:val="both"/>
              <w:rPr>
                <w:rFonts w:eastAsia="Calibri"/>
                <w:sz w:val="20"/>
                <w:lang w:val="fr-CA"/>
              </w:rPr>
            </w:pPr>
            <w:r w:rsidRPr="00073183">
              <w:rPr>
                <w:rFonts w:eastAsia="Calibri"/>
                <w:sz w:val="20"/>
                <w:lang w:val="fr-CA"/>
              </w:rPr>
              <w:t>2012 QCCS 746</w:t>
            </w:r>
          </w:p>
          <w:p w:rsidR="000F69AD" w:rsidRPr="00073183" w:rsidRDefault="000F69AD" w:rsidP="008F755D">
            <w:pPr>
              <w:jc w:val="both"/>
              <w:rPr>
                <w:rFonts w:eastAsia="Calibri"/>
                <w:sz w:val="20"/>
                <w:lang w:val="fr-CA"/>
              </w:rPr>
            </w:pPr>
          </w:p>
        </w:tc>
        <w:tc>
          <w:tcPr>
            <w:tcW w:w="243" w:type="pct"/>
          </w:tcPr>
          <w:p w:rsidR="000F69AD" w:rsidRPr="00073183" w:rsidRDefault="000F69AD" w:rsidP="008F755D">
            <w:pPr>
              <w:jc w:val="both"/>
              <w:rPr>
                <w:rFonts w:eastAsia="Calibri"/>
                <w:sz w:val="20"/>
                <w:lang w:val="fr-CA"/>
              </w:rPr>
            </w:pPr>
          </w:p>
        </w:tc>
        <w:tc>
          <w:tcPr>
            <w:tcW w:w="2330" w:type="pct"/>
          </w:tcPr>
          <w:p w:rsidR="000F69AD" w:rsidRPr="00073183" w:rsidRDefault="000F69AD" w:rsidP="008F755D">
            <w:pPr>
              <w:jc w:val="both"/>
              <w:rPr>
                <w:rFonts w:eastAsia="Calibri"/>
                <w:sz w:val="20"/>
                <w:lang w:val="fr-CA"/>
              </w:rPr>
            </w:pPr>
            <w:r w:rsidRPr="00073183">
              <w:rPr>
                <w:rFonts w:eastAsia="Calibri"/>
                <w:sz w:val="20"/>
                <w:lang w:val="fr-CA"/>
              </w:rPr>
              <w:t>Rejet des recours collectifs dans lesquels les demandeurs agissent comme représentants.</w:t>
            </w:r>
          </w:p>
          <w:p w:rsidR="000F69AD" w:rsidRPr="00073183" w:rsidRDefault="000F69AD" w:rsidP="008F755D">
            <w:pPr>
              <w:jc w:val="both"/>
              <w:rPr>
                <w:rFonts w:eastAsia="Calibri"/>
                <w:sz w:val="20"/>
                <w:lang w:val="fr-CA"/>
              </w:rPr>
            </w:pPr>
          </w:p>
        </w:tc>
      </w:tr>
      <w:tr w:rsidR="000F69AD" w:rsidRPr="00073183" w:rsidTr="000E1B40">
        <w:trPr>
          <w:cantSplit/>
        </w:trPr>
        <w:tc>
          <w:tcPr>
            <w:tcW w:w="2427" w:type="pct"/>
          </w:tcPr>
          <w:p w:rsidR="000F69AD" w:rsidRPr="00073183" w:rsidRDefault="000F69AD" w:rsidP="008F755D">
            <w:pPr>
              <w:jc w:val="both"/>
              <w:rPr>
                <w:rFonts w:eastAsia="Calibri"/>
                <w:sz w:val="20"/>
                <w:lang w:val="fr-CA"/>
              </w:rPr>
            </w:pPr>
            <w:r w:rsidRPr="00073183">
              <w:rPr>
                <w:rFonts w:eastAsia="Calibri"/>
                <w:sz w:val="20"/>
                <w:lang w:val="fr-CA"/>
              </w:rPr>
              <w:t>Le 7 mars 2013</w:t>
            </w:r>
          </w:p>
          <w:p w:rsidR="000F69AD" w:rsidRPr="00073183" w:rsidRDefault="000F69AD" w:rsidP="008F755D">
            <w:pPr>
              <w:jc w:val="both"/>
              <w:rPr>
                <w:rFonts w:eastAsia="Calibri"/>
                <w:sz w:val="20"/>
                <w:lang w:val="fr-CA"/>
              </w:rPr>
            </w:pPr>
            <w:r w:rsidRPr="00073183">
              <w:rPr>
                <w:rFonts w:eastAsia="Calibri"/>
                <w:sz w:val="20"/>
                <w:lang w:val="fr-CA"/>
              </w:rPr>
              <w:t>Cour d’appel du Québec (Québec)</w:t>
            </w:r>
          </w:p>
          <w:p w:rsidR="000F69AD" w:rsidRPr="00073183" w:rsidRDefault="000F69AD" w:rsidP="008F755D">
            <w:pPr>
              <w:jc w:val="both"/>
              <w:rPr>
                <w:rFonts w:eastAsia="Calibri"/>
                <w:sz w:val="20"/>
                <w:lang w:val="fr-CA"/>
              </w:rPr>
            </w:pPr>
            <w:r w:rsidRPr="00073183">
              <w:rPr>
                <w:rFonts w:eastAsia="Calibri"/>
                <w:sz w:val="20"/>
                <w:lang w:val="fr-CA"/>
              </w:rPr>
              <w:t>(Les juges Thibault, Pelletier et Bouchard)</w:t>
            </w:r>
          </w:p>
          <w:p w:rsidR="000F69AD" w:rsidRPr="00073183" w:rsidRDefault="007C5411" w:rsidP="008F755D">
            <w:pPr>
              <w:jc w:val="both"/>
              <w:rPr>
                <w:rFonts w:eastAsia="Calibri"/>
                <w:sz w:val="20"/>
                <w:lang w:val="fr-CA"/>
              </w:rPr>
            </w:pPr>
            <w:hyperlink r:id="rId32" w:history="1">
              <w:r w:rsidR="000F69AD" w:rsidRPr="00073183">
                <w:rPr>
                  <w:rFonts w:eastAsia="Calibri"/>
                  <w:color w:val="0000FF"/>
                  <w:sz w:val="20"/>
                  <w:u w:val="single"/>
                  <w:lang w:val="fr-CA"/>
                </w:rPr>
                <w:t>2013 QCCA 410</w:t>
              </w:r>
            </w:hyperlink>
          </w:p>
          <w:p w:rsidR="000F69AD" w:rsidRPr="00073183" w:rsidRDefault="000F69AD" w:rsidP="008F755D">
            <w:pPr>
              <w:jc w:val="both"/>
              <w:rPr>
                <w:rFonts w:eastAsia="Calibri"/>
                <w:sz w:val="20"/>
                <w:lang w:val="fr-CA"/>
              </w:rPr>
            </w:pPr>
          </w:p>
        </w:tc>
        <w:tc>
          <w:tcPr>
            <w:tcW w:w="243" w:type="pct"/>
          </w:tcPr>
          <w:p w:rsidR="000F69AD" w:rsidRPr="00073183" w:rsidRDefault="000F69AD" w:rsidP="008F755D">
            <w:pPr>
              <w:jc w:val="both"/>
              <w:rPr>
                <w:rFonts w:eastAsia="Calibri"/>
                <w:sz w:val="20"/>
                <w:lang w:val="fr-CA"/>
              </w:rPr>
            </w:pPr>
          </w:p>
        </w:tc>
        <w:tc>
          <w:tcPr>
            <w:tcW w:w="2330" w:type="pct"/>
          </w:tcPr>
          <w:p w:rsidR="000F69AD" w:rsidRPr="00073183" w:rsidRDefault="000F69AD" w:rsidP="008F755D">
            <w:pPr>
              <w:jc w:val="both"/>
              <w:rPr>
                <w:rFonts w:eastAsia="Calibri"/>
                <w:sz w:val="20"/>
                <w:lang w:val="fr-CA"/>
              </w:rPr>
            </w:pPr>
            <w:r w:rsidRPr="00073183">
              <w:rPr>
                <w:rFonts w:eastAsia="Calibri"/>
                <w:sz w:val="20"/>
                <w:lang w:val="fr-CA"/>
              </w:rPr>
              <w:t>Rejet de l’appel.</w:t>
            </w:r>
          </w:p>
          <w:p w:rsidR="000F69AD" w:rsidRPr="00073183" w:rsidRDefault="000F69AD" w:rsidP="008F755D">
            <w:pPr>
              <w:jc w:val="both"/>
              <w:rPr>
                <w:rFonts w:eastAsia="Calibri"/>
                <w:sz w:val="20"/>
                <w:lang w:val="fr-CA"/>
              </w:rPr>
            </w:pPr>
          </w:p>
        </w:tc>
      </w:tr>
      <w:tr w:rsidR="000F69AD" w:rsidRPr="007C5411" w:rsidTr="000E1B40">
        <w:trPr>
          <w:cantSplit/>
        </w:trPr>
        <w:tc>
          <w:tcPr>
            <w:tcW w:w="2427" w:type="pct"/>
          </w:tcPr>
          <w:p w:rsidR="000F69AD" w:rsidRPr="00073183" w:rsidRDefault="000F69AD" w:rsidP="008F755D">
            <w:pPr>
              <w:jc w:val="both"/>
              <w:rPr>
                <w:rFonts w:eastAsia="Calibri"/>
                <w:sz w:val="20"/>
                <w:lang w:val="fr-CA"/>
              </w:rPr>
            </w:pPr>
            <w:r w:rsidRPr="00073183">
              <w:rPr>
                <w:rFonts w:eastAsia="Calibri"/>
                <w:sz w:val="20"/>
                <w:lang w:val="fr-CA"/>
              </w:rPr>
              <w:t>Le 6 mai 2013</w:t>
            </w:r>
          </w:p>
          <w:p w:rsidR="000F69AD" w:rsidRPr="00073183" w:rsidRDefault="000F69AD" w:rsidP="008F755D">
            <w:pPr>
              <w:jc w:val="both"/>
              <w:rPr>
                <w:rFonts w:eastAsia="Calibri"/>
                <w:sz w:val="20"/>
                <w:lang w:val="fr-CA"/>
              </w:rPr>
            </w:pPr>
            <w:r w:rsidRPr="00073183">
              <w:rPr>
                <w:rFonts w:eastAsia="Calibri"/>
                <w:sz w:val="20"/>
                <w:lang w:val="fr-CA"/>
              </w:rPr>
              <w:t>Cour suprême du Canada</w:t>
            </w:r>
          </w:p>
        </w:tc>
        <w:tc>
          <w:tcPr>
            <w:tcW w:w="243" w:type="pct"/>
          </w:tcPr>
          <w:p w:rsidR="000F69AD" w:rsidRPr="00073183" w:rsidRDefault="000F69AD" w:rsidP="008F755D">
            <w:pPr>
              <w:jc w:val="both"/>
              <w:rPr>
                <w:rFonts w:eastAsia="Calibri"/>
                <w:sz w:val="20"/>
                <w:lang w:val="fr-CA"/>
              </w:rPr>
            </w:pPr>
          </w:p>
        </w:tc>
        <w:tc>
          <w:tcPr>
            <w:tcW w:w="2330" w:type="pct"/>
          </w:tcPr>
          <w:p w:rsidR="000F69AD" w:rsidRPr="00073183" w:rsidRDefault="000F69AD" w:rsidP="008F755D">
            <w:pPr>
              <w:jc w:val="both"/>
              <w:rPr>
                <w:rFonts w:eastAsia="Calibri"/>
                <w:sz w:val="20"/>
                <w:lang w:val="fr-CA"/>
              </w:rPr>
            </w:pPr>
            <w:r w:rsidRPr="00073183">
              <w:rPr>
                <w:rFonts w:eastAsia="Calibri"/>
                <w:sz w:val="20"/>
                <w:lang w:val="fr-CA"/>
              </w:rPr>
              <w:t>Dépôt de la demande d'autorisation d'appel et de la requête en prorogation du délai pour la déposer et la signifier.</w:t>
            </w:r>
          </w:p>
        </w:tc>
      </w:tr>
    </w:tbl>
    <w:p w:rsidR="00597D06" w:rsidRPr="000F69AD" w:rsidRDefault="00597D06" w:rsidP="000E2959">
      <w:pPr>
        <w:rPr>
          <w:sz w:val="20"/>
          <w:szCs w:val="20"/>
          <w:lang w:val="fr-CA"/>
        </w:rPr>
      </w:pPr>
    </w:p>
    <w:p w:rsidR="00597D06" w:rsidRDefault="007C5411" w:rsidP="000E2959">
      <w:pPr>
        <w:rPr>
          <w:sz w:val="20"/>
          <w:szCs w:val="20"/>
        </w:rPr>
      </w:pPr>
      <w:r>
        <w:rPr>
          <w:sz w:val="20"/>
          <w:szCs w:val="20"/>
          <w:lang w:val="fr-CA"/>
        </w:rPr>
        <w:pict>
          <v:rect id="_x0000_i1041" style="width:2in;height:1pt" o:hrpct="0" o:hralign="center" o:hrstd="t" o:hrnoshade="t" o:hr="t" fillcolor="black [3213]" stroked="f"/>
        </w:pict>
      </w:r>
    </w:p>
    <w:p w:rsidR="00597D06" w:rsidRDefault="00597D06" w:rsidP="000E2959">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1B40" w:rsidRPr="000E1B40" w:rsidTr="00E8338B">
        <w:trPr>
          <w:cantSplit/>
        </w:trPr>
        <w:tc>
          <w:tcPr>
            <w:tcW w:w="1458" w:type="dxa"/>
          </w:tcPr>
          <w:p w:rsidR="000E1B40" w:rsidRPr="000E1B40" w:rsidRDefault="000E1B40" w:rsidP="000E1B40">
            <w:pPr>
              <w:rPr>
                <w:sz w:val="20"/>
              </w:rPr>
            </w:pPr>
            <w:r w:rsidRPr="000E1B40">
              <w:rPr>
                <w:b/>
                <w:sz w:val="20"/>
                <w:lang w:val="fr-CA"/>
              </w:rPr>
              <w:t>35462</w:t>
            </w:r>
          </w:p>
          <w:p w:rsidR="000E1B40" w:rsidRPr="000E1B40" w:rsidRDefault="000E1B40" w:rsidP="000E1B40">
            <w:pPr>
              <w:rPr>
                <w:b/>
                <w:sz w:val="20"/>
                <w:lang w:val="fr-CA"/>
              </w:rPr>
            </w:pPr>
          </w:p>
        </w:tc>
        <w:tc>
          <w:tcPr>
            <w:tcW w:w="8118" w:type="dxa"/>
          </w:tcPr>
          <w:p w:rsidR="000E1B40" w:rsidRPr="000E1B40" w:rsidRDefault="000E1B40" w:rsidP="000E1B40">
            <w:pPr>
              <w:jc w:val="both"/>
              <w:rPr>
                <w:sz w:val="20"/>
              </w:rPr>
            </w:pPr>
            <w:r w:rsidRPr="000E1B40">
              <w:rPr>
                <w:b/>
                <w:sz w:val="20"/>
                <w:u w:val="single"/>
              </w:rPr>
              <w:t>Mokua Gichuru v. Amy Renee York and Prado Cafe Inc., both doing business as “Prado Cafe”</w:t>
            </w:r>
            <w:r w:rsidRPr="000E1B40">
              <w:rPr>
                <w:sz w:val="20"/>
              </w:rPr>
              <w:t xml:space="preserve"> (B.C.) (Civil) (By Leave)</w:t>
            </w:r>
          </w:p>
          <w:p w:rsidR="000E1B40" w:rsidRPr="000E1B40" w:rsidRDefault="000E1B40" w:rsidP="000E1B40">
            <w:pPr>
              <w:jc w:val="both"/>
              <w:rPr>
                <w:sz w:val="20"/>
              </w:rPr>
            </w:pPr>
          </w:p>
        </w:tc>
      </w:tr>
      <w:tr w:rsidR="000E1B40" w:rsidRPr="000E1B40" w:rsidTr="00E8338B">
        <w:trPr>
          <w:cantSplit/>
        </w:trPr>
        <w:tc>
          <w:tcPr>
            <w:tcW w:w="1458" w:type="dxa"/>
          </w:tcPr>
          <w:p w:rsidR="000E1B40" w:rsidRPr="000E1B40" w:rsidRDefault="000E1B40" w:rsidP="000E1B40">
            <w:pPr>
              <w:rPr>
                <w:sz w:val="20"/>
              </w:rPr>
            </w:pPr>
            <w:r w:rsidRPr="000E1B40">
              <w:rPr>
                <w:sz w:val="20"/>
              </w:rPr>
              <w:t>Coram :</w:t>
            </w:r>
          </w:p>
        </w:tc>
        <w:tc>
          <w:tcPr>
            <w:tcW w:w="8118" w:type="dxa"/>
          </w:tcPr>
          <w:p w:rsidR="000E1B40" w:rsidRPr="000E1B40" w:rsidRDefault="000E1B40" w:rsidP="000E1B40">
            <w:pPr>
              <w:rPr>
                <w:sz w:val="20"/>
              </w:rPr>
            </w:pPr>
            <w:r w:rsidRPr="000E1B40">
              <w:rPr>
                <w:sz w:val="20"/>
                <w:u w:val="single"/>
              </w:rPr>
              <w:t>McLachlin C.J. and Cromwell and Wagner JJ.</w:t>
            </w:r>
          </w:p>
          <w:p w:rsidR="000E1B40" w:rsidRPr="000E1B40" w:rsidRDefault="000E1B40" w:rsidP="000E1B40">
            <w:pPr>
              <w:rPr>
                <w:sz w:val="20"/>
                <w:u w:val="single"/>
              </w:rPr>
            </w:pPr>
          </w:p>
        </w:tc>
      </w:tr>
      <w:tr w:rsidR="000E1B40" w:rsidRPr="007C5411" w:rsidTr="00E8338B">
        <w:trPr>
          <w:cantSplit/>
        </w:trPr>
        <w:tc>
          <w:tcPr>
            <w:tcW w:w="9576" w:type="dxa"/>
            <w:gridSpan w:val="2"/>
          </w:tcPr>
          <w:p w:rsidR="000E1B40" w:rsidRPr="000E1B40" w:rsidRDefault="000E1B40" w:rsidP="000E1B40">
            <w:pPr>
              <w:ind w:firstLine="720"/>
              <w:jc w:val="both"/>
              <w:rPr>
                <w:sz w:val="20"/>
              </w:rPr>
            </w:pPr>
            <w:r w:rsidRPr="000E1B40">
              <w:rPr>
                <w:sz w:val="20"/>
              </w:rPr>
              <w:t>The application for leave to appeal from the judgment of the Court of Appeal for British Columbia (Vancouver), Numbers CA038962 and CA040320, 2013 BCCA 203, dated May 2, 2013, is dismissed without costs.</w:t>
            </w:r>
          </w:p>
          <w:p w:rsidR="000E1B40" w:rsidRPr="000E1B40" w:rsidRDefault="000E1B40" w:rsidP="000E1B40">
            <w:pPr>
              <w:jc w:val="both"/>
              <w:rPr>
                <w:sz w:val="20"/>
              </w:rPr>
            </w:pPr>
          </w:p>
          <w:p w:rsidR="000E1B40" w:rsidRPr="000E1B40" w:rsidRDefault="000E1B40" w:rsidP="000E1B40">
            <w:pPr>
              <w:ind w:firstLine="720"/>
              <w:jc w:val="both"/>
              <w:rPr>
                <w:sz w:val="20"/>
                <w:lang w:val="fr-CA"/>
              </w:rPr>
            </w:pPr>
            <w:r w:rsidRPr="000E1B40">
              <w:rPr>
                <w:sz w:val="20"/>
                <w:lang w:val="fr-CA"/>
              </w:rPr>
              <w:t>La demande d’autorisation d’appel de l’arrêt de la Cour d’appel de la Colombie-Britannique (Vancouver), numéros CA038962 et CA040320, 2013 BCCA 203, daté du 2 mai 2013, est rejetée sans dépens.</w:t>
            </w:r>
          </w:p>
        </w:tc>
      </w:tr>
    </w:tbl>
    <w:p w:rsidR="00114AE6" w:rsidRPr="000E1B40" w:rsidRDefault="00114AE6" w:rsidP="00114AE6">
      <w:pPr>
        <w:rPr>
          <w:sz w:val="20"/>
          <w:szCs w:val="20"/>
          <w:lang w:val="fr-CA"/>
        </w:rPr>
      </w:pPr>
    </w:p>
    <w:p w:rsidR="00114AE6" w:rsidRPr="001B157C" w:rsidRDefault="00114AE6" w:rsidP="00114AE6">
      <w:pPr>
        <w:rPr>
          <w:sz w:val="20"/>
          <w:szCs w:val="20"/>
          <w:u w:val="single"/>
        </w:rPr>
      </w:pPr>
      <w:r w:rsidRPr="001B157C">
        <w:rPr>
          <w:sz w:val="20"/>
          <w:szCs w:val="20"/>
          <w:u w:val="single"/>
        </w:rPr>
        <w:t>CASE SUMMARY</w:t>
      </w:r>
    </w:p>
    <w:p w:rsidR="00114AE6" w:rsidRDefault="00114AE6" w:rsidP="00114AE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F69AD" w:rsidRPr="00073183" w:rsidTr="008F755D">
        <w:tc>
          <w:tcPr>
            <w:tcW w:w="5000" w:type="pct"/>
            <w:gridSpan w:val="3"/>
          </w:tcPr>
          <w:p w:rsidR="000F69AD" w:rsidRPr="00073183" w:rsidRDefault="000F69AD" w:rsidP="008F755D">
            <w:pPr>
              <w:jc w:val="both"/>
              <w:rPr>
                <w:rFonts w:eastAsia="Calibri"/>
                <w:sz w:val="20"/>
              </w:rPr>
            </w:pPr>
            <w:r w:rsidRPr="00073183">
              <w:rPr>
                <w:rFonts w:eastAsia="Calibri"/>
                <w:sz w:val="20"/>
              </w:rPr>
              <w:lastRenderedPageBreak/>
              <w:t xml:space="preserve">Torts – Nuisance – Apartment dweller bringing action in nuisance for noise emanating from respondent’s business next door – Does a trial judge render a trial unfair by preventing parties from making submissions after close of cases and adjourning trial on his own motion in order to give the parties an opportunity to obtain further and better evidence? – Does a reasonable apprehension of bias arise when a judge issues a decision prior to receiving submissions on  issue decided? – Are costs for a “fast track” action required to be assessed in relation to the fixed costs that apply to such actions under the British Columbia </w:t>
            </w:r>
            <w:r w:rsidRPr="00073183">
              <w:rPr>
                <w:rFonts w:eastAsia="Calibri"/>
                <w:i/>
                <w:sz w:val="20"/>
              </w:rPr>
              <w:t>Supreme Court Civil Rules</w:t>
            </w:r>
            <w:r w:rsidRPr="00073183">
              <w:rPr>
                <w:rFonts w:eastAsia="Calibri"/>
                <w:sz w:val="20"/>
              </w:rPr>
              <w:t>? – Is “interference” that must be shown at first step of two-part test for private nuisance assessed in reference to extent or severity of defendant’s conduct or is it assessed in reference to effects of defendant’s conduct on plaintiff’s use of his or her property?</w:t>
            </w:r>
          </w:p>
        </w:tc>
      </w:tr>
      <w:tr w:rsidR="000F69AD" w:rsidRPr="00073183" w:rsidTr="008F755D">
        <w:tc>
          <w:tcPr>
            <w:tcW w:w="5000" w:type="pct"/>
            <w:gridSpan w:val="3"/>
          </w:tcPr>
          <w:p w:rsidR="000F69AD" w:rsidRPr="00073183" w:rsidRDefault="000F69AD" w:rsidP="008F755D">
            <w:pPr>
              <w:jc w:val="both"/>
              <w:rPr>
                <w:rFonts w:eastAsia="Calibri"/>
                <w:sz w:val="20"/>
              </w:rPr>
            </w:pPr>
          </w:p>
        </w:tc>
      </w:tr>
      <w:tr w:rsidR="000F69AD" w:rsidRPr="00073183" w:rsidTr="008F755D">
        <w:tc>
          <w:tcPr>
            <w:tcW w:w="5000" w:type="pct"/>
            <w:gridSpan w:val="3"/>
          </w:tcPr>
          <w:p w:rsidR="000F69AD" w:rsidRPr="00073183" w:rsidRDefault="000F69AD" w:rsidP="008F755D">
            <w:pPr>
              <w:jc w:val="both"/>
              <w:rPr>
                <w:rFonts w:eastAsia="Calibri"/>
                <w:sz w:val="20"/>
              </w:rPr>
            </w:pPr>
            <w:r w:rsidRPr="00073183">
              <w:rPr>
                <w:rFonts w:eastAsia="Calibri"/>
                <w:sz w:val="20"/>
              </w:rPr>
              <w:t>Mr. Gichuru brought an action against the Respondents, claiming damages for nuisance.  The apartment then occupied by Mr. Gichuru shared a common wall with the Prado Cafe.  He claimed that the bass sounds emanating from the café interfered with his sleep, his ability to concentrate on his work and the general enjoyment of his residence.  The matter went to trial.  At the close of evidence, the trial judge adjourned the trial, directing the parties to explore settlement and to gather evidence about the noise.  During the hiatus, Ms. York attended his premises with her boyfriend and a by-law enforcement officer to evaluate the disturbance but Mr. Gichuru refused them entry.</w:t>
            </w:r>
          </w:p>
          <w:p w:rsidR="000F69AD" w:rsidRPr="00073183" w:rsidRDefault="000F69AD" w:rsidP="008F755D">
            <w:pPr>
              <w:jc w:val="both"/>
              <w:rPr>
                <w:rFonts w:eastAsia="Calibri"/>
                <w:sz w:val="20"/>
              </w:rPr>
            </w:pPr>
          </w:p>
        </w:tc>
      </w:tr>
      <w:tr w:rsidR="000F69AD" w:rsidRPr="00073183" w:rsidTr="008F755D">
        <w:tc>
          <w:tcPr>
            <w:tcW w:w="2427" w:type="pct"/>
          </w:tcPr>
          <w:p w:rsidR="000F69AD" w:rsidRPr="00073183" w:rsidRDefault="000F69AD" w:rsidP="008F755D">
            <w:pPr>
              <w:jc w:val="both"/>
              <w:rPr>
                <w:rFonts w:eastAsia="Calibri"/>
                <w:sz w:val="20"/>
              </w:rPr>
            </w:pPr>
            <w:r w:rsidRPr="00073183">
              <w:rPr>
                <w:rFonts w:eastAsia="Calibri"/>
                <w:sz w:val="20"/>
              </w:rPr>
              <w:t>March 21, 2011</w:t>
            </w:r>
          </w:p>
          <w:p w:rsidR="000F69AD" w:rsidRPr="00073183" w:rsidRDefault="000F69AD" w:rsidP="008F755D">
            <w:pPr>
              <w:jc w:val="both"/>
              <w:rPr>
                <w:rFonts w:eastAsia="Calibri"/>
                <w:sz w:val="20"/>
              </w:rPr>
            </w:pPr>
            <w:r w:rsidRPr="00073183">
              <w:rPr>
                <w:rFonts w:eastAsia="Calibri"/>
                <w:sz w:val="20"/>
              </w:rPr>
              <w:t>Supreme Court of British Columbia</w:t>
            </w:r>
          </w:p>
          <w:p w:rsidR="000F69AD" w:rsidRPr="00073183" w:rsidRDefault="000F69AD" w:rsidP="008F755D">
            <w:pPr>
              <w:jc w:val="both"/>
              <w:rPr>
                <w:rFonts w:eastAsia="Calibri"/>
                <w:sz w:val="20"/>
              </w:rPr>
            </w:pPr>
            <w:r w:rsidRPr="00073183">
              <w:rPr>
                <w:rFonts w:eastAsia="Calibri"/>
                <w:sz w:val="20"/>
              </w:rPr>
              <w:t>(Bernard J.)</w:t>
            </w:r>
          </w:p>
          <w:p w:rsidR="000F69AD" w:rsidRPr="00073183" w:rsidRDefault="007C5411" w:rsidP="008F755D">
            <w:pPr>
              <w:jc w:val="both"/>
              <w:rPr>
                <w:rFonts w:eastAsia="Calibri"/>
                <w:sz w:val="20"/>
              </w:rPr>
            </w:pPr>
            <w:hyperlink r:id="rId33" w:history="1">
              <w:r w:rsidR="000F69AD" w:rsidRPr="00073183">
                <w:rPr>
                  <w:rFonts w:eastAsia="Calibri"/>
                  <w:color w:val="0000FF"/>
                  <w:sz w:val="20"/>
                  <w:u w:val="single"/>
                </w:rPr>
                <w:t>2011 BCSC 342</w:t>
              </w:r>
            </w:hyperlink>
          </w:p>
          <w:p w:rsidR="000F69AD" w:rsidRPr="00073183" w:rsidRDefault="000F69AD" w:rsidP="008F755D">
            <w:pPr>
              <w:jc w:val="both"/>
              <w:rPr>
                <w:rFonts w:eastAsia="Calibri"/>
                <w:sz w:val="20"/>
              </w:rPr>
            </w:pPr>
          </w:p>
        </w:tc>
        <w:tc>
          <w:tcPr>
            <w:tcW w:w="243" w:type="pct"/>
          </w:tcPr>
          <w:p w:rsidR="000F69AD" w:rsidRPr="00073183" w:rsidRDefault="000F69AD" w:rsidP="008F755D">
            <w:pPr>
              <w:jc w:val="both"/>
              <w:rPr>
                <w:rFonts w:eastAsia="Calibri"/>
                <w:sz w:val="20"/>
              </w:rPr>
            </w:pPr>
          </w:p>
        </w:tc>
        <w:tc>
          <w:tcPr>
            <w:tcW w:w="2330" w:type="pct"/>
          </w:tcPr>
          <w:p w:rsidR="000F69AD" w:rsidRPr="00073183" w:rsidRDefault="000F69AD" w:rsidP="008F755D">
            <w:pPr>
              <w:jc w:val="both"/>
              <w:rPr>
                <w:rFonts w:eastAsia="Calibri"/>
                <w:sz w:val="20"/>
              </w:rPr>
            </w:pPr>
            <w:r w:rsidRPr="00073183">
              <w:rPr>
                <w:rFonts w:eastAsia="Calibri"/>
                <w:sz w:val="20"/>
              </w:rPr>
              <w:t>Applicant’s action for damages for nuisance dismissed.  Costs on scale “B” awarded to respondents</w:t>
            </w:r>
          </w:p>
          <w:p w:rsidR="000F69AD" w:rsidRPr="00073183" w:rsidRDefault="000F69AD" w:rsidP="008F755D">
            <w:pPr>
              <w:jc w:val="both"/>
              <w:rPr>
                <w:rFonts w:eastAsia="Calibri"/>
                <w:sz w:val="20"/>
              </w:rPr>
            </w:pPr>
          </w:p>
          <w:p w:rsidR="000F69AD" w:rsidRPr="00073183" w:rsidRDefault="000F69AD" w:rsidP="008F755D">
            <w:pPr>
              <w:jc w:val="both"/>
              <w:rPr>
                <w:rFonts w:eastAsia="Calibri"/>
                <w:sz w:val="20"/>
              </w:rPr>
            </w:pPr>
          </w:p>
        </w:tc>
      </w:tr>
      <w:tr w:rsidR="000F69AD" w:rsidRPr="00073183" w:rsidTr="008F755D">
        <w:tc>
          <w:tcPr>
            <w:tcW w:w="2427" w:type="pct"/>
          </w:tcPr>
          <w:p w:rsidR="000F69AD" w:rsidRPr="00073183" w:rsidRDefault="000F69AD" w:rsidP="008F755D">
            <w:pPr>
              <w:jc w:val="both"/>
              <w:rPr>
                <w:rFonts w:eastAsia="Calibri"/>
                <w:sz w:val="20"/>
              </w:rPr>
            </w:pPr>
            <w:r w:rsidRPr="00073183">
              <w:rPr>
                <w:rFonts w:eastAsia="Calibri"/>
                <w:sz w:val="20"/>
              </w:rPr>
              <w:t>September 21, 2012</w:t>
            </w:r>
          </w:p>
          <w:p w:rsidR="000F69AD" w:rsidRPr="00073183" w:rsidRDefault="000F69AD" w:rsidP="008F755D">
            <w:pPr>
              <w:jc w:val="both"/>
              <w:rPr>
                <w:rFonts w:eastAsia="Calibri"/>
                <w:sz w:val="20"/>
              </w:rPr>
            </w:pPr>
            <w:r w:rsidRPr="00073183">
              <w:rPr>
                <w:rFonts w:eastAsia="Calibri"/>
                <w:sz w:val="20"/>
              </w:rPr>
              <w:t>Supreme Court of British Columbia</w:t>
            </w:r>
          </w:p>
          <w:p w:rsidR="000F69AD" w:rsidRPr="00073183" w:rsidRDefault="000F69AD" w:rsidP="008F755D">
            <w:pPr>
              <w:jc w:val="both"/>
              <w:rPr>
                <w:rFonts w:eastAsia="Calibri"/>
                <w:sz w:val="20"/>
              </w:rPr>
            </w:pPr>
            <w:r w:rsidRPr="00073183">
              <w:rPr>
                <w:rFonts w:eastAsia="Calibri"/>
                <w:sz w:val="20"/>
              </w:rPr>
              <w:t>(Bernard J.)</w:t>
            </w:r>
          </w:p>
          <w:p w:rsidR="000F69AD" w:rsidRPr="00073183" w:rsidRDefault="007C5411" w:rsidP="008F755D">
            <w:pPr>
              <w:jc w:val="both"/>
              <w:rPr>
                <w:rFonts w:eastAsia="Calibri"/>
                <w:sz w:val="20"/>
              </w:rPr>
            </w:pPr>
            <w:hyperlink r:id="rId34" w:history="1">
              <w:r w:rsidR="000F69AD" w:rsidRPr="00073183">
                <w:rPr>
                  <w:rFonts w:eastAsia="Calibri"/>
                  <w:color w:val="0000FF"/>
                  <w:sz w:val="20"/>
                  <w:u w:val="single"/>
                </w:rPr>
                <w:t>2012 BCSC 1385</w:t>
              </w:r>
            </w:hyperlink>
          </w:p>
          <w:p w:rsidR="000F69AD" w:rsidRPr="00073183" w:rsidRDefault="000F69AD" w:rsidP="008F755D">
            <w:pPr>
              <w:jc w:val="both"/>
              <w:rPr>
                <w:rFonts w:eastAsia="Calibri"/>
                <w:sz w:val="20"/>
              </w:rPr>
            </w:pPr>
          </w:p>
        </w:tc>
        <w:tc>
          <w:tcPr>
            <w:tcW w:w="243" w:type="pct"/>
          </w:tcPr>
          <w:p w:rsidR="000F69AD" w:rsidRPr="00073183" w:rsidRDefault="000F69AD" w:rsidP="008F755D">
            <w:pPr>
              <w:jc w:val="both"/>
              <w:rPr>
                <w:rFonts w:eastAsia="Calibri"/>
                <w:sz w:val="20"/>
              </w:rPr>
            </w:pPr>
          </w:p>
        </w:tc>
        <w:tc>
          <w:tcPr>
            <w:tcW w:w="2330" w:type="pct"/>
          </w:tcPr>
          <w:p w:rsidR="000F69AD" w:rsidRPr="00073183" w:rsidRDefault="000F69AD" w:rsidP="008F755D">
            <w:pPr>
              <w:jc w:val="both"/>
              <w:rPr>
                <w:rFonts w:eastAsia="Calibri"/>
                <w:sz w:val="20"/>
              </w:rPr>
            </w:pPr>
            <w:r w:rsidRPr="00073183">
              <w:rPr>
                <w:rFonts w:eastAsia="Calibri"/>
                <w:sz w:val="20"/>
              </w:rPr>
              <w:t>Applicant’s claim for special costs against respondents and their counsel dismissed.  Costs on scale “B” awarded to respondents</w:t>
            </w:r>
          </w:p>
          <w:p w:rsidR="000F69AD" w:rsidRPr="00073183" w:rsidRDefault="000F69AD" w:rsidP="008F755D">
            <w:pPr>
              <w:jc w:val="both"/>
              <w:rPr>
                <w:rFonts w:eastAsia="Calibri"/>
                <w:sz w:val="20"/>
              </w:rPr>
            </w:pPr>
          </w:p>
          <w:p w:rsidR="000F69AD" w:rsidRPr="00073183" w:rsidRDefault="000F69AD" w:rsidP="008F755D">
            <w:pPr>
              <w:jc w:val="both"/>
              <w:rPr>
                <w:rFonts w:eastAsia="Calibri"/>
                <w:sz w:val="20"/>
              </w:rPr>
            </w:pPr>
          </w:p>
        </w:tc>
      </w:tr>
      <w:tr w:rsidR="000F69AD" w:rsidRPr="00073183" w:rsidTr="008F755D">
        <w:tc>
          <w:tcPr>
            <w:tcW w:w="2427" w:type="pct"/>
          </w:tcPr>
          <w:p w:rsidR="000F69AD" w:rsidRPr="00073183" w:rsidRDefault="000F69AD" w:rsidP="008F755D">
            <w:pPr>
              <w:jc w:val="both"/>
              <w:rPr>
                <w:rFonts w:eastAsia="Calibri"/>
                <w:sz w:val="20"/>
              </w:rPr>
            </w:pPr>
            <w:r w:rsidRPr="00073183">
              <w:rPr>
                <w:rFonts w:eastAsia="Calibri"/>
                <w:sz w:val="20"/>
              </w:rPr>
              <w:t>May 2, 2013</w:t>
            </w:r>
          </w:p>
          <w:p w:rsidR="000F69AD" w:rsidRPr="00073183" w:rsidRDefault="000F69AD" w:rsidP="008F755D">
            <w:pPr>
              <w:jc w:val="both"/>
              <w:rPr>
                <w:rFonts w:eastAsia="Calibri"/>
                <w:sz w:val="20"/>
              </w:rPr>
            </w:pPr>
            <w:r w:rsidRPr="00073183">
              <w:rPr>
                <w:rFonts w:eastAsia="Calibri"/>
                <w:sz w:val="20"/>
              </w:rPr>
              <w:t xml:space="preserve">Court of Appeal for British Columbia </w:t>
            </w:r>
          </w:p>
          <w:p w:rsidR="000F69AD" w:rsidRPr="00073183" w:rsidRDefault="000F69AD" w:rsidP="008F755D">
            <w:pPr>
              <w:jc w:val="both"/>
              <w:rPr>
                <w:rFonts w:eastAsia="Calibri"/>
                <w:sz w:val="20"/>
              </w:rPr>
            </w:pPr>
            <w:r w:rsidRPr="00073183">
              <w:rPr>
                <w:rFonts w:eastAsia="Calibri"/>
                <w:sz w:val="20"/>
              </w:rPr>
              <w:t>(Vancouver)</w:t>
            </w:r>
          </w:p>
          <w:p w:rsidR="000F69AD" w:rsidRPr="00073183" w:rsidRDefault="000F69AD" w:rsidP="008F755D">
            <w:pPr>
              <w:jc w:val="both"/>
              <w:rPr>
                <w:rFonts w:eastAsia="Calibri"/>
                <w:sz w:val="20"/>
              </w:rPr>
            </w:pPr>
            <w:r w:rsidRPr="00073183">
              <w:rPr>
                <w:rFonts w:eastAsia="Calibri"/>
                <w:sz w:val="20"/>
              </w:rPr>
              <w:t>(Donald, Low and Levine JJ.A.)</w:t>
            </w:r>
          </w:p>
          <w:p w:rsidR="000F69AD" w:rsidRPr="00073183" w:rsidRDefault="007C5411" w:rsidP="008F755D">
            <w:pPr>
              <w:jc w:val="both"/>
              <w:rPr>
                <w:rFonts w:eastAsia="Calibri"/>
                <w:sz w:val="20"/>
              </w:rPr>
            </w:pPr>
            <w:hyperlink r:id="rId35" w:history="1">
              <w:r w:rsidR="000F69AD" w:rsidRPr="00073183">
                <w:rPr>
                  <w:rFonts w:eastAsia="Calibri"/>
                  <w:color w:val="0000FF"/>
                  <w:sz w:val="20"/>
                  <w:u w:val="single"/>
                </w:rPr>
                <w:t>2013 BCCA 203</w:t>
              </w:r>
            </w:hyperlink>
          </w:p>
          <w:p w:rsidR="000F69AD" w:rsidRPr="00073183" w:rsidRDefault="000F69AD" w:rsidP="008F755D">
            <w:pPr>
              <w:jc w:val="both"/>
              <w:rPr>
                <w:rFonts w:eastAsia="Calibri"/>
                <w:sz w:val="20"/>
              </w:rPr>
            </w:pPr>
          </w:p>
        </w:tc>
        <w:tc>
          <w:tcPr>
            <w:tcW w:w="243" w:type="pct"/>
          </w:tcPr>
          <w:p w:rsidR="000F69AD" w:rsidRPr="00073183" w:rsidRDefault="000F69AD" w:rsidP="008F755D">
            <w:pPr>
              <w:jc w:val="both"/>
              <w:rPr>
                <w:rFonts w:eastAsia="Calibri"/>
                <w:sz w:val="20"/>
              </w:rPr>
            </w:pPr>
          </w:p>
        </w:tc>
        <w:tc>
          <w:tcPr>
            <w:tcW w:w="2330" w:type="pct"/>
          </w:tcPr>
          <w:p w:rsidR="000F69AD" w:rsidRPr="00073183" w:rsidRDefault="000F69AD" w:rsidP="008F755D">
            <w:pPr>
              <w:jc w:val="both"/>
              <w:rPr>
                <w:rFonts w:eastAsia="Calibri"/>
                <w:sz w:val="20"/>
              </w:rPr>
            </w:pPr>
            <w:r w:rsidRPr="00073183">
              <w:rPr>
                <w:rFonts w:eastAsia="Calibri"/>
                <w:sz w:val="20"/>
              </w:rPr>
              <w:t>Applicant’s appeal dismissed</w:t>
            </w:r>
          </w:p>
          <w:p w:rsidR="000F69AD" w:rsidRPr="00073183" w:rsidRDefault="000F69AD" w:rsidP="008F755D">
            <w:pPr>
              <w:jc w:val="both"/>
              <w:rPr>
                <w:rFonts w:eastAsia="Calibri"/>
                <w:sz w:val="20"/>
              </w:rPr>
            </w:pPr>
          </w:p>
        </w:tc>
      </w:tr>
      <w:tr w:rsidR="000F69AD" w:rsidRPr="00073183" w:rsidTr="008F755D">
        <w:tc>
          <w:tcPr>
            <w:tcW w:w="2427" w:type="pct"/>
          </w:tcPr>
          <w:p w:rsidR="000F69AD" w:rsidRPr="00073183" w:rsidRDefault="000F69AD" w:rsidP="008F755D">
            <w:pPr>
              <w:jc w:val="both"/>
              <w:rPr>
                <w:rFonts w:eastAsia="Calibri"/>
                <w:sz w:val="20"/>
              </w:rPr>
            </w:pPr>
            <w:r w:rsidRPr="00073183">
              <w:rPr>
                <w:rFonts w:eastAsia="Calibri"/>
                <w:sz w:val="20"/>
              </w:rPr>
              <w:t>August 1, 2013</w:t>
            </w:r>
          </w:p>
          <w:p w:rsidR="000F69AD" w:rsidRPr="00073183" w:rsidRDefault="000F69AD" w:rsidP="008F755D">
            <w:pPr>
              <w:jc w:val="both"/>
              <w:rPr>
                <w:rFonts w:eastAsia="Calibri"/>
                <w:sz w:val="20"/>
              </w:rPr>
            </w:pPr>
            <w:r w:rsidRPr="00073183">
              <w:rPr>
                <w:rFonts w:eastAsia="Calibri"/>
                <w:sz w:val="20"/>
              </w:rPr>
              <w:t>Supreme Court of Canada</w:t>
            </w:r>
          </w:p>
        </w:tc>
        <w:tc>
          <w:tcPr>
            <w:tcW w:w="243" w:type="pct"/>
          </w:tcPr>
          <w:p w:rsidR="000F69AD" w:rsidRPr="00073183" w:rsidRDefault="000F69AD" w:rsidP="008F755D">
            <w:pPr>
              <w:jc w:val="both"/>
              <w:rPr>
                <w:rFonts w:eastAsia="Calibri"/>
                <w:sz w:val="20"/>
              </w:rPr>
            </w:pPr>
          </w:p>
        </w:tc>
        <w:tc>
          <w:tcPr>
            <w:tcW w:w="2330" w:type="pct"/>
          </w:tcPr>
          <w:p w:rsidR="000F69AD" w:rsidRPr="00073183" w:rsidRDefault="000F69AD" w:rsidP="008F755D">
            <w:pPr>
              <w:jc w:val="both"/>
              <w:rPr>
                <w:rFonts w:eastAsia="Calibri"/>
                <w:sz w:val="20"/>
              </w:rPr>
            </w:pPr>
            <w:r w:rsidRPr="00073183">
              <w:rPr>
                <w:rFonts w:eastAsia="Calibri"/>
                <w:sz w:val="20"/>
              </w:rPr>
              <w:t>Application for leave to appeal filed</w:t>
            </w:r>
          </w:p>
          <w:p w:rsidR="000F69AD" w:rsidRPr="00073183" w:rsidRDefault="000F69AD" w:rsidP="008F755D">
            <w:pPr>
              <w:jc w:val="both"/>
              <w:rPr>
                <w:rFonts w:eastAsia="Calibri"/>
                <w:sz w:val="20"/>
              </w:rPr>
            </w:pPr>
          </w:p>
        </w:tc>
      </w:tr>
    </w:tbl>
    <w:p w:rsidR="000F69AD" w:rsidRDefault="000F69AD" w:rsidP="00114AE6">
      <w:pPr>
        <w:rPr>
          <w:sz w:val="20"/>
          <w:szCs w:val="20"/>
        </w:rPr>
      </w:pPr>
    </w:p>
    <w:p w:rsidR="000F69AD" w:rsidRPr="00C50A5C" w:rsidRDefault="007C5411" w:rsidP="000F69AD">
      <w:pPr>
        <w:rPr>
          <w:sz w:val="20"/>
          <w:szCs w:val="20"/>
        </w:rPr>
      </w:pPr>
      <w:r>
        <w:rPr>
          <w:sz w:val="20"/>
          <w:szCs w:val="20"/>
          <w:lang w:val="fr-CA"/>
        </w:rPr>
        <w:pict>
          <v:rect id="_x0000_i1042" style="width:2in;height:1pt" o:hrpct="0" o:hralign="center" o:hrstd="t" o:hrnoshade="t" o:hr="t" fillcolor="black [3213]" stroked="f"/>
        </w:pict>
      </w:r>
    </w:p>
    <w:p w:rsidR="000F69AD" w:rsidRDefault="000F69AD" w:rsidP="000F69AD">
      <w:pPr>
        <w:rPr>
          <w:sz w:val="20"/>
          <w:szCs w:val="20"/>
        </w:rPr>
      </w:pPr>
    </w:p>
    <w:p w:rsidR="000F69AD" w:rsidRPr="001B157C" w:rsidRDefault="000F69AD" w:rsidP="000F69AD">
      <w:pPr>
        <w:rPr>
          <w:sz w:val="20"/>
          <w:szCs w:val="20"/>
          <w:u w:val="single"/>
          <w:lang w:val="fr-CA"/>
        </w:rPr>
      </w:pPr>
      <w:r w:rsidRPr="001B157C">
        <w:rPr>
          <w:sz w:val="20"/>
          <w:szCs w:val="20"/>
          <w:u w:val="single"/>
          <w:lang w:val="fr-CA"/>
        </w:rPr>
        <w:t>RÉSUMÉ DE L’AFFAIRE</w:t>
      </w:r>
    </w:p>
    <w:p w:rsidR="000F69AD" w:rsidRDefault="000F69AD" w:rsidP="000F69A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F69AD" w:rsidRPr="007C5411" w:rsidTr="008F755D">
        <w:tc>
          <w:tcPr>
            <w:tcW w:w="5000" w:type="pct"/>
            <w:gridSpan w:val="3"/>
          </w:tcPr>
          <w:p w:rsidR="000F69AD" w:rsidRPr="00073183" w:rsidRDefault="000F69AD" w:rsidP="008F755D">
            <w:pPr>
              <w:jc w:val="both"/>
              <w:rPr>
                <w:rFonts w:eastAsia="Calibri"/>
                <w:sz w:val="20"/>
                <w:lang w:val="fr-CA"/>
              </w:rPr>
            </w:pPr>
            <w:r w:rsidRPr="00073183">
              <w:rPr>
                <w:rFonts w:eastAsia="Calibri"/>
                <w:sz w:val="20"/>
                <w:lang w:val="fr-CA"/>
              </w:rPr>
              <w:t xml:space="preserve">Responsabilité délictuelle – Nuisance – L'occupant d'un appartement a intenté une action en nuisance causée par le bruit provenant du commerce de l'intimée voisin – Un juge de première instance rend-il le procès injuste en empêchant les parties de présenter des arguments après la clôture de la preuve et en ajournant le procès de son propre chef pour permettre aux parties d'obtenir de meilleurs éléments de preuve? – Une crainte raisonnable de partialité prend-elle naissance lorsqu'un juge rend une décision avant d'avoir reçu des arguments sur la question dont il est saisi? – Les dépens taxables relativement une action « accélérée » doivent-ils être liquidés en lien avec les frais fixes qui s'appliquent à de telles actions aux termes des </w:t>
            </w:r>
            <w:r w:rsidRPr="00073183">
              <w:rPr>
                <w:rFonts w:eastAsia="Calibri"/>
                <w:i/>
                <w:sz w:val="20"/>
                <w:lang w:val="fr-CA"/>
              </w:rPr>
              <w:t xml:space="preserve">Supreme Court Civil Rules </w:t>
            </w:r>
            <w:r w:rsidRPr="00073183">
              <w:rPr>
                <w:rFonts w:eastAsia="Calibri"/>
                <w:sz w:val="20"/>
                <w:lang w:val="fr-CA"/>
              </w:rPr>
              <w:t>de la Colombie-Britannique? – L’« atteinte » qui doit être établie à la première étape du critère à deux volets de la nuisance privée est-elle appréciée en lien avec l'étendue ou la gravité de la conduite du défendeur ou doit-elle être appréciée en lien avec les effets de la conduite du défendeur sur l'usage par le demandeur de son bien?</w:t>
            </w:r>
          </w:p>
        </w:tc>
      </w:tr>
      <w:tr w:rsidR="000F69AD" w:rsidRPr="007C5411" w:rsidTr="008F755D">
        <w:tc>
          <w:tcPr>
            <w:tcW w:w="5000" w:type="pct"/>
            <w:gridSpan w:val="3"/>
          </w:tcPr>
          <w:p w:rsidR="000F69AD" w:rsidRPr="00073183" w:rsidRDefault="000F69AD" w:rsidP="008F755D">
            <w:pPr>
              <w:jc w:val="both"/>
              <w:rPr>
                <w:rFonts w:eastAsia="Calibri"/>
                <w:sz w:val="20"/>
                <w:lang w:val="fr-CA"/>
              </w:rPr>
            </w:pPr>
          </w:p>
        </w:tc>
      </w:tr>
      <w:tr w:rsidR="000F69AD" w:rsidRPr="007C5411" w:rsidTr="008F755D">
        <w:tc>
          <w:tcPr>
            <w:tcW w:w="5000" w:type="pct"/>
            <w:gridSpan w:val="3"/>
          </w:tcPr>
          <w:p w:rsidR="000F69AD" w:rsidRPr="00073183" w:rsidRDefault="000F69AD" w:rsidP="008F755D">
            <w:pPr>
              <w:jc w:val="both"/>
              <w:rPr>
                <w:rFonts w:eastAsia="Calibri"/>
                <w:sz w:val="20"/>
                <w:lang w:val="fr-CA"/>
              </w:rPr>
            </w:pPr>
            <w:r w:rsidRPr="00073183">
              <w:rPr>
                <w:rFonts w:eastAsia="Calibri"/>
                <w:sz w:val="20"/>
                <w:lang w:val="fr-CA"/>
              </w:rPr>
              <w:lastRenderedPageBreak/>
              <w:t>Monsieur Gichuru a intenté une action en dommages-intérêts contre les intimées pour nuisance. L'appartement alors occupé par M. Gichuru partageait un mur mitoyen avec le Prado Cafe.  Il a allégué que les sons de basse fréquence qui provenaient du café nuisaient à son sommeil, à sa capacité de se concentrer au travail et à la jouissance générale de son logement.  L'affaire est allée à procès.  Au terme de la preuve, le juge de première instance a ajourné le procès et a demandé aux parties de tenter d'en arriver à un règlement et de recueillir des éléments de preuve relatifs au bruit.  Dans l'intervalle, Mme York s'est rendue chez le demandeur avec son petit ami et un agent chargé de l'application du règlement pour évaluer le dérangement, mais M. Gichuru leur a refusé l'entrée.</w:t>
            </w:r>
          </w:p>
          <w:p w:rsidR="000F69AD" w:rsidRPr="00073183" w:rsidRDefault="000F69AD" w:rsidP="008F755D">
            <w:pPr>
              <w:jc w:val="both"/>
              <w:rPr>
                <w:rFonts w:eastAsia="Calibri"/>
                <w:sz w:val="20"/>
                <w:lang w:val="fr-CA"/>
              </w:rPr>
            </w:pPr>
          </w:p>
        </w:tc>
      </w:tr>
      <w:tr w:rsidR="000F69AD" w:rsidRPr="00073183" w:rsidTr="008F755D">
        <w:tc>
          <w:tcPr>
            <w:tcW w:w="2427" w:type="pct"/>
          </w:tcPr>
          <w:p w:rsidR="000F69AD" w:rsidRPr="00073183" w:rsidRDefault="000F69AD" w:rsidP="008F755D">
            <w:pPr>
              <w:jc w:val="both"/>
              <w:rPr>
                <w:rFonts w:eastAsia="Calibri"/>
                <w:sz w:val="20"/>
                <w:lang w:val="fr-CA"/>
              </w:rPr>
            </w:pPr>
            <w:r w:rsidRPr="00073183">
              <w:rPr>
                <w:rFonts w:eastAsia="Calibri"/>
                <w:sz w:val="20"/>
                <w:lang w:val="fr-CA"/>
              </w:rPr>
              <w:t>21 mars 2011</w:t>
            </w:r>
          </w:p>
          <w:p w:rsidR="000F69AD" w:rsidRPr="00073183" w:rsidRDefault="000F69AD" w:rsidP="008F755D">
            <w:pPr>
              <w:jc w:val="both"/>
              <w:rPr>
                <w:rFonts w:eastAsia="Calibri"/>
                <w:sz w:val="20"/>
                <w:lang w:val="fr-CA"/>
              </w:rPr>
            </w:pPr>
            <w:r w:rsidRPr="00073183">
              <w:rPr>
                <w:rFonts w:eastAsia="Calibri"/>
                <w:sz w:val="20"/>
                <w:lang w:val="fr-CA"/>
              </w:rPr>
              <w:t>Cour suprême de la Colombie-Britannique</w:t>
            </w:r>
          </w:p>
          <w:p w:rsidR="000F69AD" w:rsidRPr="00073183" w:rsidRDefault="000F69AD" w:rsidP="008F755D">
            <w:pPr>
              <w:jc w:val="both"/>
              <w:rPr>
                <w:rFonts w:eastAsia="Calibri"/>
                <w:sz w:val="20"/>
                <w:lang w:val="fr-CA"/>
              </w:rPr>
            </w:pPr>
            <w:r w:rsidRPr="00073183">
              <w:rPr>
                <w:rFonts w:eastAsia="Calibri"/>
                <w:sz w:val="20"/>
                <w:lang w:val="fr-CA"/>
              </w:rPr>
              <w:t>(Juge Bernard)</w:t>
            </w:r>
          </w:p>
          <w:p w:rsidR="000F69AD" w:rsidRPr="00073183" w:rsidRDefault="007C5411" w:rsidP="008F755D">
            <w:pPr>
              <w:jc w:val="both"/>
              <w:rPr>
                <w:rFonts w:eastAsia="Calibri"/>
                <w:sz w:val="20"/>
                <w:lang w:val="fr-CA"/>
              </w:rPr>
            </w:pPr>
            <w:hyperlink r:id="rId36" w:history="1">
              <w:r w:rsidR="000F69AD" w:rsidRPr="00073183">
                <w:rPr>
                  <w:rFonts w:eastAsia="Calibri"/>
                  <w:color w:val="0000FF"/>
                  <w:sz w:val="20"/>
                  <w:u w:val="single"/>
                  <w:lang w:val="fr-CA"/>
                </w:rPr>
                <w:t>2011 BCSC 342</w:t>
              </w:r>
            </w:hyperlink>
          </w:p>
          <w:p w:rsidR="000F69AD" w:rsidRPr="00073183" w:rsidRDefault="000F69AD" w:rsidP="008F755D">
            <w:pPr>
              <w:jc w:val="both"/>
              <w:rPr>
                <w:rFonts w:eastAsia="Calibri"/>
                <w:sz w:val="20"/>
                <w:lang w:val="fr-CA"/>
              </w:rPr>
            </w:pPr>
          </w:p>
        </w:tc>
        <w:tc>
          <w:tcPr>
            <w:tcW w:w="243" w:type="pct"/>
          </w:tcPr>
          <w:p w:rsidR="000F69AD" w:rsidRPr="00073183" w:rsidRDefault="000F69AD" w:rsidP="008F755D">
            <w:pPr>
              <w:jc w:val="both"/>
              <w:rPr>
                <w:rFonts w:eastAsia="Calibri"/>
                <w:sz w:val="20"/>
                <w:lang w:val="fr-CA"/>
              </w:rPr>
            </w:pPr>
          </w:p>
        </w:tc>
        <w:tc>
          <w:tcPr>
            <w:tcW w:w="2330" w:type="pct"/>
          </w:tcPr>
          <w:p w:rsidR="000F69AD" w:rsidRPr="00073183" w:rsidRDefault="000F69AD" w:rsidP="008F755D">
            <w:pPr>
              <w:jc w:val="both"/>
              <w:rPr>
                <w:rFonts w:eastAsia="Calibri"/>
                <w:sz w:val="20"/>
                <w:lang w:val="fr-CA"/>
              </w:rPr>
            </w:pPr>
            <w:r w:rsidRPr="00073183">
              <w:rPr>
                <w:rFonts w:eastAsia="Calibri"/>
                <w:sz w:val="20"/>
                <w:lang w:val="fr-CA"/>
              </w:rPr>
              <w:t>Action du demandeur en dommages-intérêts pour nuisance, rejetée.  Dépens taxés au tarif « B » accordés aux intimées</w:t>
            </w:r>
          </w:p>
          <w:p w:rsidR="000F69AD" w:rsidRPr="00073183" w:rsidRDefault="000F69AD" w:rsidP="008F755D">
            <w:pPr>
              <w:jc w:val="both"/>
              <w:rPr>
                <w:rFonts w:eastAsia="Calibri"/>
                <w:sz w:val="20"/>
                <w:lang w:val="fr-CA"/>
              </w:rPr>
            </w:pPr>
          </w:p>
          <w:p w:rsidR="000F69AD" w:rsidRPr="00073183" w:rsidRDefault="000F69AD" w:rsidP="008F755D">
            <w:pPr>
              <w:jc w:val="both"/>
              <w:rPr>
                <w:rFonts w:eastAsia="Calibri"/>
                <w:sz w:val="20"/>
                <w:lang w:val="fr-CA"/>
              </w:rPr>
            </w:pPr>
          </w:p>
        </w:tc>
      </w:tr>
      <w:tr w:rsidR="000F69AD" w:rsidRPr="00073183" w:rsidTr="008F755D">
        <w:tc>
          <w:tcPr>
            <w:tcW w:w="2427" w:type="pct"/>
          </w:tcPr>
          <w:p w:rsidR="000F69AD" w:rsidRPr="00073183" w:rsidRDefault="000F69AD" w:rsidP="008F755D">
            <w:pPr>
              <w:jc w:val="both"/>
              <w:rPr>
                <w:rFonts w:eastAsia="Calibri"/>
                <w:sz w:val="20"/>
                <w:lang w:val="fr-CA"/>
              </w:rPr>
            </w:pPr>
            <w:r w:rsidRPr="00073183">
              <w:rPr>
                <w:rFonts w:eastAsia="Calibri"/>
                <w:sz w:val="20"/>
                <w:lang w:val="fr-CA"/>
              </w:rPr>
              <w:t>21 septembre 2012</w:t>
            </w:r>
          </w:p>
          <w:p w:rsidR="000F69AD" w:rsidRPr="00073183" w:rsidRDefault="000F69AD" w:rsidP="008F755D">
            <w:pPr>
              <w:jc w:val="both"/>
              <w:rPr>
                <w:rFonts w:eastAsia="Calibri"/>
                <w:sz w:val="20"/>
                <w:lang w:val="fr-CA"/>
              </w:rPr>
            </w:pPr>
            <w:r w:rsidRPr="00073183">
              <w:rPr>
                <w:rFonts w:eastAsia="Calibri"/>
                <w:sz w:val="20"/>
                <w:lang w:val="fr-CA"/>
              </w:rPr>
              <w:t>Cour suprême de la Colombie-Britannique</w:t>
            </w:r>
          </w:p>
          <w:p w:rsidR="000F69AD" w:rsidRPr="00073183" w:rsidRDefault="000F69AD" w:rsidP="008F755D">
            <w:pPr>
              <w:jc w:val="both"/>
              <w:rPr>
                <w:rFonts w:eastAsia="Calibri"/>
                <w:sz w:val="20"/>
                <w:lang w:val="fr-CA"/>
              </w:rPr>
            </w:pPr>
            <w:r w:rsidRPr="00073183">
              <w:rPr>
                <w:rFonts w:eastAsia="Calibri"/>
                <w:sz w:val="20"/>
                <w:lang w:val="fr-CA"/>
              </w:rPr>
              <w:t>(Juge Bernard)</w:t>
            </w:r>
          </w:p>
          <w:p w:rsidR="000F69AD" w:rsidRPr="00073183" w:rsidRDefault="007C5411" w:rsidP="008F755D">
            <w:pPr>
              <w:jc w:val="both"/>
              <w:rPr>
                <w:rFonts w:eastAsia="Calibri"/>
                <w:sz w:val="20"/>
                <w:lang w:val="fr-CA"/>
              </w:rPr>
            </w:pPr>
            <w:hyperlink r:id="rId37" w:history="1">
              <w:r w:rsidR="000F69AD" w:rsidRPr="00073183">
                <w:rPr>
                  <w:rFonts w:eastAsia="Calibri"/>
                  <w:color w:val="0000FF"/>
                  <w:sz w:val="20"/>
                  <w:u w:val="single"/>
                  <w:lang w:val="fr-CA"/>
                </w:rPr>
                <w:t>2012 BCSC 1385</w:t>
              </w:r>
            </w:hyperlink>
          </w:p>
          <w:p w:rsidR="000F69AD" w:rsidRPr="00073183" w:rsidRDefault="000F69AD" w:rsidP="008F755D">
            <w:pPr>
              <w:jc w:val="both"/>
              <w:rPr>
                <w:rFonts w:eastAsia="Calibri"/>
                <w:sz w:val="20"/>
                <w:lang w:val="fr-CA"/>
              </w:rPr>
            </w:pPr>
          </w:p>
        </w:tc>
        <w:tc>
          <w:tcPr>
            <w:tcW w:w="243" w:type="pct"/>
          </w:tcPr>
          <w:p w:rsidR="000F69AD" w:rsidRPr="00073183" w:rsidRDefault="000F69AD" w:rsidP="008F755D">
            <w:pPr>
              <w:jc w:val="both"/>
              <w:rPr>
                <w:rFonts w:eastAsia="Calibri"/>
                <w:sz w:val="20"/>
                <w:lang w:val="fr-CA"/>
              </w:rPr>
            </w:pPr>
          </w:p>
        </w:tc>
        <w:tc>
          <w:tcPr>
            <w:tcW w:w="2330" w:type="pct"/>
          </w:tcPr>
          <w:p w:rsidR="000F69AD" w:rsidRPr="00073183" w:rsidRDefault="000F69AD" w:rsidP="008F755D">
            <w:pPr>
              <w:jc w:val="both"/>
              <w:rPr>
                <w:rFonts w:eastAsia="Calibri"/>
                <w:sz w:val="20"/>
                <w:lang w:val="fr-CA"/>
              </w:rPr>
            </w:pPr>
            <w:r w:rsidRPr="00073183">
              <w:rPr>
                <w:rFonts w:eastAsia="Calibri"/>
                <w:sz w:val="20"/>
                <w:lang w:val="fr-CA"/>
              </w:rPr>
              <w:t>Requête du demandeur visant à obtenir des dépens spéciaux contre les intimées et leurs avocats, rejetée.  Dépens taxés au tarif « B » accordés aux intimées</w:t>
            </w:r>
          </w:p>
          <w:p w:rsidR="000F69AD" w:rsidRPr="00073183" w:rsidRDefault="000F69AD" w:rsidP="008F755D">
            <w:pPr>
              <w:jc w:val="both"/>
              <w:rPr>
                <w:rFonts w:eastAsia="Calibri"/>
                <w:sz w:val="20"/>
                <w:lang w:val="fr-CA"/>
              </w:rPr>
            </w:pPr>
          </w:p>
        </w:tc>
      </w:tr>
      <w:tr w:rsidR="000F69AD" w:rsidRPr="00073183" w:rsidTr="008F755D">
        <w:tc>
          <w:tcPr>
            <w:tcW w:w="2427" w:type="pct"/>
          </w:tcPr>
          <w:p w:rsidR="000F69AD" w:rsidRPr="00073183" w:rsidRDefault="000F69AD" w:rsidP="008F755D">
            <w:pPr>
              <w:jc w:val="both"/>
              <w:rPr>
                <w:rFonts w:eastAsia="Calibri"/>
                <w:sz w:val="20"/>
                <w:lang w:val="fr-CA"/>
              </w:rPr>
            </w:pPr>
            <w:r w:rsidRPr="00073183">
              <w:rPr>
                <w:rFonts w:eastAsia="Calibri"/>
                <w:sz w:val="20"/>
                <w:lang w:val="fr-CA"/>
              </w:rPr>
              <w:t>2 mai 2013</w:t>
            </w:r>
          </w:p>
          <w:p w:rsidR="000F69AD" w:rsidRPr="00073183" w:rsidRDefault="000F69AD" w:rsidP="008F755D">
            <w:pPr>
              <w:jc w:val="both"/>
              <w:rPr>
                <w:rFonts w:eastAsia="Calibri"/>
                <w:sz w:val="20"/>
                <w:lang w:val="fr-CA"/>
              </w:rPr>
            </w:pPr>
            <w:r w:rsidRPr="00073183">
              <w:rPr>
                <w:rFonts w:eastAsia="Calibri"/>
                <w:sz w:val="20"/>
                <w:lang w:val="fr-CA"/>
              </w:rPr>
              <w:t>Cour d'appel de la Colombie-Britannique</w:t>
            </w:r>
          </w:p>
          <w:p w:rsidR="000F69AD" w:rsidRPr="00073183" w:rsidRDefault="000F69AD" w:rsidP="008F755D">
            <w:pPr>
              <w:jc w:val="both"/>
              <w:rPr>
                <w:rFonts w:eastAsia="Calibri"/>
                <w:sz w:val="20"/>
                <w:lang w:val="fr-CA"/>
              </w:rPr>
            </w:pPr>
            <w:r w:rsidRPr="00073183">
              <w:rPr>
                <w:rFonts w:eastAsia="Calibri"/>
                <w:sz w:val="20"/>
                <w:lang w:val="fr-CA"/>
              </w:rPr>
              <w:t>(Vancouver)</w:t>
            </w:r>
          </w:p>
          <w:p w:rsidR="000F69AD" w:rsidRPr="00073183" w:rsidRDefault="000F69AD" w:rsidP="008F755D">
            <w:pPr>
              <w:jc w:val="both"/>
              <w:rPr>
                <w:rFonts w:eastAsia="Calibri"/>
                <w:sz w:val="20"/>
                <w:lang w:val="fr-CA"/>
              </w:rPr>
            </w:pPr>
            <w:r w:rsidRPr="00073183">
              <w:rPr>
                <w:rFonts w:eastAsia="Calibri"/>
                <w:sz w:val="20"/>
                <w:lang w:val="fr-CA"/>
              </w:rPr>
              <w:t>(Juges Donald, Low et Levine)</w:t>
            </w:r>
          </w:p>
          <w:p w:rsidR="000F69AD" w:rsidRPr="00073183" w:rsidRDefault="007C5411" w:rsidP="000E1B40">
            <w:pPr>
              <w:jc w:val="both"/>
              <w:rPr>
                <w:rFonts w:eastAsia="Calibri"/>
                <w:sz w:val="20"/>
                <w:lang w:val="fr-CA"/>
              </w:rPr>
            </w:pPr>
            <w:hyperlink r:id="rId38" w:history="1">
              <w:r w:rsidR="000F69AD" w:rsidRPr="00073183">
                <w:rPr>
                  <w:rFonts w:eastAsia="Calibri"/>
                  <w:color w:val="0000FF"/>
                  <w:sz w:val="20"/>
                  <w:u w:val="single"/>
                  <w:lang w:val="fr-CA"/>
                </w:rPr>
                <w:t>2013 BCCA 203</w:t>
              </w:r>
            </w:hyperlink>
          </w:p>
        </w:tc>
        <w:tc>
          <w:tcPr>
            <w:tcW w:w="243" w:type="pct"/>
          </w:tcPr>
          <w:p w:rsidR="000F69AD" w:rsidRPr="00073183" w:rsidRDefault="000F69AD" w:rsidP="008F755D">
            <w:pPr>
              <w:jc w:val="both"/>
              <w:rPr>
                <w:rFonts w:eastAsia="Calibri"/>
                <w:sz w:val="20"/>
                <w:lang w:val="fr-CA"/>
              </w:rPr>
            </w:pPr>
          </w:p>
        </w:tc>
        <w:tc>
          <w:tcPr>
            <w:tcW w:w="2330" w:type="pct"/>
          </w:tcPr>
          <w:p w:rsidR="000F69AD" w:rsidRPr="00073183" w:rsidRDefault="000F69AD" w:rsidP="008F755D">
            <w:pPr>
              <w:jc w:val="both"/>
              <w:rPr>
                <w:rFonts w:eastAsia="Calibri"/>
                <w:sz w:val="20"/>
                <w:lang w:val="fr-CA"/>
              </w:rPr>
            </w:pPr>
            <w:r w:rsidRPr="00073183">
              <w:rPr>
                <w:rFonts w:eastAsia="Calibri"/>
                <w:sz w:val="20"/>
                <w:lang w:val="fr-CA"/>
              </w:rPr>
              <w:t>Appel du demandeur, rejeté</w:t>
            </w:r>
          </w:p>
          <w:p w:rsidR="000F69AD" w:rsidRPr="00073183" w:rsidRDefault="000F69AD" w:rsidP="008F755D">
            <w:pPr>
              <w:jc w:val="both"/>
              <w:rPr>
                <w:rFonts w:eastAsia="Calibri"/>
                <w:sz w:val="20"/>
                <w:lang w:val="fr-CA"/>
              </w:rPr>
            </w:pPr>
          </w:p>
        </w:tc>
      </w:tr>
    </w:tbl>
    <w:p w:rsidR="000E1B40" w:rsidRDefault="000E1B40"/>
    <w:p w:rsidR="000E1B40" w:rsidRDefault="000E1B40">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F69AD" w:rsidRPr="00073183" w:rsidTr="000E1B40">
        <w:trPr>
          <w:cantSplit/>
        </w:trPr>
        <w:tc>
          <w:tcPr>
            <w:tcW w:w="2427" w:type="pct"/>
          </w:tcPr>
          <w:p w:rsidR="000F69AD" w:rsidRPr="00073183" w:rsidRDefault="000F69AD" w:rsidP="008F755D">
            <w:pPr>
              <w:jc w:val="both"/>
              <w:rPr>
                <w:rFonts w:eastAsia="Calibri"/>
                <w:sz w:val="20"/>
                <w:lang w:val="fr-CA"/>
              </w:rPr>
            </w:pPr>
            <w:r w:rsidRPr="00073183">
              <w:rPr>
                <w:rFonts w:eastAsia="Calibri"/>
                <w:sz w:val="20"/>
                <w:lang w:val="fr-CA"/>
              </w:rPr>
              <w:lastRenderedPageBreak/>
              <w:t>1</w:t>
            </w:r>
            <w:r w:rsidRPr="00073183">
              <w:rPr>
                <w:rFonts w:eastAsia="Calibri"/>
                <w:sz w:val="20"/>
                <w:vertAlign w:val="superscript"/>
                <w:lang w:val="fr-CA"/>
              </w:rPr>
              <w:t>er</w:t>
            </w:r>
            <w:r w:rsidRPr="00073183">
              <w:rPr>
                <w:rFonts w:eastAsia="Calibri"/>
                <w:sz w:val="20"/>
                <w:lang w:val="fr-CA"/>
              </w:rPr>
              <w:t xml:space="preserve"> août 2013</w:t>
            </w:r>
          </w:p>
          <w:p w:rsidR="000F69AD" w:rsidRPr="00073183" w:rsidRDefault="000F69AD" w:rsidP="008F755D">
            <w:pPr>
              <w:jc w:val="both"/>
              <w:rPr>
                <w:rFonts w:eastAsia="Calibri"/>
                <w:sz w:val="20"/>
                <w:lang w:val="fr-CA"/>
              </w:rPr>
            </w:pPr>
            <w:r w:rsidRPr="00073183">
              <w:rPr>
                <w:rFonts w:eastAsia="Calibri"/>
                <w:sz w:val="20"/>
                <w:lang w:val="fr-CA"/>
              </w:rPr>
              <w:t>Cour suprême du Canada</w:t>
            </w:r>
          </w:p>
        </w:tc>
        <w:tc>
          <w:tcPr>
            <w:tcW w:w="243" w:type="pct"/>
          </w:tcPr>
          <w:p w:rsidR="000F69AD" w:rsidRPr="00073183" w:rsidRDefault="000F69AD" w:rsidP="008F755D">
            <w:pPr>
              <w:jc w:val="both"/>
              <w:rPr>
                <w:rFonts w:eastAsia="Calibri"/>
                <w:sz w:val="20"/>
                <w:lang w:val="fr-CA"/>
              </w:rPr>
            </w:pPr>
          </w:p>
        </w:tc>
        <w:tc>
          <w:tcPr>
            <w:tcW w:w="2330" w:type="pct"/>
          </w:tcPr>
          <w:p w:rsidR="000F69AD" w:rsidRPr="00073183" w:rsidRDefault="000F69AD" w:rsidP="008F755D">
            <w:pPr>
              <w:jc w:val="both"/>
              <w:rPr>
                <w:rFonts w:eastAsia="Calibri"/>
                <w:sz w:val="20"/>
                <w:lang w:val="fr-CA"/>
              </w:rPr>
            </w:pPr>
            <w:r w:rsidRPr="00073183">
              <w:rPr>
                <w:rFonts w:eastAsia="Calibri"/>
                <w:sz w:val="20"/>
                <w:lang w:val="fr-CA"/>
              </w:rPr>
              <w:t>Demande d'autorisation d'appel, déposée</w:t>
            </w:r>
          </w:p>
        </w:tc>
      </w:tr>
    </w:tbl>
    <w:p w:rsidR="000F69AD" w:rsidRDefault="000F69AD" w:rsidP="000F69AD">
      <w:pPr>
        <w:rPr>
          <w:sz w:val="20"/>
          <w:szCs w:val="20"/>
        </w:rPr>
      </w:pPr>
    </w:p>
    <w:p w:rsidR="000F69AD" w:rsidRDefault="007C5411" w:rsidP="000F69AD">
      <w:pPr>
        <w:rPr>
          <w:sz w:val="20"/>
          <w:szCs w:val="20"/>
        </w:rPr>
      </w:pPr>
      <w:r>
        <w:rPr>
          <w:sz w:val="20"/>
          <w:szCs w:val="20"/>
          <w:lang w:val="fr-CA"/>
        </w:rPr>
        <w:pict>
          <v:rect id="_x0000_i1043" style="width:2in;height:1pt" o:hrpct="0" o:hralign="center" o:hrstd="t" o:hrnoshade="t" o:hr="t" fillcolor="black [3213]" stroked="f"/>
        </w:pict>
      </w:r>
    </w:p>
    <w:p w:rsidR="000F69AD" w:rsidRDefault="000F69AD" w:rsidP="000F69AD">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8338B" w:rsidRPr="00E8338B" w:rsidTr="00E8338B">
        <w:trPr>
          <w:cantSplit/>
        </w:trPr>
        <w:tc>
          <w:tcPr>
            <w:tcW w:w="1458" w:type="dxa"/>
          </w:tcPr>
          <w:p w:rsidR="00E8338B" w:rsidRPr="00E8338B" w:rsidRDefault="00E8338B" w:rsidP="00E8338B">
            <w:pPr>
              <w:rPr>
                <w:sz w:val="20"/>
              </w:rPr>
            </w:pPr>
            <w:r w:rsidRPr="00E8338B">
              <w:rPr>
                <w:b/>
                <w:sz w:val="20"/>
                <w:lang w:val="fr-CA"/>
              </w:rPr>
              <w:t>35472</w:t>
            </w:r>
          </w:p>
          <w:p w:rsidR="00E8338B" w:rsidRPr="00E8338B" w:rsidRDefault="00E8338B" w:rsidP="00E8338B">
            <w:pPr>
              <w:rPr>
                <w:b/>
                <w:sz w:val="20"/>
                <w:lang w:val="fr-CA"/>
              </w:rPr>
            </w:pPr>
          </w:p>
        </w:tc>
        <w:tc>
          <w:tcPr>
            <w:tcW w:w="8118" w:type="dxa"/>
          </w:tcPr>
          <w:p w:rsidR="00E8338B" w:rsidRPr="00E8338B" w:rsidRDefault="00E8338B" w:rsidP="00E8338B">
            <w:pPr>
              <w:rPr>
                <w:sz w:val="20"/>
              </w:rPr>
            </w:pPr>
            <w:r w:rsidRPr="00E8338B">
              <w:rPr>
                <w:b/>
                <w:sz w:val="20"/>
                <w:u w:val="single"/>
              </w:rPr>
              <w:t>Daniel W. Onischuk v. Town of Canmore</w:t>
            </w:r>
            <w:r w:rsidRPr="00E8338B">
              <w:rPr>
                <w:sz w:val="20"/>
              </w:rPr>
              <w:t xml:space="preserve"> (Alta.) (Civil) (By Leave)</w:t>
            </w:r>
          </w:p>
          <w:p w:rsidR="00E8338B" w:rsidRPr="00E8338B" w:rsidRDefault="00E8338B" w:rsidP="00E8338B">
            <w:pPr>
              <w:rPr>
                <w:sz w:val="20"/>
              </w:rPr>
            </w:pPr>
          </w:p>
        </w:tc>
      </w:tr>
      <w:tr w:rsidR="00E8338B" w:rsidRPr="00E8338B" w:rsidTr="00E8338B">
        <w:trPr>
          <w:cantSplit/>
        </w:trPr>
        <w:tc>
          <w:tcPr>
            <w:tcW w:w="1458" w:type="dxa"/>
          </w:tcPr>
          <w:p w:rsidR="00E8338B" w:rsidRPr="00E8338B" w:rsidRDefault="00E8338B" w:rsidP="00E8338B">
            <w:pPr>
              <w:rPr>
                <w:sz w:val="20"/>
              </w:rPr>
            </w:pPr>
            <w:r w:rsidRPr="00E8338B">
              <w:rPr>
                <w:sz w:val="20"/>
              </w:rPr>
              <w:t>Coram :</w:t>
            </w:r>
          </w:p>
        </w:tc>
        <w:tc>
          <w:tcPr>
            <w:tcW w:w="8118" w:type="dxa"/>
          </w:tcPr>
          <w:p w:rsidR="00E8338B" w:rsidRPr="00E8338B" w:rsidRDefault="00E8338B" w:rsidP="00E8338B">
            <w:pPr>
              <w:rPr>
                <w:sz w:val="20"/>
              </w:rPr>
            </w:pPr>
            <w:r w:rsidRPr="00E8338B">
              <w:rPr>
                <w:sz w:val="20"/>
                <w:u w:val="single"/>
              </w:rPr>
              <w:t>McLachlin C.J. and Cromwell and Wagner JJ.</w:t>
            </w:r>
          </w:p>
          <w:p w:rsidR="00E8338B" w:rsidRPr="00E8338B" w:rsidRDefault="00E8338B" w:rsidP="00E8338B">
            <w:pPr>
              <w:rPr>
                <w:sz w:val="20"/>
                <w:u w:val="single"/>
              </w:rPr>
            </w:pPr>
          </w:p>
        </w:tc>
      </w:tr>
      <w:tr w:rsidR="00E8338B" w:rsidRPr="007C5411" w:rsidTr="00E8338B">
        <w:trPr>
          <w:cantSplit/>
        </w:trPr>
        <w:tc>
          <w:tcPr>
            <w:tcW w:w="9576" w:type="dxa"/>
            <w:gridSpan w:val="2"/>
          </w:tcPr>
          <w:p w:rsidR="00E8338B" w:rsidRPr="00E8338B" w:rsidRDefault="00E8338B" w:rsidP="00E8338B">
            <w:pPr>
              <w:ind w:firstLine="720"/>
              <w:jc w:val="both"/>
              <w:rPr>
                <w:sz w:val="20"/>
              </w:rPr>
            </w:pPr>
            <w:r w:rsidRPr="00E8338B">
              <w:rPr>
                <w:sz w:val="20"/>
              </w:rPr>
              <w:t>The motion for an extension of time to serve and file the application for leave to appeal and the motion to file a lengthy memorandum of argument are granted.  The motions to add a party, to adduce new evidence and for a stay of execution are dismissed.  The application for leave to appeal from the judgment of the Court of Appeal of Alberta (Calgary), Number 1201-0014-AC, 2013 ABCA 129, dated April 22, 2013, is dismissed without costs.  The additional motions to strike Non-Served Response(s) or Late Responses, for Interim Injunction to Stop Killing of Rabbits &amp; Other Wildlife In and Around Canmore, and to Suspend, Strike or Modify Canmore Bylaws are dismissed.</w:t>
            </w:r>
          </w:p>
          <w:p w:rsidR="00E8338B" w:rsidRPr="00E8338B" w:rsidRDefault="00E8338B" w:rsidP="00E8338B">
            <w:pPr>
              <w:jc w:val="both"/>
              <w:rPr>
                <w:sz w:val="20"/>
              </w:rPr>
            </w:pPr>
          </w:p>
          <w:p w:rsidR="00E8338B" w:rsidRPr="00E8338B" w:rsidRDefault="00E8338B" w:rsidP="00E8338B">
            <w:pPr>
              <w:ind w:firstLine="720"/>
              <w:jc w:val="both"/>
              <w:rPr>
                <w:sz w:val="20"/>
                <w:lang w:val="fr-CA"/>
              </w:rPr>
            </w:pPr>
            <w:r w:rsidRPr="00E8338B">
              <w:rPr>
                <w:sz w:val="20"/>
                <w:lang w:val="fr-CA"/>
              </w:rPr>
              <w:t>La requête en prorogation du délai de signification et de dépôt de la demande d’autorisation d’appel et la requête pour déposer un mémoire volumineux sont accueillies.  Les requêtes en vue de produire de nouveaux éléments de preuve et visant l’ajout d’une partie et l’obtention d’un sursis d’exécution sont rejetées.  La demande d’autorisation d’appel de l’arrêt de la Cour d'appel de l’Alberta (Calgary), numéro 1201-0014-AC, 2013 ABCA 129, daté du 22 avril 2013, est rejetée sans dépens. Les autres requêtes visant la radiation des réponses non signifiées ou tardives, le prononcé d’une injonction provisoire de cesser d’abattre les lapins et autres animaux sauvages à Canmore et dans les environs, et la suspension, la radiation ou la modification des règlements municipaux de Canmore sont rejetées.</w:t>
            </w:r>
          </w:p>
        </w:tc>
      </w:tr>
    </w:tbl>
    <w:p w:rsidR="00E8338B" w:rsidRPr="00E8338B" w:rsidRDefault="00E8338B" w:rsidP="000F69AD">
      <w:pPr>
        <w:rPr>
          <w:sz w:val="20"/>
          <w:szCs w:val="20"/>
          <w:lang w:val="fr-CA"/>
        </w:rPr>
      </w:pPr>
    </w:p>
    <w:p w:rsidR="000F69AD" w:rsidRPr="001B157C" w:rsidRDefault="000F69AD" w:rsidP="000F69AD">
      <w:pPr>
        <w:rPr>
          <w:sz w:val="20"/>
          <w:szCs w:val="20"/>
          <w:u w:val="single"/>
        </w:rPr>
      </w:pPr>
      <w:r w:rsidRPr="001B157C">
        <w:rPr>
          <w:sz w:val="20"/>
          <w:szCs w:val="20"/>
          <w:u w:val="single"/>
        </w:rPr>
        <w:t>CASE SUMMARY</w:t>
      </w:r>
    </w:p>
    <w:p w:rsidR="000F69AD" w:rsidRDefault="000F69AD" w:rsidP="000F69A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755D" w:rsidRPr="00073183" w:rsidTr="008F755D">
        <w:tc>
          <w:tcPr>
            <w:tcW w:w="5000" w:type="pct"/>
            <w:gridSpan w:val="3"/>
          </w:tcPr>
          <w:p w:rsidR="008F755D" w:rsidRPr="00073183" w:rsidRDefault="008F755D" w:rsidP="008F755D">
            <w:pPr>
              <w:jc w:val="both"/>
              <w:rPr>
                <w:rFonts w:eastAsia="Calibri"/>
                <w:sz w:val="20"/>
              </w:rPr>
            </w:pPr>
            <w:r w:rsidRPr="00073183">
              <w:rPr>
                <w:rFonts w:eastAsia="Calibri"/>
                <w:sz w:val="20"/>
              </w:rPr>
              <w:t>Civil procedure – Parties – Standing – Whether applicant had standing to bring injunction application.</w:t>
            </w:r>
          </w:p>
        </w:tc>
      </w:tr>
      <w:tr w:rsidR="008F755D" w:rsidRPr="00073183" w:rsidTr="008F755D">
        <w:tc>
          <w:tcPr>
            <w:tcW w:w="5000" w:type="pct"/>
            <w:gridSpan w:val="3"/>
          </w:tcPr>
          <w:p w:rsidR="008F755D" w:rsidRPr="00073183" w:rsidRDefault="008F755D" w:rsidP="008F755D">
            <w:pPr>
              <w:jc w:val="both"/>
              <w:rPr>
                <w:rFonts w:eastAsia="Calibri"/>
                <w:sz w:val="20"/>
              </w:rPr>
            </w:pPr>
          </w:p>
        </w:tc>
      </w:tr>
      <w:tr w:rsidR="008F755D" w:rsidRPr="00073183" w:rsidTr="008F755D">
        <w:tc>
          <w:tcPr>
            <w:tcW w:w="5000" w:type="pct"/>
            <w:gridSpan w:val="3"/>
          </w:tcPr>
          <w:p w:rsidR="008F755D" w:rsidRPr="00073183" w:rsidRDefault="008F755D" w:rsidP="008F755D">
            <w:pPr>
              <w:jc w:val="both"/>
              <w:rPr>
                <w:rFonts w:eastAsia="Calibri"/>
                <w:sz w:val="20"/>
              </w:rPr>
            </w:pPr>
            <w:r w:rsidRPr="00073183">
              <w:rPr>
                <w:rFonts w:eastAsia="Calibri"/>
                <w:sz w:val="20"/>
              </w:rPr>
              <w:t>The respondent, Town of Canmore, decided to deal with the problem of an overpopulation of rabbits in the town by trapping and euthanizing them.  The applicant, Mr. Onischuk, is an Edmonton resident.  He brought an application for an injunction to stop the town from proceeding, because he felt there were better, more humane ways to deal with the problem.  His application was dismissed on the basis that as an Edmonton resident with no ties or interest in Canmore, he had no standing to bring the application and that it constituted an abuse of process. The Court of Appeal dismissed Mr. Onischuk’s appeal.</w:t>
            </w:r>
          </w:p>
          <w:p w:rsidR="008F755D" w:rsidRPr="00073183" w:rsidRDefault="008F755D" w:rsidP="008F755D">
            <w:pPr>
              <w:jc w:val="both"/>
              <w:rPr>
                <w:rFonts w:eastAsia="Calibri"/>
                <w:sz w:val="20"/>
              </w:rPr>
            </w:pPr>
          </w:p>
        </w:tc>
      </w:tr>
      <w:tr w:rsidR="000E1B40" w:rsidRPr="00073183" w:rsidTr="008F755D">
        <w:trPr>
          <w:trHeight w:val="860"/>
        </w:trPr>
        <w:tc>
          <w:tcPr>
            <w:tcW w:w="2427" w:type="pct"/>
          </w:tcPr>
          <w:p w:rsidR="000E1B40" w:rsidRPr="00073183" w:rsidRDefault="000E1B40" w:rsidP="000E1B40">
            <w:pPr>
              <w:jc w:val="both"/>
              <w:rPr>
                <w:rFonts w:eastAsia="Calibri"/>
                <w:sz w:val="20"/>
              </w:rPr>
            </w:pPr>
            <w:r w:rsidRPr="00073183">
              <w:rPr>
                <w:rFonts w:eastAsia="Calibri"/>
                <w:sz w:val="20"/>
              </w:rPr>
              <w:t>December 7, 2011</w:t>
            </w:r>
          </w:p>
          <w:p w:rsidR="000E1B40" w:rsidRPr="00073183" w:rsidRDefault="000E1B40" w:rsidP="000E1B40">
            <w:pPr>
              <w:jc w:val="both"/>
              <w:rPr>
                <w:rFonts w:eastAsia="Calibri"/>
                <w:sz w:val="20"/>
              </w:rPr>
            </w:pPr>
            <w:r w:rsidRPr="00073183">
              <w:rPr>
                <w:rFonts w:eastAsia="Calibri"/>
                <w:sz w:val="20"/>
              </w:rPr>
              <w:t>Court of Queen’s Bench of Alberta</w:t>
            </w:r>
          </w:p>
          <w:p w:rsidR="000E1B40" w:rsidRPr="00073183" w:rsidRDefault="000E1B40" w:rsidP="000E1B40">
            <w:pPr>
              <w:jc w:val="both"/>
              <w:rPr>
                <w:rFonts w:eastAsia="Calibri"/>
                <w:sz w:val="20"/>
              </w:rPr>
            </w:pPr>
            <w:r w:rsidRPr="00073183">
              <w:rPr>
                <w:rFonts w:eastAsia="Calibri"/>
                <w:sz w:val="20"/>
              </w:rPr>
              <w:t>(Hawco J.)</w:t>
            </w:r>
          </w:p>
          <w:p w:rsidR="000E1B40" w:rsidRPr="00073183" w:rsidRDefault="000E1B40" w:rsidP="008F755D">
            <w:pPr>
              <w:jc w:val="both"/>
              <w:rPr>
                <w:rFonts w:eastAsia="Calibri"/>
                <w:sz w:val="20"/>
              </w:rPr>
            </w:pPr>
          </w:p>
        </w:tc>
        <w:tc>
          <w:tcPr>
            <w:tcW w:w="243" w:type="pct"/>
          </w:tcPr>
          <w:p w:rsidR="000E1B40" w:rsidRPr="00073183" w:rsidRDefault="000E1B40" w:rsidP="008F755D">
            <w:pPr>
              <w:jc w:val="both"/>
              <w:rPr>
                <w:rFonts w:eastAsia="Calibri"/>
                <w:sz w:val="20"/>
              </w:rPr>
            </w:pPr>
          </w:p>
        </w:tc>
        <w:tc>
          <w:tcPr>
            <w:tcW w:w="2330" w:type="pct"/>
          </w:tcPr>
          <w:p w:rsidR="000E1B40" w:rsidRPr="00073183" w:rsidRDefault="000E1B40" w:rsidP="000E1B40">
            <w:pPr>
              <w:jc w:val="both"/>
              <w:rPr>
                <w:rFonts w:eastAsia="Calibri"/>
                <w:sz w:val="20"/>
              </w:rPr>
            </w:pPr>
            <w:r w:rsidRPr="00073183">
              <w:rPr>
                <w:rFonts w:eastAsia="Calibri"/>
                <w:sz w:val="20"/>
              </w:rPr>
              <w:t>Applicant’s injunction application dismissed</w:t>
            </w:r>
          </w:p>
          <w:p w:rsidR="000E1B40" w:rsidRPr="00073183" w:rsidRDefault="000E1B40" w:rsidP="008F755D">
            <w:pPr>
              <w:jc w:val="both"/>
              <w:rPr>
                <w:rFonts w:eastAsia="Calibri"/>
                <w:sz w:val="20"/>
              </w:rPr>
            </w:pPr>
          </w:p>
        </w:tc>
      </w:tr>
      <w:tr w:rsidR="000E1B40" w:rsidRPr="00073183" w:rsidTr="000E1B40">
        <w:trPr>
          <w:trHeight w:val="20"/>
        </w:trPr>
        <w:tc>
          <w:tcPr>
            <w:tcW w:w="2427" w:type="pct"/>
          </w:tcPr>
          <w:p w:rsidR="000E1B40" w:rsidRPr="00073183" w:rsidRDefault="000E1B40" w:rsidP="000E1B40">
            <w:pPr>
              <w:jc w:val="both"/>
              <w:rPr>
                <w:rFonts w:eastAsia="Calibri"/>
                <w:sz w:val="20"/>
              </w:rPr>
            </w:pPr>
            <w:r w:rsidRPr="00073183">
              <w:rPr>
                <w:rFonts w:eastAsia="Calibri"/>
                <w:sz w:val="20"/>
              </w:rPr>
              <w:t>April 22, 2013</w:t>
            </w:r>
          </w:p>
          <w:p w:rsidR="000E1B40" w:rsidRPr="00073183" w:rsidRDefault="000E1B40" w:rsidP="000E1B40">
            <w:pPr>
              <w:jc w:val="both"/>
              <w:rPr>
                <w:rFonts w:eastAsia="Calibri"/>
                <w:sz w:val="20"/>
              </w:rPr>
            </w:pPr>
            <w:r w:rsidRPr="00073183">
              <w:rPr>
                <w:rFonts w:eastAsia="Calibri"/>
                <w:sz w:val="20"/>
              </w:rPr>
              <w:t>Court of Appeal of Alberta (Calgary)</w:t>
            </w:r>
          </w:p>
          <w:p w:rsidR="000E1B40" w:rsidRPr="00073183" w:rsidRDefault="000E1B40" w:rsidP="000E1B40">
            <w:pPr>
              <w:jc w:val="both"/>
              <w:rPr>
                <w:rFonts w:eastAsia="Calibri"/>
                <w:sz w:val="20"/>
              </w:rPr>
            </w:pPr>
            <w:r w:rsidRPr="00073183">
              <w:rPr>
                <w:rFonts w:eastAsia="Calibri"/>
                <w:sz w:val="20"/>
              </w:rPr>
              <w:t>(O'Brien, Martin and O'Ferrall JJ.A.)</w:t>
            </w:r>
          </w:p>
          <w:p w:rsidR="000E1B40" w:rsidRDefault="000E1B40" w:rsidP="000E1B40">
            <w:pPr>
              <w:jc w:val="both"/>
              <w:rPr>
                <w:rFonts w:eastAsia="Calibri"/>
                <w:sz w:val="20"/>
              </w:rPr>
            </w:pPr>
            <w:r w:rsidRPr="00073183">
              <w:rPr>
                <w:rFonts w:eastAsia="Calibri"/>
                <w:sz w:val="20"/>
              </w:rPr>
              <w:t>2013 ABCA 129</w:t>
            </w:r>
          </w:p>
          <w:p w:rsidR="000E1B40" w:rsidRPr="00073183" w:rsidRDefault="000E1B40" w:rsidP="000E1B40">
            <w:pPr>
              <w:jc w:val="both"/>
              <w:rPr>
                <w:rFonts w:eastAsia="Calibri"/>
                <w:sz w:val="20"/>
              </w:rPr>
            </w:pPr>
          </w:p>
        </w:tc>
        <w:tc>
          <w:tcPr>
            <w:tcW w:w="243" w:type="pct"/>
          </w:tcPr>
          <w:p w:rsidR="000E1B40" w:rsidRPr="00073183" w:rsidRDefault="000E1B40" w:rsidP="008F755D">
            <w:pPr>
              <w:jc w:val="both"/>
              <w:rPr>
                <w:rFonts w:eastAsia="Calibri"/>
                <w:sz w:val="20"/>
              </w:rPr>
            </w:pPr>
          </w:p>
        </w:tc>
        <w:tc>
          <w:tcPr>
            <w:tcW w:w="2330" w:type="pct"/>
          </w:tcPr>
          <w:p w:rsidR="000E1B40" w:rsidRPr="00073183" w:rsidRDefault="000E1B40" w:rsidP="008F755D">
            <w:pPr>
              <w:jc w:val="both"/>
              <w:rPr>
                <w:rFonts w:eastAsia="Calibri"/>
                <w:sz w:val="20"/>
              </w:rPr>
            </w:pPr>
            <w:r w:rsidRPr="00073183">
              <w:rPr>
                <w:rFonts w:eastAsia="Calibri"/>
                <w:sz w:val="20"/>
              </w:rPr>
              <w:t>Appeal dismissed</w:t>
            </w:r>
          </w:p>
        </w:tc>
      </w:tr>
      <w:tr w:rsidR="000E1B40" w:rsidRPr="00073183" w:rsidTr="000E1B40">
        <w:tc>
          <w:tcPr>
            <w:tcW w:w="2427" w:type="pct"/>
          </w:tcPr>
          <w:p w:rsidR="000E1B40" w:rsidRPr="00073183" w:rsidRDefault="000E1B40" w:rsidP="000E1B40">
            <w:pPr>
              <w:jc w:val="both"/>
              <w:rPr>
                <w:rFonts w:eastAsia="Calibri"/>
                <w:sz w:val="20"/>
              </w:rPr>
            </w:pPr>
            <w:r w:rsidRPr="00073183">
              <w:rPr>
                <w:rFonts w:eastAsia="Calibri"/>
                <w:sz w:val="20"/>
              </w:rPr>
              <w:t>June 21, 2013</w:t>
            </w:r>
          </w:p>
          <w:p w:rsidR="000E1B40" w:rsidRPr="00073183" w:rsidRDefault="000E1B40" w:rsidP="000E1B40">
            <w:pPr>
              <w:jc w:val="both"/>
              <w:rPr>
                <w:rFonts w:eastAsia="Calibri"/>
                <w:sz w:val="20"/>
              </w:rPr>
            </w:pPr>
            <w:r w:rsidRPr="00073183">
              <w:rPr>
                <w:rFonts w:eastAsia="Calibri"/>
                <w:sz w:val="20"/>
              </w:rPr>
              <w:t>Supreme Court of Canada</w:t>
            </w:r>
          </w:p>
          <w:p w:rsidR="000E1B40" w:rsidRPr="00073183" w:rsidRDefault="000E1B40" w:rsidP="000E1B40">
            <w:pPr>
              <w:jc w:val="both"/>
              <w:rPr>
                <w:rFonts w:eastAsia="Calibri"/>
                <w:sz w:val="20"/>
              </w:rPr>
            </w:pPr>
          </w:p>
        </w:tc>
        <w:tc>
          <w:tcPr>
            <w:tcW w:w="243" w:type="pct"/>
          </w:tcPr>
          <w:p w:rsidR="000E1B40" w:rsidRPr="00073183" w:rsidRDefault="000E1B40" w:rsidP="008F755D">
            <w:pPr>
              <w:jc w:val="both"/>
              <w:rPr>
                <w:rFonts w:eastAsia="Calibri"/>
                <w:sz w:val="20"/>
              </w:rPr>
            </w:pPr>
          </w:p>
        </w:tc>
        <w:tc>
          <w:tcPr>
            <w:tcW w:w="2330" w:type="pct"/>
          </w:tcPr>
          <w:p w:rsidR="000E1B40" w:rsidRPr="00073183" w:rsidRDefault="000E1B40" w:rsidP="000E1B40">
            <w:pPr>
              <w:jc w:val="both"/>
              <w:rPr>
                <w:rFonts w:eastAsia="Calibri"/>
                <w:sz w:val="20"/>
              </w:rPr>
            </w:pPr>
            <w:r w:rsidRPr="00073183">
              <w:rPr>
                <w:rFonts w:eastAsia="Calibri"/>
                <w:sz w:val="20"/>
              </w:rPr>
              <w:t>Application for leave to appeal filed</w:t>
            </w:r>
          </w:p>
          <w:p w:rsidR="000E1B40" w:rsidRPr="00073183" w:rsidRDefault="000E1B40" w:rsidP="008F755D">
            <w:pPr>
              <w:jc w:val="both"/>
              <w:rPr>
                <w:rFonts w:eastAsia="Calibri"/>
                <w:sz w:val="20"/>
              </w:rPr>
            </w:pPr>
          </w:p>
        </w:tc>
      </w:tr>
      <w:tr w:rsidR="000E1B40" w:rsidRPr="00073183" w:rsidTr="00E8338B">
        <w:trPr>
          <w:cantSplit/>
        </w:trPr>
        <w:tc>
          <w:tcPr>
            <w:tcW w:w="2427" w:type="pct"/>
          </w:tcPr>
          <w:p w:rsidR="000E1B40" w:rsidRPr="00073183" w:rsidRDefault="000E1B40" w:rsidP="000E1B40">
            <w:pPr>
              <w:jc w:val="both"/>
              <w:rPr>
                <w:rFonts w:eastAsia="Calibri"/>
                <w:sz w:val="20"/>
              </w:rPr>
            </w:pPr>
            <w:r w:rsidRPr="00073183">
              <w:rPr>
                <w:rFonts w:eastAsia="Calibri"/>
                <w:sz w:val="20"/>
              </w:rPr>
              <w:lastRenderedPageBreak/>
              <w:t>August 13, 2013</w:t>
            </w:r>
          </w:p>
          <w:p w:rsidR="000E1B40" w:rsidRDefault="000E1B40" w:rsidP="000E1B40">
            <w:pPr>
              <w:jc w:val="both"/>
              <w:rPr>
                <w:rFonts w:eastAsia="Calibri"/>
                <w:sz w:val="20"/>
              </w:rPr>
            </w:pPr>
            <w:r w:rsidRPr="00073183">
              <w:rPr>
                <w:rFonts w:eastAsia="Calibri"/>
                <w:sz w:val="20"/>
              </w:rPr>
              <w:t xml:space="preserve">Supreme Court of Canada </w:t>
            </w:r>
          </w:p>
          <w:p w:rsidR="00E8338B" w:rsidRPr="00073183" w:rsidRDefault="00E8338B" w:rsidP="000E1B40">
            <w:pPr>
              <w:jc w:val="both"/>
              <w:rPr>
                <w:rFonts w:eastAsia="Calibri"/>
                <w:sz w:val="20"/>
              </w:rPr>
            </w:pPr>
          </w:p>
        </w:tc>
        <w:tc>
          <w:tcPr>
            <w:tcW w:w="243" w:type="pct"/>
          </w:tcPr>
          <w:p w:rsidR="000E1B40" w:rsidRPr="00073183" w:rsidRDefault="000E1B40" w:rsidP="008F755D">
            <w:pPr>
              <w:jc w:val="both"/>
              <w:rPr>
                <w:rFonts w:eastAsia="Calibri"/>
                <w:sz w:val="20"/>
              </w:rPr>
            </w:pPr>
          </w:p>
        </w:tc>
        <w:tc>
          <w:tcPr>
            <w:tcW w:w="2330" w:type="pct"/>
          </w:tcPr>
          <w:p w:rsidR="000E1B40" w:rsidRPr="00073183" w:rsidRDefault="000E1B40" w:rsidP="000E1B40">
            <w:pPr>
              <w:jc w:val="both"/>
              <w:rPr>
                <w:rFonts w:eastAsia="Calibri"/>
                <w:sz w:val="20"/>
              </w:rPr>
            </w:pPr>
            <w:r w:rsidRPr="00073183">
              <w:rPr>
                <w:rFonts w:eastAsia="Calibri"/>
                <w:sz w:val="20"/>
              </w:rPr>
              <w:t>Motion to add or substitute parties filed</w:t>
            </w:r>
          </w:p>
          <w:p w:rsidR="000E1B40" w:rsidRPr="00073183" w:rsidRDefault="000E1B40" w:rsidP="000E1B40">
            <w:pPr>
              <w:jc w:val="both"/>
              <w:rPr>
                <w:rFonts w:eastAsia="Calibri"/>
                <w:sz w:val="20"/>
              </w:rPr>
            </w:pPr>
          </w:p>
        </w:tc>
      </w:tr>
      <w:tr w:rsidR="008F755D" w:rsidRPr="00073183" w:rsidTr="008F755D">
        <w:trPr>
          <w:trHeight w:val="640"/>
        </w:trPr>
        <w:tc>
          <w:tcPr>
            <w:tcW w:w="2427" w:type="pct"/>
          </w:tcPr>
          <w:p w:rsidR="008F755D" w:rsidRPr="00073183" w:rsidRDefault="008F755D" w:rsidP="008F755D">
            <w:pPr>
              <w:jc w:val="both"/>
              <w:rPr>
                <w:rFonts w:eastAsia="Calibri"/>
                <w:sz w:val="20"/>
              </w:rPr>
            </w:pPr>
            <w:r w:rsidRPr="00073183">
              <w:rPr>
                <w:rFonts w:eastAsia="Calibri"/>
                <w:sz w:val="20"/>
              </w:rPr>
              <w:t>August 16, 2013</w:t>
            </w:r>
          </w:p>
          <w:p w:rsidR="008F755D" w:rsidRPr="00073183" w:rsidRDefault="008F755D" w:rsidP="008F755D">
            <w:pPr>
              <w:jc w:val="both"/>
              <w:rPr>
                <w:rFonts w:eastAsia="Calibri"/>
                <w:sz w:val="20"/>
              </w:rPr>
            </w:pPr>
            <w:r w:rsidRPr="00073183">
              <w:rPr>
                <w:rFonts w:eastAsia="Calibri"/>
                <w:sz w:val="20"/>
              </w:rPr>
              <w:t>Supreme Court of Canada</w:t>
            </w:r>
          </w:p>
          <w:p w:rsidR="008F755D" w:rsidRPr="00073183" w:rsidRDefault="008F755D" w:rsidP="008F755D">
            <w:pPr>
              <w:jc w:val="both"/>
              <w:rPr>
                <w:rFonts w:eastAsia="Calibri"/>
                <w:sz w:val="20"/>
              </w:rPr>
            </w:pPr>
          </w:p>
        </w:tc>
        <w:tc>
          <w:tcPr>
            <w:tcW w:w="243" w:type="pct"/>
          </w:tcPr>
          <w:p w:rsidR="008F755D" w:rsidRPr="00073183" w:rsidRDefault="008F755D" w:rsidP="008F755D">
            <w:pPr>
              <w:jc w:val="both"/>
              <w:rPr>
                <w:rFonts w:eastAsia="Calibri"/>
                <w:sz w:val="20"/>
              </w:rPr>
            </w:pPr>
          </w:p>
        </w:tc>
        <w:tc>
          <w:tcPr>
            <w:tcW w:w="2330" w:type="pct"/>
          </w:tcPr>
          <w:p w:rsidR="008F755D" w:rsidRPr="00073183" w:rsidRDefault="008F755D" w:rsidP="008F755D">
            <w:pPr>
              <w:jc w:val="both"/>
              <w:rPr>
                <w:rFonts w:eastAsia="Calibri"/>
                <w:sz w:val="20"/>
              </w:rPr>
            </w:pPr>
            <w:r w:rsidRPr="00073183">
              <w:rPr>
                <w:rFonts w:eastAsia="Calibri"/>
                <w:sz w:val="20"/>
              </w:rPr>
              <w:t>Motions to adduce new evidence, file a lengthy memorandum of argument, extend time to file and serve application for leave to appeal and for stay of execution filed</w:t>
            </w:r>
          </w:p>
        </w:tc>
      </w:tr>
    </w:tbl>
    <w:p w:rsidR="000F69AD" w:rsidRDefault="000F69AD" w:rsidP="000F69AD">
      <w:pPr>
        <w:rPr>
          <w:sz w:val="20"/>
          <w:szCs w:val="20"/>
        </w:rPr>
      </w:pPr>
    </w:p>
    <w:p w:rsidR="000F69AD" w:rsidRPr="00C50A5C" w:rsidRDefault="007C5411" w:rsidP="000F69AD">
      <w:pPr>
        <w:rPr>
          <w:sz w:val="20"/>
          <w:szCs w:val="20"/>
        </w:rPr>
      </w:pPr>
      <w:r>
        <w:rPr>
          <w:sz w:val="20"/>
          <w:szCs w:val="20"/>
          <w:lang w:val="fr-CA"/>
        </w:rPr>
        <w:pict>
          <v:rect id="_x0000_i1044" style="width:2in;height:1pt" o:hrpct="0" o:hralign="center" o:hrstd="t" o:hrnoshade="t" o:hr="t" fillcolor="black [3213]" stroked="f"/>
        </w:pict>
      </w:r>
    </w:p>
    <w:p w:rsidR="000F69AD" w:rsidRDefault="000F69AD" w:rsidP="000F69AD">
      <w:pPr>
        <w:rPr>
          <w:sz w:val="20"/>
          <w:szCs w:val="20"/>
        </w:rPr>
      </w:pPr>
    </w:p>
    <w:p w:rsidR="000F69AD" w:rsidRPr="001B157C" w:rsidRDefault="000F69AD" w:rsidP="000F69AD">
      <w:pPr>
        <w:rPr>
          <w:sz w:val="20"/>
          <w:szCs w:val="20"/>
          <w:u w:val="single"/>
          <w:lang w:val="fr-CA"/>
        </w:rPr>
      </w:pPr>
      <w:r w:rsidRPr="001B157C">
        <w:rPr>
          <w:sz w:val="20"/>
          <w:szCs w:val="20"/>
          <w:u w:val="single"/>
          <w:lang w:val="fr-CA"/>
        </w:rPr>
        <w:t>RÉSUMÉ DE L’AFFAIRE</w:t>
      </w:r>
    </w:p>
    <w:p w:rsidR="000F69AD" w:rsidRDefault="000F69AD" w:rsidP="000F69A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755D" w:rsidRPr="007C5411" w:rsidTr="008F755D">
        <w:tc>
          <w:tcPr>
            <w:tcW w:w="5000" w:type="pct"/>
            <w:gridSpan w:val="3"/>
          </w:tcPr>
          <w:p w:rsidR="008F755D" w:rsidRPr="00073183" w:rsidRDefault="008F755D" w:rsidP="008F755D">
            <w:pPr>
              <w:jc w:val="both"/>
              <w:rPr>
                <w:rFonts w:eastAsia="Calibri"/>
                <w:sz w:val="20"/>
                <w:lang w:val="fr-CA"/>
              </w:rPr>
            </w:pPr>
            <w:r w:rsidRPr="00073183">
              <w:rPr>
                <w:rFonts w:eastAsia="Calibri"/>
                <w:sz w:val="20"/>
                <w:lang w:val="fr-CA"/>
              </w:rPr>
              <w:t>Procédure civile – Parties – Qualité pour agir – Le demandeur a-t-il qualité pour présenter une demande d'injonction?</w:t>
            </w:r>
          </w:p>
        </w:tc>
      </w:tr>
      <w:tr w:rsidR="008F755D" w:rsidRPr="007C5411" w:rsidTr="008F755D">
        <w:tc>
          <w:tcPr>
            <w:tcW w:w="5000" w:type="pct"/>
            <w:gridSpan w:val="3"/>
          </w:tcPr>
          <w:p w:rsidR="008F755D" w:rsidRPr="00073183" w:rsidRDefault="008F755D" w:rsidP="008F755D">
            <w:pPr>
              <w:jc w:val="both"/>
              <w:rPr>
                <w:rFonts w:eastAsia="Calibri"/>
                <w:sz w:val="20"/>
                <w:lang w:val="fr-CA"/>
              </w:rPr>
            </w:pPr>
          </w:p>
        </w:tc>
      </w:tr>
      <w:tr w:rsidR="008F755D" w:rsidRPr="00073183" w:rsidTr="008F755D">
        <w:tc>
          <w:tcPr>
            <w:tcW w:w="5000" w:type="pct"/>
            <w:gridSpan w:val="3"/>
          </w:tcPr>
          <w:p w:rsidR="008F755D" w:rsidRPr="00073183" w:rsidRDefault="008F755D" w:rsidP="008F755D">
            <w:pPr>
              <w:jc w:val="both"/>
              <w:rPr>
                <w:rFonts w:eastAsia="Calibri"/>
                <w:sz w:val="20"/>
                <w:lang w:val="fr-CA"/>
              </w:rPr>
            </w:pPr>
            <w:r w:rsidRPr="00073183">
              <w:rPr>
                <w:rFonts w:eastAsia="Calibri"/>
                <w:sz w:val="20"/>
                <w:lang w:val="fr-CA"/>
              </w:rPr>
              <w:t>L'intimée, la Ville de Canmore, a décidé de s'attaquer au problème de surpopulation des lapins dans la ville en les piégeant et en les euthanasiant.  Le demandeur, M. Onischuk, est un résident d’Edmonton.  Il a présenté une demande d'injonction pour empêcher la ville d'aller de l'avant, car selon lui, il existait de meilleures façons, sans cruauté, de s'attaquer au problème.  Sa demande a été rejetée parce que, en tant que résident d’Edmonton, il n'avait aucune attache ou intérêt à Canmore, qu'il n'avait pas qualité pour présenter la demande et que celle-ci constituait un abus de procédure.  La Cour d'appel a rejeté l'appel de M. Onischuk.</w:t>
            </w:r>
          </w:p>
          <w:p w:rsidR="008F755D" w:rsidRPr="00073183" w:rsidRDefault="008F755D" w:rsidP="008F755D">
            <w:pPr>
              <w:jc w:val="both"/>
              <w:rPr>
                <w:rFonts w:eastAsia="Calibri"/>
                <w:sz w:val="20"/>
                <w:lang w:val="fr-CA"/>
              </w:rPr>
            </w:pPr>
          </w:p>
        </w:tc>
      </w:tr>
      <w:tr w:rsidR="008F755D" w:rsidRPr="00073183" w:rsidTr="008F755D">
        <w:tc>
          <w:tcPr>
            <w:tcW w:w="2427" w:type="pct"/>
          </w:tcPr>
          <w:p w:rsidR="008F755D" w:rsidRPr="00073183" w:rsidRDefault="008F755D" w:rsidP="008F755D">
            <w:pPr>
              <w:jc w:val="both"/>
              <w:rPr>
                <w:rFonts w:eastAsia="Calibri"/>
                <w:sz w:val="20"/>
                <w:lang w:val="fr-CA"/>
              </w:rPr>
            </w:pPr>
            <w:r w:rsidRPr="00073183">
              <w:rPr>
                <w:rFonts w:eastAsia="Calibri"/>
                <w:sz w:val="20"/>
                <w:lang w:val="fr-CA"/>
              </w:rPr>
              <w:t>7 décembre 2011</w:t>
            </w:r>
          </w:p>
          <w:p w:rsidR="008F755D" w:rsidRPr="00073183" w:rsidRDefault="008F755D" w:rsidP="008F755D">
            <w:pPr>
              <w:jc w:val="both"/>
              <w:rPr>
                <w:rFonts w:eastAsia="Calibri"/>
                <w:sz w:val="20"/>
                <w:lang w:val="fr-CA"/>
              </w:rPr>
            </w:pPr>
            <w:r w:rsidRPr="00073183">
              <w:rPr>
                <w:rFonts w:eastAsia="Calibri"/>
                <w:sz w:val="20"/>
                <w:lang w:val="fr-CA"/>
              </w:rPr>
              <w:t>Cour du Banc de la Reine de l'Alberta</w:t>
            </w:r>
          </w:p>
          <w:p w:rsidR="008F755D" w:rsidRPr="00073183" w:rsidRDefault="008F755D" w:rsidP="008F755D">
            <w:pPr>
              <w:jc w:val="both"/>
              <w:rPr>
                <w:rFonts w:eastAsia="Calibri"/>
                <w:sz w:val="20"/>
                <w:lang w:val="fr-CA"/>
              </w:rPr>
            </w:pPr>
            <w:r w:rsidRPr="00073183">
              <w:rPr>
                <w:rFonts w:eastAsia="Calibri"/>
                <w:sz w:val="20"/>
                <w:lang w:val="fr-CA"/>
              </w:rPr>
              <w:t>(Juge Hawco)</w:t>
            </w:r>
          </w:p>
          <w:p w:rsidR="008F755D" w:rsidRPr="00073183" w:rsidRDefault="008F755D" w:rsidP="008F755D">
            <w:pPr>
              <w:jc w:val="both"/>
              <w:rPr>
                <w:rFonts w:eastAsia="Calibri"/>
                <w:sz w:val="20"/>
                <w:lang w:val="fr-CA"/>
              </w:rPr>
            </w:pPr>
          </w:p>
        </w:tc>
        <w:tc>
          <w:tcPr>
            <w:tcW w:w="243" w:type="pct"/>
          </w:tcPr>
          <w:p w:rsidR="008F755D" w:rsidRPr="00073183" w:rsidRDefault="008F755D" w:rsidP="008F755D">
            <w:pPr>
              <w:jc w:val="both"/>
              <w:rPr>
                <w:rFonts w:eastAsia="Calibri"/>
                <w:sz w:val="20"/>
                <w:lang w:val="fr-CA"/>
              </w:rPr>
            </w:pPr>
          </w:p>
        </w:tc>
        <w:tc>
          <w:tcPr>
            <w:tcW w:w="2330" w:type="pct"/>
          </w:tcPr>
          <w:p w:rsidR="008F755D" w:rsidRPr="00073183" w:rsidRDefault="008F755D" w:rsidP="008F755D">
            <w:pPr>
              <w:jc w:val="both"/>
              <w:rPr>
                <w:rFonts w:eastAsia="Calibri"/>
                <w:sz w:val="20"/>
                <w:lang w:val="fr-CA"/>
              </w:rPr>
            </w:pPr>
            <w:r w:rsidRPr="00073183">
              <w:rPr>
                <w:rFonts w:eastAsia="Calibri"/>
                <w:sz w:val="20"/>
                <w:lang w:val="fr-CA"/>
              </w:rPr>
              <w:t>Demande d'injonction du demandeur, rejetée</w:t>
            </w:r>
          </w:p>
          <w:p w:rsidR="008F755D" w:rsidRPr="00073183" w:rsidRDefault="008F755D" w:rsidP="008F755D">
            <w:pPr>
              <w:jc w:val="both"/>
              <w:rPr>
                <w:rFonts w:eastAsia="Calibri"/>
                <w:sz w:val="20"/>
                <w:lang w:val="fr-CA"/>
              </w:rPr>
            </w:pPr>
          </w:p>
        </w:tc>
      </w:tr>
      <w:tr w:rsidR="008F755D" w:rsidRPr="00073183" w:rsidTr="008F755D">
        <w:tc>
          <w:tcPr>
            <w:tcW w:w="2427" w:type="pct"/>
          </w:tcPr>
          <w:p w:rsidR="008F755D" w:rsidRPr="00073183" w:rsidRDefault="008F755D" w:rsidP="008F755D">
            <w:pPr>
              <w:jc w:val="both"/>
              <w:rPr>
                <w:rFonts w:eastAsia="Calibri"/>
                <w:sz w:val="20"/>
                <w:lang w:val="fr-CA"/>
              </w:rPr>
            </w:pPr>
            <w:r w:rsidRPr="00073183">
              <w:rPr>
                <w:rFonts w:eastAsia="Calibri"/>
                <w:sz w:val="20"/>
                <w:lang w:val="fr-CA"/>
              </w:rPr>
              <w:t>22 avril 2013</w:t>
            </w:r>
          </w:p>
          <w:p w:rsidR="008F755D" w:rsidRPr="00073183" w:rsidRDefault="008F755D" w:rsidP="008F755D">
            <w:pPr>
              <w:jc w:val="both"/>
              <w:rPr>
                <w:rFonts w:eastAsia="Calibri"/>
                <w:sz w:val="20"/>
                <w:lang w:val="fr-CA"/>
              </w:rPr>
            </w:pPr>
            <w:r w:rsidRPr="00073183">
              <w:rPr>
                <w:rFonts w:eastAsia="Calibri"/>
                <w:sz w:val="20"/>
                <w:lang w:val="fr-CA"/>
              </w:rPr>
              <w:t>Cour d'appel de l'Alberta (Calgary)</w:t>
            </w:r>
          </w:p>
          <w:p w:rsidR="008F755D" w:rsidRPr="00073183" w:rsidRDefault="008F755D" w:rsidP="008F755D">
            <w:pPr>
              <w:jc w:val="both"/>
              <w:rPr>
                <w:rFonts w:eastAsia="Calibri"/>
                <w:sz w:val="20"/>
                <w:lang w:val="fr-CA"/>
              </w:rPr>
            </w:pPr>
            <w:r w:rsidRPr="00073183">
              <w:rPr>
                <w:rFonts w:eastAsia="Calibri"/>
                <w:sz w:val="20"/>
                <w:lang w:val="fr-CA"/>
              </w:rPr>
              <w:t>(Juges O'Brien, Martin et O'Ferrall)</w:t>
            </w:r>
          </w:p>
          <w:p w:rsidR="008F755D" w:rsidRPr="00073183" w:rsidRDefault="008F755D" w:rsidP="008F755D">
            <w:pPr>
              <w:jc w:val="both"/>
              <w:rPr>
                <w:rFonts w:eastAsia="Calibri"/>
                <w:sz w:val="20"/>
                <w:lang w:val="fr-CA"/>
              </w:rPr>
            </w:pPr>
            <w:r w:rsidRPr="00073183">
              <w:rPr>
                <w:rFonts w:eastAsia="Calibri"/>
                <w:sz w:val="20"/>
                <w:lang w:val="fr-CA"/>
              </w:rPr>
              <w:t>2013 ABCA 129</w:t>
            </w:r>
          </w:p>
          <w:p w:rsidR="008F755D" w:rsidRPr="00073183" w:rsidRDefault="008F755D" w:rsidP="008F755D">
            <w:pPr>
              <w:jc w:val="both"/>
              <w:rPr>
                <w:rFonts w:eastAsia="Calibri"/>
                <w:sz w:val="20"/>
                <w:lang w:val="fr-CA"/>
              </w:rPr>
            </w:pPr>
          </w:p>
        </w:tc>
        <w:tc>
          <w:tcPr>
            <w:tcW w:w="243" w:type="pct"/>
          </w:tcPr>
          <w:p w:rsidR="008F755D" w:rsidRPr="00073183" w:rsidRDefault="008F755D" w:rsidP="008F755D">
            <w:pPr>
              <w:jc w:val="both"/>
              <w:rPr>
                <w:rFonts w:eastAsia="Calibri"/>
                <w:sz w:val="20"/>
                <w:lang w:val="fr-CA"/>
              </w:rPr>
            </w:pPr>
          </w:p>
        </w:tc>
        <w:tc>
          <w:tcPr>
            <w:tcW w:w="2330" w:type="pct"/>
          </w:tcPr>
          <w:p w:rsidR="008F755D" w:rsidRPr="00073183" w:rsidRDefault="008F755D" w:rsidP="008F755D">
            <w:pPr>
              <w:jc w:val="both"/>
              <w:rPr>
                <w:rFonts w:eastAsia="Calibri"/>
                <w:sz w:val="20"/>
                <w:lang w:val="fr-CA"/>
              </w:rPr>
            </w:pPr>
            <w:r w:rsidRPr="00073183">
              <w:rPr>
                <w:rFonts w:eastAsia="Calibri"/>
                <w:sz w:val="20"/>
                <w:lang w:val="fr-CA"/>
              </w:rPr>
              <w:t>Appel rejeté</w:t>
            </w:r>
          </w:p>
        </w:tc>
      </w:tr>
      <w:tr w:rsidR="008F755D" w:rsidRPr="00073183" w:rsidTr="008F755D">
        <w:tc>
          <w:tcPr>
            <w:tcW w:w="2427" w:type="pct"/>
          </w:tcPr>
          <w:p w:rsidR="008F755D" w:rsidRPr="00073183" w:rsidRDefault="008F755D" w:rsidP="008F755D">
            <w:pPr>
              <w:jc w:val="both"/>
              <w:rPr>
                <w:rFonts w:eastAsia="Calibri"/>
                <w:sz w:val="20"/>
                <w:lang w:val="fr-CA"/>
              </w:rPr>
            </w:pPr>
            <w:r w:rsidRPr="00073183">
              <w:rPr>
                <w:rFonts w:eastAsia="Calibri"/>
                <w:sz w:val="20"/>
                <w:lang w:val="fr-CA"/>
              </w:rPr>
              <w:t>21 juin 2013</w:t>
            </w:r>
          </w:p>
          <w:p w:rsidR="008F755D" w:rsidRPr="00073183" w:rsidRDefault="008F755D" w:rsidP="008F755D">
            <w:pPr>
              <w:jc w:val="both"/>
              <w:rPr>
                <w:rFonts w:eastAsia="Calibri"/>
                <w:sz w:val="20"/>
                <w:lang w:val="fr-CA"/>
              </w:rPr>
            </w:pPr>
            <w:r w:rsidRPr="00073183">
              <w:rPr>
                <w:rFonts w:eastAsia="Calibri"/>
                <w:sz w:val="20"/>
                <w:lang w:val="fr-CA"/>
              </w:rPr>
              <w:t>Cour suprême du Canada</w:t>
            </w:r>
          </w:p>
          <w:p w:rsidR="008F755D" w:rsidRPr="00073183" w:rsidRDefault="008F755D" w:rsidP="008F755D">
            <w:pPr>
              <w:jc w:val="both"/>
              <w:rPr>
                <w:rFonts w:eastAsia="Calibri"/>
                <w:sz w:val="20"/>
                <w:lang w:val="fr-CA"/>
              </w:rPr>
            </w:pPr>
          </w:p>
        </w:tc>
        <w:tc>
          <w:tcPr>
            <w:tcW w:w="243" w:type="pct"/>
          </w:tcPr>
          <w:p w:rsidR="008F755D" w:rsidRPr="00073183" w:rsidRDefault="008F755D" w:rsidP="008F755D">
            <w:pPr>
              <w:jc w:val="both"/>
              <w:rPr>
                <w:rFonts w:eastAsia="Calibri"/>
                <w:sz w:val="20"/>
                <w:lang w:val="fr-CA"/>
              </w:rPr>
            </w:pPr>
          </w:p>
        </w:tc>
        <w:tc>
          <w:tcPr>
            <w:tcW w:w="2330" w:type="pct"/>
          </w:tcPr>
          <w:p w:rsidR="008F755D" w:rsidRPr="00073183" w:rsidRDefault="008F755D" w:rsidP="008F755D">
            <w:pPr>
              <w:jc w:val="both"/>
              <w:rPr>
                <w:rFonts w:eastAsia="Calibri"/>
                <w:sz w:val="20"/>
                <w:lang w:val="fr-CA"/>
              </w:rPr>
            </w:pPr>
            <w:r w:rsidRPr="00073183">
              <w:rPr>
                <w:rFonts w:eastAsia="Calibri"/>
                <w:sz w:val="20"/>
                <w:lang w:val="fr-CA"/>
              </w:rPr>
              <w:t>Demande d'autorisation d'appel, déposée</w:t>
            </w:r>
          </w:p>
          <w:p w:rsidR="008F755D" w:rsidRPr="00073183" w:rsidRDefault="008F755D" w:rsidP="008F755D">
            <w:pPr>
              <w:jc w:val="both"/>
              <w:rPr>
                <w:rFonts w:eastAsia="Calibri"/>
                <w:sz w:val="20"/>
                <w:lang w:val="fr-CA"/>
              </w:rPr>
            </w:pPr>
          </w:p>
        </w:tc>
      </w:tr>
      <w:tr w:rsidR="008F755D" w:rsidRPr="007C5411" w:rsidTr="008F755D">
        <w:tc>
          <w:tcPr>
            <w:tcW w:w="2427" w:type="pct"/>
          </w:tcPr>
          <w:p w:rsidR="008F755D" w:rsidRPr="00073183" w:rsidRDefault="008F755D" w:rsidP="008F755D">
            <w:pPr>
              <w:jc w:val="both"/>
              <w:rPr>
                <w:rFonts w:eastAsia="Calibri"/>
                <w:sz w:val="20"/>
                <w:lang w:val="fr-CA"/>
              </w:rPr>
            </w:pPr>
            <w:r w:rsidRPr="00073183">
              <w:rPr>
                <w:rFonts w:eastAsia="Calibri"/>
                <w:sz w:val="20"/>
                <w:lang w:val="fr-CA"/>
              </w:rPr>
              <w:t>13 août 2013</w:t>
            </w:r>
          </w:p>
          <w:p w:rsidR="008F755D" w:rsidRPr="00073183" w:rsidRDefault="008F755D" w:rsidP="008F755D">
            <w:pPr>
              <w:jc w:val="both"/>
              <w:rPr>
                <w:rFonts w:eastAsia="Calibri"/>
                <w:sz w:val="20"/>
                <w:lang w:val="fr-CA"/>
              </w:rPr>
            </w:pPr>
            <w:r w:rsidRPr="00073183">
              <w:rPr>
                <w:rFonts w:eastAsia="Calibri"/>
                <w:sz w:val="20"/>
                <w:lang w:val="fr-CA"/>
              </w:rPr>
              <w:t xml:space="preserve">Cour suprême du Canada </w:t>
            </w:r>
          </w:p>
          <w:p w:rsidR="008F755D" w:rsidRPr="00073183" w:rsidRDefault="008F755D" w:rsidP="008F755D">
            <w:pPr>
              <w:jc w:val="both"/>
              <w:rPr>
                <w:rFonts w:eastAsia="Calibri"/>
                <w:sz w:val="20"/>
                <w:lang w:val="fr-CA"/>
              </w:rPr>
            </w:pPr>
          </w:p>
        </w:tc>
        <w:tc>
          <w:tcPr>
            <w:tcW w:w="243" w:type="pct"/>
          </w:tcPr>
          <w:p w:rsidR="008F755D" w:rsidRPr="00073183" w:rsidRDefault="008F755D" w:rsidP="008F755D">
            <w:pPr>
              <w:jc w:val="both"/>
              <w:rPr>
                <w:rFonts w:eastAsia="Calibri"/>
                <w:sz w:val="20"/>
                <w:lang w:val="fr-CA"/>
              </w:rPr>
            </w:pPr>
          </w:p>
        </w:tc>
        <w:tc>
          <w:tcPr>
            <w:tcW w:w="2330" w:type="pct"/>
          </w:tcPr>
          <w:p w:rsidR="008F755D" w:rsidRPr="00073183" w:rsidRDefault="008F755D" w:rsidP="008F755D">
            <w:pPr>
              <w:jc w:val="both"/>
              <w:rPr>
                <w:rFonts w:eastAsia="Calibri"/>
                <w:sz w:val="20"/>
                <w:lang w:val="fr-CA"/>
              </w:rPr>
            </w:pPr>
            <w:r w:rsidRPr="00073183">
              <w:rPr>
                <w:rFonts w:eastAsia="Calibri"/>
                <w:sz w:val="20"/>
                <w:lang w:val="fr-CA"/>
              </w:rPr>
              <w:t>Requête en vue d’ajouter ou de substituer des parties, déposée</w:t>
            </w:r>
          </w:p>
          <w:p w:rsidR="008F755D" w:rsidRPr="00073183" w:rsidRDefault="008F755D" w:rsidP="008F755D">
            <w:pPr>
              <w:jc w:val="both"/>
              <w:rPr>
                <w:rFonts w:eastAsia="Calibri"/>
                <w:sz w:val="20"/>
                <w:lang w:val="fr-CA"/>
              </w:rPr>
            </w:pPr>
          </w:p>
        </w:tc>
      </w:tr>
      <w:tr w:rsidR="008F755D" w:rsidRPr="007C5411" w:rsidTr="008F755D">
        <w:tc>
          <w:tcPr>
            <w:tcW w:w="2427" w:type="pct"/>
          </w:tcPr>
          <w:p w:rsidR="008F755D" w:rsidRPr="00073183" w:rsidRDefault="008F755D" w:rsidP="008F755D">
            <w:pPr>
              <w:jc w:val="both"/>
              <w:rPr>
                <w:rFonts w:eastAsia="Calibri"/>
                <w:sz w:val="20"/>
                <w:lang w:val="fr-CA"/>
              </w:rPr>
            </w:pPr>
            <w:r w:rsidRPr="00073183">
              <w:rPr>
                <w:rFonts w:eastAsia="Calibri"/>
                <w:sz w:val="20"/>
                <w:lang w:val="fr-CA"/>
              </w:rPr>
              <w:t>16 août 2013</w:t>
            </w:r>
          </w:p>
          <w:p w:rsidR="008F755D" w:rsidRPr="00073183" w:rsidRDefault="008F755D" w:rsidP="008F755D">
            <w:pPr>
              <w:jc w:val="both"/>
              <w:rPr>
                <w:rFonts w:eastAsia="Calibri"/>
                <w:sz w:val="20"/>
                <w:lang w:val="fr-CA"/>
              </w:rPr>
            </w:pPr>
            <w:r w:rsidRPr="00073183">
              <w:rPr>
                <w:rFonts w:eastAsia="Calibri"/>
                <w:sz w:val="20"/>
                <w:lang w:val="fr-CA"/>
              </w:rPr>
              <w:t>Cour suprême du Canada</w:t>
            </w:r>
          </w:p>
          <w:p w:rsidR="008F755D" w:rsidRPr="00073183" w:rsidRDefault="008F755D" w:rsidP="008F755D">
            <w:pPr>
              <w:jc w:val="both"/>
              <w:rPr>
                <w:rFonts w:eastAsia="Calibri"/>
                <w:sz w:val="20"/>
                <w:lang w:val="fr-CA"/>
              </w:rPr>
            </w:pPr>
          </w:p>
        </w:tc>
        <w:tc>
          <w:tcPr>
            <w:tcW w:w="243" w:type="pct"/>
          </w:tcPr>
          <w:p w:rsidR="008F755D" w:rsidRPr="00073183" w:rsidRDefault="008F755D" w:rsidP="008F755D">
            <w:pPr>
              <w:jc w:val="both"/>
              <w:rPr>
                <w:rFonts w:eastAsia="Calibri"/>
                <w:sz w:val="20"/>
                <w:lang w:val="fr-CA"/>
              </w:rPr>
            </w:pPr>
          </w:p>
        </w:tc>
        <w:tc>
          <w:tcPr>
            <w:tcW w:w="2330" w:type="pct"/>
          </w:tcPr>
          <w:p w:rsidR="008F755D" w:rsidRPr="00073183" w:rsidRDefault="008F755D" w:rsidP="008F755D">
            <w:pPr>
              <w:jc w:val="both"/>
              <w:rPr>
                <w:rFonts w:eastAsia="Calibri"/>
                <w:sz w:val="20"/>
                <w:lang w:val="fr-CA"/>
              </w:rPr>
            </w:pPr>
            <w:r w:rsidRPr="00073183">
              <w:rPr>
                <w:rFonts w:eastAsia="Calibri"/>
                <w:sz w:val="20"/>
                <w:lang w:val="fr-CA"/>
              </w:rPr>
              <w:t>Requêtes en vue de produire de nouveaux éléments de preuve, de déposer un mémoire volumineux, de proroger le délai de dépôt et de signification de la demande d’autorisation et de surseoir à l'exécution, déposées</w:t>
            </w:r>
          </w:p>
        </w:tc>
      </w:tr>
    </w:tbl>
    <w:p w:rsidR="000F69AD" w:rsidRPr="008F755D" w:rsidRDefault="000F69AD" w:rsidP="000F69AD">
      <w:pPr>
        <w:rPr>
          <w:sz w:val="20"/>
          <w:szCs w:val="20"/>
          <w:lang w:val="fr-CA"/>
        </w:rPr>
      </w:pPr>
    </w:p>
    <w:p w:rsidR="000F69AD" w:rsidRDefault="007C5411" w:rsidP="000F69AD">
      <w:pPr>
        <w:rPr>
          <w:sz w:val="20"/>
          <w:szCs w:val="20"/>
        </w:rPr>
      </w:pPr>
      <w:r>
        <w:rPr>
          <w:sz w:val="20"/>
          <w:szCs w:val="20"/>
          <w:lang w:val="fr-CA"/>
        </w:rPr>
        <w:pict>
          <v:rect id="_x0000_i1045" style="width:2in;height:1pt" o:hrpct="0" o:hralign="center" o:hrstd="t" o:hrnoshade="t" o:hr="t" fillcolor="black [3213]" stroked="f"/>
        </w:pict>
      </w:r>
    </w:p>
    <w:p w:rsidR="000F69AD" w:rsidRDefault="000F69AD" w:rsidP="000F69AD">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8338B" w:rsidRPr="00E8338B" w:rsidTr="00E8338B">
        <w:trPr>
          <w:cantSplit/>
        </w:trPr>
        <w:tc>
          <w:tcPr>
            <w:tcW w:w="1458" w:type="dxa"/>
          </w:tcPr>
          <w:p w:rsidR="00E8338B" w:rsidRPr="00E8338B" w:rsidRDefault="00E8338B" w:rsidP="00E8338B">
            <w:pPr>
              <w:rPr>
                <w:sz w:val="20"/>
              </w:rPr>
            </w:pPr>
            <w:r w:rsidRPr="00E8338B">
              <w:rPr>
                <w:b/>
                <w:sz w:val="20"/>
                <w:lang w:val="fr-CA"/>
              </w:rPr>
              <w:t>35483</w:t>
            </w:r>
          </w:p>
          <w:p w:rsidR="00E8338B" w:rsidRPr="00E8338B" w:rsidRDefault="00E8338B" w:rsidP="00E8338B">
            <w:pPr>
              <w:rPr>
                <w:b/>
                <w:sz w:val="20"/>
                <w:lang w:val="fr-CA"/>
              </w:rPr>
            </w:pPr>
          </w:p>
        </w:tc>
        <w:tc>
          <w:tcPr>
            <w:tcW w:w="8118" w:type="dxa"/>
          </w:tcPr>
          <w:p w:rsidR="00E8338B" w:rsidRPr="00E8338B" w:rsidRDefault="00E8338B" w:rsidP="00E8338B">
            <w:pPr>
              <w:rPr>
                <w:sz w:val="20"/>
              </w:rPr>
            </w:pPr>
            <w:r w:rsidRPr="00E8338B">
              <w:rPr>
                <w:b/>
                <w:sz w:val="20"/>
                <w:u w:val="single"/>
              </w:rPr>
              <w:t>Gregory-Marc Chartier v. MNP LTD. and Gordon V. Neudorf</w:t>
            </w:r>
            <w:r w:rsidRPr="00E8338B">
              <w:rPr>
                <w:sz w:val="20"/>
              </w:rPr>
              <w:t xml:space="preserve"> (Man.) (Civil) (By Leave)</w:t>
            </w:r>
          </w:p>
          <w:p w:rsidR="00E8338B" w:rsidRPr="00E8338B" w:rsidRDefault="00E8338B" w:rsidP="00E8338B">
            <w:pPr>
              <w:rPr>
                <w:sz w:val="20"/>
              </w:rPr>
            </w:pPr>
          </w:p>
        </w:tc>
      </w:tr>
      <w:tr w:rsidR="00E8338B" w:rsidRPr="00E8338B" w:rsidTr="00E8338B">
        <w:trPr>
          <w:cantSplit/>
        </w:trPr>
        <w:tc>
          <w:tcPr>
            <w:tcW w:w="1458" w:type="dxa"/>
          </w:tcPr>
          <w:p w:rsidR="00E8338B" w:rsidRPr="00E8338B" w:rsidRDefault="00E8338B" w:rsidP="00E8338B">
            <w:pPr>
              <w:rPr>
                <w:sz w:val="20"/>
              </w:rPr>
            </w:pPr>
            <w:r w:rsidRPr="00E8338B">
              <w:rPr>
                <w:sz w:val="20"/>
              </w:rPr>
              <w:t>Coram :</w:t>
            </w:r>
          </w:p>
        </w:tc>
        <w:tc>
          <w:tcPr>
            <w:tcW w:w="8118" w:type="dxa"/>
          </w:tcPr>
          <w:p w:rsidR="00E8338B" w:rsidRPr="00E8338B" w:rsidRDefault="00E8338B" w:rsidP="00E8338B">
            <w:pPr>
              <w:rPr>
                <w:sz w:val="20"/>
              </w:rPr>
            </w:pPr>
            <w:r w:rsidRPr="00E8338B">
              <w:rPr>
                <w:sz w:val="20"/>
                <w:u w:val="single"/>
              </w:rPr>
              <w:t>LeBel, Karakatsanis and Wagner JJ.</w:t>
            </w:r>
          </w:p>
          <w:p w:rsidR="00E8338B" w:rsidRPr="00E8338B" w:rsidRDefault="00E8338B" w:rsidP="00E8338B">
            <w:pPr>
              <w:rPr>
                <w:sz w:val="20"/>
                <w:u w:val="single"/>
              </w:rPr>
            </w:pPr>
          </w:p>
        </w:tc>
      </w:tr>
      <w:tr w:rsidR="00E8338B" w:rsidRPr="007C5411" w:rsidTr="00E8338B">
        <w:trPr>
          <w:cantSplit/>
        </w:trPr>
        <w:tc>
          <w:tcPr>
            <w:tcW w:w="9576" w:type="dxa"/>
            <w:gridSpan w:val="2"/>
          </w:tcPr>
          <w:p w:rsidR="00E8338B" w:rsidRPr="00E8338B" w:rsidRDefault="00E8338B" w:rsidP="00E8338B">
            <w:pPr>
              <w:ind w:firstLine="720"/>
              <w:jc w:val="both"/>
              <w:rPr>
                <w:sz w:val="20"/>
              </w:rPr>
            </w:pPr>
            <w:r w:rsidRPr="00E8338B">
              <w:rPr>
                <w:sz w:val="20"/>
              </w:rPr>
              <w:lastRenderedPageBreak/>
              <w:t>The application for leave to appeal from the judgment of the Court of Appeal of Manitoba, Number AI 12-30-07817, 2013 MBCA 41, dated May 23, 2013, is dismissed with costs.</w:t>
            </w:r>
          </w:p>
          <w:p w:rsidR="00E8338B" w:rsidRPr="00E8338B" w:rsidRDefault="00E8338B" w:rsidP="00E8338B">
            <w:pPr>
              <w:jc w:val="both"/>
              <w:rPr>
                <w:sz w:val="20"/>
              </w:rPr>
            </w:pPr>
          </w:p>
          <w:p w:rsidR="00E8338B" w:rsidRPr="00E8338B" w:rsidRDefault="00E8338B" w:rsidP="00E8338B">
            <w:pPr>
              <w:ind w:firstLine="720"/>
              <w:jc w:val="both"/>
              <w:rPr>
                <w:sz w:val="20"/>
                <w:lang w:val="fr-CA"/>
              </w:rPr>
            </w:pPr>
            <w:r w:rsidRPr="00E8338B">
              <w:rPr>
                <w:sz w:val="20"/>
                <w:lang w:val="fr-CA"/>
              </w:rPr>
              <w:t>La demande d’autorisation d’appel de l’arrêt de la Cour d’appel du Manitoba, numéro AI 12-30-07817, 2013 MBCA 41, daté du 23 mai 2013, est rejetée avec dépens.</w:t>
            </w:r>
          </w:p>
        </w:tc>
      </w:tr>
    </w:tbl>
    <w:p w:rsidR="000F69AD" w:rsidRPr="00E8338B" w:rsidRDefault="000F69AD" w:rsidP="000F69AD">
      <w:pPr>
        <w:rPr>
          <w:sz w:val="20"/>
          <w:szCs w:val="20"/>
          <w:lang w:val="fr-CA"/>
        </w:rPr>
      </w:pPr>
    </w:p>
    <w:p w:rsidR="000F69AD" w:rsidRPr="001B157C" w:rsidRDefault="000F69AD" w:rsidP="000F69AD">
      <w:pPr>
        <w:rPr>
          <w:sz w:val="20"/>
          <w:szCs w:val="20"/>
          <w:u w:val="single"/>
        </w:rPr>
      </w:pPr>
      <w:r w:rsidRPr="001B157C">
        <w:rPr>
          <w:sz w:val="20"/>
          <w:szCs w:val="20"/>
          <w:u w:val="single"/>
        </w:rPr>
        <w:t>CASE SUMMARY</w:t>
      </w:r>
    </w:p>
    <w:p w:rsidR="000F69AD" w:rsidRDefault="000F69AD" w:rsidP="000F69A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755D" w:rsidRPr="00073183" w:rsidTr="008F755D">
        <w:tc>
          <w:tcPr>
            <w:tcW w:w="5000" w:type="pct"/>
            <w:gridSpan w:val="3"/>
          </w:tcPr>
          <w:p w:rsidR="008F755D" w:rsidRPr="00073183" w:rsidRDefault="008F755D" w:rsidP="008F755D">
            <w:pPr>
              <w:autoSpaceDE w:val="0"/>
              <w:autoSpaceDN w:val="0"/>
              <w:adjustRightInd w:val="0"/>
              <w:jc w:val="both"/>
              <w:rPr>
                <w:rFonts w:eastAsia="Calibri"/>
                <w:sz w:val="20"/>
              </w:rPr>
            </w:pPr>
            <w:r w:rsidRPr="00073183">
              <w:rPr>
                <w:rFonts w:eastAsia="Calibri"/>
                <w:sz w:val="20"/>
              </w:rPr>
              <w:t xml:space="preserve">Bankruptcy and Insolvency ― Trustees ― Real property ― Homestead legislation ― Trustee in bankruptcy appealing decision that non-owner spouse’s veto right does not vest in trustee ― Court of Appeal allowing appeal ― </w:t>
            </w:r>
            <w:r w:rsidRPr="00073183">
              <w:rPr>
                <w:rFonts w:eastAsia="Calibri"/>
                <w:bCs/>
                <w:sz w:val="20"/>
              </w:rPr>
              <w:t>Whether a bankrupt’s homestead veto power is property of the bankrupt</w:t>
            </w:r>
            <w:r w:rsidRPr="00073183">
              <w:rPr>
                <w:rFonts w:eastAsia="Calibri"/>
                <w:sz w:val="20"/>
              </w:rPr>
              <w:t xml:space="preserve"> ― </w:t>
            </w:r>
            <w:r w:rsidRPr="00073183">
              <w:rPr>
                <w:rFonts w:eastAsia="Calibri"/>
                <w:bCs/>
                <w:sz w:val="20"/>
              </w:rPr>
              <w:t xml:space="preserve">Whether the trustee in bankruptcy of a non-owner spouse is entitled to withhold consent for any purpose other than to assure the bankrupt a place to live </w:t>
            </w:r>
            <w:r w:rsidRPr="00073183">
              <w:rPr>
                <w:rFonts w:eastAsia="Calibri"/>
                <w:sz w:val="20"/>
              </w:rPr>
              <w:t xml:space="preserve">― </w:t>
            </w:r>
            <w:r w:rsidRPr="00073183">
              <w:rPr>
                <w:rFonts w:eastAsia="Calibri"/>
                <w:bCs/>
                <w:sz w:val="20"/>
              </w:rPr>
              <w:t xml:space="preserve">Whether there is, in any event, any compensable loss incurred where the non-owner spouse will immediately acquire a replacement homestead </w:t>
            </w:r>
            <w:r w:rsidRPr="00073183">
              <w:rPr>
                <w:rFonts w:eastAsia="Calibri"/>
                <w:sz w:val="20"/>
              </w:rPr>
              <w:t xml:space="preserve">― </w:t>
            </w:r>
            <w:r w:rsidRPr="00073183">
              <w:rPr>
                <w:rFonts w:eastAsia="Calibri"/>
                <w:i/>
                <w:sz w:val="20"/>
              </w:rPr>
              <w:t>The</w:t>
            </w:r>
            <w:r w:rsidRPr="00073183">
              <w:rPr>
                <w:rFonts w:eastAsia="Calibri"/>
                <w:sz w:val="20"/>
              </w:rPr>
              <w:t xml:space="preserve"> </w:t>
            </w:r>
            <w:r w:rsidRPr="00073183">
              <w:rPr>
                <w:rFonts w:eastAsia="Calibri"/>
                <w:i/>
                <w:iCs/>
                <w:color w:val="000000"/>
                <w:sz w:val="20"/>
              </w:rPr>
              <w:t>Homesteads Act</w:t>
            </w:r>
            <w:r w:rsidRPr="00073183">
              <w:rPr>
                <w:rFonts w:eastAsia="Calibri"/>
                <w:color w:val="000000"/>
                <w:sz w:val="20"/>
              </w:rPr>
              <w:t xml:space="preserve">, C.C.S.M., c. H80 </w:t>
            </w:r>
            <w:r w:rsidRPr="00073183">
              <w:rPr>
                <w:rFonts w:eastAsia="Calibri"/>
                <w:sz w:val="20"/>
              </w:rPr>
              <w:t xml:space="preserve">― </w:t>
            </w:r>
            <w:r w:rsidRPr="00073183">
              <w:rPr>
                <w:rFonts w:eastAsia="Calibri"/>
                <w:i/>
                <w:iCs/>
                <w:color w:val="000000"/>
                <w:sz w:val="20"/>
              </w:rPr>
              <w:t>Bankruptcy and Insolvency Act</w:t>
            </w:r>
            <w:r w:rsidRPr="00073183">
              <w:rPr>
                <w:rFonts w:eastAsia="Calibri"/>
                <w:iCs/>
                <w:color w:val="000000"/>
                <w:sz w:val="20"/>
              </w:rPr>
              <w:t xml:space="preserve">, R.S.C. 1985, c. B-3.  </w:t>
            </w:r>
          </w:p>
        </w:tc>
      </w:tr>
      <w:tr w:rsidR="008F755D" w:rsidRPr="00073183" w:rsidTr="008F755D">
        <w:tc>
          <w:tcPr>
            <w:tcW w:w="5000" w:type="pct"/>
            <w:gridSpan w:val="3"/>
          </w:tcPr>
          <w:p w:rsidR="008F755D" w:rsidRPr="00073183" w:rsidRDefault="008F755D" w:rsidP="008F755D">
            <w:pPr>
              <w:jc w:val="both"/>
              <w:rPr>
                <w:rFonts w:eastAsia="Calibri"/>
                <w:sz w:val="20"/>
              </w:rPr>
            </w:pPr>
          </w:p>
        </w:tc>
      </w:tr>
      <w:tr w:rsidR="008F755D" w:rsidRPr="00073183" w:rsidTr="008F755D">
        <w:tc>
          <w:tcPr>
            <w:tcW w:w="5000" w:type="pct"/>
            <w:gridSpan w:val="3"/>
          </w:tcPr>
          <w:p w:rsidR="008F755D" w:rsidRPr="00073183" w:rsidRDefault="008F755D" w:rsidP="008F755D">
            <w:pPr>
              <w:ind w:right="29"/>
              <w:jc w:val="both"/>
              <w:rPr>
                <w:color w:val="000000"/>
                <w:sz w:val="20"/>
              </w:rPr>
            </w:pPr>
            <w:r w:rsidRPr="00073183">
              <w:rPr>
                <w:color w:val="000000"/>
                <w:sz w:val="20"/>
              </w:rPr>
              <w:t>In 2007, Ms. Garlicki (now Mrs. Chartier) declared bankruptcy and a trustee of her estate was appointed.  Also in 2007, the applicant purchased a home in Manitoba.  In 2009, he married Mrs. Chartier and the property became their homestead property within the meaning of the</w:t>
            </w:r>
            <w:r w:rsidRPr="00073183">
              <w:rPr>
                <w:i/>
                <w:iCs/>
                <w:color w:val="000000"/>
                <w:sz w:val="20"/>
              </w:rPr>
              <w:t xml:space="preserve"> </w:t>
            </w:r>
            <w:r w:rsidRPr="00073183">
              <w:rPr>
                <w:i/>
                <w:sz w:val="20"/>
              </w:rPr>
              <w:t>The</w:t>
            </w:r>
            <w:r w:rsidRPr="00073183">
              <w:rPr>
                <w:sz w:val="20"/>
              </w:rPr>
              <w:t xml:space="preserve"> </w:t>
            </w:r>
            <w:r w:rsidRPr="00073183">
              <w:rPr>
                <w:i/>
                <w:iCs/>
                <w:color w:val="000000"/>
                <w:sz w:val="20"/>
              </w:rPr>
              <w:t>Homesteads Act</w:t>
            </w:r>
            <w:r w:rsidRPr="00073183">
              <w:rPr>
                <w:color w:val="000000"/>
                <w:sz w:val="20"/>
              </w:rPr>
              <w:t>, C.C.S.M., c. H80.  In 2011, Mr. Chartier listed the property for sale.  He maintained that it was his intention to purchase another home once the property sold. Mrs. Chartier agreed with this decision and did not wish to exercise her veto right.</w:t>
            </w:r>
          </w:p>
          <w:p w:rsidR="008F755D" w:rsidRPr="00073183" w:rsidRDefault="008F755D" w:rsidP="008F755D">
            <w:pPr>
              <w:spacing w:before="210"/>
              <w:ind w:right="30"/>
              <w:jc w:val="both"/>
              <w:rPr>
                <w:color w:val="000000"/>
                <w:sz w:val="20"/>
              </w:rPr>
            </w:pPr>
            <w:r w:rsidRPr="00073183">
              <w:rPr>
                <w:color w:val="000000"/>
                <w:sz w:val="20"/>
              </w:rPr>
              <w:t xml:space="preserve">In 2011, the trustee learned of Mrs. Chartier’s homestead interest in the property.  In 2011, the trustee registered a homestead notice against the title pursuant to the </w:t>
            </w:r>
            <w:r w:rsidRPr="00073183">
              <w:rPr>
                <w:i/>
                <w:color w:val="000000"/>
                <w:sz w:val="20"/>
              </w:rPr>
              <w:t>Homestead</w:t>
            </w:r>
            <w:r w:rsidRPr="00073183">
              <w:rPr>
                <w:color w:val="000000"/>
                <w:sz w:val="20"/>
              </w:rPr>
              <w:t xml:space="preserve"> </w:t>
            </w:r>
            <w:r w:rsidRPr="00073183">
              <w:rPr>
                <w:i/>
                <w:iCs/>
                <w:color w:val="000000"/>
                <w:sz w:val="20"/>
              </w:rPr>
              <w:t>Act</w:t>
            </w:r>
            <w:r w:rsidRPr="00073183">
              <w:rPr>
                <w:color w:val="000000"/>
                <w:sz w:val="20"/>
              </w:rPr>
              <w:t>.  In August 2011, Mr. Chartier accepted an offer to purchase the property. Mr. Chartier did not seek the consent of the trustee to the sale.  Mr. Chartier filed a statement of claim against the trustee.  In essence, the claim sought a declaration that the trustee has no interest in the property and a declaration that Mr. Chartier be allowed to sell the property without the consent of the trustee.  The same day, Mr. Chartier filed a notice of motion seeking a declaration for fundamentally the same relief.</w:t>
            </w:r>
          </w:p>
          <w:p w:rsidR="008F755D" w:rsidRPr="00073183" w:rsidRDefault="008F755D" w:rsidP="008F755D">
            <w:pPr>
              <w:spacing w:before="210"/>
              <w:ind w:right="30"/>
              <w:jc w:val="both"/>
              <w:rPr>
                <w:color w:val="000000"/>
                <w:sz w:val="20"/>
              </w:rPr>
            </w:pPr>
            <w:r w:rsidRPr="00073183">
              <w:rPr>
                <w:color w:val="000000"/>
                <w:sz w:val="20"/>
              </w:rPr>
              <w:t>In September 2011, the prospective purchaser of the property offered the trustee $20,000 for its consent to the sale and a discharge of the homestead notice, which would allow the purchaser to complete the transaction.  While the offer was acceptable to the trustee, it was not acceptable to Mr. Chartier. As a result, the sale of the property did not proceed.</w:t>
            </w:r>
          </w:p>
          <w:p w:rsidR="008F755D" w:rsidRPr="00073183" w:rsidRDefault="008F755D" w:rsidP="008F755D">
            <w:pPr>
              <w:autoSpaceDE w:val="0"/>
              <w:autoSpaceDN w:val="0"/>
              <w:adjustRightInd w:val="0"/>
              <w:jc w:val="both"/>
              <w:rPr>
                <w:color w:val="000000"/>
                <w:sz w:val="20"/>
              </w:rPr>
            </w:pPr>
          </w:p>
          <w:p w:rsidR="008F755D" w:rsidRPr="00073183" w:rsidRDefault="008F755D" w:rsidP="008F755D">
            <w:pPr>
              <w:autoSpaceDE w:val="0"/>
              <w:autoSpaceDN w:val="0"/>
              <w:adjustRightInd w:val="0"/>
              <w:jc w:val="both"/>
              <w:rPr>
                <w:rFonts w:eastAsia="Calibri"/>
                <w:bCs/>
                <w:sz w:val="20"/>
              </w:rPr>
            </w:pPr>
            <w:r w:rsidRPr="00073183">
              <w:rPr>
                <w:rFonts w:eastAsia="Calibri"/>
                <w:color w:val="000000"/>
                <w:sz w:val="20"/>
              </w:rPr>
              <w:t>The motion judge determined that Mrs. Chartier’s veto right did not vest in her trustee in bankruptcy. The trustee appealed to the Court of Appeal.  The Court of Appeal allowed the appeal.</w:t>
            </w:r>
          </w:p>
          <w:p w:rsidR="008F755D" w:rsidRPr="00073183" w:rsidRDefault="008F755D" w:rsidP="008F755D">
            <w:pPr>
              <w:jc w:val="both"/>
              <w:rPr>
                <w:rFonts w:eastAsia="Calibri"/>
                <w:sz w:val="20"/>
              </w:rPr>
            </w:pPr>
          </w:p>
        </w:tc>
      </w:tr>
      <w:tr w:rsidR="008F755D" w:rsidRPr="00073183" w:rsidTr="008F755D">
        <w:tc>
          <w:tcPr>
            <w:tcW w:w="2427" w:type="pct"/>
          </w:tcPr>
          <w:p w:rsidR="008F755D" w:rsidRPr="00073183" w:rsidRDefault="008F755D" w:rsidP="008F755D">
            <w:pPr>
              <w:jc w:val="both"/>
              <w:rPr>
                <w:rFonts w:eastAsia="Calibri"/>
                <w:sz w:val="20"/>
              </w:rPr>
            </w:pPr>
            <w:r w:rsidRPr="00073183">
              <w:rPr>
                <w:rFonts w:eastAsia="Calibri"/>
                <w:sz w:val="20"/>
              </w:rPr>
              <w:t>June 14, 2012</w:t>
            </w:r>
          </w:p>
          <w:p w:rsidR="008F755D" w:rsidRPr="00073183" w:rsidRDefault="008F755D" w:rsidP="008F755D">
            <w:pPr>
              <w:jc w:val="both"/>
              <w:rPr>
                <w:rFonts w:eastAsia="Calibri"/>
                <w:sz w:val="20"/>
              </w:rPr>
            </w:pPr>
            <w:r w:rsidRPr="00073183">
              <w:rPr>
                <w:rFonts w:eastAsia="Calibri"/>
                <w:sz w:val="20"/>
              </w:rPr>
              <w:t>Court of Queen’s Bench of Manitoba</w:t>
            </w:r>
          </w:p>
          <w:p w:rsidR="008F755D" w:rsidRPr="00073183" w:rsidRDefault="008F755D" w:rsidP="008F755D">
            <w:pPr>
              <w:jc w:val="both"/>
              <w:rPr>
                <w:rFonts w:eastAsia="Calibri"/>
                <w:sz w:val="20"/>
              </w:rPr>
            </w:pPr>
            <w:r w:rsidRPr="00073183">
              <w:rPr>
                <w:rFonts w:eastAsia="Calibri"/>
                <w:sz w:val="20"/>
              </w:rPr>
              <w:t>(Greenberg J.)</w:t>
            </w:r>
          </w:p>
          <w:p w:rsidR="008F755D" w:rsidRPr="00073183" w:rsidRDefault="007C5411" w:rsidP="008F755D">
            <w:pPr>
              <w:jc w:val="both"/>
              <w:rPr>
                <w:rFonts w:eastAsia="Calibri"/>
                <w:sz w:val="20"/>
              </w:rPr>
            </w:pPr>
            <w:hyperlink r:id="rId39" w:history="1">
              <w:r w:rsidR="008F755D" w:rsidRPr="00073183">
                <w:rPr>
                  <w:rFonts w:eastAsia="Calibri"/>
                  <w:color w:val="3300CC"/>
                  <w:sz w:val="20"/>
                </w:rPr>
                <w:t>2012 MBQB 176</w:t>
              </w:r>
            </w:hyperlink>
          </w:p>
          <w:p w:rsidR="008F755D" w:rsidRPr="00073183" w:rsidRDefault="008F755D" w:rsidP="008F755D">
            <w:pPr>
              <w:jc w:val="both"/>
              <w:rPr>
                <w:rFonts w:eastAsia="Calibri"/>
                <w:sz w:val="20"/>
              </w:rPr>
            </w:pPr>
          </w:p>
        </w:tc>
        <w:tc>
          <w:tcPr>
            <w:tcW w:w="243" w:type="pct"/>
          </w:tcPr>
          <w:p w:rsidR="008F755D" w:rsidRPr="00073183" w:rsidRDefault="008F755D" w:rsidP="008F755D">
            <w:pPr>
              <w:jc w:val="both"/>
              <w:rPr>
                <w:rFonts w:eastAsia="Calibri"/>
                <w:sz w:val="20"/>
              </w:rPr>
            </w:pPr>
          </w:p>
        </w:tc>
        <w:tc>
          <w:tcPr>
            <w:tcW w:w="2330" w:type="pct"/>
          </w:tcPr>
          <w:p w:rsidR="008F755D" w:rsidRPr="00073183" w:rsidRDefault="008F755D" w:rsidP="008F755D">
            <w:pPr>
              <w:jc w:val="both"/>
              <w:rPr>
                <w:rFonts w:eastAsia="Calibri"/>
                <w:sz w:val="20"/>
              </w:rPr>
            </w:pPr>
            <w:r w:rsidRPr="00073183">
              <w:rPr>
                <w:rFonts w:eastAsia="Calibri"/>
                <w:sz w:val="20"/>
              </w:rPr>
              <w:t xml:space="preserve">Spouse’s veto right under </w:t>
            </w:r>
            <w:r w:rsidRPr="00073183">
              <w:rPr>
                <w:rFonts w:eastAsia="Calibri"/>
                <w:i/>
                <w:sz w:val="20"/>
              </w:rPr>
              <w:t>The Homestead Act</w:t>
            </w:r>
            <w:r w:rsidRPr="00073183">
              <w:rPr>
                <w:rFonts w:eastAsia="Calibri"/>
                <w:sz w:val="20"/>
              </w:rPr>
              <w:t xml:space="preserve"> does not vest in her trustee in bankruptcy</w:t>
            </w:r>
          </w:p>
          <w:p w:rsidR="008F755D" w:rsidRPr="00073183" w:rsidRDefault="008F755D" w:rsidP="008F755D">
            <w:pPr>
              <w:jc w:val="both"/>
              <w:rPr>
                <w:rFonts w:eastAsia="Calibri"/>
                <w:sz w:val="20"/>
              </w:rPr>
            </w:pPr>
          </w:p>
        </w:tc>
      </w:tr>
      <w:tr w:rsidR="008F755D" w:rsidRPr="00073183" w:rsidTr="008F755D">
        <w:tc>
          <w:tcPr>
            <w:tcW w:w="2427" w:type="pct"/>
          </w:tcPr>
          <w:p w:rsidR="008F755D" w:rsidRPr="00073183" w:rsidRDefault="008F755D" w:rsidP="008F755D">
            <w:pPr>
              <w:jc w:val="both"/>
              <w:rPr>
                <w:rFonts w:eastAsia="Calibri"/>
                <w:sz w:val="20"/>
              </w:rPr>
            </w:pPr>
            <w:r w:rsidRPr="00073183">
              <w:rPr>
                <w:rFonts w:eastAsia="Calibri"/>
                <w:sz w:val="20"/>
              </w:rPr>
              <w:t>May 23, 2013</w:t>
            </w:r>
          </w:p>
          <w:p w:rsidR="008F755D" w:rsidRPr="00073183" w:rsidRDefault="008F755D" w:rsidP="008F755D">
            <w:pPr>
              <w:jc w:val="both"/>
              <w:rPr>
                <w:rFonts w:eastAsia="Calibri"/>
                <w:sz w:val="20"/>
              </w:rPr>
            </w:pPr>
            <w:r w:rsidRPr="00073183">
              <w:rPr>
                <w:rFonts w:eastAsia="Calibri"/>
                <w:sz w:val="20"/>
              </w:rPr>
              <w:t>Court of Appeal of Manitoba</w:t>
            </w:r>
          </w:p>
          <w:p w:rsidR="008F755D" w:rsidRPr="00073183" w:rsidRDefault="008F755D" w:rsidP="008F755D">
            <w:pPr>
              <w:jc w:val="both"/>
              <w:rPr>
                <w:rFonts w:eastAsia="Calibri"/>
                <w:sz w:val="20"/>
              </w:rPr>
            </w:pPr>
            <w:r w:rsidRPr="00073183">
              <w:rPr>
                <w:rFonts w:eastAsia="Calibri"/>
                <w:sz w:val="20"/>
              </w:rPr>
              <w:t>(Scott C.J.M. and Beard and Cameron JJ.A.)</w:t>
            </w:r>
          </w:p>
          <w:p w:rsidR="008F755D" w:rsidRPr="00073183" w:rsidRDefault="007C5411" w:rsidP="008F755D">
            <w:pPr>
              <w:jc w:val="both"/>
              <w:rPr>
                <w:rFonts w:eastAsia="Calibri"/>
                <w:sz w:val="20"/>
              </w:rPr>
            </w:pPr>
            <w:hyperlink r:id="rId40" w:history="1">
              <w:r w:rsidR="008F755D" w:rsidRPr="00073183">
                <w:rPr>
                  <w:rFonts w:eastAsia="Calibri"/>
                  <w:color w:val="3300CC"/>
                  <w:sz w:val="20"/>
                </w:rPr>
                <w:t>2013 MBCA 41</w:t>
              </w:r>
            </w:hyperlink>
          </w:p>
          <w:p w:rsidR="008F755D" w:rsidRPr="00073183" w:rsidRDefault="008F755D" w:rsidP="00E8338B">
            <w:pPr>
              <w:jc w:val="both"/>
              <w:rPr>
                <w:rFonts w:eastAsia="Calibri"/>
                <w:sz w:val="20"/>
              </w:rPr>
            </w:pPr>
            <w:r w:rsidRPr="00073183">
              <w:rPr>
                <w:rFonts w:eastAsia="Calibri"/>
                <w:sz w:val="20"/>
              </w:rPr>
              <w:t>File No.: AI-12-30-07817</w:t>
            </w:r>
          </w:p>
        </w:tc>
        <w:tc>
          <w:tcPr>
            <w:tcW w:w="243" w:type="pct"/>
          </w:tcPr>
          <w:p w:rsidR="008F755D" w:rsidRPr="00073183" w:rsidRDefault="008F755D" w:rsidP="008F755D">
            <w:pPr>
              <w:jc w:val="both"/>
              <w:rPr>
                <w:rFonts w:eastAsia="Calibri"/>
                <w:sz w:val="20"/>
              </w:rPr>
            </w:pPr>
          </w:p>
        </w:tc>
        <w:tc>
          <w:tcPr>
            <w:tcW w:w="2330" w:type="pct"/>
          </w:tcPr>
          <w:p w:rsidR="008F755D" w:rsidRPr="00073183" w:rsidRDefault="008F755D" w:rsidP="008F755D">
            <w:pPr>
              <w:jc w:val="both"/>
              <w:rPr>
                <w:rFonts w:eastAsia="Calibri"/>
                <w:sz w:val="20"/>
              </w:rPr>
            </w:pPr>
            <w:r w:rsidRPr="00073183">
              <w:rPr>
                <w:rFonts w:eastAsia="Calibri"/>
                <w:sz w:val="20"/>
              </w:rPr>
              <w:t>Appeal allowed</w:t>
            </w:r>
          </w:p>
          <w:p w:rsidR="008F755D" w:rsidRPr="00073183" w:rsidRDefault="008F755D" w:rsidP="008F755D">
            <w:pPr>
              <w:jc w:val="both"/>
              <w:rPr>
                <w:rFonts w:eastAsia="Calibri"/>
                <w:sz w:val="20"/>
              </w:rPr>
            </w:pPr>
          </w:p>
        </w:tc>
      </w:tr>
    </w:tbl>
    <w:p w:rsidR="00E8338B" w:rsidRDefault="00E8338B"/>
    <w:p w:rsidR="00E8338B" w:rsidRDefault="00E8338B">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755D" w:rsidRPr="00073183" w:rsidTr="008F755D">
        <w:tc>
          <w:tcPr>
            <w:tcW w:w="2427" w:type="pct"/>
          </w:tcPr>
          <w:p w:rsidR="008F755D" w:rsidRPr="00073183" w:rsidRDefault="008F755D" w:rsidP="008F755D">
            <w:pPr>
              <w:jc w:val="both"/>
              <w:rPr>
                <w:rFonts w:eastAsia="Calibri"/>
                <w:sz w:val="20"/>
              </w:rPr>
            </w:pPr>
            <w:r w:rsidRPr="00073183">
              <w:rPr>
                <w:rFonts w:eastAsia="Calibri"/>
                <w:sz w:val="20"/>
              </w:rPr>
              <w:lastRenderedPageBreak/>
              <w:t>August 19, 2013</w:t>
            </w:r>
          </w:p>
          <w:p w:rsidR="008F755D" w:rsidRPr="00073183" w:rsidRDefault="008F755D" w:rsidP="008F755D">
            <w:pPr>
              <w:jc w:val="both"/>
              <w:rPr>
                <w:rFonts w:eastAsia="Calibri"/>
                <w:sz w:val="20"/>
              </w:rPr>
            </w:pPr>
            <w:r w:rsidRPr="00073183">
              <w:rPr>
                <w:rFonts w:eastAsia="Calibri"/>
                <w:sz w:val="20"/>
              </w:rPr>
              <w:t>Supreme Court of Canada</w:t>
            </w:r>
          </w:p>
        </w:tc>
        <w:tc>
          <w:tcPr>
            <w:tcW w:w="243" w:type="pct"/>
          </w:tcPr>
          <w:p w:rsidR="008F755D" w:rsidRPr="00073183" w:rsidRDefault="008F755D" w:rsidP="008F755D">
            <w:pPr>
              <w:jc w:val="both"/>
              <w:rPr>
                <w:rFonts w:eastAsia="Calibri"/>
                <w:sz w:val="20"/>
              </w:rPr>
            </w:pPr>
          </w:p>
        </w:tc>
        <w:tc>
          <w:tcPr>
            <w:tcW w:w="2330" w:type="pct"/>
          </w:tcPr>
          <w:p w:rsidR="008F755D" w:rsidRPr="00073183" w:rsidRDefault="008F755D" w:rsidP="008F755D">
            <w:pPr>
              <w:jc w:val="both"/>
              <w:rPr>
                <w:rFonts w:eastAsia="Calibri"/>
                <w:sz w:val="20"/>
              </w:rPr>
            </w:pPr>
            <w:r w:rsidRPr="00073183">
              <w:rPr>
                <w:rFonts w:eastAsia="Calibri"/>
                <w:sz w:val="20"/>
              </w:rPr>
              <w:t>Application for leave to appeal filed</w:t>
            </w:r>
          </w:p>
        </w:tc>
      </w:tr>
    </w:tbl>
    <w:p w:rsidR="000F69AD" w:rsidRDefault="000F69AD" w:rsidP="000F69AD">
      <w:pPr>
        <w:rPr>
          <w:sz w:val="20"/>
          <w:szCs w:val="20"/>
        </w:rPr>
      </w:pPr>
    </w:p>
    <w:p w:rsidR="000F69AD" w:rsidRPr="00C50A5C" w:rsidRDefault="007C5411" w:rsidP="000F69AD">
      <w:pPr>
        <w:rPr>
          <w:sz w:val="20"/>
          <w:szCs w:val="20"/>
        </w:rPr>
      </w:pPr>
      <w:r>
        <w:rPr>
          <w:sz w:val="20"/>
          <w:szCs w:val="20"/>
          <w:lang w:val="fr-CA"/>
        </w:rPr>
        <w:pict>
          <v:rect id="_x0000_i1046" style="width:2in;height:1pt" o:hrpct="0" o:hralign="center" o:hrstd="t" o:hrnoshade="t" o:hr="t" fillcolor="black [3213]" stroked="f"/>
        </w:pict>
      </w:r>
    </w:p>
    <w:p w:rsidR="000F69AD" w:rsidRDefault="000F69AD" w:rsidP="000F69AD">
      <w:pPr>
        <w:rPr>
          <w:sz w:val="20"/>
          <w:szCs w:val="20"/>
        </w:rPr>
      </w:pPr>
    </w:p>
    <w:p w:rsidR="000F69AD" w:rsidRPr="001B157C" w:rsidRDefault="000F69AD" w:rsidP="000F69AD">
      <w:pPr>
        <w:rPr>
          <w:sz w:val="20"/>
          <w:szCs w:val="20"/>
          <w:u w:val="single"/>
          <w:lang w:val="fr-CA"/>
        </w:rPr>
      </w:pPr>
      <w:r w:rsidRPr="001B157C">
        <w:rPr>
          <w:sz w:val="20"/>
          <w:szCs w:val="20"/>
          <w:u w:val="single"/>
          <w:lang w:val="fr-CA"/>
        </w:rPr>
        <w:t>RÉSUMÉ DE L’AFFAIRE</w:t>
      </w:r>
    </w:p>
    <w:p w:rsidR="000F69AD" w:rsidRDefault="000F69AD" w:rsidP="000F69A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755D" w:rsidRPr="00073183" w:rsidTr="008F755D">
        <w:tc>
          <w:tcPr>
            <w:tcW w:w="5000" w:type="pct"/>
            <w:gridSpan w:val="3"/>
          </w:tcPr>
          <w:p w:rsidR="008F755D" w:rsidRPr="00073183" w:rsidRDefault="008F755D" w:rsidP="008F755D">
            <w:pPr>
              <w:autoSpaceDE w:val="0"/>
              <w:autoSpaceDN w:val="0"/>
              <w:adjustRightInd w:val="0"/>
              <w:jc w:val="both"/>
              <w:rPr>
                <w:rFonts w:eastAsia="Calibri"/>
                <w:sz w:val="20"/>
                <w:lang w:val="fr-CA"/>
              </w:rPr>
            </w:pPr>
            <w:r w:rsidRPr="00073183">
              <w:rPr>
                <w:rFonts w:eastAsia="Calibri"/>
                <w:sz w:val="20"/>
                <w:lang w:val="fr-CA"/>
              </w:rPr>
              <w:t>Faillite et insolvabilité ― Syndics ― Biens réels ― Législation relative à la propriété familiale ― Le syndic de faillite a interjeté appel de la décision selon laquelle le droit de veto de l’époux non</w:t>
            </w:r>
            <w:r w:rsidRPr="00073183">
              <w:rPr>
                <w:rFonts w:eastAsia="Calibri"/>
                <w:sz w:val="20"/>
                <w:lang w:val="fr-CA"/>
              </w:rPr>
              <w:noBreakHyphen/>
              <w:t>propriétaire n’était pas dévolu au syndic ― La Cour d'appel a accueilli l'appel ―</w:t>
            </w:r>
            <w:r w:rsidRPr="00073183">
              <w:rPr>
                <w:rFonts w:eastAsia="Calibri"/>
                <w:bCs/>
                <w:sz w:val="20"/>
                <w:lang w:val="fr-CA"/>
              </w:rPr>
              <w:t xml:space="preserve"> Le droit de veto portant sur la propriété familiale dont un failli est titulaire est-il un bien du failli? </w:t>
            </w:r>
            <w:r w:rsidRPr="00073183">
              <w:rPr>
                <w:rFonts w:eastAsia="Calibri"/>
                <w:sz w:val="20"/>
                <w:lang w:val="fr-CA"/>
              </w:rPr>
              <w:t>―</w:t>
            </w:r>
            <w:r w:rsidRPr="00073183">
              <w:rPr>
                <w:rFonts w:eastAsia="Calibri"/>
                <w:bCs/>
                <w:sz w:val="20"/>
                <w:lang w:val="fr-CA"/>
              </w:rPr>
              <w:t xml:space="preserve"> Le syndic de faillite d'un époux non-propriétaire a-t-il le droit de refuser son consentement à une fin autre que celle d'assurer au failli un endroit où vivre? </w:t>
            </w:r>
            <w:r w:rsidRPr="00073183">
              <w:rPr>
                <w:rFonts w:eastAsia="Calibri"/>
                <w:sz w:val="20"/>
                <w:lang w:val="fr-CA"/>
              </w:rPr>
              <w:t>―</w:t>
            </w:r>
            <w:r w:rsidRPr="00073183">
              <w:rPr>
                <w:rFonts w:eastAsia="Calibri"/>
                <w:bCs/>
                <w:sz w:val="20"/>
                <w:lang w:val="fr-CA"/>
              </w:rPr>
              <w:t xml:space="preserve"> En tout état de cause, un préjudice indemnisable a-t-il été subi lorsque l'époux non-propriétaire acquerra immédiatement une propriété familiale de remplacement? </w:t>
            </w:r>
            <w:r w:rsidRPr="00073183">
              <w:rPr>
                <w:rFonts w:eastAsia="Calibri"/>
                <w:sz w:val="20"/>
                <w:lang w:val="fr-CA"/>
              </w:rPr>
              <w:t>―</w:t>
            </w:r>
            <w:r w:rsidRPr="00073183">
              <w:rPr>
                <w:rFonts w:eastAsia="Calibri"/>
                <w:i/>
                <w:sz w:val="20"/>
                <w:lang w:val="fr-CA"/>
              </w:rPr>
              <w:t xml:space="preserve"> Loi sur la propriété familiale</w:t>
            </w:r>
            <w:r w:rsidRPr="00073183">
              <w:rPr>
                <w:rFonts w:eastAsia="Calibri"/>
                <w:color w:val="000000"/>
                <w:sz w:val="20"/>
                <w:lang w:val="fr-CA"/>
              </w:rPr>
              <w:t xml:space="preserve">, C.P.L.M., ch. H80 </w:t>
            </w:r>
            <w:r w:rsidRPr="00073183">
              <w:rPr>
                <w:rFonts w:eastAsia="Calibri"/>
                <w:sz w:val="20"/>
                <w:lang w:val="fr-CA"/>
              </w:rPr>
              <w:t>―</w:t>
            </w:r>
            <w:r w:rsidRPr="00073183">
              <w:rPr>
                <w:rFonts w:eastAsia="Calibri"/>
                <w:i/>
                <w:iCs/>
                <w:color w:val="000000"/>
                <w:sz w:val="20"/>
                <w:lang w:val="fr-CA"/>
              </w:rPr>
              <w:t xml:space="preserve"> Loi sur la faillite et l'insolvabilité</w:t>
            </w:r>
            <w:r w:rsidRPr="00073183">
              <w:rPr>
                <w:rFonts w:eastAsia="Calibri"/>
                <w:iCs/>
                <w:color w:val="000000"/>
                <w:sz w:val="20"/>
                <w:lang w:val="fr-CA"/>
              </w:rPr>
              <w:t xml:space="preserve">, L.R.C. 1985, ch. B-3.  </w:t>
            </w:r>
          </w:p>
        </w:tc>
      </w:tr>
      <w:tr w:rsidR="008F755D" w:rsidRPr="00073183" w:rsidTr="008F755D">
        <w:tc>
          <w:tcPr>
            <w:tcW w:w="5000" w:type="pct"/>
            <w:gridSpan w:val="3"/>
          </w:tcPr>
          <w:p w:rsidR="008F755D" w:rsidRPr="00073183" w:rsidRDefault="008F755D" w:rsidP="008F755D">
            <w:pPr>
              <w:jc w:val="both"/>
              <w:rPr>
                <w:rFonts w:eastAsia="Calibri"/>
                <w:sz w:val="20"/>
                <w:lang w:val="fr-CA"/>
              </w:rPr>
            </w:pPr>
          </w:p>
        </w:tc>
      </w:tr>
      <w:tr w:rsidR="008F755D" w:rsidRPr="00073183" w:rsidTr="008F755D">
        <w:tc>
          <w:tcPr>
            <w:tcW w:w="5000" w:type="pct"/>
            <w:gridSpan w:val="3"/>
          </w:tcPr>
          <w:p w:rsidR="008F755D" w:rsidRPr="00073183" w:rsidRDefault="008F755D" w:rsidP="008F755D">
            <w:pPr>
              <w:ind w:right="29"/>
              <w:jc w:val="both"/>
              <w:rPr>
                <w:color w:val="000000"/>
                <w:sz w:val="20"/>
                <w:lang w:val="fr-CA"/>
              </w:rPr>
            </w:pPr>
            <w:r w:rsidRPr="00073183">
              <w:rPr>
                <w:color w:val="000000"/>
                <w:sz w:val="20"/>
                <w:lang w:val="fr-CA"/>
              </w:rPr>
              <w:t>En 2007, Mme Garlicki (maintenant Mme Chartier) a fait faillite et un syndic de faillite a été nommé. Toujours en 2007, le demandeur a acheté une maison au Manitoba.  En 2009, il a épousé Mme Chartier et la maison est devenue leur propriété familiale au sens de la</w:t>
            </w:r>
            <w:r w:rsidRPr="00073183">
              <w:rPr>
                <w:i/>
                <w:sz w:val="20"/>
                <w:lang w:val="fr-CA"/>
              </w:rPr>
              <w:t xml:space="preserve"> Loi sur la propriété familiale</w:t>
            </w:r>
            <w:r w:rsidRPr="00073183">
              <w:rPr>
                <w:color w:val="000000"/>
                <w:sz w:val="20"/>
                <w:lang w:val="fr-CA"/>
              </w:rPr>
              <w:t>, C.P.L.M., ch. H80.  En 2011, M. Chartier a mis la maison en vente.  Il a soutenu que son intention avait été d'acheter une autre maison dès la vente de la propriété.  Madame Chartier était d'accord avec cette décision et ne souhaitait pas exercer son droit de veto.</w:t>
            </w:r>
          </w:p>
          <w:p w:rsidR="008F755D" w:rsidRPr="00073183" w:rsidRDefault="008F755D" w:rsidP="008F755D">
            <w:pPr>
              <w:spacing w:before="210"/>
              <w:ind w:right="30"/>
              <w:jc w:val="both"/>
              <w:rPr>
                <w:color w:val="000000"/>
                <w:sz w:val="20"/>
                <w:lang w:val="fr-CA"/>
              </w:rPr>
            </w:pPr>
            <w:r w:rsidRPr="00073183">
              <w:rPr>
                <w:color w:val="000000"/>
                <w:sz w:val="20"/>
                <w:lang w:val="fr-CA"/>
              </w:rPr>
              <w:t>En 2011, le syndic a pris connaissance du droit de Mme Chartier à l'égard de la propriété familiale.  En 2011, le syndic a enregistré un avis concernant la propriété familiale en application de la</w:t>
            </w:r>
            <w:r w:rsidRPr="00073183">
              <w:rPr>
                <w:i/>
                <w:color w:val="000000"/>
                <w:sz w:val="20"/>
                <w:lang w:val="fr-CA"/>
              </w:rPr>
              <w:t xml:space="preserve"> Loi sur la propriété familiale</w:t>
            </w:r>
            <w:r w:rsidRPr="00073183">
              <w:rPr>
                <w:color w:val="000000"/>
                <w:sz w:val="20"/>
                <w:lang w:val="fr-CA"/>
              </w:rPr>
              <w:t>.  En août 2011, M. Chartier a accepté une offre d'achat de la propriété.  Monsieur Chartier n'a pas demandé le consentement du syndic à la vente.  Monsieur Chartier a produit une déclaration contre le syndic.  En substance, la poursuite visait à obtenir un jugement déclarant que le syndic n'avait aucun droit à l'égard de la propriété et déclarant que M. Chartier avait le droit de vendre la propriété sans le consentement du syndic.  Le même jour, M. Chartier a déposé un avis de requête en jugement déclaratoire pour obtenir fondamentalement la même réparation.</w:t>
            </w:r>
          </w:p>
          <w:p w:rsidR="008F755D" w:rsidRPr="00073183" w:rsidRDefault="008F755D" w:rsidP="008F755D">
            <w:pPr>
              <w:spacing w:before="210"/>
              <w:ind w:right="30"/>
              <w:jc w:val="both"/>
              <w:rPr>
                <w:color w:val="000000"/>
                <w:sz w:val="20"/>
                <w:lang w:val="fr-CA"/>
              </w:rPr>
            </w:pPr>
            <w:r w:rsidRPr="00073183">
              <w:rPr>
                <w:color w:val="000000"/>
                <w:sz w:val="20"/>
                <w:lang w:val="fr-CA"/>
              </w:rPr>
              <w:t>En septembre 2011, l'acheteur éventuel de la propriété a offert au syndic la somme de 20 000 $ pour qu'il consente à la vente et pour une mainlevée de l'avis concernant la propriété familiale, permettant ainsi à l'acheteur de conclure l'opération.  Même si le syndic a jugé l'offre acceptable, M. Chartier estimait qu'elle ne l'était pas.  En conséquence, la vente de la propriété n'a pas eu lieu.</w:t>
            </w:r>
          </w:p>
          <w:p w:rsidR="008F755D" w:rsidRPr="00073183" w:rsidRDefault="008F755D" w:rsidP="008F755D">
            <w:pPr>
              <w:autoSpaceDE w:val="0"/>
              <w:autoSpaceDN w:val="0"/>
              <w:adjustRightInd w:val="0"/>
              <w:jc w:val="both"/>
              <w:rPr>
                <w:color w:val="000000"/>
                <w:sz w:val="20"/>
                <w:lang w:val="fr-CA"/>
              </w:rPr>
            </w:pPr>
          </w:p>
          <w:p w:rsidR="008F755D" w:rsidRPr="00073183" w:rsidRDefault="008F755D" w:rsidP="008F755D">
            <w:pPr>
              <w:autoSpaceDE w:val="0"/>
              <w:autoSpaceDN w:val="0"/>
              <w:adjustRightInd w:val="0"/>
              <w:jc w:val="both"/>
              <w:rPr>
                <w:rFonts w:eastAsia="Calibri"/>
                <w:bCs/>
                <w:sz w:val="20"/>
                <w:lang w:val="fr-CA"/>
              </w:rPr>
            </w:pPr>
            <w:r w:rsidRPr="00073183">
              <w:rPr>
                <w:rFonts w:eastAsia="Calibri"/>
                <w:color w:val="000000"/>
                <w:sz w:val="20"/>
                <w:lang w:val="fr-CA"/>
              </w:rPr>
              <w:t>La juge saisie de la requête a conclu que le droit de veto dont Mme Chartier était titulaire n'était pas dévolu à son syndic de faillite.  La Cour d'appel a accueilli l'appel.</w:t>
            </w:r>
          </w:p>
          <w:p w:rsidR="008F755D" w:rsidRPr="00073183" w:rsidRDefault="008F755D" w:rsidP="008F755D">
            <w:pPr>
              <w:jc w:val="both"/>
              <w:rPr>
                <w:rFonts w:eastAsia="Calibri"/>
                <w:sz w:val="20"/>
                <w:lang w:val="fr-CA"/>
              </w:rPr>
            </w:pPr>
          </w:p>
        </w:tc>
      </w:tr>
      <w:tr w:rsidR="008F755D" w:rsidRPr="007C5411" w:rsidTr="008F755D">
        <w:tc>
          <w:tcPr>
            <w:tcW w:w="2427" w:type="pct"/>
          </w:tcPr>
          <w:p w:rsidR="008F755D" w:rsidRPr="00073183" w:rsidRDefault="008F755D" w:rsidP="008F755D">
            <w:pPr>
              <w:jc w:val="both"/>
              <w:rPr>
                <w:rFonts w:eastAsia="Calibri"/>
                <w:sz w:val="20"/>
                <w:lang w:val="fr-CA"/>
              </w:rPr>
            </w:pPr>
            <w:r w:rsidRPr="00073183">
              <w:rPr>
                <w:rFonts w:eastAsia="Calibri"/>
                <w:sz w:val="20"/>
                <w:lang w:val="fr-CA"/>
              </w:rPr>
              <w:t>14 juin 2012</w:t>
            </w:r>
          </w:p>
          <w:p w:rsidR="008F755D" w:rsidRPr="00073183" w:rsidRDefault="008F755D" w:rsidP="008F755D">
            <w:pPr>
              <w:jc w:val="both"/>
              <w:rPr>
                <w:rFonts w:eastAsia="Calibri"/>
                <w:sz w:val="20"/>
                <w:lang w:val="fr-CA"/>
              </w:rPr>
            </w:pPr>
            <w:r w:rsidRPr="00073183">
              <w:rPr>
                <w:rFonts w:eastAsia="Calibri"/>
                <w:sz w:val="20"/>
                <w:lang w:val="fr-CA"/>
              </w:rPr>
              <w:t>Cour du Banc de la Reine du Manitoba</w:t>
            </w:r>
          </w:p>
          <w:p w:rsidR="008F755D" w:rsidRPr="00073183" w:rsidRDefault="008F755D" w:rsidP="008F755D">
            <w:pPr>
              <w:jc w:val="both"/>
              <w:rPr>
                <w:rFonts w:eastAsia="Calibri"/>
                <w:sz w:val="20"/>
                <w:lang w:val="fr-CA"/>
              </w:rPr>
            </w:pPr>
            <w:r w:rsidRPr="00073183">
              <w:rPr>
                <w:rFonts w:eastAsia="Calibri"/>
                <w:sz w:val="20"/>
                <w:lang w:val="fr-CA"/>
              </w:rPr>
              <w:t>(Juge Greenberg)</w:t>
            </w:r>
          </w:p>
          <w:p w:rsidR="008F755D" w:rsidRPr="00073183" w:rsidRDefault="007C5411" w:rsidP="008F755D">
            <w:pPr>
              <w:jc w:val="both"/>
              <w:rPr>
                <w:rFonts w:eastAsia="Calibri"/>
                <w:sz w:val="20"/>
                <w:lang w:val="fr-CA"/>
              </w:rPr>
            </w:pPr>
            <w:hyperlink r:id="rId41" w:history="1">
              <w:r w:rsidR="008F755D" w:rsidRPr="00073183">
                <w:rPr>
                  <w:rFonts w:eastAsia="Calibri"/>
                  <w:color w:val="3300CC"/>
                  <w:sz w:val="20"/>
                  <w:lang w:val="fr-CA"/>
                </w:rPr>
                <w:t>2012 MBQB 176</w:t>
              </w:r>
            </w:hyperlink>
          </w:p>
          <w:p w:rsidR="008F755D" w:rsidRPr="00073183" w:rsidRDefault="008F755D" w:rsidP="008F755D">
            <w:pPr>
              <w:jc w:val="both"/>
              <w:rPr>
                <w:rFonts w:eastAsia="Calibri"/>
                <w:sz w:val="20"/>
                <w:lang w:val="fr-CA"/>
              </w:rPr>
            </w:pPr>
          </w:p>
        </w:tc>
        <w:tc>
          <w:tcPr>
            <w:tcW w:w="243" w:type="pct"/>
          </w:tcPr>
          <w:p w:rsidR="008F755D" w:rsidRPr="00073183" w:rsidRDefault="008F755D" w:rsidP="008F755D">
            <w:pPr>
              <w:jc w:val="both"/>
              <w:rPr>
                <w:rFonts w:eastAsia="Calibri"/>
                <w:sz w:val="20"/>
                <w:lang w:val="fr-CA"/>
              </w:rPr>
            </w:pPr>
          </w:p>
        </w:tc>
        <w:tc>
          <w:tcPr>
            <w:tcW w:w="2330" w:type="pct"/>
          </w:tcPr>
          <w:p w:rsidR="008F755D" w:rsidRPr="00073183" w:rsidRDefault="008F755D" w:rsidP="008F755D">
            <w:pPr>
              <w:jc w:val="both"/>
              <w:rPr>
                <w:rFonts w:eastAsia="Calibri"/>
                <w:sz w:val="20"/>
                <w:lang w:val="fr-CA"/>
              </w:rPr>
            </w:pPr>
            <w:r w:rsidRPr="00073183">
              <w:rPr>
                <w:rFonts w:eastAsia="Calibri"/>
                <w:sz w:val="20"/>
                <w:lang w:val="fr-CA"/>
              </w:rPr>
              <w:t>Le droit de veto conféré à l'épouse en vertu de la</w:t>
            </w:r>
            <w:r w:rsidRPr="00073183">
              <w:rPr>
                <w:rFonts w:eastAsia="Calibri"/>
                <w:i/>
                <w:sz w:val="20"/>
                <w:lang w:val="fr-CA"/>
              </w:rPr>
              <w:t xml:space="preserve"> Loi sur la propriété familiale</w:t>
            </w:r>
            <w:r w:rsidRPr="00073183">
              <w:rPr>
                <w:rFonts w:eastAsia="Calibri"/>
                <w:sz w:val="20"/>
                <w:lang w:val="fr-CA"/>
              </w:rPr>
              <w:t xml:space="preserve"> n'est pas dévolu à son syndic de faillite</w:t>
            </w:r>
          </w:p>
          <w:p w:rsidR="008F755D" w:rsidRPr="00073183" w:rsidRDefault="008F755D" w:rsidP="008F755D">
            <w:pPr>
              <w:jc w:val="both"/>
              <w:rPr>
                <w:rFonts w:eastAsia="Calibri"/>
                <w:sz w:val="20"/>
                <w:lang w:val="fr-CA"/>
              </w:rPr>
            </w:pPr>
          </w:p>
        </w:tc>
      </w:tr>
      <w:tr w:rsidR="008F755D" w:rsidRPr="00073183" w:rsidTr="008F755D">
        <w:tc>
          <w:tcPr>
            <w:tcW w:w="2427" w:type="pct"/>
          </w:tcPr>
          <w:p w:rsidR="008F755D" w:rsidRPr="00073183" w:rsidRDefault="008F755D" w:rsidP="008F755D">
            <w:pPr>
              <w:jc w:val="both"/>
              <w:rPr>
                <w:rFonts w:eastAsia="Calibri"/>
                <w:sz w:val="20"/>
                <w:lang w:val="fr-CA"/>
              </w:rPr>
            </w:pPr>
            <w:r w:rsidRPr="00073183">
              <w:rPr>
                <w:rFonts w:eastAsia="Calibri"/>
                <w:sz w:val="20"/>
                <w:lang w:val="fr-CA"/>
              </w:rPr>
              <w:t>23 mai 2013</w:t>
            </w:r>
          </w:p>
          <w:p w:rsidR="008F755D" w:rsidRPr="00073183" w:rsidRDefault="008F755D" w:rsidP="008F755D">
            <w:pPr>
              <w:jc w:val="both"/>
              <w:rPr>
                <w:rFonts w:eastAsia="Calibri"/>
                <w:sz w:val="20"/>
                <w:lang w:val="fr-CA"/>
              </w:rPr>
            </w:pPr>
            <w:r w:rsidRPr="00073183">
              <w:rPr>
                <w:rFonts w:eastAsia="Calibri"/>
                <w:sz w:val="20"/>
                <w:lang w:val="fr-CA"/>
              </w:rPr>
              <w:t>Cour d'appel du Manitoba</w:t>
            </w:r>
          </w:p>
          <w:p w:rsidR="008F755D" w:rsidRPr="00073183" w:rsidRDefault="008F755D" w:rsidP="008F755D">
            <w:pPr>
              <w:jc w:val="both"/>
              <w:rPr>
                <w:rFonts w:eastAsia="Calibri"/>
                <w:sz w:val="20"/>
                <w:lang w:val="fr-CA"/>
              </w:rPr>
            </w:pPr>
            <w:r w:rsidRPr="00073183">
              <w:rPr>
                <w:rFonts w:eastAsia="Calibri"/>
                <w:sz w:val="20"/>
                <w:lang w:val="fr-CA"/>
              </w:rPr>
              <w:t>(Juge en chef Scott, juges Beard et Cameron)</w:t>
            </w:r>
          </w:p>
          <w:p w:rsidR="008F755D" w:rsidRPr="00073183" w:rsidRDefault="007C5411" w:rsidP="008F755D">
            <w:pPr>
              <w:jc w:val="both"/>
              <w:rPr>
                <w:rFonts w:eastAsia="Calibri"/>
                <w:sz w:val="20"/>
                <w:lang w:val="fr-CA"/>
              </w:rPr>
            </w:pPr>
            <w:hyperlink r:id="rId42" w:history="1">
              <w:r w:rsidR="008F755D" w:rsidRPr="00073183">
                <w:rPr>
                  <w:rFonts w:eastAsia="Calibri"/>
                  <w:color w:val="3300CC"/>
                  <w:sz w:val="20"/>
                  <w:lang w:val="fr-CA"/>
                </w:rPr>
                <w:t>2013 MBCA 41</w:t>
              </w:r>
            </w:hyperlink>
          </w:p>
          <w:p w:rsidR="008F755D" w:rsidRPr="00073183" w:rsidRDefault="008F755D" w:rsidP="008F755D">
            <w:pPr>
              <w:jc w:val="both"/>
              <w:rPr>
                <w:rFonts w:eastAsia="Calibri"/>
                <w:sz w:val="20"/>
                <w:lang w:val="fr-CA"/>
              </w:rPr>
            </w:pPr>
            <w:r w:rsidRPr="00073183">
              <w:rPr>
                <w:rFonts w:eastAsia="Calibri"/>
                <w:sz w:val="20"/>
                <w:lang w:val="fr-CA"/>
              </w:rPr>
              <w:t>N</w:t>
            </w:r>
            <w:r w:rsidRPr="00073183">
              <w:rPr>
                <w:rFonts w:eastAsia="Calibri"/>
                <w:sz w:val="20"/>
                <w:vertAlign w:val="superscript"/>
                <w:lang w:val="fr-CA"/>
              </w:rPr>
              <w:t>o</w:t>
            </w:r>
            <w:r w:rsidRPr="00073183">
              <w:rPr>
                <w:rFonts w:eastAsia="Calibri"/>
                <w:sz w:val="20"/>
                <w:lang w:val="fr-CA"/>
              </w:rPr>
              <w:t xml:space="preserve"> de greffe : AI-12-30-07817</w:t>
            </w:r>
          </w:p>
          <w:p w:rsidR="008F755D" w:rsidRPr="00073183" w:rsidRDefault="008F755D" w:rsidP="008F755D">
            <w:pPr>
              <w:jc w:val="both"/>
              <w:rPr>
                <w:rFonts w:eastAsia="Calibri"/>
                <w:sz w:val="20"/>
                <w:lang w:val="fr-CA"/>
              </w:rPr>
            </w:pPr>
          </w:p>
        </w:tc>
        <w:tc>
          <w:tcPr>
            <w:tcW w:w="243" w:type="pct"/>
          </w:tcPr>
          <w:p w:rsidR="008F755D" w:rsidRPr="00073183" w:rsidRDefault="008F755D" w:rsidP="008F755D">
            <w:pPr>
              <w:jc w:val="both"/>
              <w:rPr>
                <w:rFonts w:eastAsia="Calibri"/>
                <w:sz w:val="20"/>
                <w:lang w:val="fr-CA"/>
              </w:rPr>
            </w:pPr>
          </w:p>
        </w:tc>
        <w:tc>
          <w:tcPr>
            <w:tcW w:w="2330" w:type="pct"/>
          </w:tcPr>
          <w:p w:rsidR="008F755D" w:rsidRPr="00073183" w:rsidRDefault="008F755D" w:rsidP="008F755D">
            <w:pPr>
              <w:jc w:val="both"/>
              <w:rPr>
                <w:rFonts w:eastAsia="Calibri"/>
                <w:sz w:val="20"/>
                <w:lang w:val="fr-CA"/>
              </w:rPr>
            </w:pPr>
            <w:r w:rsidRPr="00073183">
              <w:rPr>
                <w:rFonts w:eastAsia="Calibri"/>
                <w:sz w:val="20"/>
                <w:lang w:val="fr-CA"/>
              </w:rPr>
              <w:t>Appel accueilli</w:t>
            </w:r>
          </w:p>
          <w:p w:rsidR="008F755D" w:rsidRPr="00073183" w:rsidRDefault="008F755D" w:rsidP="008F755D">
            <w:pPr>
              <w:jc w:val="both"/>
              <w:rPr>
                <w:rFonts w:eastAsia="Calibri"/>
                <w:sz w:val="20"/>
                <w:lang w:val="fr-CA"/>
              </w:rPr>
            </w:pPr>
          </w:p>
        </w:tc>
      </w:tr>
      <w:tr w:rsidR="008F755D" w:rsidRPr="00073183" w:rsidTr="008F755D">
        <w:tc>
          <w:tcPr>
            <w:tcW w:w="2427" w:type="pct"/>
          </w:tcPr>
          <w:p w:rsidR="008F755D" w:rsidRPr="00073183" w:rsidRDefault="008F755D" w:rsidP="008F755D">
            <w:pPr>
              <w:jc w:val="both"/>
              <w:rPr>
                <w:rFonts w:eastAsia="Calibri"/>
                <w:sz w:val="20"/>
                <w:lang w:val="fr-CA"/>
              </w:rPr>
            </w:pPr>
            <w:r w:rsidRPr="00073183">
              <w:rPr>
                <w:rFonts w:eastAsia="Calibri"/>
                <w:sz w:val="20"/>
                <w:lang w:val="fr-CA"/>
              </w:rPr>
              <w:lastRenderedPageBreak/>
              <w:t>19 août 2013</w:t>
            </w:r>
          </w:p>
          <w:p w:rsidR="008F755D" w:rsidRPr="00073183" w:rsidRDefault="008F755D" w:rsidP="008F755D">
            <w:pPr>
              <w:jc w:val="both"/>
              <w:rPr>
                <w:rFonts w:eastAsia="Calibri"/>
                <w:sz w:val="20"/>
                <w:lang w:val="fr-CA"/>
              </w:rPr>
            </w:pPr>
            <w:r w:rsidRPr="00073183">
              <w:rPr>
                <w:rFonts w:eastAsia="Calibri"/>
                <w:sz w:val="20"/>
                <w:lang w:val="fr-CA"/>
              </w:rPr>
              <w:t>Cour suprême du Canada</w:t>
            </w:r>
          </w:p>
        </w:tc>
        <w:tc>
          <w:tcPr>
            <w:tcW w:w="243" w:type="pct"/>
          </w:tcPr>
          <w:p w:rsidR="008F755D" w:rsidRPr="00073183" w:rsidRDefault="008F755D" w:rsidP="008F755D">
            <w:pPr>
              <w:jc w:val="both"/>
              <w:rPr>
                <w:rFonts w:eastAsia="Calibri"/>
                <w:sz w:val="20"/>
                <w:lang w:val="fr-CA"/>
              </w:rPr>
            </w:pPr>
          </w:p>
        </w:tc>
        <w:tc>
          <w:tcPr>
            <w:tcW w:w="2330" w:type="pct"/>
          </w:tcPr>
          <w:p w:rsidR="008F755D" w:rsidRPr="00073183" w:rsidRDefault="008F755D" w:rsidP="008F755D">
            <w:pPr>
              <w:jc w:val="both"/>
              <w:rPr>
                <w:rFonts w:eastAsia="Calibri"/>
                <w:sz w:val="20"/>
                <w:lang w:val="fr-CA"/>
              </w:rPr>
            </w:pPr>
            <w:r w:rsidRPr="00073183">
              <w:rPr>
                <w:rFonts w:eastAsia="Calibri"/>
                <w:sz w:val="20"/>
                <w:lang w:val="fr-CA"/>
              </w:rPr>
              <w:t>Demande d'autorisation d'appel, déposée</w:t>
            </w:r>
          </w:p>
        </w:tc>
      </w:tr>
    </w:tbl>
    <w:p w:rsidR="000F69AD" w:rsidRDefault="000F69AD" w:rsidP="000F69AD">
      <w:pPr>
        <w:rPr>
          <w:sz w:val="20"/>
          <w:szCs w:val="20"/>
        </w:rPr>
      </w:pPr>
    </w:p>
    <w:p w:rsidR="000F69AD" w:rsidRDefault="007C5411" w:rsidP="000F69AD">
      <w:pPr>
        <w:rPr>
          <w:sz w:val="20"/>
          <w:szCs w:val="20"/>
        </w:rPr>
      </w:pPr>
      <w:r>
        <w:rPr>
          <w:sz w:val="20"/>
          <w:szCs w:val="20"/>
          <w:lang w:val="fr-CA"/>
        </w:rPr>
        <w:pict>
          <v:rect id="_x0000_i1047" style="width:2in;height:1pt" o:hrpct="0" o:hralign="center" o:hrstd="t" o:hrnoshade="t" o:hr="t" fillcolor="black [3213]" stroked="f"/>
        </w:pict>
      </w:r>
    </w:p>
    <w:p w:rsidR="000F69AD" w:rsidRDefault="000F69AD" w:rsidP="000F69AD">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8338B" w:rsidRPr="00E8338B" w:rsidTr="00E8338B">
        <w:trPr>
          <w:cantSplit/>
        </w:trPr>
        <w:tc>
          <w:tcPr>
            <w:tcW w:w="1458" w:type="dxa"/>
          </w:tcPr>
          <w:p w:rsidR="00E8338B" w:rsidRPr="00E8338B" w:rsidRDefault="00E8338B" w:rsidP="00E8338B">
            <w:pPr>
              <w:rPr>
                <w:sz w:val="20"/>
              </w:rPr>
            </w:pPr>
            <w:r w:rsidRPr="00E8338B">
              <w:rPr>
                <w:b/>
                <w:sz w:val="20"/>
                <w:lang w:val="fr-CA"/>
              </w:rPr>
              <w:t>35558</w:t>
            </w:r>
          </w:p>
          <w:p w:rsidR="00E8338B" w:rsidRPr="00E8338B" w:rsidRDefault="00E8338B" w:rsidP="00E8338B">
            <w:pPr>
              <w:rPr>
                <w:b/>
                <w:sz w:val="20"/>
                <w:lang w:val="fr-CA"/>
              </w:rPr>
            </w:pPr>
          </w:p>
        </w:tc>
        <w:tc>
          <w:tcPr>
            <w:tcW w:w="8118" w:type="dxa"/>
          </w:tcPr>
          <w:p w:rsidR="00E8338B" w:rsidRPr="00E8338B" w:rsidRDefault="00E8338B" w:rsidP="00E8338B">
            <w:pPr>
              <w:rPr>
                <w:sz w:val="20"/>
              </w:rPr>
            </w:pPr>
            <w:r w:rsidRPr="00E8338B">
              <w:rPr>
                <w:b/>
                <w:sz w:val="20"/>
                <w:u w:val="single"/>
              </w:rPr>
              <w:t>Garry Ivan Hirsekorn v. Her Majesty the Queen</w:t>
            </w:r>
            <w:r w:rsidRPr="00E8338B">
              <w:rPr>
                <w:sz w:val="20"/>
              </w:rPr>
              <w:t xml:space="preserve"> (Alta.) (Civil) (By Leave)</w:t>
            </w:r>
          </w:p>
          <w:p w:rsidR="00E8338B" w:rsidRPr="00E8338B" w:rsidRDefault="00E8338B" w:rsidP="00E8338B">
            <w:pPr>
              <w:rPr>
                <w:sz w:val="20"/>
              </w:rPr>
            </w:pPr>
          </w:p>
        </w:tc>
      </w:tr>
      <w:tr w:rsidR="00E8338B" w:rsidRPr="00E8338B" w:rsidTr="00E8338B">
        <w:trPr>
          <w:cantSplit/>
        </w:trPr>
        <w:tc>
          <w:tcPr>
            <w:tcW w:w="1458" w:type="dxa"/>
          </w:tcPr>
          <w:p w:rsidR="00E8338B" w:rsidRPr="00E8338B" w:rsidRDefault="00E8338B" w:rsidP="00E8338B">
            <w:pPr>
              <w:rPr>
                <w:sz w:val="20"/>
              </w:rPr>
            </w:pPr>
            <w:r w:rsidRPr="00E8338B">
              <w:rPr>
                <w:sz w:val="20"/>
              </w:rPr>
              <w:t>Coram :</w:t>
            </w:r>
          </w:p>
        </w:tc>
        <w:tc>
          <w:tcPr>
            <w:tcW w:w="8118" w:type="dxa"/>
          </w:tcPr>
          <w:p w:rsidR="00E8338B" w:rsidRPr="00E8338B" w:rsidRDefault="00E8338B" w:rsidP="00E8338B">
            <w:pPr>
              <w:rPr>
                <w:sz w:val="20"/>
              </w:rPr>
            </w:pPr>
            <w:r w:rsidRPr="00E8338B">
              <w:rPr>
                <w:sz w:val="20"/>
                <w:u w:val="single"/>
              </w:rPr>
              <w:t>LeBel, Karakatsanis and Wagner JJ.</w:t>
            </w:r>
          </w:p>
          <w:p w:rsidR="00E8338B" w:rsidRPr="00E8338B" w:rsidRDefault="00E8338B" w:rsidP="00E8338B">
            <w:pPr>
              <w:rPr>
                <w:sz w:val="20"/>
                <w:u w:val="single"/>
              </w:rPr>
            </w:pPr>
          </w:p>
        </w:tc>
      </w:tr>
      <w:tr w:rsidR="00E8338B" w:rsidRPr="007C5411" w:rsidTr="00E8338B">
        <w:trPr>
          <w:cantSplit/>
        </w:trPr>
        <w:tc>
          <w:tcPr>
            <w:tcW w:w="9576" w:type="dxa"/>
            <w:gridSpan w:val="2"/>
          </w:tcPr>
          <w:p w:rsidR="00E8338B" w:rsidRPr="00E8338B" w:rsidRDefault="00E8338B" w:rsidP="00E8338B">
            <w:pPr>
              <w:ind w:firstLine="720"/>
              <w:jc w:val="both"/>
              <w:rPr>
                <w:sz w:val="20"/>
              </w:rPr>
            </w:pPr>
            <w:r w:rsidRPr="00E8338B">
              <w:rPr>
                <w:sz w:val="20"/>
              </w:rPr>
              <w:t>The application for leave to appeal from the judgment of the Court of Appeal of Alberta (Calgary), Number 1101-0297-A, 2013 ABCA 242, dated July 4, 2013, is dismissed without costs.</w:t>
            </w:r>
          </w:p>
          <w:p w:rsidR="00E8338B" w:rsidRPr="00E8338B" w:rsidRDefault="00E8338B" w:rsidP="00E8338B">
            <w:pPr>
              <w:jc w:val="both"/>
              <w:rPr>
                <w:sz w:val="20"/>
              </w:rPr>
            </w:pPr>
          </w:p>
          <w:p w:rsidR="00E8338B" w:rsidRPr="00E8338B" w:rsidRDefault="00E8338B" w:rsidP="00E8338B">
            <w:pPr>
              <w:ind w:firstLine="720"/>
              <w:jc w:val="both"/>
              <w:rPr>
                <w:sz w:val="20"/>
                <w:lang w:val="fr-CA"/>
              </w:rPr>
            </w:pPr>
            <w:r w:rsidRPr="00E8338B">
              <w:rPr>
                <w:sz w:val="20"/>
                <w:lang w:val="fr-CA"/>
              </w:rPr>
              <w:t>La demande d’autorisation d’appel de l’arrêt de la Cour d'appel de l’Alberta (Calgary), numéro 1101-0297-A, 2013 ABCA 242, daté du 4 juillet 2013, est rejetée sans dépens.</w:t>
            </w:r>
          </w:p>
        </w:tc>
      </w:tr>
    </w:tbl>
    <w:p w:rsidR="000F69AD" w:rsidRPr="00E8338B" w:rsidRDefault="000F69AD" w:rsidP="000F69AD">
      <w:pPr>
        <w:rPr>
          <w:sz w:val="20"/>
          <w:szCs w:val="20"/>
          <w:lang w:val="fr-CA"/>
        </w:rPr>
      </w:pPr>
    </w:p>
    <w:p w:rsidR="000F69AD" w:rsidRPr="001B157C" w:rsidRDefault="000F69AD" w:rsidP="000F69AD">
      <w:pPr>
        <w:rPr>
          <w:sz w:val="20"/>
          <w:szCs w:val="20"/>
          <w:u w:val="single"/>
        </w:rPr>
      </w:pPr>
      <w:r w:rsidRPr="001B157C">
        <w:rPr>
          <w:sz w:val="20"/>
          <w:szCs w:val="20"/>
          <w:u w:val="single"/>
        </w:rPr>
        <w:t>CASE SUMMARY</w:t>
      </w:r>
    </w:p>
    <w:p w:rsidR="000F69AD" w:rsidRDefault="000F69AD" w:rsidP="000F69A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755D" w:rsidRPr="00073183" w:rsidTr="008F755D">
        <w:tc>
          <w:tcPr>
            <w:tcW w:w="5000" w:type="pct"/>
            <w:gridSpan w:val="3"/>
          </w:tcPr>
          <w:p w:rsidR="008F755D" w:rsidRPr="00073183" w:rsidRDefault="008F755D" w:rsidP="008F755D">
            <w:pPr>
              <w:jc w:val="both"/>
              <w:rPr>
                <w:rFonts w:eastAsia="Calibri"/>
                <w:sz w:val="20"/>
              </w:rPr>
            </w:pPr>
            <w:r w:rsidRPr="00073183">
              <w:rPr>
                <w:rFonts w:eastAsia="Calibri"/>
                <w:sz w:val="20"/>
              </w:rPr>
              <w:t xml:space="preserve">Aboriginal law — Aboriginal rights — Hunting — Métis — Applicant charged with hunting contrary to provincial statute — Whether Court of Appeal erred in its interpretation and application of </w:t>
            </w:r>
            <w:r w:rsidRPr="00073183">
              <w:rPr>
                <w:rFonts w:eastAsia="Calibri"/>
                <w:i/>
                <w:sz w:val="20"/>
              </w:rPr>
              <w:t>R. v. Powley</w:t>
            </w:r>
            <w:r w:rsidRPr="00073183">
              <w:rPr>
                <w:rFonts w:eastAsia="Calibri"/>
                <w:sz w:val="20"/>
              </w:rPr>
              <w:t>, 2003 SCC 43 to the facts of this case</w:t>
            </w:r>
            <w:r w:rsidRPr="00073183">
              <w:rPr>
                <w:rFonts w:eastAsia="Calibri"/>
                <w:i/>
                <w:sz w:val="20"/>
              </w:rPr>
              <w:t xml:space="preserve"> </w:t>
            </w:r>
            <w:r w:rsidRPr="00073183">
              <w:rPr>
                <w:rFonts w:eastAsia="Calibri"/>
                <w:sz w:val="20"/>
              </w:rPr>
              <w:t xml:space="preserve">— What is the proper interpretation and application of </w:t>
            </w:r>
            <w:r w:rsidRPr="00073183">
              <w:rPr>
                <w:rFonts w:eastAsia="Calibri"/>
                <w:i/>
                <w:sz w:val="20"/>
              </w:rPr>
              <w:t xml:space="preserve">Powley </w:t>
            </w:r>
            <w:r w:rsidRPr="00073183">
              <w:rPr>
                <w:rFonts w:eastAsia="Calibri"/>
                <w:sz w:val="20"/>
              </w:rPr>
              <w:t xml:space="preserve">to prairie Métis — </w:t>
            </w:r>
            <w:r w:rsidRPr="00073183">
              <w:rPr>
                <w:rFonts w:eastAsia="Calibri"/>
                <w:i/>
                <w:sz w:val="20"/>
              </w:rPr>
              <w:t>Wildlife Act</w:t>
            </w:r>
            <w:r w:rsidRPr="00073183">
              <w:rPr>
                <w:rFonts w:eastAsia="Calibri"/>
                <w:sz w:val="20"/>
              </w:rPr>
              <w:t>, R.S.A. 2000, c. W-10</w:t>
            </w:r>
          </w:p>
        </w:tc>
      </w:tr>
      <w:tr w:rsidR="008F755D" w:rsidRPr="00073183" w:rsidTr="008F755D">
        <w:tc>
          <w:tcPr>
            <w:tcW w:w="5000" w:type="pct"/>
            <w:gridSpan w:val="3"/>
          </w:tcPr>
          <w:p w:rsidR="008F755D" w:rsidRPr="00073183" w:rsidRDefault="008F755D" w:rsidP="008F755D">
            <w:pPr>
              <w:jc w:val="both"/>
              <w:rPr>
                <w:rFonts w:eastAsia="Calibri"/>
                <w:sz w:val="20"/>
              </w:rPr>
            </w:pPr>
          </w:p>
        </w:tc>
      </w:tr>
      <w:tr w:rsidR="008F755D" w:rsidRPr="00073183" w:rsidTr="008F755D">
        <w:tc>
          <w:tcPr>
            <w:tcW w:w="5000" w:type="pct"/>
            <w:gridSpan w:val="3"/>
          </w:tcPr>
          <w:p w:rsidR="008F755D" w:rsidRPr="00073183" w:rsidRDefault="008F755D" w:rsidP="008F755D">
            <w:pPr>
              <w:jc w:val="both"/>
              <w:rPr>
                <w:rFonts w:eastAsia="Calibri"/>
                <w:sz w:val="20"/>
              </w:rPr>
            </w:pPr>
            <w:r w:rsidRPr="00073183">
              <w:rPr>
                <w:rFonts w:eastAsia="Calibri"/>
                <w:sz w:val="20"/>
              </w:rPr>
              <w:t xml:space="preserve">The applicant, Garry Hirsekorn, is Métis.  In 2007, he participated in a hunt organized by the Métis Nation of Alberta in response to the Alberta Government’s cancellation of the Interim Métis Harvesting Agreement which had been negotiated and entered into following this Court’s recognition of Métis harvesting rights in </w:t>
            </w:r>
            <w:r w:rsidRPr="00073183">
              <w:rPr>
                <w:rFonts w:eastAsia="Calibri"/>
                <w:i/>
                <w:sz w:val="20"/>
              </w:rPr>
              <w:t>R. v.</w:t>
            </w:r>
            <w:r w:rsidRPr="00073183">
              <w:rPr>
                <w:rFonts w:eastAsia="Calibri"/>
                <w:sz w:val="20"/>
              </w:rPr>
              <w:t xml:space="preserve"> </w:t>
            </w:r>
            <w:r w:rsidRPr="00073183">
              <w:rPr>
                <w:rFonts w:eastAsia="Calibri"/>
                <w:i/>
                <w:sz w:val="20"/>
              </w:rPr>
              <w:t xml:space="preserve">Powley, </w:t>
            </w:r>
            <w:r w:rsidRPr="00073183">
              <w:rPr>
                <w:rFonts w:eastAsia="Calibri"/>
                <w:sz w:val="20"/>
              </w:rPr>
              <w:t xml:space="preserve">2003 SCC 43.  During the course of that hunt, the applicant shot a mule deer near Elkwater, a community on the western edge of the Cypress Hills in southeastern Alberta. He was charged with hunting wildlife outside an open season and being in possession of wildlife without a valid wildlife permit, contrary to ss. 25(1) and 55(1) of the </w:t>
            </w:r>
            <w:r w:rsidRPr="00073183">
              <w:rPr>
                <w:rFonts w:eastAsia="Calibri"/>
                <w:i/>
                <w:sz w:val="20"/>
              </w:rPr>
              <w:t>Wildlife Act</w:t>
            </w:r>
            <w:r w:rsidRPr="00073183">
              <w:rPr>
                <w:rFonts w:eastAsia="Calibri"/>
                <w:sz w:val="20"/>
              </w:rPr>
              <w:t xml:space="preserve">, R.S.A. 2000, c. W-10.  Nineteen other hunters throughout Alberta were charged with various wildlife offences. </w:t>
            </w:r>
          </w:p>
          <w:p w:rsidR="008F755D" w:rsidRPr="00073183" w:rsidRDefault="008F755D" w:rsidP="008F755D">
            <w:pPr>
              <w:jc w:val="both"/>
              <w:rPr>
                <w:rFonts w:eastAsia="Calibri"/>
                <w:sz w:val="20"/>
              </w:rPr>
            </w:pPr>
          </w:p>
          <w:p w:rsidR="008F755D" w:rsidRPr="00073183" w:rsidRDefault="008F755D" w:rsidP="008F755D">
            <w:pPr>
              <w:jc w:val="both"/>
              <w:rPr>
                <w:rFonts w:eastAsia="Calibri"/>
                <w:sz w:val="20"/>
              </w:rPr>
            </w:pPr>
            <w:r w:rsidRPr="00073183">
              <w:rPr>
                <w:rFonts w:eastAsia="Calibri"/>
                <w:sz w:val="20"/>
              </w:rPr>
              <w:t xml:space="preserve">The applicant filed a constitutional notice claiming that ss. 25(1) and 55(1) of the </w:t>
            </w:r>
            <w:r w:rsidRPr="00073183">
              <w:rPr>
                <w:rFonts w:eastAsia="Calibri"/>
                <w:i/>
                <w:sz w:val="20"/>
              </w:rPr>
              <w:t>Wildlife Act</w:t>
            </w:r>
            <w:r w:rsidRPr="00073183">
              <w:rPr>
                <w:rFonts w:eastAsia="Calibri"/>
                <w:sz w:val="20"/>
              </w:rPr>
              <w:t xml:space="preserve"> were of no force and effect in their application to him. He defended the charges against him on the ground that, as a Métis person within the meaning of s 35(2) of the </w:t>
            </w:r>
            <w:r w:rsidRPr="00073183">
              <w:rPr>
                <w:rFonts w:eastAsia="Calibri"/>
                <w:i/>
                <w:sz w:val="20"/>
              </w:rPr>
              <w:t>Constitution Act</w:t>
            </w:r>
            <w:r w:rsidRPr="00073183">
              <w:rPr>
                <w:rFonts w:eastAsia="Calibri"/>
                <w:sz w:val="20"/>
              </w:rPr>
              <w:t xml:space="preserve">, he had an aboriginal right to hunt for food and that the </w:t>
            </w:r>
            <w:r w:rsidRPr="00073183">
              <w:rPr>
                <w:rFonts w:eastAsia="Calibri"/>
                <w:i/>
                <w:sz w:val="20"/>
              </w:rPr>
              <w:t>Wildlife Act</w:t>
            </w:r>
            <w:r w:rsidRPr="00073183">
              <w:rPr>
                <w:rFonts w:eastAsia="Calibri"/>
                <w:sz w:val="20"/>
              </w:rPr>
              <w:t xml:space="preserve"> unjustifiably infringed that right. </w:t>
            </w:r>
          </w:p>
          <w:p w:rsidR="008F755D" w:rsidRPr="00073183" w:rsidRDefault="008F755D" w:rsidP="008F755D">
            <w:pPr>
              <w:jc w:val="both"/>
              <w:rPr>
                <w:rFonts w:eastAsia="Calibri"/>
                <w:sz w:val="20"/>
              </w:rPr>
            </w:pPr>
          </w:p>
          <w:p w:rsidR="008F755D" w:rsidRPr="00073183" w:rsidRDefault="008F755D" w:rsidP="008F755D">
            <w:pPr>
              <w:jc w:val="both"/>
              <w:rPr>
                <w:rFonts w:eastAsia="Calibri"/>
                <w:sz w:val="20"/>
              </w:rPr>
            </w:pPr>
            <w:r w:rsidRPr="00073183">
              <w:rPr>
                <w:rFonts w:eastAsia="Calibri"/>
                <w:sz w:val="20"/>
              </w:rPr>
              <w:t>The legal proceedings against most of the other Métis hunters were adjourned pending the outcome of the applicant’s case.  After a year-long trial, the applicant was convicted on both counts pending against him.</w:t>
            </w:r>
          </w:p>
          <w:p w:rsidR="008F755D" w:rsidRPr="00073183" w:rsidRDefault="008F755D" w:rsidP="008F755D">
            <w:pPr>
              <w:jc w:val="both"/>
              <w:rPr>
                <w:rFonts w:eastAsia="Calibri"/>
                <w:sz w:val="20"/>
              </w:rPr>
            </w:pPr>
          </w:p>
        </w:tc>
      </w:tr>
      <w:tr w:rsidR="008F755D" w:rsidRPr="00073183" w:rsidTr="008F755D">
        <w:tc>
          <w:tcPr>
            <w:tcW w:w="2427" w:type="pct"/>
          </w:tcPr>
          <w:p w:rsidR="008F755D" w:rsidRPr="00073183" w:rsidRDefault="008F755D" w:rsidP="008F755D">
            <w:pPr>
              <w:jc w:val="both"/>
              <w:rPr>
                <w:rFonts w:eastAsia="Calibri"/>
                <w:sz w:val="20"/>
              </w:rPr>
            </w:pPr>
            <w:r w:rsidRPr="00073183">
              <w:rPr>
                <w:rFonts w:eastAsia="Calibri"/>
                <w:sz w:val="20"/>
              </w:rPr>
              <w:t>December 1, 2010</w:t>
            </w:r>
          </w:p>
          <w:p w:rsidR="008F755D" w:rsidRPr="00073183" w:rsidRDefault="008F755D" w:rsidP="008F755D">
            <w:pPr>
              <w:jc w:val="both"/>
              <w:rPr>
                <w:rFonts w:eastAsia="Calibri"/>
                <w:sz w:val="20"/>
              </w:rPr>
            </w:pPr>
            <w:r w:rsidRPr="00073183">
              <w:rPr>
                <w:rFonts w:eastAsia="Calibri"/>
                <w:sz w:val="20"/>
              </w:rPr>
              <w:t>Provincial Court of Alberta</w:t>
            </w:r>
          </w:p>
          <w:p w:rsidR="008F755D" w:rsidRPr="00073183" w:rsidRDefault="008F755D" w:rsidP="008F755D">
            <w:pPr>
              <w:jc w:val="both"/>
              <w:rPr>
                <w:rFonts w:eastAsia="Calibri"/>
                <w:sz w:val="20"/>
              </w:rPr>
            </w:pPr>
            <w:r w:rsidRPr="00073183">
              <w:rPr>
                <w:rFonts w:eastAsia="Calibri"/>
                <w:sz w:val="20"/>
              </w:rPr>
              <w:t>(Fisher J.)</w:t>
            </w:r>
          </w:p>
          <w:p w:rsidR="008F755D" w:rsidRPr="00073183" w:rsidRDefault="007C5411" w:rsidP="008F755D">
            <w:pPr>
              <w:jc w:val="both"/>
              <w:rPr>
                <w:rFonts w:eastAsia="Calibri"/>
                <w:sz w:val="20"/>
              </w:rPr>
            </w:pPr>
            <w:hyperlink r:id="rId43" w:history="1">
              <w:r w:rsidR="008F755D" w:rsidRPr="00073183">
                <w:rPr>
                  <w:rFonts w:eastAsia="Calibri"/>
                  <w:color w:val="0000FF"/>
                  <w:sz w:val="20"/>
                  <w:u w:val="single"/>
                </w:rPr>
                <w:t>2010 ABPC 385</w:t>
              </w:r>
            </w:hyperlink>
          </w:p>
          <w:p w:rsidR="008F755D" w:rsidRPr="00073183" w:rsidRDefault="008F755D" w:rsidP="008F755D">
            <w:pPr>
              <w:jc w:val="both"/>
              <w:rPr>
                <w:rFonts w:eastAsia="Calibri"/>
                <w:sz w:val="20"/>
              </w:rPr>
            </w:pPr>
          </w:p>
          <w:p w:rsidR="008F755D" w:rsidRPr="00073183" w:rsidRDefault="008F755D" w:rsidP="008F755D">
            <w:pPr>
              <w:jc w:val="both"/>
              <w:rPr>
                <w:rFonts w:eastAsia="Calibri"/>
                <w:sz w:val="20"/>
              </w:rPr>
            </w:pPr>
          </w:p>
        </w:tc>
        <w:tc>
          <w:tcPr>
            <w:tcW w:w="243" w:type="pct"/>
          </w:tcPr>
          <w:p w:rsidR="008F755D" w:rsidRPr="00073183" w:rsidRDefault="008F755D" w:rsidP="008F755D">
            <w:pPr>
              <w:jc w:val="both"/>
              <w:rPr>
                <w:rFonts w:eastAsia="Calibri"/>
                <w:sz w:val="20"/>
              </w:rPr>
            </w:pPr>
          </w:p>
        </w:tc>
        <w:tc>
          <w:tcPr>
            <w:tcW w:w="2330" w:type="pct"/>
          </w:tcPr>
          <w:p w:rsidR="008F755D" w:rsidRPr="00073183" w:rsidRDefault="008F755D" w:rsidP="008F755D">
            <w:pPr>
              <w:jc w:val="both"/>
              <w:rPr>
                <w:rFonts w:eastAsia="Calibri"/>
                <w:sz w:val="20"/>
              </w:rPr>
            </w:pPr>
            <w:r w:rsidRPr="00073183">
              <w:rPr>
                <w:rFonts w:eastAsia="Calibri"/>
                <w:sz w:val="20"/>
              </w:rPr>
              <w:t xml:space="preserve">Constitutional challenge to </w:t>
            </w:r>
            <w:r w:rsidRPr="00073183">
              <w:rPr>
                <w:rFonts w:eastAsia="Calibri"/>
                <w:i/>
                <w:sz w:val="20"/>
              </w:rPr>
              <w:t>Wildlife Act</w:t>
            </w:r>
            <w:r w:rsidRPr="00073183">
              <w:rPr>
                <w:rFonts w:eastAsia="Calibri"/>
                <w:sz w:val="20"/>
              </w:rPr>
              <w:t>, dismissed; Applicant found guilty of shooting wildlife outside a regular season and of being in possession of wildlife without a valid wildlife permit</w:t>
            </w:r>
          </w:p>
          <w:p w:rsidR="008F755D" w:rsidRPr="00073183" w:rsidRDefault="008F755D" w:rsidP="008F755D">
            <w:pPr>
              <w:jc w:val="both"/>
              <w:rPr>
                <w:rFonts w:eastAsia="Calibri"/>
                <w:sz w:val="20"/>
              </w:rPr>
            </w:pPr>
          </w:p>
        </w:tc>
      </w:tr>
      <w:tr w:rsidR="008F755D" w:rsidRPr="00073183" w:rsidTr="008F755D">
        <w:tc>
          <w:tcPr>
            <w:tcW w:w="2427" w:type="pct"/>
          </w:tcPr>
          <w:p w:rsidR="008F755D" w:rsidRPr="00073183" w:rsidRDefault="008F755D" w:rsidP="008F755D">
            <w:pPr>
              <w:jc w:val="both"/>
              <w:rPr>
                <w:rFonts w:eastAsia="Calibri"/>
                <w:sz w:val="20"/>
              </w:rPr>
            </w:pPr>
            <w:r w:rsidRPr="00073183">
              <w:rPr>
                <w:rFonts w:eastAsia="Calibri"/>
                <w:sz w:val="20"/>
              </w:rPr>
              <w:lastRenderedPageBreak/>
              <w:t>November 4, 2011</w:t>
            </w:r>
          </w:p>
          <w:p w:rsidR="008F755D" w:rsidRPr="00073183" w:rsidRDefault="008F755D" w:rsidP="008F755D">
            <w:pPr>
              <w:jc w:val="both"/>
              <w:rPr>
                <w:rFonts w:eastAsia="Calibri"/>
                <w:sz w:val="20"/>
              </w:rPr>
            </w:pPr>
            <w:r w:rsidRPr="00073183">
              <w:rPr>
                <w:rFonts w:eastAsia="Calibri"/>
                <w:sz w:val="20"/>
              </w:rPr>
              <w:t>Court of Queen’s Bench of Alberta</w:t>
            </w:r>
          </w:p>
          <w:p w:rsidR="008F755D" w:rsidRPr="00073183" w:rsidRDefault="008F755D" w:rsidP="008F755D">
            <w:pPr>
              <w:jc w:val="both"/>
              <w:rPr>
                <w:rFonts w:eastAsia="Calibri"/>
                <w:sz w:val="20"/>
              </w:rPr>
            </w:pPr>
            <w:r w:rsidRPr="00073183">
              <w:rPr>
                <w:rFonts w:eastAsia="Calibri"/>
                <w:sz w:val="20"/>
              </w:rPr>
              <w:t>(Wittmann J.)</w:t>
            </w:r>
          </w:p>
          <w:p w:rsidR="008F755D" w:rsidRPr="00073183" w:rsidRDefault="007C5411" w:rsidP="008F755D">
            <w:pPr>
              <w:jc w:val="both"/>
              <w:rPr>
                <w:rFonts w:eastAsia="Calibri"/>
                <w:sz w:val="20"/>
              </w:rPr>
            </w:pPr>
            <w:hyperlink r:id="rId44" w:history="1">
              <w:r w:rsidR="008F755D" w:rsidRPr="00073183">
                <w:rPr>
                  <w:rFonts w:eastAsia="Calibri"/>
                  <w:color w:val="0000FF"/>
                  <w:sz w:val="20"/>
                  <w:u w:val="single"/>
                </w:rPr>
                <w:t>2011 ABQB 682</w:t>
              </w:r>
            </w:hyperlink>
          </w:p>
          <w:p w:rsidR="008F755D" w:rsidRPr="00073183" w:rsidRDefault="008F755D" w:rsidP="008F755D">
            <w:pPr>
              <w:jc w:val="both"/>
              <w:rPr>
                <w:rFonts w:eastAsia="Calibri"/>
                <w:sz w:val="20"/>
              </w:rPr>
            </w:pPr>
          </w:p>
        </w:tc>
        <w:tc>
          <w:tcPr>
            <w:tcW w:w="243" w:type="pct"/>
          </w:tcPr>
          <w:p w:rsidR="008F755D" w:rsidRPr="00073183" w:rsidRDefault="008F755D" w:rsidP="008F755D">
            <w:pPr>
              <w:jc w:val="both"/>
              <w:rPr>
                <w:rFonts w:eastAsia="Calibri"/>
                <w:sz w:val="20"/>
              </w:rPr>
            </w:pPr>
          </w:p>
        </w:tc>
        <w:tc>
          <w:tcPr>
            <w:tcW w:w="2330" w:type="pct"/>
          </w:tcPr>
          <w:p w:rsidR="008F755D" w:rsidRPr="00073183" w:rsidRDefault="008F755D" w:rsidP="008F755D">
            <w:pPr>
              <w:jc w:val="both"/>
              <w:rPr>
                <w:rFonts w:eastAsia="Calibri"/>
                <w:sz w:val="20"/>
              </w:rPr>
            </w:pPr>
            <w:r w:rsidRPr="00073183">
              <w:rPr>
                <w:rFonts w:eastAsia="Calibri"/>
                <w:sz w:val="20"/>
              </w:rPr>
              <w:t>Appeal dismissed</w:t>
            </w:r>
          </w:p>
          <w:p w:rsidR="008F755D" w:rsidRPr="00073183" w:rsidRDefault="008F755D" w:rsidP="008F755D">
            <w:pPr>
              <w:jc w:val="both"/>
              <w:rPr>
                <w:rFonts w:eastAsia="Calibri"/>
                <w:sz w:val="20"/>
              </w:rPr>
            </w:pPr>
          </w:p>
        </w:tc>
      </w:tr>
      <w:tr w:rsidR="008F755D" w:rsidRPr="00073183" w:rsidTr="008F755D">
        <w:tc>
          <w:tcPr>
            <w:tcW w:w="2427" w:type="pct"/>
          </w:tcPr>
          <w:p w:rsidR="008F755D" w:rsidRPr="00073183" w:rsidRDefault="008F755D" w:rsidP="008F755D">
            <w:pPr>
              <w:jc w:val="both"/>
              <w:rPr>
                <w:rFonts w:eastAsia="Calibri"/>
                <w:sz w:val="20"/>
              </w:rPr>
            </w:pPr>
            <w:r w:rsidRPr="00073183">
              <w:rPr>
                <w:rFonts w:eastAsia="Calibri"/>
                <w:sz w:val="20"/>
              </w:rPr>
              <w:t>July 4, 2013</w:t>
            </w:r>
          </w:p>
          <w:p w:rsidR="008F755D" w:rsidRPr="00073183" w:rsidRDefault="008F755D" w:rsidP="008F755D">
            <w:pPr>
              <w:jc w:val="both"/>
              <w:rPr>
                <w:rFonts w:eastAsia="Calibri"/>
                <w:sz w:val="20"/>
              </w:rPr>
            </w:pPr>
            <w:r w:rsidRPr="00073183">
              <w:rPr>
                <w:rFonts w:eastAsia="Calibri"/>
                <w:sz w:val="20"/>
              </w:rPr>
              <w:t>Court of Appeal of Alberta (Calgary)</w:t>
            </w:r>
          </w:p>
          <w:p w:rsidR="008F755D" w:rsidRPr="00073183" w:rsidRDefault="008F755D" w:rsidP="008F755D">
            <w:pPr>
              <w:jc w:val="both"/>
              <w:rPr>
                <w:rFonts w:eastAsia="Calibri"/>
                <w:sz w:val="20"/>
              </w:rPr>
            </w:pPr>
            <w:r w:rsidRPr="00073183">
              <w:rPr>
                <w:rFonts w:eastAsia="Calibri"/>
                <w:sz w:val="20"/>
              </w:rPr>
              <w:t>(Paperny, McDonald and Macleod JJ.A.)</w:t>
            </w:r>
          </w:p>
          <w:p w:rsidR="008F755D" w:rsidRPr="00073183" w:rsidRDefault="007C5411" w:rsidP="008F755D">
            <w:pPr>
              <w:jc w:val="both"/>
              <w:rPr>
                <w:rFonts w:eastAsia="Calibri"/>
                <w:sz w:val="20"/>
              </w:rPr>
            </w:pPr>
            <w:hyperlink r:id="rId45" w:history="1">
              <w:r w:rsidR="008F755D" w:rsidRPr="00073183">
                <w:rPr>
                  <w:rFonts w:eastAsia="Calibri"/>
                  <w:color w:val="0000FF"/>
                  <w:sz w:val="20"/>
                  <w:u w:val="single"/>
                </w:rPr>
                <w:t>2013 ABCA 242</w:t>
              </w:r>
            </w:hyperlink>
          </w:p>
          <w:p w:rsidR="008F755D" w:rsidRPr="00073183" w:rsidRDefault="008F755D" w:rsidP="008F755D">
            <w:pPr>
              <w:jc w:val="both"/>
              <w:rPr>
                <w:rFonts w:eastAsia="Calibri"/>
                <w:sz w:val="20"/>
              </w:rPr>
            </w:pPr>
          </w:p>
        </w:tc>
        <w:tc>
          <w:tcPr>
            <w:tcW w:w="243" w:type="pct"/>
          </w:tcPr>
          <w:p w:rsidR="008F755D" w:rsidRPr="00073183" w:rsidRDefault="008F755D" w:rsidP="008F755D">
            <w:pPr>
              <w:jc w:val="both"/>
              <w:rPr>
                <w:rFonts w:eastAsia="Calibri"/>
                <w:sz w:val="20"/>
              </w:rPr>
            </w:pPr>
          </w:p>
        </w:tc>
        <w:tc>
          <w:tcPr>
            <w:tcW w:w="2330" w:type="pct"/>
          </w:tcPr>
          <w:p w:rsidR="008F755D" w:rsidRPr="00073183" w:rsidRDefault="008F755D" w:rsidP="008F755D">
            <w:pPr>
              <w:jc w:val="both"/>
              <w:rPr>
                <w:rFonts w:eastAsia="Calibri"/>
                <w:sz w:val="20"/>
              </w:rPr>
            </w:pPr>
            <w:r w:rsidRPr="00073183">
              <w:rPr>
                <w:rFonts w:eastAsia="Calibri"/>
                <w:sz w:val="20"/>
              </w:rPr>
              <w:t>Appeal dismissed</w:t>
            </w:r>
          </w:p>
          <w:p w:rsidR="008F755D" w:rsidRPr="00073183" w:rsidRDefault="008F755D" w:rsidP="008F755D">
            <w:pPr>
              <w:jc w:val="both"/>
              <w:rPr>
                <w:rFonts w:eastAsia="Calibri"/>
                <w:sz w:val="20"/>
              </w:rPr>
            </w:pPr>
          </w:p>
        </w:tc>
      </w:tr>
      <w:tr w:rsidR="008F755D" w:rsidRPr="00073183" w:rsidTr="008F755D">
        <w:tc>
          <w:tcPr>
            <w:tcW w:w="2427" w:type="pct"/>
          </w:tcPr>
          <w:p w:rsidR="008F755D" w:rsidRPr="00073183" w:rsidRDefault="008F755D" w:rsidP="008F755D">
            <w:pPr>
              <w:jc w:val="both"/>
              <w:rPr>
                <w:rFonts w:eastAsia="Calibri"/>
                <w:sz w:val="20"/>
              </w:rPr>
            </w:pPr>
            <w:r w:rsidRPr="00073183">
              <w:rPr>
                <w:rFonts w:eastAsia="Calibri"/>
                <w:sz w:val="20"/>
              </w:rPr>
              <w:t>September 30, 2013</w:t>
            </w:r>
          </w:p>
          <w:p w:rsidR="008F755D" w:rsidRPr="00073183" w:rsidRDefault="008F755D" w:rsidP="008F755D">
            <w:pPr>
              <w:jc w:val="both"/>
              <w:rPr>
                <w:rFonts w:eastAsia="Calibri"/>
                <w:sz w:val="20"/>
              </w:rPr>
            </w:pPr>
            <w:r w:rsidRPr="00073183">
              <w:rPr>
                <w:rFonts w:eastAsia="Calibri"/>
                <w:sz w:val="20"/>
              </w:rPr>
              <w:t>Supreme Court of Canada</w:t>
            </w:r>
          </w:p>
        </w:tc>
        <w:tc>
          <w:tcPr>
            <w:tcW w:w="243" w:type="pct"/>
          </w:tcPr>
          <w:p w:rsidR="008F755D" w:rsidRPr="00073183" w:rsidRDefault="008F755D" w:rsidP="008F755D">
            <w:pPr>
              <w:jc w:val="both"/>
              <w:rPr>
                <w:rFonts w:eastAsia="Calibri"/>
                <w:sz w:val="20"/>
              </w:rPr>
            </w:pPr>
          </w:p>
        </w:tc>
        <w:tc>
          <w:tcPr>
            <w:tcW w:w="2330" w:type="pct"/>
          </w:tcPr>
          <w:p w:rsidR="008F755D" w:rsidRPr="00073183" w:rsidRDefault="008F755D" w:rsidP="008F755D">
            <w:pPr>
              <w:jc w:val="both"/>
              <w:rPr>
                <w:rFonts w:eastAsia="Calibri"/>
                <w:sz w:val="20"/>
              </w:rPr>
            </w:pPr>
            <w:r w:rsidRPr="00073183">
              <w:rPr>
                <w:rFonts w:eastAsia="Calibri"/>
                <w:sz w:val="20"/>
              </w:rPr>
              <w:t>Application for leave to appeal filed</w:t>
            </w:r>
          </w:p>
          <w:p w:rsidR="008F755D" w:rsidRPr="00073183" w:rsidRDefault="008F755D" w:rsidP="008F755D">
            <w:pPr>
              <w:jc w:val="both"/>
              <w:rPr>
                <w:rFonts w:eastAsia="Calibri"/>
                <w:sz w:val="20"/>
              </w:rPr>
            </w:pPr>
          </w:p>
        </w:tc>
      </w:tr>
    </w:tbl>
    <w:p w:rsidR="000F69AD" w:rsidRDefault="000F69AD" w:rsidP="000F69AD">
      <w:pPr>
        <w:rPr>
          <w:sz w:val="20"/>
          <w:szCs w:val="20"/>
        </w:rPr>
      </w:pPr>
    </w:p>
    <w:p w:rsidR="000F69AD" w:rsidRPr="00C50A5C" w:rsidRDefault="007C5411" w:rsidP="000F69AD">
      <w:pPr>
        <w:rPr>
          <w:sz w:val="20"/>
          <w:szCs w:val="20"/>
        </w:rPr>
      </w:pPr>
      <w:r>
        <w:rPr>
          <w:sz w:val="20"/>
          <w:szCs w:val="20"/>
          <w:lang w:val="fr-CA"/>
        </w:rPr>
        <w:pict>
          <v:rect id="_x0000_i1048" style="width:2in;height:1pt" o:hrpct="0" o:hralign="center" o:hrstd="t" o:hrnoshade="t" o:hr="t" fillcolor="black [3213]" stroked="f"/>
        </w:pict>
      </w:r>
    </w:p>
    <w:p w:rsidR="000F69AD" w:rsidRDefault="000F69AD" w:rsidP="000F69AD">
      <w:pPr>
        <w:rPr>
          <w:sz w:val="20"/>
          <w:szCs w:val="20"/>
        </w:rPr>
      </w:pPr>
    </w:p>
    <w:p w:rsidR="000F69AD" w:rsidRPr="001B157C" w:rsidRDefault="000F69AD" w:rsidP="000F69AD">
      <w:pPr>
        <w:rPr>
          <w:sz w:val="20"/>
          <w:szCs w:val="20"/>
          <w:u w:val="single"/>
          <w:lang w:val="fr-CA"/>
        </w:rPr>
      </w:pPr>
      <w:r w:rsidRPr="001B157C">
        <w:rPr>
          <w:sz w:val="20"/>
          <w:szCs w:val="20"/>
          <w:u w:val="single"/>
          <w:lang w:val="fr-CA"/>
        </w:rPr>
        <w:t>RÉSUMÉ DE L’AFFAIRE</w:t>
      </w:r>
    </w:p>
    <w:p w:rsidR="000F69AD" w:rsidRDefault="000F69AD" w:rsidP="000F69A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755D" w:rsidRPr="009264DC" w:rsidTr="008F755D">
        <w:tc>
          <w:tcPr>
            <w:tcW w:w="5000" w:type="pct"/>
            <w:gridSpan w:val="3"/>
          </w:tcPr>
          <w:p w:rsidR="008F755D" w:rsidRPr="00073183" w:rsidRDefault="008F755D" w:rsidP="008F755D">
            <w:pPr>
              <w:jc w:val="both"/>
              <w:rPr>
                <w:rFonts w:eastAsia="Calibri"/>
                <w:sz w:val="20"/>
                <w:lang w:val="fr-CA"/>
              </w:rPr>
            </w:pPr>
            <w:r w:rsidRPr="00073183">
              <w:rPr>
                <w:rFonts w:eastAsia="Calibri"/>
                <w:sz w:val="20"/>
                <w:lang w:val="fr-CA"/>
              </w:rPr>
              <w:t xml:space="preserve">Droit des autochtones — Droits ancestraux — Chasse — Métis — Le demandeur a été accusé d'avoir chassé contrairement à la loi provinciale — La Cour d'appel a-t-elle commis une erreur dans son interprétation et son application de </w:t>
            </w:r>
            <w:r w:rsidRPr="00073183">
              <w:rPr>
                <w:rFonts w:eastAsia="Calibri"/>
                <w:i/>
                <w:sz w:val="20"/>
                <w:lang w:val="fr-CA"/>
              </w:rPr>
              <w:t>R. c. Powley</w:t>
            </w:r>
            <w:r w:rsidRPr="00073183">
              <w:rPr>
                <w:rFonts w:eastAsia="Calibri"/>
                <w:sz w:val="20"/>
                <w:lang w:val="fr-CA"/>
              </w:rPr>
              <w:t xml:space="preserve">, 2003 CSC 43 aux faits en l'espèce? — Quelle est l’interprétation et l’application correctes de </w:t>
            </w:r>
            <w:r w:rsidRPr="00073183">
              <w:rPr>
                <w:rFonts w:eastAsia="Calibri"/>
                <w:i/>
                <w:sz w:val="20"/>
                <w:lang w:val="fr-CA"/>
              </w:rPr>
              <w:t xml:space="preserve">Powley </w:t>
            </w:r>
            <w:r w:rsidRPr="00073183">
              <w:rPr>
                <w:rFonts w:eastAsia="Calibri"/>
                <w:sz w:val="20"/>
                <w:lang w:val="fr-CA"/>
              </w:rPr>
              <w:t xml:space="preserve">aux Métis des prairies? — </w:t>
            </w:r>
            <w:r w:rsidRPr="00073183">
              <w:rPr>
                <w:rFonts w:eastAsia="Calibri"/>
                <w:i/>
                <w:sz w:val="20"/>
                <w:lang w:val="fr-CA"/>
              </w:rPr>
              <w:t>Wildlife Act</w:t>
            </w:r>
            <w:r w:rsidRPr="00073183">
              <w:rPr>
                <w:rFonts w:eastAsia="Calibri"/>
                <w:sz w:val="20"/>
                <w:lang w:val="fr-CA"/>
              </w:rPr>
              <w:t>, R.S.A. 2000, ch. W-10.</w:t>
            </w:r>
          </w:p>
        </w:tc>
      </w:tr>
      <w:tr w:rsidR="008F755D" w:rsidRPr="009264DC" w:rsidTr="008F755D">
        <w:tc>
          <w:tcPr>
            <w:tcW w:w="5000" w:type="pct"/>
            <w:gridSpan w:val="3"/>
          </w:tcPr>
          <w:p w:rsidR="008F755D" w:rsidRPr="00073183" w:rsidRDefault="008F755D" w:rsidP="008F755D">
            <w:pPr>
              <w:jc w:val="both"/>
              <w:rPr>
                <w:rFonts w:eastAsia="Calibri"/>
                <w:sz w:val="20"/>
                <w:lang w:val="fr-CA"/>
              </w:rPr>
            </w:pPr>
          </w:p>
        </w:tc>
      </w:tr>
      <w:tr w:rsidR="008F755D" w:rsidRPr="007C5411" w:rsidTr="008F755D">
        <w:tc>
          <w:tcPr>
            <w:tcW w:w="5000" w:type="pct"/>
            <w:gridSpan w:val="3"/>
          </w:tcPr>
          <w:p w:rsidR="008F755D" w:rsidRPr="00073183" w:rsidRDefault="008F755D" w:rsidP="008F755D">
            <w:pPr>
              <w:jc w:val="both"/>
              <w:rPr>
                <w:rFonts w:eastAsia="Calibri"/>
                <w:sz w:val="20"/>
                <w:lang w:val="fr-CA"/>
              </w:rPr>
            </w:pPr>
            <w:r w:rsidRPr="00073183">
              <w:rPr>
                <w:rFonts w:eastAsia="Calibri"/>
                <w:sz w:val="20"/>
                <w:lang w:val="fr-CA"/>
              </w:rPr>
              <w:t xml:space="preserve">Le demandeur, Garry Hirsekorn, est Métis.  En 2007, il a participé à une chasse organisée par Métis Nation of Alberta en réaction à l'annulation, par le gouvernement de l'Alberta, de l'accord provisoire sur la récolte des Métis qui avait été négocié et conclu après que cette Cour eut reconnu les droits de récolte des Métis dans </w:t>
            </w:r>
            <w:r w:rsidRPr="00073183">
              <w:rPr>
                <w:rFonts w:eastAsia="Calibri"/>
                <w:i/>
                <w:sz w:val="20"/>
                <w:lang w:val="fr-CA"/>
              </w:rPr>
              <w:t>R. c.</w:t>
            </w:r>
            <w:r w:rsidRPr="00073183">
              <w:rPr>
                <w:rFonts w:eastAsia="Calibri"/>
                <w:sz w:val="20"/>
                <w:lang w:val="fr-CA"/>
              </w:rPr>
              <w:t xml:space="preserve"> </w:t>
            </w:r>
            <w:r w:rsidRPr="00073183">
              <w:rPr>
                <w:rFonts w:eastAsia="Calibri"/>
                <w:i/>
                <w:sz w:val="20"/>
                <w:lang w:val="fr-CA"/>
              </w:rPr>
              <w:t>Powley</w:t>
            </w:r>
            <w:r w:rsidRPr="00073183">
              <w:rPr>
                <w:rFonts w:eastAsia="Calibri"/>
                <w:sz w:val="20"/>
                <w:lang w:val="fr-CA"/>
              </w:rPr>
              <w:t xml:space="preserve">, 2003 CSC 43.  Au cours de cette chasse, le demandeur a abattu un cerf mulet près d’Elkwater, une communauté située en bordure ouest des collines Cypress dans le sud-est de l’Alberta.  Il a été accusé d'avoir chassé un animal sauvage en dehors de la saison fixée à cette fin et d'avoir été en possession d'un animal sauvage sans être muni d’un permit valide, contrairement aux par. 25(1) et 55(1) de la </w:t>
            </w:r>
            <w:r w:rsidRPr="00073183">
              <w:rPr>
                <w:rFonts w:eastAsia="Calibri"/>
                <w:i/>
                <w:sz w:val="20"/>
                <w:lang w:val="fr-CA"/>
              </w:rPr>
              <w:t>Wildlife Act</w:t>
            </w:r>
            <w:r w:rsidRPr="00073183">
              <w:rPr>
                <w:rFonts w:eastAsia="Calibri"/>
                <w:sz w:val="20"/>
                <w:lang w:val="fr-CA"/>
              </w:rPr>
              <w:t>, R.S.A. 2000, ch. W-10. Dix-neuf autres chasseurs de partout en Alberta ont été accusés de diverses infractions relatives aux animaux sauvages.</w:t>
            </w:r>
          </w:p>
          <w:p w:rsidR="008F755D" w:rsidRPr="00073183" w:rsidRDefault="008F755D" w:rsidP="008F755D">
            <w:pPr>
              <w:jc w:val="both"/>
              <w:rPr>
                <w:rFonts w:eastAsia="Calibri"/>
                <w:sz w:val="20"/>
                <w:lang w:val="fr-CA"/>
              </w:rPr>
            </w:pPr>
          </w:p>
          <w:p w:rsidR="008F755D" w:rsidRPr="00073183" w:rsidRDefault="008F755D" w:rsidP="008F755D">
            <w:pPr>
              <w:jc w:val="both"/>
              <w:rPr>
                <w:rFonts w:eastAsia="Calibri"/>
                <w:sz w:val="20"/>
                <w:lang w:val="fr-CA"/>
              </w:rPr>
            </w:pPr>
            <w:r w:rsidRPr="00073183">
              <w:rPr>
                <w:rFonts w:eastAsia="Calibri"/>
                <w:sz w:val="20"/>
                <w:lang w:val="fr-CA"/>
              </w:rPr>
              <w:t xml:space="preserve">Le demandeur a déposé un avis de question constitutionnelle, alléguant que les par. 25(1) et 55(1) de la </w:t>
            </w:r>
            <w:r w:rsidRPr="00073183">
              <w:rPr>
                <w:rFonts w:eastAsia="Calibri"/>
                <w:i/>
                <w:sz w:val="20"/>
                <w:lang w:val="fr-CA"/>
              </w:rPr>
              <w:t>Wildlife Act</w:t>
            </w:r>
            <w:r w:rsidRPr="00073183">
              <w:rPr>
                <w:rFonts w:eastAsia="Calibri"/>
                <w:sz w:val="20"/>
                <w:lang w:val="fr-CA"/>
              </w:rPr>
              <w:t xml:space="preserve"> étaient inopérants à son égard.  Il a opposé une défense aux accusations portées contre lui, faisant valoir qu'en tant de Métis au sens du par. 35(2) de la</w:t>
            </w:r>
            <w:r w:rsidRPr="00073183">
              <w:rPr>
                <w:rFonts w:eastAsia="Calibri"/>
                <w:i/>
                <w:sz w:val="20"/>
                <w:lang w:val="fr-CA"/>
              </w:rPr>
              <w:t xml:space="preserve"> Loi constitutionnelle</w:t>
            </w:r>
            <w:r w:rsidRPr="00073183">
              <w:rPr>
                <w:rFonts w:eastAsia="Calibri"/>
                <w:sz w:val="20"/>
                <w:lang w:val="fr-CA"/>
              </w:rPr>
              <w:t xml:space="preserve">, il avait un droit ancestral de chasser pour se nourrir et que la </w:t>
            </w:r>
            <w:r w:rsidRPr="00073183">
              <w:rPr>
                <w:rFonts w:eastAsia="Calibri"/>
                <w:i/>
                <w:sz w:val="20"/>
                <w:lang w:val="fr-CA"/>
              </w:rPr>
              <w:t>Wildlife Act</w:t>
            </w:r>
            <w:r w:rsidRPr="00073183">
              <w:rPr>
                <w:rFonts w:eastAsia="Calibri"/>
                <w:sz w:val="20"/>
                <w:lang w:val="fr-CA"/>
              </w:rPr>
              <w:t xml:space="preserve"> portait atteinte à ce droit de façon injustifiée. </w:t>
            </w:r>
          </w:p>
          <w:p w:rsidR="008F755D" w:rsidRPr="00073183" w:rsidRDefault="008F755D" w:rsidP="008F755D">
            <w:pPr>
              <w:jc w:val="both"/>
              <w:rPr>
                <w:rFonts w:eastAsia="Calibri"/>
                <w:sz w:val="20"/>
                <w:lang w:val="fr-CA"/>
              </w:rPr>
            </w:pPr>
          </w:p>
          <w:p w:rsidR="008F755D" w:rsidRPr="00073183" w:rsidRDefault="008F755D" w:rsidP="008F755D">
            <w:pPr>
              <w:jc w:val="both"/>
              <w:rPr>
                <w:rFonts w:eastAsia="Calibri"/>
                <w:sz w:val="20"/>
                <w:lang w:val="fr-CA"/>
              </w:rPr>
            </w:pPr>
            <w:r w:rsidRPr="00073183">
              <w:rPr>
                <w:rFonts w:eastAsia="Calibri"/>
                <w:sz w:val="20"/>
                <w:lang w:val="fr-CA"/>
              </w:rPr>
              <w:t>Les poursuites judiciaires contre tous les autres chasseurs métis ont été ajournées en attendant l'issue de la cause du demandeur.  Au terme d'un procès qui a duré un an, le demandeur a été déclaré coupable sous les deux chefs qui pesaient contre lui.</w:t>
            </w:r>
          </w:p>
          <w:p w:rsidR="008F755D" w:rsidRPr="00073183" w:rsidRDefault="008F755D" w:rsidP="008F755D">
            <w:pPr>
              <w:jc w:val="both"/>
              <w:rPr>
                <w:rFonts w:eastAsia="Calibri"/>
                <w:sz w:val="20"/>
                <w:lang w:val="fr-CA"/>
              </w:rPr>
            </w:pPr>
          </w:p>
        </w:tc>
      </w:tr>
      <w:tr w:rsidR="008F755D" w:rsidRPr="007C5411" w:rsidTr="008F755D">
        <w:tc>
          <w:tcPr>
            <w:tcW w:w="2427" w:type="pct"/>
          </w:tcPr>
          <w:p w:rsidR="008F755D" w:rsidRPr="00073183" w:rsidRDefault="008F755D" w:rsidP="008F755D">
            <w:pPr>
              <w:jc w:val="both"/>
              <w:rPr>
                <w:rFonts w:eastAsia="Calibri"/>
                <w:sz w:val="20"/>
                <w:lang w:val="fr-CA"/>
              </w:rPr>
            </w:pPr>
            <w:r w:rsidRPr="00073183">
              <w:rPr>
                <w:rFonts w:eastAsia="Calibri"/>
                <w:sz w:val="20"/>
                <w:lang w:val="fr-CA"/>
              </w:rPr>
              <w:t>1</w:t>
            </w:r>
            <w:r w:rsidRPr="00073183">
              <w:rPr>
                <w:rFonts w:eastAsia="Calibri"/>
                <w:sz w:val="20"/>
                <w:vertAlign w:val="superscript"/>
                <w:lang w:val="fr-CA"/>
              </w:rPr>
              <w:t>er</w:t>
            </w:r>
            <w:r w:rsidRPr="00073183">
              <w:rPr>
                <w:rFonts w:eastAsia="Calibri"/>
                <w:sz w:val="20"/>
                <w:lang w:val="fr-CA"/>
              </w:rPr>
              <w:t xml:space="preserve"> décembre 2010</w:t>
            </w:r>
          </w:p>
          <w:p w:rsidR="008F755D" w:rsidRPr="00073183" w:rsidRDefault="008F755D" w:rsidP="008F755D">
            <w:pPr>
              <w:jc w:val="both"/>
              <w:rPr>
                <w:rFonts w:eastAsia="Calibri"/>
                <w:sz w:val="20"/>
                <w:lang w:val="fr-CA"/>
              </w:rPr>
            </w:pPr>
            <w:r w:rsidRPr="00073183">
              <w:rPr>
                <w:rFonts w:eastAsia="Calibri"/>
                <w:sz w:val="20"/>
                <w:lang w:val="fr-CA"/>
              </w:rPr>
              <w:t>Cour provinciale de l'Alberta</w:t>
            </w:r>
          </w:p>
          <w:p w:rsidR="008F755D" w:rsidRPr="00073183" w:rsidRDefault="008F755D" w:rsidP="008F755D">
            <w:pPr>
              <w:jc w:val="both"/>
              <w:rPr>
                <w:rFonts w:eastAsia="Calibri"/>
                <w:sz w:val="20"/>
                <w:lang w:val="fr-CA"/>
              </w:rPr>
            </w:pPr>
            <w:r w:rsidRPr="00073183">
              <w:rPr>
                <w:rFonts w:eastAsia="Calibri"/>
                <w:sz w:val="20"/>
                <w:lang w:val="fr-CA"/>
              </w:rPr>
              <w:t>(Juge Fisher)</w:t>
            </w:r>
          </w:p>
          <w:p w:rsidR="008F755D" w:rsidRPr="00073183" w:rsidRDefault="007C5411" w:rsidP="008F755D">
            <w:pPr>
              <w:jc w:val="both"/>
              <w:rPr>
                <w:rFonts w:eastAsia="Calibri"/>
                <w:sz w:val="20"/>
                <w:lang w:val="fr-CA"/>
              </w:rPr>
            </w:pPr>
            <w:hyperlink r:id="rId46" w:history="1">
              <w:r w:rsidR="008F755D" w:rsidRPr="00073183">
                <w:rPr>
                  <w:rFonts w:eastAsia="Calibri"/>
                  <w:color w:val="0000FF"/>
                  <w:sz w:val="20"/>
                  <w:u w:val="single"/>
                  <w:lang w:val="fr-CA"/>
                </w:rPr>
                <w:t>2010 ABPC 385</w:t>
              </w:r>
            </w:hyperlink>
          </w:p>
          <w:p w:rsidR="008F755D" w:rsidRPr="00073183" w:rsidRDefault="008F755D" w:rsidP="008F755D">
            <w:pPr>
              <w:jc w:val="both"/>
              <w:rPr>
                <w:rFonts w:eastAsia="Calibri"/>
                <w:sz w:val="20"/>
                <w:lang w:val="fr-CA"/>
              </w:rPr>
            </w:pPr>
          </w:p>
          <w:p w:rsidR="008F755D" w:rsidRPr="00073183" w:rsidRDefault="008F755D" w:rsidP="008F755D">
            <w:pPr>
              <w:jc w:val="both"/>
              <w:rPr>
                <w:rFonts w:eastAsia="Calibri"/>
                <w:sz w:val="20"/>
                <w:lang w:val="fr-CA"/>
              </w:rPr>
            </w:pPr>
          </w:p>
        </w:tc>
        <w:tc>
          <w:tcPr>
            <w:tcW w:w="243" w:type="pct"/>
          </w:tcPr>
          <w:p w:rsidR="008F755D" w:rsidRPr="00073183" w:rsidRDefault="008F755D" w:rsidP="008F755D">
            <w:pPr>
              <w:jc w:val="both"/>
              <w:rPr>
                <w:rFonts w:eastAsia="Calibri"/>
                <w:sz w:val="20"/>
                <w:lang w:val="fr-CA"/>
              </w:rPr>
            </w:pPr>
          </w:p>
        </w:tc>
        <w:tc>
          <w:tcPr>
            <w:tcW w:w="2330" w:type="pct"/>
          </w:tcPr>
          <w:p w:rsidR="008F755D" w:rsidRPr="00073183" w:rsidRDefault="008F755D" w:rsidP="008F755D">
            <w:pPr>
              <w:jc w:val="both"/>
              <w:rPr>
                <w:rFonts w:eastAsia="Calibri"/>
                <w:sz w:val="20"/>
                <w:lang w:val="fr-CA"/>
              </w:rPr>
            </w:pPr>
            <w:r w:rsidRPr="00073183">
              <w:rPr>
                <w:rFonts w:eastAsia="Calibri"/>
                <w:sz w:val="20"/>
                <w:lang w:val="fr-CA"/>
              </w:rPr>
              <w:t xml:space="preserve">Contestation constitutionnelle de la </w:t>
            </w:r>
            <w:r w:rsidRPr="00073183">
              <w:rPr>
                <w:rFonts w:eastAsia="Calibri"/>
                <w:i/>
                <w:sz w:val="20"/>
                <w:lang w:val="fr-CA"/>
              </w:rPr>
              <w:t>Wildlife Act</w:t>
            </w:r>
            <w:r w:rsidRPr="00073183">
              <w:rPr>
                <w:rFonts w:eastAsia="Calibri"/>
                <w:sz w:val="20"/>
                <w:lang w:val="fr-CA"/>
              </w:rPr>
              <w:t xml:space="preserve">, rejetée; demandeur déclaré coupable d'avoir abattu un animal sauvage en dehors de la saison fixée à cette fin et d'avoir été en possession d'un animal sauvage sans </w:t>
            </w:r>
            <w:r w:rsidRPr="00073183">
              <w:rPr>
                <w:rFonts w:eastAsia="Calibri"/>
                <w:sz w:val="20"/>
                <w:lang w:val="fr-CA"/>
              </w:rPr>
              <w:lastRenderedPageBreak/>
              <w:t>être muni d’un permis valide</w:t>
            </w:r>
          </w:p>
          <w:p w:rsidR="008F755D" w:rsidRPr="00073183" w:rsidRDefault="008F755D" w:rsidP="008F755D">
            <w:pPr>
              <w:jc w:val="both"/>
              <w:rPr>
                <w:rFonts w:eastAsia="Calibri"/>
                <w:sz w:val="20"/>
                <w:lang w:val="fr-CA"/>
              </w:rPr>
            </w:pPr>
          </w:p>
        </w:tc>
      </w:tr>
      <w:tr w:rsidR="008F755D" w:rsidRPr="00073183" w:rsidTr="008F755D">
        <w:tc>
          <w:tcPr>
            <w:tcW w:w="2427" w:type="pct"/>
          </w:tcPr>
          <w:p w:rsidR="008F755D" w:rsidRPr="00073183" w:rsidRDefault="008F755D" w:rsidP="008F755D">
            <w:pPr>
              <w:jc w:val="both"/>
              <w:rPr>
                <w:rFonts w:eastAsia="Calibri"/>
                <w:sz w:val="20"/>
                <w:lang w:val="fr-CA"/>
              </w:rPr>
            </w:pPr>
            <w:r w:rsidRPr="00073183">
              <w:rPr>
                <w:rFonts w:eastAsia="Calibri"/>
                <w:sz w:val="20"/>
                <w:lang w:val="fr-CA"/>
              </w:rPr>
              <w:lastRenderedPageBreak/>
              <w:t>4 novembre 2011</w:t>
            </w:r>
          </w:p>
          <w:p w:rsidR="008F755D" w:rsidRPr="00073183" w:rsidRDefault="008F755D" w:rsidP="008F755D">
            <w:pPr>
              <w:jc w:val="both"/>
              <w:rPr>
                <w:rFonts w:eastAsia="Calibri"/>
                <w:sz w:val="20"/>
                <w:lang w:val="fr-CA"/>
              </w:rPr>
            </w:pPr>
            <w:r w:rsidRPr="00073183">
              <w:rPr>
                <w:rFonts w:eastAsia="Calibri"/>
                <w:sz w:val="20"/>
                <w:lang w:val="fr-CA"/>
              </w:rPr>
              <w:t>Cour du Banc de la Reine de l'Alberta</w:t>
            </w:r>
          </w:p>
          <w:p w:rsidR="008F755D" w:rsidRPr="00073183" w:rsidRDefault="008F755D" w:rsidP="008F755D">
            <w:pPr>
              <w:jc w:val="both"/>
              <w:rPr>
                <w:rFonts w:eastAsia="Calibri"/>
                <w:sz w:val="20"/>
                <w:lang w:val="fr-CA"/>
              </w:rPr>
            </w:pPr>
            <w:r w:rsidRPr="00073183">
              <w:rPr>
                <w:rFonts w:eastAsia="Calibri"/>
                <w:sz w:val="20"/>
                <w:lang w:val="fr-CA"/>
              </w:rPr>
              <w:t>(Juge Wittmann)</w:t>
            </w:r>
          </w:p>
          <w:p w:rsidR="008F755D" w:rsidRPr="00073183" w:rsidRDefault="007C5411" w:rsidP="008F755D">
            <w:pPr>
              <w:jc w:val="both"/>
              <w:rPr>
                <w:rFonts w:eastAsia="Calibri"/>
                <w:sz w:val="20"/>
                <w:lang w:val="fr-CA"/>
              </w:rPr>
            </w:pPr>
            <w:hyperlink r:id="rId47" w:history="1">
              <w:r w:rsidR="008F755D" w:rsidRPr="00073183">
                <w:rPr>
                  <w:rFonts w:eastAsia="Calibri"/>
                  <w:color w:val="0000FF"/>
                  <w:sz w:val="20"/>
                  <w:u w:val="single"/>
                  <w:lang w:val="fr-CA"/>
                </w:rPr>
                <w:t>2011 ABQB 682</w:t>
              </w:r>
            </w:hyperlink>
          </w:p>
          <w:p w:rsidR="008F755D" w:rsidRPr="00073183" w:rsidRDefault="008F755D" w:rsidP="008F755D">
            <w:pPr>
              <w:jc w:val="both"/>
              <w:rPr>
                <w:rFonts w:eastAsia="Calibri"/>
                <w:sz w:val="20"/>
                <w:lang w:val="fr-CA"/>
              </w:rPr>
            </w:pPr>
          </w:p>
        </w:tc>
        <w:tc>
          <w:tcPr>
            <w:tcW w:w="243" w:type="pct"/>
          </w:tcPr>
          <w:p w:rsidR="008F755D" w:rsidRPr="00073183" w:rsidRDefault="008F755D" w:rsidP="008F755D">
            <w:pPr>
              <w:jc w:val="both"/>
              <w:rPr>
                <w:rFonts w:eastAsia="Calibri"/>
                <w:sz w:val="20"/>
                <w:lang w:val="fr-CA"/>
              </w:rPr>
            </w:pPr>
          </w:p>
        </w:tc>
        <w:tc>
          <w:tcPr>
            <w:tcW w:w="2330" w:type="pct"/>
          </w:tcPr>
          <w:p w:rsidR="008F755D" w:rsidRPr="00073183" w:rsidRDefault="008F755D" w:rsidP="008F755D">
            <w:pPr>
              <w:jc w:val="both"/>
              <w:rPr>
                <w:rFonts w:eastAsia="Calibri"/>
                <w:sz w:val="20"/>
                <w:lang w:val="fr-CA"/>
              </w:rPr>
            </w:pPr>
            <w:r w:rsidRPr="00073183">
              <w:rPr>
                <w:rFonts w:eastAsia="Calibri"/>
                <w:sz w:val="20"/>
                <w:lang w:val="fr-CA"/>
              </w:rPr>
              <w:t>Appel rejeté</w:t>
            </w:r>
          </w:p>
          <w:p w:rsidR="008F755D" w:rsidRPr="00073183" w:rsidRDefault="008F755D" w:rsidP="008F755D">
            <w:pPr>
              <w:jc w:val="both"/>
              <w:rPr>
                <w:rFonts w:eastAsia="Calibri"/>
                <w:sz w:val="20"/>
                <w:lang w:val="fr-CA"/>
              </w:rPr>
            </w:pPr>
          </w:p>
        </w:tc>
      </w:tr>
      <w:tr w:rsidR="008F755D" w:rsidRPr="00073183" w:rsidTr="008F755D">
        <w:tc>
          <w:tcPr>
            <w:tcW w:w="2427" w:type="pct"/>
          </w:tcPr>
          <w:p w:rsidR="008F755D" w:rsidRPr="00073183" w:rsidRDefault="008F755D" w:rsidP="008F755D">
            <w:pPr>
              <w:jc w:val="both"/>
              <w:rPr>
                <w:rFonts w:eastAsia="Calibri"/>
                <w:sz w:val="20"/>
                <w:lang w:val="fr-CA"/>
              </w:rPr>
            </w:pPr>
            <w:r w:rsidRPr="00073183">
              <w:rPr>
                <w:rFonts w:eastAsia="Calibri"/>
                <w:sz w:val="20"/>
                <w:lang w:val="fr-CA"/>
              </w:rPr>
              <w:t>4 juillet 2013</w:t>
            </w:r>
          </w:p>
          <w:p w:rsidR="008F755D" w:rsidRPr="00073183" w:rsidRDefault="008F755D" w:rsidP="008F755D">
            <w:pPr>
              <w:jc w:val="both"/>
              <w:rPr>
                <w:rFonts w:eastAsia="Calibri"/>
                <w:sz w:val="20"/>
                <w:lang w:val="fr-CA"/>
              </w:rPr>
            </w:pPr>
            <w:r w:rsidRPr="00073183">
              <w:rPr>
                <w:rFonts w:eastAsia="Calibri"/>
                <w:sz w:val="20"/>
                <w:lang w:val="fr-CA"/>
              </w:rPr>
              <w:t>Cour d'appel de l'Alberta (Calgary)</w:t>
            </w:r>
          </w:p>
          <w:p w:rsidR="008F755D" w:rsidRPr="00073183" w:rsidRDefault="008F755D" w:rsidP="008F755D">
            <w:pPr>
              <w:jc w:val="both"/>
              <w:rPr>
                <w:rFonts w:eastAsia="Calibri"/>
                <w:sz w:val="20"/>
                <w:lang w:val="fr-CA"/>
              </w:rPr>
            </w:pPr>
            <w:r w:rsidRPr="00073183">
              <w:rPr>
                <w:rFonts w:eastAsia="Calibri"/>
                <w:sz w:val="20"/>
                <w:lang w:val="fr-CA"/>
              </w:rPr>
              <w:t>(Juges Paperny, McDonald et Macleod)</w:t>
            </w:r>
          </w:p>
          <w:p w:rsidR="008F755D" w:rsidRPr="00073183" w:rsidRDefault="007C5411" w:rsidP="00E8338B">
            <w:pPr>
              <w:jc w:val="both"/>
              <w:rPr>
                <w:rFonts w:eastAsia="Calibri"/>
                <w:sz w:val="20"/>
                <w:lang w:val="fr-CA"/>
              </w:rPr>
            </w:pPr>
            <w:hyperlink r:id="rId48" w:history="1">
              <w:r w:rsidR="008F755D" w:rsidRPr="00073183">
                <w:rPr>
                  <w:rFonts w:eastAsia="Calibri"/>
                  <w:color w:val="0000FF"/>
                  <w:sz w:val="20"/>
                  <w:u w:val="single"/>
                  <w:lang w:val="fr-CA"/>
                </w:rPr>
                <w:t>2013 ABCA 242</w:t>
              </w:r>
            </w:hyperlink>
          </w:p>
        </w:tc>
        <w:tc>
          <w:tcPr>
            <w:tcW w:w="243" w:type="pct"/>
          </w:tcPr>
          <w:p w:rsidR="008F755D" w:rsidRPr="00073183" w:rsidRDefault="008F755D" w:rsidP="008F755D">
            <w:pPr>
              <w:jc w:val="both"/>
              <w:rPr>
                <w:rFonts w:eastAsia="Calibri"/>
                <w:sz w:val="20"/>
                <w:lang w:val="fr-CA"/>
              </w:rPr>
            </w:pPr>
          </w:p>
        </w:tc>
        <w:tc>
          <w:tcPr>
            <w:tcW w:w="2330" w:type="pct"/>
          </w:tcPr>
          <w:p w:rsidR="008F755D" w:rsidRPr="00073183" w:rsidRDefault="008F755D" w:rsidP="008F755D">
            <w:pPr>
              <w:jc w:val="both"/>
              <w:rPr>
                <w:rFonts w:eastAsia="Calibri"/>
                <w:sz w:val="20"/>
                <w:lang w:val="fr-CA"/>
              </w:rPr>
            </w:pPr>
            <w:r w:rsidRPr="00073183">
              <w:rPr>
                <w:rFonts w:eastAsia="Calibri"/>
                <w:sz w:val="20"/>
                <w:lang w:val="fr-CA"/>
              </w:rPr>
              <w:t>Appel rejeté</w:t>
            </w:r>
          </w:p>
          <w:p w:rsidR="008F755D" w:rsidRPr="00073183" w:rsidRDefault="008F755D" w:rsidP="008F755D">
            <w:pPr>
              <w:jc w:val="both"/>
              <w:rPr>
                <w:rFonts w:eastAsia="Calibri"/>
                <w:sz w:val="20"/>
                <w:lang w:val="fr-CA"/>
              </w:rPr>
            </w:pPr>
          </w:p>
        </w:tc>
      </w:tr>
    </w:tbl>
    <w:p w:rsidR="00E8338B" w:rsidRDefault="00E8338B"/>
    <w:p w:rsidR="00E8338B" w:rsidRDefault="00E8338B">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755D" w:rsidRPr="00073183" w:rsidTr="00E8338B">
        <w:trPr>
          <w:cantSplit/>
        </w:trPr>
        <w:tc>
          <w:tcPr>
            <w:tcW w:w="2427" w:type="pct"/>
          </w:tcPr>
          <w:p w:rsidR="008F755D" w:rsidRPr="00073183" w:rsidRDefault="008F755D" w:rsidP="008F755D">
            <w:pPr>
              <w:jc w:val="both"/>
              <w:rPr>
                <w:rFonts w:eastAsia="Calibri"/>
                <w:sz w:val="20"/>
                <w:lang w:val="fr-CA"/>
              </w:rPr>
            </w:pPr>
            <w:r w:rsidRPr="00073183">
              <w:rPr>
                <w:rFonts w:eastAsia="Calibri"/>
                <w:sz w:val="20"/>
                <w:lang w:val="fr-CA"/>
              </w:rPr>
              <w:lastRenderedPageBreak/>
              <w:t>30 septembre 2013</w:t>
            </w:r>
          </w:p>
          <w:p w:rsidR="008F755D" w:rsidRPr="00073183" w:rsidRDefault="008F755D" w:rsidP="008F755D">
            <w:pPr>
              <w:jc w:val="both"/>
              <w:rPr>
                <w:rFonts w:eastAsia="Calibri"/>
                <w:sz w:val="20"/>
                <w:lang w:val="fr-CA"/>
              </w:rPr>
            </w:pPr>
            <w:r w:rsidRPr="00073183">
              <w:rPr>
                <w:rFonts w:eastAsia="Calibri"/>
                <w:sz w:val="20"/>
                <w:lang w:val="fr-CA"/>
              </w:rPr>
              <w:t>Cour suprême du Canada</w:t>
            </w:r>
          </w:p>
        </w:tc>
        <w:tc>
          <w:tcPr>
            <w:tcW w:w="243" w:type="pct"/>
          </w:tcPr>
          <w:p w:rsidR="008F755D" w:rsidRPr="00073183" w:rsidRDefault="008F755D" w:rsidP="008F755D">
            <w:pPr>
              <w:jc w:val="both"/>
              <w:rPr>
                <w:rFonts w:eastAsia="Calibri"/>
                <w:sz w:val="20"/>
                <w:lang w:val="fr-CA"/>
              </w:rPr>
            </w:pPr>
          </w:p>
        </w:tc>
        <w:tc>
          <w:tcPr>
            <w:tcW w:w="2330" w:type="pct"/>
          </w:tcPr>
          <w:p w:rsidR="008F755D" w:rsidRPr="00073183" w:rsidRDefault="008F755D" w:rsidP="008F755D">
            <w:pPr>
              <w:jc w:val="both"/>
              <w:rPr>
                <w:rFonts w:eastAsia="Calibri"/>
                <w:sz w:val="20"/>
                <w:lang w:val="fr-CA"/>
              </w:rPr>
            </w:pPr>
            <w:r w:rsidRPr="00073183">
              <w:rPr>
                <w:rFonts w:eastAsia="Calibri"/>
                <w:sz w:val="20"/>
                <w:lang w:val="fr-CA"/>
              </w:rPr>
              <w:t>Demande d'autorisation d'appel, déposée</w:t>
            </w:r>
          </w:p>
        </w:tc>
      </w:tr>
    </w:tbl>
    <w:p w:rsidR="000F69AD" w:rsidRDefault="000F69AD" w:rsidP="000F69AD">
      <w:pPr>
        <w:rPr>
          <w:sz w:val="20"/>
          <w:szCs w:val="20"/>
        </w:rPr>
      </w:pPr>
    </w:p>
    <w:p w:rsidR="000F69AD" w:rsidRDefault="007C5411" w:rsidP="000F69AD">
      <w:pPr>
        <w:rPr>
          <w:sz w:val="20"/>
          <w:szCs w:val="20"/>
        </w:rPr>
      </w:pPr>
      <w:r>
        <w:rPr>
          <w:sz w:val="20"/>
          <w:szCs w:val="20"/>
          <w:lang w:val="fr-CA"/>
        </w:rPr>
        <w:pict>
          <v:rect id="_x0000_i1049" style="width:2in;height:1pt" o:hrpct="0" o:hralign="center" o:hrstd="t" o:hrnoshade="t" o:hr="t" fillcolor="black [3213]" stroked="f"/>
        </w:pict>
      </w:r>
    </w:p>
    <w:p w:rsidR="000F69AD" w:rsidRDefault="000F69AD" w:rsidP="000F69AD">
      <w:pPr>
        <w:rPr>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8338B" w:rsidRPr="00E8338B" w:rsidTr="00E8338B">
        <w:trPr>
          <w:cantSplit/>
        </w:trPr>
        <w:tc>
          <w:tcPr>
            <w:tcW w:w="1458" w:type="dxa"/>
          </w:tcPr>
          <w:p w:rsidR="00E8338B" w:rsidRPr="00E8338B" w:rsidRDefault="00E8338B" w:rsidP="00E8338B">
            <w:pPr>
              <w:rPr>
                <w:sz w:val="20"/>
              </w:rPr>
            </w:pPr>
            <w:r w:rsidRPr="00E8338B">
              <w:rPr>
                <w:b/>
                <w:sz w:val="20"/>
                <w:lang w:val="fr-CA"/>
              </w:rPr>
              <w:t>35576</w:t>
            </w:r>
          </w:p>
          <w:p w:rsidR="00E8338B" w:rsidRPr="00E8338B" w:rsidRDefault="00E8338B" w:rsidP="00E8338B">
            <w:pPr>
              <w:rPr>
                <w:b/>
                <w:sz w:val="20"/>
                <w:lang w:val="fr-CA"/>
              </w:rPr>
            </w:pPr>
          </w:p>
        </w:tc>
        <w:tc>
          <w:tcPr>
            <w:tcW w:w="8118" w:type="dxa"/>
          </w:tcPr>
          <w:p w:rsidR="00E8338B" w:rsidRPr="00E8338B" w:rsidRDefault="00E8338B" w:rsidP="00E8338B">
            <w:pPr>
              <w:jc w:val="both"/>
              <w:rPr>
                <w:sz w:val="20"/>
              </w:rPr>
            </w:pPr>
            <w:r w:rsidRPr="00E8338B">
              <w:rPr>
                <w:b/>
                <w:sz w:val="20"/>
                <w:u w:val="single"/>
              </w:rPr>
              <w:t>William Malamas, also known as Vasilios Malamas, Apollco Developments Ltd., Apollo Real Estate Limited, Apollco Properties Limited, Apollco Construction Ltd., Apollo Ltd. and Pallas Properties Inc. v. Teplitsky Colson LLP, Gary Caplan, 2004782 Ontario Limited, 717 Pape Inc., Peter L. Biro, CGD Management Limited, Crerar Property Corp., Danforth Properties Limited, Goodman and Carr, Jonathan Lisus, McCarthy Tétrault LLP, Mutual Trust Company (now known as Clarica Trust Company), Raymond Raphael, Raymond Raphael Professional Corporation, Stewart J.L. Robertson, Nicholas Stanoulis, Donna Stanoulis, Christina Stanoulis, Gary Stanoulis, Thomas Stanoulis, Thomas M.T. Sutton, Chris Tatsis, Panagiota Tatsis, Tonu Toome, Toome Laar &amp; Bell and City of Toronto</w:t>
            </w:r>
            <w:r w:rsidRPr="00E8338B">
              <w:rPr>
                <w:sz w:val="20"/>
              </w:rPr>
              <w:t xml:space="preserve"> (Ont.) (Civil) (By Leave)</w:t>
            </w:r>
          </w:p>
          <w:p w:rsidR="00E8338B" w:rsidRPr="00E8338B" w:rsidRDefault="00E8338B" w:rsidP="00E8338B">
            <w:pPr>
              <w:jc w:val="both"/>
              <w:rPr>
                <w:sz w:val="20"/>
              </w:rPr>
            </w:pPr>
          </w:p>
        </w:tc>
      </w:tr>
      <w:tr w:rsidR="00E8338B" w:rsidRPr="00E8338B" w:rsidTr="00E8338B">
        <w:trPr>
          <w:cantSplit/>
        </w:trPr>
        <w:tc>
          <w:tcPr>
            <w:tcW w:w="1458" w:type="dxa"/>
          </w:tcPr>
          <w:p w:rsidR="00E8338B" w:rsidRPr="00E8338B" w:rsidRDefault="00E8338B" w:rsidP="00E8338B">
            <w:pPr>
              <w:rPr>
                <w:sz w:val="20"/>
              </w:rPr>
            </w:pPr>
            <w:r w:rsidRPr="00E8338B">
              <w:rPr>
                <w:sz w:val="20"/>
              </w:rPr>
              <w:t>Coram :</w:t>
            </w:r>
          </w:p>
        </w:tc>
        <w:tc>
          <w:tcPr>
            <w:tcW w:w="8118" w:type="dxa"/>
          </w:tcPr>
          <w:p w:rsidR="00E8338B" w:rsidRPr="00E8338B" w:rsidRDefault="00E8338B" w:rsidP="00E8338B">
            <w:pPr>
              <w:rPr>
                <w:sz w:val="20"/>
              </w:rPr>
            </w:pPr>
            <w:r w:rsidRPr="00E8338B">
              <w:rPr>
                <w:sz w:val="20"/>
                <w:u w:val="single"/>
              </w:rPr>
              <w:t>McLachlin C.J. and Cromwell and Wagner JJ.</w:t>
            </w:r>
          </w:p>
          <w:p w:rsidR="00E8338B" w:rsidRPr="00E8338B" w:rsidRDefault="00E8338B" w:rsidP="00E8338B">
            <w:pPr>
              <w:rPr>
                <w:sz w:val="20"/>
                <w:u w:val="single"/>
              </w:rPr>
            </w:pPr>
          </w:p>
        </w:tc>
      </w:tr>
      <w:tr w:rsidR="00E8338B" w:rsidRPr="007C5411" w:rsidTr="00E8338B">
        <w:trPr>
          <w:cantSplit/>
        </w:trPr>
        <w:tc>
          <w:tcPr>
            <w:tcW w:w="9576" w:type="dxa"/>
            <w:gridSpan w:val="2"/>
          </w:tcPr>
          <w:p w:rsidR="00E8338B" w:rsidRPr="00E8338B" w:rsidRDefault="00E8338B" w:rsidP="00E8338B">
            <w:pPr>
              <w:ind w:firstLine="720"/>
              <w:jc w:val="both"/>
              <w:rPr>
                <w:sz w:val="20"/>
              </w:rPr>
            </w:pPr>
            <w:r w:rsidRPr="00E8338B">
              <w:rPr>
                <w:sz w:val="20"/>
              </w:rPr>
              <w:t>The application for leave to appeal from the judgment of the Court of Appeal for Ontario, Number C55730, 2013 ONCA 404, dated June 17, 2013, is dismissed without costs.</w:t>
            </w:r>
          </w:p>
          <w:p w:rsidR="00E8338B" w:rsidRPr="00E8338B" w:rsidRDefault="00E8338B" w:rsidP="00E8338B">
            <w:pPr>
              <w:jc w:val="both"/>
              <w:rPr>
                <w:sz w:val="20"/>
              </w:rPr>
            </w:pPr>
          </w:p>
          <w:p w:rsidR="00E8338B" w:rsidRPr="00E8338B" w:rsidRDefault="00E8338B" w:rsidP="00E8338B">
            <w:pPr>
              <w:ind w:firstLine="720"/>
              <w:jc w:val="both"/>
              <w:rPr>
                <w:sz w:val="20"/>
                <w:lang w:val="fr-CA"/>
              </w:rPr>
            </w:pPr>
            <w:r w:rsidRPr="00E8338B">
              <w:rPr>
                <w:sz w:val="20"/>
                <w:lang w:val="fr-CA"/>
              </w:rPr>
              <w:t>La demande d’autorisation d’appel de l’arrêt de la Cour d’appel de l’Ontario, numéro C55730, 2013 ONCA 404, daté du 17 juin 2013, est rejetée sans dépens.</w:t>
            </w:r>
          </w:p>
        </w:tc>
      </w:tr>
    </w:tbl>
    <w:p w:rsidR="000F69AD" w:rsidRPr="00E8338B" w:rsidRDefault="000F69AD" w:rsidP="000F69AD">
      <w:pPr>
        <w:rPr>
          <w:sz w:val="20"/>
          <w:szCs w:val="20"/>
          <w:lang w:val="fr-CA"/>
        </w:rPr>
      </w:pPr>
    </w:p>
    <w:p w:rsidR="000F69AD" w:rsidRPr="001B157C" w:rsidRDefault="000F69AD" w:rsidP="000F69AD">
      <w:pPr>
        <w:rPr>
          <w:sz w:val="20"/>
          <w:szCs w:val="20"/>
          <w:u w:val="single"/>
        </w:rPr>
      </w:pPr>
      <w:r w:rsidRPr="001B157C">
        <w:rPr>
          <w:sz w:val="20"/>
          <w:szCs w:val="20"/>
          <w:u w:val="single"/>
        </w:rPr>
        <w:t>CASE SUMMARY</w:t>
      </w:r>
    </w:p>
    <w:p w:rsidR="000F69AD" w:rsidRDefault="000F69AD" w:rsidP="000F69A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755D" w:rsidRPr="00073183" w:rsidTr="008F755D">
        <w:tc>
          <w:tcPr>
            <w:tcW w:w="5000" w:type="pct"/>
            <w:gridSpan w:val="3"/>
          </w:tcPr>
          <w:p w:rsidR="008F755D" w:rsidRPr="00073183" w:rsidRDefault="008F755D" w:rsidP="008F755D">
            <w:pPr>
              <w:jc w:val="both"/>
              <w:rPr>
                <w:rFonts w:eastAsia="Calibri"/>
                <w:sz w:val="20"/>
              </w:rPr>
            </w:pPr>
            <w:r w:rsidRPr="00073183">
              <w:rPr>
                <w:rFonts w:eastAsia="Calibri"/>
                <w:sz w:val="20"/>
              </w:rPr>
              <w:t>Civil procedure – Abuse of process – Order declaring the applicants vexatious litigants – Can lawyers who are defendants in legal actions abuse the process of the court for the purpose of defeating actions brought against them by self-represented plaintiffs – Can lawyer-defendants bring the administration of justice into disrepute by causing the self-represented plaintiff, unlawfully, to be declared a vexatious litigant – Can a partner of a lawyer against whom an action has been brought for fraud by a self</w:t>
            </w:r>
            <w:r w:rsidRPr="00073183">
              <w:rPr>
                <w:rFonts w:eastAsia="Calibri"/>
                <w:sz w:val="20"/>
              </w:rPr>
              <w:noBreakHyphen/>
              <w:t>represented plaintiff, bring an application to declare the self-represented plaintiff a vexatious litigant.</w:t>
            </w:r>
          </w:p>
        </w:tc>
      </w:tr>
      <w:tr w:rsidR="008F755D" w:rsidRPr="00073183" w:rsidTr="008F755D">
        <w:tc>
          <w:tcPr>
            <w:tcW w:w="5000" w:type="pct"/>
            <w:gridSpan w:val="3"/>
          </w:tcPr>
          <w:p w:rsidR="008F755D" w:rsidRPr="00073183" w:rsidRDefault="008F755D" w:rsidP="008F755D">
            <w:pPr>
              <w:jc w:val="both"/>
              <w:rPr>
                <w:rFonts w:eastAsia="Calibri"/>
                <w:sz w:val="20"/>
              </w:rPr>
            </w:pPr>
          </w:p>
        </w:tc>
      </w:tr>
      <w:tr w:rsidR="008F755D" w:rsidRPr="00073183" w:rsidTr="008F755D">
        <w:tc>
          <w:tcPr>
            <w:tcW w:w="5000" w:type="pct"/>
            <w:gridSpan w:val="3"/>
          </w:tcPr>
          <w:p w:rsidR="008F755D" w:rsidRPr="00073183" w:rsidRDefault="008F755D" w:rsidP="008F755D">
            <w:pPr>
              <w:jc w:val="both"/>
              <w:rPr>
                <w:rFonts w:eastAsia="Calibri"/>
                <w:sz w:val="20"/>
              </w:rPr>
            </w:pPr>
            <w:r w:rsidRPr="00073183">
              <w:rPr>
                <w:rFonts w:eastAsia="Calibri"/>
                <w:sz w:val="20"/>
              </w:rPr>
              <w:t xml:space="preserve">The applicant Mr. Malamas was a real estate developer who owned properties in the Greater Toronto area. When the recession hit in the late 1980’s, the property values fell below the mortgage values and Mr. Malamus lost properties in mortgage proceedings. He subsequently commenced actions claiming that faults by the various lawyers representing he and his corporations had caused him to lose those and other actions.  Twenty-seven parties, who are adverse to the applicants in fourteen different actions, brought one application to strike Mr. Malamas’s defence to their vexatious litigant applications and for an order declaring him a vexatious litigant under s. 140 of the </w:t>
            </w:r>
            <w:r w:rsidRPr="00073183">
              <w:rPr>
                <w:rFonts w:eastAsia="Calibri"/>
                <w:i/>
                <w:sz w:val="20"/>
              </w:rPr>
              <w:t>Courts of Justice Act</w:t>
            </w:r>
            <w:r w:rsidRPr="00073183">
              <w:rPr>
                <w:rFonts w:eastAsia="Calibri"/>
                <w:sz w:val="20"/>
              </w:rPr>
              <w:t>,</w:t>
            </w:r>
            <w:r w:rsidRPr="00073183">
              <w:rPr>
                <w:rFonts w:eastAsia="Calibri"/>
                <w:i/>
                <w:sz w:val="20"/>
              </w:rPr>
              <w:t xml:space="preserve"> </w:t>
            </w:r>
            <w:r w:rsidRPr="00073183">
              <w:rPr>
                <w:rFonts w:eastAsia="Calibri"/>
                <w:sz w:val="20"/>
              </w:rPr>
              <w:t>R.S.O. 1990, c. C 43. They also brought motions for security for costs. The Ontario Superior Court of Justice granted an Order declaring the applicant and the companies he controls, vexatious litigants. The Court of Appeal for Ontario dismissed the appeal.</w:t>
            </w:r>
          </w:p>
          <w:p w:rsidR="008F755D" w:rsidRPr="00073183" w:rsidRDefault="008F755D" w:rsidP="008F755D">
            <w:pPr>
              <w:jc w:val="both"/>
              <w:rPr>
                <w:rFonts w:eastAsia="Calibri"/>
                <w:sz w:val="20"/>
              </w:rPr>
            </w:pPr>
          </w:p>
        </w:tc>
      </w:tr>
      <w:tr w:rsidR="008F755D" w:rsidRPr="00073183" w:rsidTr="008F755D">
        <w:tc>
          <w:tcPr>
            <w:tcW w:w="2427" w:type="pct"/>
          </w:tcPr>
          <w:p w:rsidR="008F755D" w:rsidRPr="00073183" w:rsidRDefault="008F755D" w:rsidP="008F755D">
            <w:pPr>
              <w:jc w:val="both"/>
              <w:rPr>
                <w:rFonts w:eastAsia="Calibri"/>
                <w:sz w:val="20"/>
              </w:rPr>
            </w:pPr>
            <w:r w:rsidRPr="00073183">
              <w:rPr>
                <w:rFonts w:eastAsia="Calibri"/>
                <w:sz w:val="20"/>
              </w:rPr>
              <w:t>June18, 2012</w:t>
            </w:r>
          </w:p>
          <w:p w:rsidR="008F755D" w:rsidRPr="00073183" w:rsidRDefault="008F755D" w:rsidP="008F755D">
            <w:pPr>
              <w:jc w:val="both"/>
              <w:rPr>
                <w:rFonts w:eastAsia="Calibri"/>
                <w:sz w:val="20"/>
              </w:rPr>
            </w:pPr>
            <w:r w:rsidRPr="00073183">
              <w:rPr>
                <w:rFonts w:eastAsia="Calibri"/>
                <w:sz w:val="20"/>
              </w:rPr>
              <w:t>Ontario Superior Court of Justice</w:t>
            </w:r>
          </w:p>
          <w:p w:rsidR="008F755D" w:rsidRPr="00073183" w:rsidRDefault="008F755D" w:rsidP="008F755D">
            <w:pPr>
              <w:jc w:val="both"/>
              <w:rPr>
                <w:rFonts w:eastAsia="Calibri"/>
                <w:sz w:val="20"/>
              </w:rPr>
            </w:pPr>
            <w:r w:rsidRPr="00073183">
              <w:rPr>
                <w:rFonts w:eastAsia="Calibri"/>
                <w:sz w:val="20"/>
              </w:rPr>
              <w:t>(Newbould J.)</w:t>
            </w:r>
          </w:p>
          <w:p w:rsidR="008F755D" w:rsidRPr="00073183" w:rsidRDefault="007C5411" w:rsidP="008F755D">
            <w:pPr>
              <w:jc w:val="both"/>
              <w:rPr>
                <w:rFonts w:eastAsia="Calibri"/>
                <w:sz w:val="20"/>
              </w:rPr>
            </w:pPr>
            <w:hyperlink r:id="rId49" w:history="1">
              <w:r w:rsidR="008F755D" w:rsidRPr="00073183">
                <w:rPr>
                  <w:rFonts w:eastAsia="Calibri"/>
                  <w:color w:val="0000FF"/>
                  <w:sz w:val="20"/>
                  <w:u w:val="single"/>
                </w:rPr>
                <w:t>2012 ONSC 3546</w:t>
              </w:r>
            </w:hyperlink>
          </w:p>
          <w:p w:rsidR="008F755D" w:rsidRPr="00073183" w:rsidRDefault="008F755D" w:rsidP="008F755D">
            <w:pPr>
              <w:jc w:val="both"/>
              <w:rPr>
                <w:rFonts w:eastAsia="Calibri"/>
                <w:sz w:val="20"/>
              </w:rPr>
            </w:pPr>
          </w:p>
        </w:tc>
        <w:tc>
          <w:tcPr>
            <w:tcW w:w="243" w:type="pct"/>
          </w:tcPr>
          <w:p w:rsidR="008F755D" w:rsidRPr="00073183" w:rsidRDefault="008F755D" w:rsidP="008F755D">
            <w:pPr>
              <w:jc w:val="both"/>
              <w:rPr>
                <w:rFonts w:eastAsia="Calibri"/>
                <w:sz w:val="20"/>
              </w:rPr>
            </w:pPr>
          </w:p>
        </w:tc>
        <w:tc>
          <w:tcPr>
            <w:tcW w:w="2330" w:type="pct"/>
          </w:tcPr>
          <w:p w:rsidR="008F755D" w:rsidRPr="00073183" w:rsidRDefault="008F755D" w:rsidP="008F755D">
            <w:pPr>
              <w:rPr>
                <w:rFonts w:eastAsia="Calibri"/>
                <w:sz w:val="20"/>
              </w:rPr>
            </w:pPr>
            <w:r w:rsidRPr="00073183">
              <w:rPr>
                <w:rFonts w:eastAsia="Calibri"/>
                <w:sz w:val="20"/>
              </w:rPr>
              <w:t>Order declaring the applicant and the companies he controls, vexatious litigants</w:t>
            </w:r>
          </w:p>
        </w:tc>
      </w:tr>
      <w:tr w:rsidR="008F755D" w:rsidRPr="00073183" w:rsidTr="002E14C3">
        <w:trPr>
          <w:cantSplit/>
        </w:trPr>
        <w:tc>
          <w:tcPr>
            <w:tcW w:w="2427" w:type="pct"/>
          </w:tcPr>
          <w:p w:rsidR="008F755D" w:rsidRPr="00073183" w:rsidRDefault="008F755D" w:rsidP="008F755D">
            <w:pPr>
              <w:jc w:val="both"/>
              <w:rPr>
                <w:rFonts w:eastAsia="Calibri"/>
                <w:sz w:val="20"/>
              </w:rPr>
            </w:pPr>
            <w:r w:rsidRPr="00073183">
              <w:rPr>
                <w:rFonts w:eastAsia="Calibri"/>
                <w:sz w:val="20"/>
              </w:rPr>
              <w:lastRenderedPageBreak/>
              <w:t>August 13, 2012</w:t>
            </w:r>
          </w:p>
          <w:p w:rsidR="008F755D" w:rsidRPr="00073183" w:rsidRDefault="008F755D" w:rsidP="008F755D">
            <w:pPr>
              <w:jc w:val="both"/>
              <w:rPr>
                <w:rFonts w:eastAsia="Calibri"/>
                <w:sz w:val="20"/>
              </w:rPr>
            </w:pPr>
            <w:r w:rsidRPr="00073183">
              <w:rPr>
                <w:rFonts w:eastAsia="Calibri"/>
                <w:sz w:val="20"/>
              </w:rPr>
              <w:t>Ontario Superior Court of Justice</w:t>
            </w:r>
          </w:p>
          <w:p w:rsidR="008F755D" w:rsidRPr="00073183" w:rsidRDefault="008F755D" w:rsidP="008F755D">
            <w:pPr>
              <w:jc w:val="both"/>
              <w:rPr>
                <w:rFonts w:eastAsia="Calibri"/>
                <w:sz w:val="20"/>
              </w:rPr>
            </w:pPr>
            <w:r w:rsidRPr="00073183">
              <w:rPr>
                <w:rFonts w:eastAsia="Calibri"/>
                <w:sz w:val="20"/>
              </w:rPr>
              <w:t>(Newbould J.)</w:t>
            </w:r>
          </w:p>
          <w:p w:rsidR="008F755D" w:rsidRPr="00073183" w:rsidRDefault="008F755D" w:rsidP="008F755D">
            <w:pPr>
              <w:jc w:val="both"/>
              <w:rPr>
                <w:rFonts w:eastAsia="Calibri"/>
                <w:sz w:val="20"/>
              </w:rPr>
            </w:pPr>
            <w:r w:rsidRPr="00073183">
              <w:rPr>
                <w:rFonts w:eastAsia="Calibri"/>
                <w:sz w:val="20"/>
              </w:rPr>
              <w:t>2012 ONSC 4658</w:t>
            </w:r>
          </w:p>
          <w:p w:rsidR="008F755D" w:rsidRPr="00073183" w:rsidRDefault="008F755D" w:rsidP="008F755D">
            <w:pPr>
              <w:jc w:val="both"/>
              <w:rPr>
                <w:rFonts w:eastAsia="Calibri"/>
                <w:sz w:val="20"/>
              </w:rPr>
            </w:pPr>
          </w:p>
        </w:tc>
        <w:tc>
          <w:tcPr>
            <w:tcW w:w="243" w:type="pct"/>
          </w:tcPr>
          <w:p w:rsidR="008F755D" w:rsidRPr="00073183" w:rsidRDefault="008F755D" w:rsidP="008F755D">
            <w:pPr>
              <w:jc w:val="both"/>
              <w:rPr>
                <w:rFonts w:eastAsia="Calibri"/>
                <w:sz w:val="20"/>
              </w:rPr>
            </w:pPr>
          </w:p>
        </w:tc>
        <w:tc>
          <w:tcPr>
            <w:tcW w:w="2330" w:type="pct"/>
          </w:tcPr>
          <w:p w:rsidR="008F755D" w:rsidRPr="00073183" w:rsidRDefault="008F755D" w:rsidP="008F755D">
            <w:pPr>
              <w:jc w:val="both"/>
              <w:rPr>
                <w:rFonts w:eastAsia="Calibri"/>
                <w:sz w:val="20"/>
              </w:rPr>
            </w:pPr>
            <w:r w:rsidRPr="00073183">
              <w:rPr>
                <w:rFonts w:eastAsia="Calibri"/>
                <w:sz w:val="20"/>
              </w:rPr>
              <w:t>Supplementary reasons, with an express prohibition against the applicant or corporations controlled by him now or in the future from commencing new proceedings</w:t>
            </w:r>
          </w:p>
        </w:tc>
      </w:tr>
      <w:tr w:rsidR="008F755D" w:rsidRPr="00073183" w:rsidTr="002E14C3">
        <w:trPr>
          <w:cantSplit/>
        </w:trPr>
        <w:tc>
          <w:tcPr>
            <w:tcW w:w="2427" w:type="pct"/>
          </w:tcPr>
          <w:p w:rsidR="008F755D" w:rsidRPr="00073183" w:rsidRDefault="008F755D" w:rsidP="008F755D">
            <w:pPr>
              <w:jc w:val="both"/>
              <w:rPr>
                <w:rFonts w:eastAsia="Calibri"/>
                <w:sz w:val="20"/>
              </w:rPr>
            </w:pPr>
            <w:r w:rsidRPr="00073183">
              <w:rPr>
                <w:rFonts w:eastAsia="Calibri"/>
                <w:sz w:val="20"/>
              </w:rPr>
              <w:t>June 17, 2013</w:t>
            </w:r>
          </w:p>
          <w:p w:rsidR="008F755D" w:rsidRPr="00073183" w:rsidRDefault="008F755D" w:rsidP="008F755D">
            <w:pPr>
              <w:jc w:val="both"/>
              <w:rPr>
                <w:rFonts w:eastAsia="Calibri"/>
                <w:sz w:val="20"/>
              </w:rPr>
            </w:pPr>
            <w:r w:rsidRPr="00073183">
              <w:rPr>
                <w:rFonts w:eastAsia="Calibri"/>
                <w:sz w:val="20"/>
              </w:rPr>
              <w:t>Court of Appeal for Ontario</w:t>
            </w:r>
          </w:p>
          <w:p w:rsidR="008F755D" w:rsidRPr="00073183" w:rsidRDefault="008F755D" w:rsidP="008F755D">
            <w:pPr>
              <w:jc w:val="both"/>
              <w:rPr>
                <w:rFonts w:eastAsia="Calibri"/>
                <w:sz w:val="20"/>
              </w:rPr>
            </w:pPr>
            <w:r w:rsidRPr="00073183">
              <w:rPr>
                <w:rFonts w:eastAsia="Calibri"/>
                <w:sz w:val="20"/>
              </w:rPr>
              <w:t>(Laskin, Rosenberg and Lauwers JJ.A.)</w:t>
            </w:r>
          </w:p>
          <w:p w:rsidR="008F755D" w:rsidRPr="00073183" w:rsidRDefault="007C5411" w:rsidP="008F755D">
            <w:pPr>
              <w:jc w:val="both"/>
              <w:rPr>
                <w:rFonts w:eastAsia="Calibri"/>
                <w:sz w:val="20"/>
              </w:rPr>
            </w:pPr>
            <w:hyperlink r:id="rId50" w:history="1">
              <w:r w:rsidR="008F755D" w:rsidRPr="00073183">
                <w:rPr>
                  <w:rFonts w:eastAsia="Calibri"/>
                  <w:color w:val="0000FF"/>
                  <w:sz w:val="20"/>
                  <w:u w:val="single"/>
                </w:rPr>
                <w:t>2013 ONCA 404</w:t>
              </w:r>
            </w:hyperlink>
          </w:p>
          <w:p w:rsidR="008F755D" w:rsidRPr="00073183" w:rsidRDefault="008F755D" w:rsidP="008F755D">
            <w:pPr>
              <w:jc w:val="both"/>
              <w:rPr>
                <w:rFonts w:eastAsia="Calibri"/>
                <w:sz w:val="20"/>
              </w:rPr>
            </w:pPr>
          </w:p>
        </w:tc>
        <w:tc>
          <w:tcPr>
            <w:tcW w:w="243" w:type="pct"/>
          </w:tcPr>
          <w:p w:rsidR="008F755D" w:rsidRPr="00073183" w:rsidRDefault="008F755D" w:rsidP="008F755D">
            <w:pPr>
              <w:jc w:val="both"/>
              <w:rPr>
                <w:rFonts w:eastAsia="Calibri"/>
                <w:sz w:val="20"/>
              </w:rPr>
            </w:pPr>
          </w:p>
        </w:tc>
        <w:tc>
          <w:tcPr>
            <w:tcW w:w="2330" w:type="pct"/>
          </w:tcPr>
          <w:p w:rsidR="008F755D" w:rsidRPr="00073183" w:rsidRDefault="008F755D" w:rsidP="008F755D">
            <w:pPr>
              <w:jc w:val="both"/>
              <w:rPr>
                <w:rFonts w:eastAsia="Calibri"/>
                <w:sz w:val="20"/>
              </w:rPr>
            </w:pPr>
            <w:r w:rsidRPr="00073183">
              <w:rPr>
                <w:rFonts w:eastAsia="Calibri"/>
                <w:sz w:val="20"/>
              </w:rPr>
              <w:t>Appeal dismissed</w:t>
            </w:r>
          </w:p>
          <w:p w:rsidR="008F755D" w:rsidRPr="00073183" w:rsidRDefault="008F755D" w:rsidP="008F755D">
            <w:pPr>
              <w:jc w:val="both"/>
              <w:rPr>
                <w:rFonts w:eastAsia="Calibri"/>
                <w:sz w:val="20"/>
              </w:rPr>
            </w:pPr>
          </w:p>
        </w:tc>
      </w:tr>
      <w:tr w:rsidR="008F755D" w:rsidRPr="00073183" w:rsidTr="002E14C3">
        <w:trPr>
          <w:cantSplit/>
        </w:trPr>
        <w:tc>
          <w:tcPr>
            <w:tcW w:w="2427" w:type="pct"/>
          </w:tcPr>
          <w:p w:rsidR="008F755D" w:rsidRPr="00073183" w:rsidRDefault="008F755D" w:rsidP="008F755D">
            <w:pPr>
              <w:jc w:val="both"/>
              <w:rPr>
                <w:rFonts w:eastAsia="Calibri"/>
                <w:sz w:val="20"/>
              </w:rPr>
            </w:pPr>
            <w:r w:rsidRPr="00073183">
              <w:rPr>
                <w:rFonts w:eastAsia="Calibri"/>
                <w:sz w:val="20"/>
              </w:rPr>
              <w:t>September 16, 2013</w:t>
            </w:r>
          </w:p>
          <w:p w:rsidR="008F755D" w:rsidRPr="00073183" w:rsidRDefault="008F755D" w:rsidP="008F755D">
            <w:pPr>
              <w:jc w:val="both"/>
              <w:rPr>
                <w:rFonts w:eastAsia="Calibri"/>
                <w:sz w:val="20"/>
              </w:rPr>
            </w:pPr>
            <w:r w:rsidRPr="00073183">
              <w:rPr>
                <w:rFonts w:eastAsia="Calibri"/>
                <w:sz w:val="20"/>
              </w:rPr>
              <w:t>Supreme Court of Canada</w:t>
            </w:r>
          </w:p>
        </w:tc>
        <w:tc>
          <w:tcPr>
            <w:tcW w:w="243" w:type="pct"/>
          </w:tcPr>
          <w:p w:rsidR="008F755D" w:rsidRPr="00073183" w:rsidRDefault="008F755D" w:rsidP="008F755D">
            <w:pPr>
              <w:jc w:val="both"/>
              <w:rPr>
                <w:rFonts w:eastAsia="Calibri"/>
                <w:sz w:val="20"/>
              </w:rPr>
            </w:pPr>
          </w:p>
        </w:tc>
        <w:tc>
          <w:tcPr>
            <w:tcW w:w="2330" w:type="pct"/>
          </w:tcPr>
          <w:p w:rsidR="008F755D" w:rsidRPr="00073183" w:rsidRDefault="008F755D" w:rsidP="008F755D">
            <w:pPr>
              <w:jc w:val="both"/>
              <w:rPr>
                <w:rFonts w:eastAsia="Calibri"/>
                <w:sz w:val="20"/>
              </w:rPr>
            </w:pPr>
            <w:r w:rsidRPr="00073183">
              <w:rPr>
                <w:rFonts w:eastAsia="Calibri"/>
                <w:sz w:val="20"/>
              </w:rPr>
              <w:t>Application for leave to appeal filed</w:t>
            </w:r>
          </w:p>
        </w:tc>
      </w:tr>
    </w:tbl>
    <w:p w:rsidR="000F69AD" w:rsidRDefault="000F69AD" w:rsidP="000F69AD">
      <w:pPr>
        <w:rPr>
          <w:sz w:val="20"/>
          <w:szCs w:val="20"/>
        </w:rPr>
      </w:pPr>
    </w:p>
    <w:p w:rsidR="000F69AD" w:rsidRPr="00C50A5C" w:rsidRDefault="007C5411" w:rsidP="000F69AD">
      <w:pPr>
        <w:rPr>
          <w:sz w:val="20"/>
          <w:szCs w:val="20"/>
        </w:rPr>
      </w:pPr>
      <w:r>
        <w:rPr>
          <w:sz w:val="20"/>
          <w:szCs w:val="20"/>
          <w:lang w:val="fr-CA"/>
        </w:rPr>
        <w:pict>
          <v:rect id="_x0000_i1050" style="width:2in;height:1pt" o:hrpct="0" o:hralign="center" o:hrstd="t" o:hrnoshade="t" o:hr="t" fillcolor="black [3213]" stroked="f"/>
        </w:pict>
      </w:r>
    </w:p>
    <w:p w:rsidR="000F69AD" w:rsidRDefault="000F69AD" w:rsidP="000F69AD">
      <w:pPr>
        <w:rPr>
          <w:sz w:val="20"/>
          <w:szCs w:val="20"/>
        </w:rPr>
      </w:pPr>
    </w:p>
    <w:p w:rsidR="000F69AD" w:rsidRPr="001B157C" w:rsidRDefault="000F69AD" w:rsidP="000F69AD">
      <w:pPr>
        <w:rPr>
          <w:sz w:val="20"/>
          <w:szCs w:val="20"/>
          <w:u w:val="single"/>
          <w:lang w:val="fr-CA"/>
        </w:rPr>
      </w:pPr>
      <w:r w:rsidRPr="001B157C">
        <w:rPr>
          <w:sz w:val="20"/>
          <w:szCs w:val="20"/>
          <w:u w:val="single"/>
          <w:lang w:val="fr-CA"/>
        </w:rPr>
        <w:t>RÉSUMÉ DE L’AFFAIRE</w:t>
      </w:r>
    </w:p>
    <w:p w:rsidR="000F69AD" w:rsidRDefault="000F69AD" w:rsidP="000F69A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F755D" w:rsidRPr="007C5411" w:rsidTr="008F755D">
        <w:tc>
          <w:tcPr>
            <w:tcW w:w="5000" w:type="pct"/>
            <w:gridSpan w:val="3"/>
          </w:tcPr>
          <w:p w:rsidR="008F755D" w:rsidRPr="00073183" w:rsidRDefault="008F755D" w:rsidP="008F755D">
            <w:pPr>
              <w:jc w:val="both"/>
              <w:rPr>
                <w:rFonts w:eastAsia="Calibri"/>
                <w:sz w:val="20"/>
                <w:lang w:val="fr-CA"/>
              </w:rPr>
            </w:pPr>
            <w:r w:rsidRPr="00073183">
              <w:rPr>
                <w:rFonts w:eastAsia="Calibri"/>
                <w:sz w:val="20"/>
                <w:lang w:val="fr-CA"/>
              </w:rPr>
              <w:t>Procédure civile – Abus de procédure – Ordonnance déclarant les demandeurs plaideurs quérulents – Des avocats qui sont défendeurs dans des actions judiciaires peuvent-ils abuser du processus judiciaire afin de faire rejeter des actions intentées contre eux par des demandeurs non représentés? – Les avocats défendeurs peuvent-ils déconsidérer l'administration de la justice en faisant illégalement déclarer plaideur quérulent le demandeur non représenté? – L'associé d'un avocat contre qui une action a été intentée pour fraude par le demandeur non représenté peut-il présenter une demande pour faire déclarer plaideur quérulent le demandeur non représenté?</w:t>
            </w:r>
          </w:p>
        </w:tc>
      </w:tr>
      <w:tr w:rsidR="008F755D" w:rsidRPr="007C5411" w:rsidTr="008F755D">
        <w:tc>
          <w:tcPr>
            <w:tcW w:w="5000" w:type="pct"/>
            <w:gridSpan w:val="3"/>
          </w:tcPr>
          <w:p w:rsidR="008F755D" w:rsidRPr="00073183" w:rsidRDefault="008F755D" w:rsidP="008F755D">
            <w:pPr>
              <w:jc w:val="both"/>
              <w:rPr>
                <w:rFonts w:eastAsia="Calibri"/>
                <w:sz w:val="20"/>
                <w:lang w:val="fr-CA"/>
              </w:rPr>
            </w:pPr>
          </w:p>
        </w:tc>
      </w:tr>
      <w:tr w:rsidR="008F755D" w:rsidRPr="00073183" w:rsidTr="008F755D">
        <w:tc>
          <w:tcPr>
            <w:tcW w:w="5000" w:type="pct"/>
            <w:gridSpan w:val="3"/>
          </w:tcPr>
          <w:p w:rsidR="008F755D" w:rsidRPr="00073183" w:rsidRDefault="008F755D" w:rsidP="008F755D">
            <w:pPr>
              <w:jc w:val="both"/>
              <w:rPr>
                <w:rFonts w:eastAsia="Calibri"/>
                <w:sz w:val="20"/>
                <w:lang w:val="fr-CA"/>
              </w:rPr>
            </w:pPr>
            <w:r w:rsidRPr="00073183">
              <w:rPr>
                <w:rFonts w:eastAsia="Calibri"/>
                <w:sz w:val="20"/>
                <w:lang w:val="fr-CA"/>
              </w:rPr>
              <w:t>Le demandeur M. Malamas était un promoteur immobilier qui possédait des immeubles dans la région du Grand Toronto.  Lorsqu'une récession a frappé à la fin des années 1980, les valeurs foncières ont chuté au-dessous des valeurs hypothécaires et M. Malamus a perdu des immeubles à la suite de recours hypothécaires.  Par la suite, il a intenté des actions, alléguant que les fautes de divers avocats qui le représentaient et qui représentaient ses sociétés lui ont fait perdre ces actions et d'autres.  Vingt-sept parties adverses aux demandeurs dans quatorze actions différentes ont présenté une demande en radiation de la défense opposée par M. Malamas à leur demande pour le faire déclarer plaideur quérulent et pour une ordonnance le déclarant plaideur quérulent en application de l'art. 140 de la</w:t>
            </w:r>
            <w:r w:rsidRPr="00073183">
              <w:rPr>
                <w:rFonts w:eastAsia="Calibri"/>
                <w:i/>
                <w:sz w:val="20"/>
                <w:lang w:val="fr-CA"/>
              </w:rPr>
              <w:t xml:space="preserve"> Loi sur les tribunaux judiciaires</w:t>
            </w:r>
            <w:r w:rsidRPr="00073183">
              <w:rPr>
                <w:rFonts w:eastAsia="Calibri"/>
                <w:sz w:val="20"/>
                <w:lang w:val="fr-CA"/>
              </w:rPr>
              <w:t>,</w:t>
            </w:r>
            <w:r w:rsidRPr="00073183">
              <w:rPr>
                <w:rFonts w:eastAsia="Calibri"/>
                <w:i/>
                <w:sz w:val="20"/>
                <w:lang w:val="fr-CA"/>
              </w:rPr>
              <w:t xml:space="preserve"> </w:t>
            </w:r>
            <w:r w:rsidRPr="00073183">
              <w:rPr>
                <w:rFonts w:eastAsia="Calibri"/>
                <w:sz w:val="20"/>
                <w:lang w:val="fr-CA"/>
              </w:rPr>
              <w:t>L.R.O. 1990, ch. C 43.  Elles ont également présenté des motions en cautionnement pour dépens.  La Cour supérieure de justice de l'Ontario a prononcé une ordonnance déclarant plaideurs quérulents le demandeur et les sociétés qu'il contrôle.  La Cour d'appel de l'Ontario a rejeté l'appel.</w:t>
            </w:r>
          </w:p>
          <w:p w:rsidR="008F755D" w:rsidRPr="00073183" w:rsidRDefault="008F755D" w:rsidP="008F755D">
            <w:pPr>
              <w:jc w:val="both"/>
              <w:rPr>
                <w:rFonts w:eastAsia="Calibri"/>
                <w:sz w:val="20"/>
                <w:lang w:val="fr-CA"/>
              </w:rPr>
            </w:pPr>
          </w:p>
        </w:tc>
      </w:tr>
      <w:tr w:rsidR="008F755D" w:rsidRPr="007C5411" w:rsidTr="008F755D">
        <w:tc>
          <w:tcPr>
            <w:tcW w:w="2427" w:type="pct"/>
          </w:tcPr>
          <w:p w:rsidR="008F755D" w:rsidRPr="00073183" w:rsidRDefault="008F755D" w:rsidP="008F755D">
            <w:pPr>
              <w:jc w:val="both"/>
              <w:rPr>
                <w:rFonts w:eastAsia="Calibri"/>
                <w:sz w:val="20"/>
                <w:lang w:val="fr-CA"/>
              </w:rPr>
            </w:pPr>
            <w:r w:rsidRPr="00073183">
              <w:rPr>
                <w:rFonts w:eastAsia="Calibri"/>
                <w:sz w:val="20"/>
                <w:lang w:val="fr-CA"/>
              </w:rPr>
              <w:t>18 juin 2012</w:t>
            </w:r>
          </w:p>
          <w:p w:rsidR="008F755D" w:rsidRPr="00073183" w:rsidRDefault="008F755D" w:rsidP="008F755D">
            <w:pPr>
              <w:jc w:val="both"/>
              <w:rPr>
                <w:rFonts w:eastAsia="Calibri"/>
                <w:sz w:val="20"/>
                <w:lang w:val="fr-CA"/>
              </w:rPr>
            </w:pPr>
            <w:r w:rsidRPr="00073183">
              <w:rPr>
                <w:rFonts w:eastAsia="Calibri"/>
                <w:sz w:val="20"/>
                <w:lang w:val="fr-CA"/>
              </w:rPr>
              <w:t>Cour supérieure de justice de l'Ontario</w:t>
            </w:r>
          </w:p>
          <w:p w:rsidR="008F755D" w:rsidRPr="00073183" w:rsidRDefault="008F755D" w:rsidP="008F755D">
            <w:pPr>
              <w:jc w:val="both"/>
              <w:rPr>
                <w:rFonts w:eastAsia="Calibri"/>
                <w:sz w:val="20"/>
                <w:lang w:val="fr-CA"/>
              </w:rPr>
            </w:pPr>
            <w:r w:rsidRPr="00073183">
              <w:rPr>
                <w:rFonts w:eastAsia="Calibri"/>
                <w:sz w:val="20"/>
                <w:lang w:val="fr-CA"/>
              </w:rPr>
              <w:t>(Juge Newbould)</w:t>
            </w:r>
          </w:p>
          <w:p w:rsidR="008F755D" w:rsidRPr="00073183" w:rsidRDefault="007C5411" w:rsidP="008F755D">
            <w:pPr>
              <w:jc w:val="both"/>
              <w:rPr>
                <w:rFonts w:eastAsia="Calibri"/>
                <w:sz w:val="20"/>
                <w:lang w:val="fr-CA"/>
              </w:rPr>
            </w:pPr>
            <w:hyperlink r:id="rId51" w:history="1">
              <w:r w:rsidR="008F755D" w:rsidRPr="00073183">
                <w:rPr>
                  <w:rFonts w:eastAsia="Calibri"/>
                  <w:color w:val="0000FF"/>
                  <w:sz w:val="20"/>
                  <w:u w:val="single"/>
                  <w:lang w:val="fr-CA"/>
                </w:rPr>
                <w:t>2012 ONSC 3546</w:t>
              </w:r>
            </w:hyperlink>
          </w:p>
          <w:p w:rsidR="008F755D" w:rsidRPr="00073183" w:rsidRDefault="008F755D" w:rsidP="008F755D">
            <w:pPr>
              <w:jc w:val="both"/>
              <w:rPr>
                <w:rFonts w:eastAsia="Calibri"/>
                <w:sz w:val="20"/>
                <w:lang w:val="fr-CA"/>
              </w:rPr>
            </w:pPr>
          </w:p>
        </w:tc>
        <w:tc>
          <w:tcPr>
            <w:tcW w:w="243" w:type="pct"/>
          </w:tcPr>
          <w:p w:rsidR="008F755D" w:rsidRPr="00073183" w:rsidRDefault="008F755D" w:rsidP="008F755D">
            <w:pPr>
              <w:jc w:val="both"/>
              <w:rPr>
                <w:rFonts w:eastAsia="Calibri"/>
                <w:sz w:val="20"/>
                <w:lang w:val="fr-CA"/>
              </w:rPr>
            </w:pPr>
          </w:p>
        </w:tc>
        <w:tc>
          <w:tcPr>
            <w:tcW w:w="2330" w:type="pct"/>
          </w:tcPr>
          <w:p w:rsidR="008F755D" w:rsidRPr="00073183" w:rsidRDefault="008F755D" w:rsidP="008F755D">
            <w:pPr>
              <w:jc w:val="both"/>
              <w:rPr>
                <w:rFonts w:eastAsia="Calibri"/>
                <w:sz w:val="20"/>
                <w:lang w:val="fr-CA"/>
              </w:rPr>
            </w:pPr>
            <w:r w:rsidRPr="00073183">
              <w:rPr>
                <w:rFonts w:eastAsia="Calibri"/>
                <w:sz w:val="20"/>
                <w:lang w:val="fr-CA"/>
              </w:rPr>
              <w:t>Ordonnance déclarant plaideurs quérulents le demandeur et les sociétés qu'il contrôle</w:t>
            </w:r>
          </w:p>
        </w:tc>
      </w:tr>
      <w:tr w:rsidR="008F755D" w:rsidRPr="007C5411" w:rsidTr="008F755D">
        <w:tc>
          <w:tcPr>
            <w:tcW w:w="2427" w:type="pct"/>
          </w:tcPr>
          <w:p w:rsidR="008F755D" w:rsidRPr="00073183" w:rsidRDefault="008F755D" w:rsidP="008F755D">
            <w:pPr>
              <w:jc w:val="both"/>
              <w:rPr>
                <w:rFonts w:eastAsia="Calibri"/>
                <w:sz w:val="20"/>
                <w:lang w:val="fr-CA"/>
              </w:rPr>
            </w:pPr>
            <w:r w:rsidRPr="00073183">
              <w:rPr>
                <w:rFonts w:eastAsia="Calibri"/>
                <w:sz w:val="20"/>
                <w:lang w:val="fr-CA"/>
              </w:rPr>
              <w:t>13 août 2012</w:t>
            </w:r>
          </w:p>
          <w:p w:rsidR="008F755D" w:rsidRPr="00073183" w:rsidRDefault="008F755D" w:rsidP="008F755D">
            <w:pPr>
              <w:jc w:val="both"/>
              <w:rPr>
                <w:rFonts w:eastAsia="Calibri"/>
                <w:sz w:val="20"/>
                <w:lang w:val="fr-CA"/>
              </w:rPr>
            </w:pPr>
            <w:r w:rsidRPr="00073183">
              <w:rPr>
                <w:rFonts w:eastAsia="Calibri"/>
                <w:sz w:val="20"/>
                <w:lang w:val="fr-CA"/>
              </w:rPr>
              <w:t>Cour supérieure de justice de l'Ontario</w:t>
            </w:r>
          </w:p>
          <w:p w:rsidR="008F755D" w:rsidRPr="00073183" w:rsidRDefault="008F755D" w:rsidP="008F755D">
            <w:pPr>
              <w:jc w:val="both"/>
              <w:rPr>
                <w:rFonts w:eastAsia="Calibri"/>
                <w:sz w:val="20"/>
                <w:lang w:val="fr-CA"/>
              </w:rPr>
            </w:pPr>
            <w:r w:rsidRPr="00073183">
              <w:rPr>
                <w:rFonts w:eastAsia="Calibri"/>
                <w:sz w:val="20"/>
                <w:lang w:val="fr-CA"/>
              </w:rPr>
              <w:t>(Juge Newbould)</w:t>
            </w:r>
          </w:p>
          <w:p w:rsidR="008F755D" w:rsidRPr="00073183" w:rsidRDefault="008F755D" w:rsidP="008F755D">
            <w:pPr>
              <w:jc w:val="both"/>
              <w:rPr>
                <w:rFonts w:eastAsia="Calibri"/>
                <w:sz w:val="20"/>
                <w:lang w:val="fr-CA"/>
              </w:rPr>
            </w:pPr>
            <w:r w:rsidRPr="00073183">
              <w:rPr>
                <w:rFonts w:eastAsia="Calibri"/>
                <w:sz w:val="20"/>
                <w:lang w:val="fr-CA"/>
              </w:rPr>
              <w:t>2012 ONSC 4658</w:t>
            </w:r>
          </w:p>
          <w:p w:rsidR="008F755D" w:rsidRPr="00073183" w:rsidRDefault="008F755D" w:rsidP="008F755D">
            <w:pPr>
              <w:jc w:val="both"/>
              <w:rPr>
                <w:rFonts w:eastAsia="Calibri"/>
                <w:sz w:val="20"/>
                <w:lang w:val="fr-CA"/>
              </w:rPr>
            </w:pPr>
          </w:p>
        </w:tc>
        <w:tc>
          <w:tcPr>
            <w:tcW w:w="243" w:type="pct"/>
          </w:tcPr>
          <w:p w:rsidR="008F755D" w:rsidRPr="00073183" w:rsidRDefault="008F755D" w:rsidP="008F755D">
            <w:pPr>
              <w:jc w:val="both"/>
              <w:rPr>
                <w:rFonts w:eastAsia="Calibri"/>
                <w:sz w:val="20"/>
                <w:lang w:val="fr-CA"/>
              </w:rPr>
            </w:pPr>
          </w:p>
        </w:tc>
        <w:tc>
          <w:tcPr>
            <w:tcW w:w="2330" w:type="pct"/>
          </w:tcPr>
          <w:p w:rsidR="008F755D" w:rsidRPr="00073183" w:rsidRDefault="008F755D" w:rsidP="008F755D">
            <w:pPr>
              <w:jc w:val="both"/>
              <w:rPr>
                <w:rFonts w:eastAsia="Calibri"/>
                <w:sz w:val="20"/>
                <w:lang w:val="fr-CA"/>
              </w:rPr>
            </w:pPr>
            <w:r w:rsidRPr="00073183">
              <w:rPr>
                <w:rFonts w:eastAsia="Calibri"/>
                <w:sz w:val="20"/>
                <w:lang w:val="fr-CA"/>
              </w:rPr>
              <w:t>Motifs supplémentaires, comportant une interdiction expresse au demandeur et aux sociétés qu'il contrôle d'intenter de nouvelles procédures, maintenant ou à l'avenir</w:t>
            </w:r>
          </w:p>
        </w:tc>
      </w:tr>
      <w:tr w:rsidR="008F755D" w:rsidRPr="00073183" w:rsidTr="008F755D">
        <w:tc>
          <w:tcPr>
            <w:tcW w:w="2427" w:type="pct"/>
          </w:tcPr>
          <w:p w:rsidR="008F755D" w:rsidRPr="00073183" w:rsidRDefault="008F755D" w:rsidP="008F755D">
            <w:pPr>
              <w:jc w:val="both"/>
              <w:rPr>
                <w:rFonts w:eastAsia="Calibri"/>
                <w:sz w:val="20"/>
                <w:lang w:val="fr-CA"/>
              </w:rPr>
            </w:pPr>
            <w:r w:rsidRPr="00073183">
              <w:rPr>
                <w:rFonts w:eastAsia="Calibri"/>
                <w:sz w:val="20"/>
                <w:lang w:val="fr-CA"/>
              </w:rPr>
              <w:lastRenderedPageBreak/>
              <w:t>17 juin 2013</w:t>
            </w:r>
          </w:p>
          <w:p w:rsidR="008F755D" w:rsidRPr="00073183" w:rsidRDefault="008F755D" w:rsidP="008F755D">
            <w:pPr>
              <w:jc w:val="both"/>
              <w:rPr>
                <w:rFonts w:eastAsia="Calibri"/>
                <w:sz w:val="20"/>
                <w:lang w:val="fr-CA"/>
              </w:rPr>
            </w:pPr>
            <w:r w:rsidRPr="00073183">
              <w:rPr>
                <w:rFonts w:eastAsia="Calibri"/>
                <w:sz w:val="20"/>
                <w:lang w:val="fr-CA"/>
              </w:rPr>
              <w:t>Cour d'appel de l'Ontario</w:t>
            </w:r>
          </w:p>
          <w:p w:rsidR="008F755D" w:rsidRPr="00073183" w:rsidRDefault="008F755D" w:rsidP="008F755D">
            <w:pPr>
              <w:jc w:val="both"/>
              <w:rPr>
                <w:rFonts w:eastAsia="Calibri"/>
                <w:sz w:val="20"/>
                <w:lang w:val="fr-CA"/>
              </w:rPr>
            </w:pPr>
            <w:r w:rsidRPr="00073183">
              <w:rPr>
                <w:rFonts w:eastAsia="Calibri"/>
                <w:sz w:val="20"/>
                <w:lang w:val="fr-CA"/>
              </w:rPr>
              <w:t>(Juges Laskin, Rosenberg et Lauwers)</w:t>
            </w:r>
          </w:p>
          <w:p w:rsidR="008F755D" w:rsidRPr="00073183" w:rsidRDefault="007C5411" w:rsidP="008F755D">
            <w:pPr>
              <w:jc w:val="both"/>
              <w:rPr>
                <w:rFonts w:eastAsia="Calibri"/>
                <w:sz w:val="20"/>
                <w:lang w:val="fr-CA"/>
              </w:rPr>
            </w:pPr>
            <w:hyperlink r:id="rId52" w:history="1">
              <w:r w:rsidR="008F755D" w:rsidRPr="00073183">
                <w:rPr>
                  <w:rFonts w:eastAsia="Calibri"/>
                  <w:color w:val="0000FF"/>
                  <w:sz w:val="20"/>
                  <w:u w:val="single"/>
                  <w:lang w:val="fr-CA"/>
                </w:rPr>
                <w:t>2013 ONCA 404</w:t>
              </w:r>
            </w:hyperlink>
          </w:p>
          <w:p w:rsidR="008F755D" w:rsidRPr="00073183" w:rsidRDefault="008F755D" w:rsidP="008F755D">
            <w:pPr>
              <w:jc w:val="both"/>
              <w:rPr>
                <w:rFonts w:eastAsia="Calibri"/>
                <w:sz w:val="20"/>
                <w:lang w:val="fr-CA"/>
              </w:rPr>
            </w:pPr>
          </w:p>
        </w:tc>
        <w:tc>
          <w:tcPr>
            <w:tcW w:w="243" w:type="pct"/>
          </w:tcPr>
          <w:p w:rsidR="008F755D" w:rsidRPr="00073183" w:rsidRDefault="008F755D" w:rsidP="008F755D">
            <w:pPr>
              <w:jc w:val="both"/>
              <w:rPr>
                <w:rFonts w:eastAsia="Calibri"/>
                <w:sz w:val="20"/>
                <w:lang w:val="fr-CA"/>
              </w:rPr>
            </w:pPr>
          </w:p>
        </w:tc>
        <w:tc>
          <w:tcPr>
            <w:tcW w:w="2330" w:type="pct"/>
          </w:tcPr>
          <w:p w:rsidR="008F755D" w:rsidRPr="00073183" w:rsidRDefault="008F755D" w:rsidP="008F755D">
            <w:pPr>
              <w:jc w:val="both"/>
              <w:rPr>
                <w:rFonts w:eastAsia="Calibri"/>
                <w:sz w:val="20"/>
                <w:lang w:val="fr-CA"/>
              </w:rPr>
            </w:pPr>
            <w:r w:rsidRPr="00073183">
              <w:rPr>
                <w:rFonts w:eastAsia="Calibri"/>
                <w:sz w:val="20"/>
                <w:lang w:val="fr-CA"/>
              </w:rPr>
              <w:t>Appel rejeté</w:t>
            </w:r>
          </w:p>
          <w:p w:rsidR="008F755D" w:rsidRPr="00073183" w:rsidRDefault="008F755D" w:rsidP="008F755D">
            <w:pPr>
              <w:jc w:val="both"/>
              <w:rPr>
                <w:rFonts w:eastAsia="Calibri"/>
                <w:sz w:val="20"/>
                <w:lang w:val="fr-CA"/>
              </w:rPr>
            </w:pPr>
          </w:p>
        </w:tc>
      </w:tr>
      <w:tr w:rsidR="008F755D" w:rsidRPr="00073183" w:rsidTr="008F755D">
        <w:tc>
          <w:tcPr>
            <w:tcW w:w="2427" w:type="pct"/>
          </w:tcPr>
          <w:p w:rsidR="008F755D" w:rsidRPr="00073183" w:rsidRDefault="008F755D" w:rsidP="008F755D">
            <w:pPr>
              <w:jc w:val="both"/>
              <w:rPr>
                <w:rFonts w:eastAsia="Calibri"/>
                <w:sz w:val="20"/>
                <w:lang w:val="fr-CA"/>
              </w:rPr>
            </w:pPr>
            <w:r w:rsidRPr="00073183">
              <w:rPr>
                <w:rFonts w:eastAsia="Calibri"/>
                <w:sz w:val="20"/>
                <w:lang w:val="fr-CA"/>
              </w:rPr>
              <w:t>16 septembre 2013</w:t>
            </w:r>
          </w:p>
          <w:p w:rsidR="008F755D" w:rsidRPr="00073183" w:rsidRDefault="008F755D" w:rsidP="008F755D">
            <w:pPr>
              <w:jc w:val="both"/>
              <w:rPr>
                <w:rFonts w:eastAsia="Calibri"/>
                <w:sz w:val="20"/>
                <w:lang w:val="fr-CA"/>
              </w:rPr>
            </w:pPr>
            <w:r w:rsidRPr="00073183">
              <w:rPr>
                <w:rFonts w:eastAsia="Calibri"/>
                <w:sz w:val="20"/>
                <w:lang w:val="fr-CA"/>
              </w:rPr>
              <w:t>Cour suprême du Canada</w:t>
            </w:r>
          </w:p>
        </w:tc>
        <w:tc>
          <w:tcPr>
            <w:tcW w:w="243" w:type="pct"/>
          </w:tcPr>
          <w:p w:rsidR="008F755D" w:rsidRPr="00073183" w:rsidRDefault="008F755D" w:rsidP="008F755D">
            <w:pPr>
              <w:jc w:val="both"/>
              <w:rPr>
                <w:rFonts w:eastAsia="Calibri"/>
                <w:sz w:val="20"/>
                <w:lang w:val="fr-CA"/>
              </w:rPr>
            </w:pPr>
          </w:p>
        </w:tc>
        <w:tc>
          <w:tcPr>
            <w:tcW w:w="2330" w:type="pct"/>
          </w:tcPr>
          <w:p w:rsidR="008F755D" w:rsidRPr="00073183" w:rsidRDefault="008F755D" w:rsidP="008F755D">
            <w:pPr>
              <w:jc w:val="both"/>
              <w:rPr>
                <w:rFonts w:eastAsia="Calibri"/>
                <w:sz w:val="20"/>
                <w:lang w:val="fr-CA"/>
              </w:rPr>
            </w:pPr>
            <w:r w:rsidRPr="00073183">
              <w:rPr>
                <w:rFonts w:eastAsia="Calibri"/>
                <w:sz w:val="20"/>
                <w:lang w:val="fr-CA"/>
              </w:rPr>
              <w:t>Demande d'autorisation d'appel, déposée</w:t>
            </w:r>
          </w:p>
        </w:tc>
      </w:tr>
    </w:tbl>
    <w:p w:rsidR="000F69AD" w:rsidRDefault="000F69AD" w:rsidP="000F69AD">
      <w:pPr>
        <w:rPr>
          <w:sz w:val="20"/>
          <w:szCs w:val="20"/>
        </w:rPr>
      </w:pPr>
    </w:p>
    <w:p w:rsidR="000F69AD" w:rsidRDefault="007C5411" w:rsidP="000F69AD">
      <w:pPr>
        <w:rPr>
          <w:sz w:val="20"/>
          <w:szCs w:val="20"/>
        </w:rPr>
      </w:pPr>
      <w:r>
        <w:rPr>
          <w:sz w:val="20"/>
          <w:szCs w:val="20"/>
          <w:lang w:val="fr-CA"/>
        </w:rPr>
        <w:pict>
          <v:rect id="_x0000_i1051" style="width:2in;height:1pt" o:hrpct="0" o:hralign="center" o:hrstd="t" o:hrnoshade="t" o:hr="t" fillcolor="black [3213]" stroked="f"/>
        </w:pict>
      </w:r>
    </w:p>
    <w:p w:rsidR="000F69AD" w:rsidRDefault="000F69AD" w:rsidP="000F69AD">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E14C3" w:rsidRPr="002E14C3" w:rsidTr="003A5C99">
        <w:trPr>
          <w:cantSplit/>
        </w:trPr>
        <w:tc>
          <w:tcPr>
            <w:tcW w:w="1458" w:type="dxa"/>
          </w:tcPr>
          <w:p w:rsidR="002E14C3" w:rsidRPr="002E14C3" w:rsidRDefault="002E14C3" w:rsidP="002E14C3">
            <w:pPr>
              <w:rPr>
                <w:sz w:val="20"/>
              </w:rPr>
            </w:pPr>
            <w:r w:rsidRPr="002E14C3">
              <w:rPr>
                <w:b/>
                <w:sz w:val="20"/>
                <w:lang w:val="fr-CA"/>
              </w:rPr>
              <w:t>35581</w:t>
            </w:r>
          </w:p>
          <w:p w:rsidR="002E14C3" w:rsidRPr="002E14C3" w:rsidRDefault="002E14C3" w:rsidP="002E14C3">
            <w:pPr>
              <w:rPr>
                <w:b/>
                <w:sz w:val="20"/>
                <w:lang w:val="fr-CA"/>
              </w:rPr>
            </w:pPr>
          </w:p>
        </w:tc>
        <w:tc>
          <w:tcPr>
            <w:tcW w:w="8118" w:type="dxa"/>
          </w:tcPr>
          <w:p w:rsidR="002E14C3" w:rsidRPr="002E14C3" w:rsidRDefault="002E14C3" w:rsidP="002E14C3">
            <w:pPr>
              <w:jc w:val="both"/>
              <w:rPr>
                <w:sz w:val="20"/>
              </w:rPr>
            </w:pPr>
            <w:r w:rsidRPr="002E14C3">
              <w:rPr>
                <w:b/>
                <w:sz w:val="20"/>
                <w:u w:val="single"/>
              </w:rPr>
              <w:t>Superintendent of Motor Vehicles and Attorney General of British Columbia v. Colin Roy Murray</w:t>
            </w:r>
            <w:r w:rsidRPr="002E14C3">
              <w:rPr>
                <w:sz w:val="20"/>
              </w:rPr>
              <w:t xml:space="preserve"> (B.C.) (Civil) (By Leave)</w:t>
            </w:r>
          </w:p>
          <w:p w:rsidR="002E14C3" w:rsidRPr="002E14C3" w:rsidRDefault="002E14C3" w:rsidP="002E14C3">
            <w:pPr>
              <w:jc w:val="both"/>
              <w:rPr>
                <w:sz w:val="20"/>
              </w:rPr>
            </w:pPr>
          </w:p>
        </w:tc>
      </w:tr>
      <w:tr w:rsidR="002E14C3" w:rsidRPr="002E14C3" w:rsidTr="003A5C99">
        <w:trPr>
          <w:cantSplit/>
        </w:trPr>
        <w:tc>
          <w:tcPr>
            <w:tcW w:w="1458" w:type="dxa"/>
          </w:tcPr>
          <w:p w:rsidR="002E14C3" w:rsidRPr="002E14C3" w:rsidRDefault="002E14C3" w:rsidP="002E14C3">
            <w:pPr>
              <w:rPr>
                <w:sz w:val="20"/>
              </w:rPr>
            </w:pPr>
            <w:r w:rsidRPr="002E14C3">
              <w:rPr>
                <w:sz w:val="20"/>
              </w:rPr>
              <w:t>Coram :</w:t>
            </w:r>
          </w:p>
        </w:tc>
        <w:tc>
          <w:tcPr>
            <w:tcW w:w="8118" w:type="dxa"/>
          </w:tcPr>
          <w:p w:rsidR="002E14C3" w:rsidRPr="002E14C3" w:rsidRDefault="002E14C3" w:rsidP="002E14C3">
            <w:pPr>
              <w:rPr>
                <w:sz w:val="20"/>
              </w:rPr>
            </w:pPr>
            <w:r w:rsidRPr="002E14C3">
              <w:rPr>
                <w:sz w:val="20"/>
                <w:u w:val="single"/>
              </w:rPr>
              <w:t>McLachlin C.J. and Cromwell and Wagner JJ.</w:t>
            </w:r>
          </w:p>
          <w:p w:rsidR="002E14C3" w:rsidRPr="002E14C3" w:rsidRDefault="002E14C3" w:rsidP="002E14C3">
            <w:pPr>
              <w:rPr>
                <w:sz w:val="20"/>
                <w:u w:val="single"/>
              </w:rPr>
            </w:pPr>
          </w:p>
        </w:tc>
      </w:tr>
      <w:tr w:rsidR="002E14C3" w:rsidRPr="007C5411" w:rsidTr="003A5C99">
        <w:trPr>
          <w:cantSplit/>
        </w:trPr>
        <w:tc>
          <w:tcPr>
            <w:tcW w:w="9576" w:type="dxa"/>
            <w:gridSpan w:val="2"/>
          </w:tcPr>
          <w:p w:rsidR="002E14C3" w:rsidRPr="002E14C3" w:rsidRDefault="002E14C3" w:rsidP="002E14C3">
            <w:pPr>
              <w:ind w:firstLine="720"/>
              <w:jc w:val="both"/>
              <w:rPr>
                <w:sz w:val="20"/>
              </w:rPr>
            </w:pPr>
            <w:r w:rsidRPr="002E14C3">
              <w:rPr>
                <w:sz w:val="20"/>
              </w:rPr>
              <w:t>The application for leave to appeal from the judgment of the Court of Appeal for British Columbia (Vancouver), Number CA040437, 2013 BCCA 363, dated August 13, 2013, is dismissed with costs.</w:t>
            </w:r>
          </w:p>
          <w:p w:rsidR="002E14C3" w:rsidRPr="002E14C3" w:rsidRDefault="002E14C3" w:rsidP="002E14C3">
            <w:pPr>
              <w:jc w:val="both"/>
              <w:rPr>
                <w:sz w:val="20"/>
              </w:rPr>
            </w:pPr>
          </w:p>
          <w:p w:rsidR="002E14C3" w:rsidRPr="002E14C3" w:rsidRDefault="002E14C3" w:rsidP="002E14C3">
            <w:pPr>
              <w:ind w:firstLine="720"/>
              <w:jc w:val="both"/>
              <w:rPr>
                <w:sz w:val="20"/>
                <w:lang w:val="fr-CA"/>
              </w:rPr>
            </w:pPr>
            <w:r w:rsidRPr="002E14C3">
              <w:rPr>
                <w:sz w:val="20"/>
                <w:lang w:val="fr-CA"/>
              </w:rPr>
              <w:t>La demande d’autorisation d’appel de l’arrêt de la Cour d’appel de la Colombie-Britannique (Vancouver), numéro CA040437, 2013 BCCA 363, daté du 13 août 2013, est rejetée avec dépens.</w:t>
            </w:r>
          </w:p>
        </w:tc>
      </w:tr>
    </w:tbl>
    <w:p w:rsidR="000F69AD" w:rsidRPr="002E14C3" w:rsidRDefault="000F69AD" w:rsidP="000F69AD">
      <w:pPr>
        <w:rPr>
          <w:sz w:val="20"/>
          <w:szCs w:val="20"/>
          <w:lang w:val="fr-CA"/>
        </w:rPr>
      </w:pPr>
    </w:p>
    <w:p w:rsidR="000F69AD" w:rsidRPr="001B157C" w:rsidRDefault="000F69AD" w:rsidP="000F69AD">
      <w:pPr>
        <w:rPr>
          <w:sz w:val="20"/>
          <w:szCs w:val="20"/>
          <w:u w:val="single"/>
        </w:rPr>
      </w:pPr>
      <w:r w:rsidRPr="001B157C">
        <w:rPr>
          <w:sz w:val="20"/>
          <w:szCs w:val="20"/>
          <w:u w:val="single"/>
        </w:rPr>
        <w:t>CASE SUMMARY</w:t>
      </w:r>
    </w:p>
    <w:p w:rsidR="000F69AD" w:rsidRDefault="000F69AD" w:rsidP="000F69A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03805" w:rsidRPr="00073183" w:rsidTr="00E90160">
        <w:tc>
          <w:tcPr>
            <w:tcW w:w="5000" w:type="pct"/>
            <w:gridSpan w:val="3"/>
          </w:tcPr>
          <w:p w:rsidR="00603805" w:rsidRPr="00073183" w:rsidRDefault="00603805" w:rsidP="00E90160">
            <w:pPr>
              <w:jc w:val="both"/>
              <w:rPr>
                <w:rFonts w:eastAsia="Calibri"/>
                <w:sz w:val="20"/>
              </w:rPr>
            </w:pPr>
            <w:r w:rsidRPr="00073183">
              <w:rPr>
                <w:rFonts w:eastAsia="Calibri"/>
                <w:sz w:val="20"/>
              </w:rPr>
              <w:t xml:space="preserve">Transportation law – Motor vehicles – Automatic roadside driving prohibitions – Review of prohibitions by Superintendent – Sworn or solemnly affirmed reports forwarded by peace officer to Superintendent of Motor Vehicles – Whether Superintendent of Motor Vehicles can review automatic roadside driving prohibition in absence of sworn or solemnly affirmed report forwarded by peace officer – </w:t>
            </w:r>
            <w:r w:rsidRPr="00073183">
              <w:rPr>
                <w:rFonts w:eastAsia="Calibri"/>
                <w:i/>
                <w:sz w:val="20"/>
              </w:rPr>
              <w:t>Motor Vehicle Act</w:t>
            </w:r>
            <w:r w:rsidRPr="00073183">
              <w:rPr>
                <w:rFonts w:eastAsia="Calibri"/>
                <w:sz w:val="20"/>
              </w:rPr>
              <w:t>, R.S.B.C. 1996, c. 318, ss. 215.41, 215.47(d) and 215.49.</w:t>
            </w:r>
          </w:p>
        </w:tc>
      </w:tr>
      <w:tr w:rsidR="00603805" w:rsidRPr="00073183" w:rsidTr="00E90160">
        <w:tc>
          <w:tcPr>
            <w:tcW w:w="5000" w:type="pct"/>
            <w:gridSpan w:val="3"/>
          </w:tcPr>
          <w:p w:rsidR="00603805" w:rsidRPr="00073183" w:rsidRDefault="00603805" w:rsidP="00E90160">
            <w:pPr>
              <w:jc w:val="both"/>
              <w:rPr>
                <w:rFonts w:eastAsia="Calibri"/>
                <w:sz w:val="20"/>
              </w:rPr>
            </w:pPr>
          </w:p>
        </w:tc>
      </w:tr>
      <w:tr w:rsidR="00603805" w:rsidRPr="00073183" w:rsidTr="00E90160">
        <w:tc>
          <w:tcPr>
            <w:tcW w:w="5000" w:type="pct"/>
            <w:gridSpan w:val="3"/>
          </w:tcPr>
          <w:p w:rsidR="00603805" w:rsidRPr="00073183" w:rsidRDefault="00603805" w:rsidP="00E90160">
            <w:pPr>
              <w:jc w:val="both"/>
              <w:rPr>
                <w:rFonts w:eastAsia="Calibri"/>
                <w:sz w:val="20"/>
              </w:rPr>
            </w:pPr>
            <w:r w:rsidRPr="00073183">
              <w:rPr>
                <w:rFonts w:eastAsia="Calibri"/>
                <w:sz w:val="20"/>
              </w:rPr>
              <w:t xml:space="preserve">The </w:t>
            </w:r>
            <w:r w:rsidRPr="00073183">
              <w:rPr>
                <w:rFonts w:eastAsia="Calibri"/>
                <w:i/>
                <w:sz w:val="20"/>
              </w:rPr>
              <w:t>Motor Vehicle Act</w:t>
            </w:r>
            <w:r w:rsidRPr="00073183">
              <w:rPr>
                <w:rFonts w:eastAsia="Calibri"/>
                <w:sz w:val="20"/>
              </w:rPr>
              <w:t>, R.S.B.C. 1996, c. 318 (“</w:t>
            </w:r>
            <w:r w:rsidRPr="00073183">
              <w:rPr>
                <w:rFonts w:eastAsia="Calibri"/>
                <w:i/>
                <w:sz w:val="20"/>
              </w:rPr>
              <w:t>MVA</w:t>
            </w:r>
            <w:r w:rsidRPr="00073183">
              <w:rPr>
                <w:rFonts w:eastAsia="Calibri"/>
                <w:sz w:val="20"/>
              </w:rPr>
              <w:t xml:space="preserve">”), allows a peace officer to serve an automatic roadside driving prohibition on a driver in certain circumstances. In this case, the respondent, Mr. Murray, was served with an automatic roadside prohibition pursuant to s. 215.41 of the </w:t>
            </w:r>
            <w:r w:rsidRPr="00073183">
              <w:rPr>
                <w:rFonts w:eastAsia="Calibri"/>
                <w:i/>
                <w:sz w:val="20"/>
              </w:rPr>
              <w:t>MVA</w:t>
            </w:r>
            <w:r w:rsidRPr="00073183">
              <w:rPr>
                <w:rFonts w:eastAsia="Calibri"/>
                <w:sz w:val="20"/>
              </w:rPr>
              <w:t xml:space="preserve">, after two breath samples provided to the officer who stopped him registered a “fail”, indicating that he had a blood alcohol concentration of not less than 80 mg/100 ml. The prohibition entailed a 90-day driving suspension and a $500.00 penalty. Mr. Murray’s vehicle was also impounded for 30 days. Mr. Murray’s application for a review of the prohibition by an adjudicator designated by the applicant Superintendent of Motor Vehicles was unsuccessful. Mr. Murray then sought judicial review from the adjudicator’s decision. The B.C. Supreme Court quashed the adjudicator’s decision, finding that the adjudicator was wrong to have proceeded with the review in the absence of the sworn or solemnly affirmed report a peace officer is required to forward to the Superintendent pursuant to s. 215.47(d) of the </w:t>
            </w:r>
            <w:r w:rsidRPr="00073183">
              <w:rPr>
                <w:rFonts w:eastAsia="Calibri"/>
                <w:i/>
                <w:sz w:val="20"/>
              </w:rPr>
              <w:t>MVA</w:t>
            </w:r>
            <w:r w:rsidRPr="00073183">
              <w:rPr>
                <w:rFonts w:eastAsia="Calibri"/>
                <w:sz w:val="20"/>
              </w:rPr>
              <w:t>. The Court of Appeal agreed and dismissed the appeal.</w:t>
            </w:r>
          </w:p>
          <w:p w:rsidR="00603805" w:rsidRPr="00073183" w:rsidRDefault="00603805" w:rsidP="00E90160">
            <w:pPr>
              <w:jc w:val="both"/>
              <w:rPr>
                <w:rFonts w:eastAsia="Calibri"/>
                <w:sz w:val="20"/>
              </w:rPr>
            </w:pPr>
          </w:p>
        </w:tc>
      </w:tr>
      <w:tr w:rsidR="00603805" w:rsidRPr="00073183" w:rsidTr="00E90160">
        <w:tc>
          <w:tcPr>
            <w:tcW w:w="2427" w:type="pct"/>
          </w:tcPr>
          <w:p w:rsidR="00603805" w:rsidRPr="00073183" w:rsidRDefault="00603805" w:rsidP="00E90160">
            <w:pPr>
              <w:jc w:val="both"/>
              <w:rPr>
                <w:rFonts w:eastAsia="Calibri"/>
                <w:sz w:val="20"/>
              </w:rPr>
            </w:pPr>
            <w:r w:rsidRPr="00073183">
              <w:rPr>
                <w:rFonts w:eastAsia="Calibri"/>
                <w:sz w:val="20"/>
              </w:rPr>
              <w:t>November 22, 2012</w:t>
            </w:r>
          </w:p>
          <w:p w:rsidR="00603805" w:rsidRPr="00073183" w:rsidRDefault="00603805" w:rsidP="00E90160">
            <w:pPr>
              <w:jc w:val="both"/>
              <w:rPr>
                <w:rFonts w:eastAsia="Calibri"/>
                <w:sz w:val="20"/>
              </w:rPr>
            </w:pPr>
            <w:r w:rsidRPr="00073183">
              <w:rPr>
                <w:rFonts w:eastAsia="Calibri"/>
                <w:sz w:val="20"/>
              </w:rPr>
              <w:t>Supreme Court of British Columbia</w:t>
            </w:r>
          </w:p>
          <w:p w:rsidR="00603805" w:rsidRPr="00073183" w:rsidRDefault="00603805" w:rsidP="00E90160">
            <w:pPr>
              <w:jc w:val="both"/>
              <w:rPr>
                <w:rFonts w:eastAsia="Calibri"/>
                <w:sz w:val="20"/>
              </w:rPr>
            </w:pPr>
            <w:r w:rsidRPr="00073183">
              <w:rPr>
                <w:rFonts w:eastAsia="Calibri"/>
                <w:sz w:val="20"/>
              </w:rPr>
              <w:t>(Brown J.)</w:t>
            </w:r>
          </w:p>
          <w:p w:rsidR="00603805" w:rsidRPr="00073183" w:rsidRDefault="007C5411" w:rsidP="00E90160">
            <w:pPr>
              <w:jc w:val="both"/>
              <w:rPr>
                <w:rFonts w:eastAsia="Calibri"/>
                <w:sz w:val="20"/>
              </w:rPr>
            </w:pPr>
            <w:hyperlink r:id="rId53" w:history="1">
              <w:r w:rsidR="00603805" w:rsidRPr="00073183">
                <w:rPr>
                  <w:rFonts w:eastAsia="Calibri"/>
                  <w:color w:val="0000FF"/>
                  <w:sz w:val="20"/>
                  <w:u w:val="single"/>
                </w:rPr>
                <w:t>2012 BCSC 1730</w:t>
              </w:r>
            </w:hyperlink>
          </w:p>
          <w:p w:rsidR="00603805" w:rsidRPr="00073183" w:rsidRDefault="00603805" w:rsidP="00E90160">
            <w:pPr>
              <w:jc w:val="both"/>
              <w:rPr>
                <w:rFonts w:eastAsia="Calibri"/>
                <w:sz w:val="20"/>
              </w:rPr>
            </w:pPr>
          </w:p>
        </w:tc>
        <w:tc>
          <w:tcPr>
            <w:tcW w:w="243" w:type="pct"/>
          </w:tcPr>
          <w:p w:rsidR="00603805" w:rsidRPr="00073183" w:rsidRDefault="00603805" w:rsidP="00E90160">
            <w:pPr>
              <w:jc w:val="both"/>
              <w:rPr>
                <w:rFonts w:eastAsia="Calibri"/>
                <w:sz w:val="20"/>
              </w:rPr>
            </w:pPr>
          </w:p>
        </w:tc>
        <w:tc>
          <w:tcPr>
            <w:tcW w:w="2330" w:type="pct"/>
          </w:tcPr>
          <w:p w:rsidR="00603805" w:rsidRPr="00073183" w:rsidRDefault="00603805" w:rsidP="00E90160">
            <w:pPr>
              <w:jc w:val="both"/>
              <w:rPr>
                <w:rFonts w:eastAsia="Calibri"/>
                <w:sz w:val="20"/>
              </w:rPr>
            </w:pPr>
            <w:r w:rsidRPr="00073183">
              <w:rPr>
                <w:rFonts w:eastAsia="Calibri"/>
                <w:sz w:val="20"/>
              </w:rPr>
              <w:t>Adjudicator’s decision quashed; matter remitted to Superintendent for re-hearing</w:t>
            </w:r>
          </w:p>
          <w:p w:rsidR="00603805" w:rsidRPr="00073183" w:rsidRDefault="00603805" w:rsidP="00E90160">
            <w:pPr>
              <w:jc w:val="both"/>
              <w:rPr>
                <w:rFonts w:eastAsia="Calibri"/>
                <w:sz w:val="20"/>
              </w:rPr>
            </w:pPr>
          </w:p>
        </w:tc>
      </w:tr>
      <w:tr w:rsidR="00603805" w:rsidRPr="00073183" w:rsidTr="00E90160">
        <w:tc>
          <w:tcPr>
            <w:tcW w:w="2427" w:type="pct"/>
          </w:tcPr>
          <w:p w:rsidR="00603805" w:rsidRPr="00073183" w:rsidRDefault="00603805" w:rsidP="00E90160">
            <w:pPr>
              <w:jc w:val="both"/>
              <w:rPr>
                <w:rFonts w:eastAsia="Calibri"/>
                <w:sz w:val="20"/>
              </w:rPr>
            </w:pPr>
            <w:r w:rsidRPr="00073183">
              <w:rPr>
                <w:rFonts w:eastAsia="Calibri"/>
                <w:sz w:val="20"/>
              </w:rPr>
              <w:lastRenderedPageBreak/>
              <w:t>August 13, 2013</w:t>
            </w:r>
          </w:p>
          <w:p w:rsidR="00603805" w:rsidRPr="00073183" w:rsidRDefault="00603805" w:rsidP="00E90160">
            <w:pPr>
              <w:jc w:val="both"/>
              <w:rPr>
                <w:rFonts w:eastAsia="Calibri"/>
                <w:sz w:val="20"/>
              </w:rPr>
            </w:pPr>
            <w:r w:rsidRPr="00073183">
              <w:rPr>
                <w:rFonts w:eastAsia="Calibri"/>
                <w:sz w:val="20"/>
              </w:rPr>
              <w:t xml:space="preserve">Court of Appeal for British Columbia </w:t>
            </w:r>
          </w:p>
          <w:p w:rsidR="00603805" w:rsidRPr="00073183" w:rsidRDefault="00603805" w:rsidP="00E90160">
            <w:pPr>
              <w:jc w:val="both"/>
              <w:rPr>
                <w:rFonts w:eastAsia="Calibri"/>
                <w:sz w:val="20"/>
              </w:rPr>
            </w:pPr>
            <w:r w:rsidRPr="00073183">
              <w:rPr>
                <w:rFonts w:eastAsia="Calibri"/>
                <w:sz w:val="20"/>
              </w:rPr>
              <w:t>(Newbury, Levine and Garson JJ.A.)</w:t>
            </w:r>
          </w:p>
          <w:p w:rsidR="00603805" w:rsidRPr="00073183" w:rsidRDefault="007C5411" w:rsidP="00E90160">
            <w:pPr>
              <w:jc w:val="both"/>
              <w:rPr>
                <w:rFonts w:eastAsia="Calibri"/>
                <w:sz w:val="20"/>
              </w:rPr>
            </w:pPr>
            <w:hyperlink r:id="rId54" w:history="1">
              <w:r w:rsidR="00603805" w:rsidRPr="00073183">
                <w:rPr>
                  <w:rFonts w:eastAsia="Calibri"/>
                  <w:color w:val="0000FF"/>
                  <w:sz w:val="20"/>
                  <w:u w:val="single"/>
                </w:rPr>
                <w:t>2013 BCCA 363</w:t>
              </w:r>
            </w:hyperlink>
          </w:p>
          <w:p w:rsidR="00603805" w:rsidRPr="00073183" w:rsidRDefault="00603805" w:rsidP="00E90160">
            <w:pPr>
              <w:jc w:val="both"/>
              <w:rPr>
                <w:rFonts w:eastAsia="Calibri"/>
                <w:sz w:val="20"/>
              </w:rPr>
            </w:pPr>
          </w:p>
        </w:tc>
        <w:tc>
          <w:tcPr>
            <w:tcW w:w="243" w:type="pct"/>
          </w:tcPr>
          <w:p w:rsidR="00603805" w:rsidRPr="00073183" w:rsidRDefault="00603805" w:rsidP="00E90160">
            <w:pPr>
              <w:jc w:val="both"/>
              <w:rPr>
                <w:rFonts w:eastAsia="Calibri"/>
                <w:sz w:val="20"/>
              </w:rPr>
            </w:pPr>
          </w:p>
        </w:tc>
        <w:tc>
          <w:tcPr>
            <w:tcW w:w="2330" w:type="pct"/>
          </w:tcPr>
          <w:p w:rsidR="00603805" w:rsidRPr="00073183" w:rsidRDefault="00603805" w:rsidP="00E90160">
            <w:pPr>
              <w:jc w:val="both"/>
              <w:rPr>
                <w:rFonts w:eastAsia="Calibri"/>
                <w:sz w:val="20"/>
              </w:rPr>
            </w:pPr>
            <w:r w:rsidRPr="00073183">
              <w:rPr>
                <w:rFonts w:eastAsia="Calibri"/>
                <w:sz w:val="20"/>
              </w:rPr>
              <w:t xml:space="preserve">Appeal dismissed; reference in chambers judge’s order to remitting matter deleted; prohibition quashed </w:t>
            </w:r>
          </w:p>
        </w:tc>
      </w:tr>
      <w:tr w:rsidR="00603805" w:rsidRPr="00073183" w:rsidTr="00E90160">
        <w:tc>
          <w:tcPr>
            <w:tcW w:w="2427" w:type="pct"/>
          </w:tcPr>
          <w:p w:rsidR="00603805" w:rsidRPr="00073183" w:rsidRDefault="00603805" w:rsidP="00E90160">
            <w:pPr>
              <w:jc w:val="both"/>
              <w:rPr>
                <w:rFonts w:eastAsia="Calibri"/>
                <w:sz w:val="20"/>
              </w:rPr>
            </w:pPr>
            <w:r w:rsidRPr="00073183">
              <w:rPr>
                <w:rFonts w:eastAsia="Calibri"/>
                <w:sz w:val="20"/>
              </w:rPr>
              <w:t>October 15, 2013</w:t>
            </w:r>
          </w:p>
          <w:p w:rsidR="00603805" w:rsidRPr="00073183" w:rsidRDefault="00603805" w:rsidP="00E90160">
            <w:pPr>
              <w:jc w:val="both"/>
              <w:rPr>
                <w:rFonts w:eastAsia="Calibri"/>
                <w:sz w:val="20"/>
              </w:rPr>
            </w:pPr>
            <w:r w:rsidRPr="00073183">
              <w:rPr>
                <w:rFonts w:eastAsia="Calibri"/>
                <w:sz w:val="20"/>
              </w:rPr>
              <w:t>Supreme Court of Canada</w:t>
            </w:r>
          </w:p>
        </w:tc>
        <w:tc>
          <w:tcPr>
            <w:tcW w:w="243" w:type="pct"/>
          </w:tcPr>
          <w:p w:rsidR="00603805" w:rsidRPr="00073183" w:rsidRDefault="00603805" w:rsidP="00E90160">
            <w:pPr>
              <w:jc w:val="both"/>
              <w:rPr>
                <w:rFonts w:eastAsia="Calibri"/>
                <w:sz w:val="20"/>
              </w:rPr>
            </w:pPr>
          </w:p>
        </w:tc>
        <w:tc>
          <w:tcPr>
            <w:tcW w:w="2330" w:type="pct"/>
          </w:tcPr>
          <w:p w:rsidR="00603805" w:rsidRPr="00073183" w:rsidRDefault="00603805" w:rsidP="00E90160">
            <w:pPr>
              <w:jc w:val="both"/>
              <w:rPr>
                <w:rFonts w:eastAsia="Calibri"/>
                <w:sz w:val="20"/>
              </w:rPr>
            </w:pPr>
            <w:r w:rsidRPr="00073183">
              <w:rPr>
                <w:rFonts w:eastAsia="Calibri"/>
                <w:sz w:val="20"/>
              </w:rPr>
              <w:t>Application for leave to appeal filed</w:t>
            </w:r>
          </w:p>
          <w:p w:rsidR="00603805" w:rsidRPr="00073183" w:rsidRDefault="00603805" w:rsidP="00E90160">
            <w:pPr>
              <w:jc w:val="both"/>
              <w:rPr>
                <w:rFonts w:eastAsia="Calibri"/>
                <w:sz w:val="20"/>
              </w:rPr>
            </w:pPr>
          </w:p>
        </w:tc>
      </w:tr>
    </w:tbl>
    <w:p w:rsidR="000F69AD" w:rsidRDefault="000F69AD" w:rsidP="000F69AD">
      <w:pPr>
        <w:rPr>
          <w:sz w:val="20"/>
          <w:szCs w:val="20"/>
        </w:rPr>
      </w:pPr>
    </w:p>
    <w:p w:rsidR="000F69AD" w:rsidRPr="00C50A5C" w:rsidRDefault="007C5411" w:rsidP="000F69AD">
      <w:pPr>
        <w:rPr>
          <w:sz w:val="20"/>
          <w:szCs w:val="20"/>
        </w:rPr>
      </w:pPr>
      <w:r>
        <w:rPr>
          <w:sz w:val="20"/>
          <w:szCs w:val="20"/>
          <w:lang w:val="fr-CA"/>
        </w:rPr>
        <w:pict>
          <v:rect id="_x0000_i1052" style="width:2in;height:1pt" o:hrpct="0" o:hralign="center" o:hrstd="t" o:hrnoshade="t" o:hr="t" fillcolor="black [3213]" stroked="f"/>
        </w:pict>
      </w:r>
    </w:p>
    <w:p w:rsidR="000F69AD" w:rsidRDefault="000F69AD" w:rsidP="000F69AD">
      <w:pPr>
        <w:rPr>
          <w:sz w:val="20"/>
          <w:szCs w:val="20"/>
        </w:rPr>
      </w:pPr>
    </w:p>
    <w:p w:rsidR="000F69AD" w:rsidRPr="001B157C" w:rsidRDefault="000F69AD" w:rsidP="000F69AD">
      <w:pPr>
        <w:rPr>
          <w:sz w:val="20"/>
          <w:szCs w:val="20"/>
          <w:u w:val="single"/>
          <w:lang w:val="fr-CA"/>
        </w:rPr>
      </w:pPr>
      <w:r w:rsidRPr="001B157C">
        <w:rPr>
          <w:sz w:val="20"/>
          <w:szCs w:val="20"/>
          <w:u w:val="single"/>
          <w:lang w:val="fr-CA"/>
        </w:rPr>
        <w:t>RÉSUMÉ DE L’AFFAIRE</w:t>
      </w:r>
    </w:p>
    <w:p w:rsidR="000F69AD" w:rsidRDefault="000F69AD" w:rsidP="000F69A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03805" w:rsidRPr="007C5411" w:rsidTr="00E90160">
        <w:tc>
          <w:tcPr>
            <w:tcW w:w="5000" w:type="pct"/>
            <w:gridSpan w:val="3"/>
          </w:tcPr>
          <w:p w:rsidR="00603805" w:rsidRPr="00073183" w:rsidRDefault="00603805" w:rsidP="00E90160">
            <w:pPr>
              <w:jc w:val="both"/>
              <w:rPr>
                <w:rFonts w:eastAsia="Calibri"/>
                <w:sz w:val="20"/>
                <w:lang w:val="fr-CA"/>
              </w:rPr>
            </w:pPr>
            <w:r w:rsidRPr="00073183">
              <w:rPr>
                <w:rFonts w:eastAsia="Calibri"/>
                <w:sz w:val="20"/>
                <w:lang w:val="fr-CA"/>
              </w:rPr>
              <w:t xml:space="preserve">Droit des transports – Véhicules automobiles – Interdictions automatiques de conduire imposées lors de contrôles routiers – Révision des interdictions par le surintendant – Rapports sous serment ou appuyés par une affirmation solennelle transmis par des agents de la paix au surintendant des véhicules automobiles – Le surintendant des véhicules automobiles peut-il réviser les interdictions automatiques de conduire imposées lors de contrôles routiers en l'absence de rapport sous serment ou appuyé par une affirmation solennelle transmis par l'agent de la paix? – </w:t>
            </w:r>
            <w:r w:rsidRPr="00073183">
              <w:rPr>
                <w:rFonts w:eastAsia="Calibri"/>
                <w:i/>
                <w:sz w:val="20"/>
                <w:lang w:val="fr-CA"/>
              </w:rPr>
              <w:t>Motor Vehicle Act</w:t>
            </w:r>
            <w:r w:rsidRPr="00073183">
              <w:rPr>
                <w:rFonts w:eastAsia="Calibri"/>
                <w:sz w:val="20"/>
                <w:lang w:val="fr-CA"/>
              </w:rPr>
              <w:t>, R.S.B.C. 1996, ch. 318, art. 215.41, 215.47</w:t>
            </w:r>
            <w:r w:rsidRPr="00073183">
              <w:rPr>
                <w:rFonts w:eastAsia="Calibri"/>
                <w:i/>
                <w:sz w:val="20"/>
                <w:lang w:val="fr-CA"/>
              </w:rPr>
              <w:t>d)</w:t>
            </w:r>
            <w:r w:rsidRPr="00073183">
              <w:rPr>
                <w:rFonts w:eastAsia="Calibri"/>
                <w:sz w:val="20"/>
                <w:lang w:val="fr-CA"/>
              </w:rPr>
              <w:t xml:space="preserve"> et 215.49.</w:t>
            </w:r>
          </w:p>
        </w:tc>
      </w:tr>
      <w:tr w:rsidR="00603805" w:rsidRPr="007C5411" w:rsidTr="00E90160">
        <w:tc>
          <w:tcPr>
            <w:tcW w:w="5000" w:type="pct"/>
            <w:gridSpan w:val="3"/>
          </w:tcPr>
          <w:p w:rsidR="00603805" w:rsidRPr="00073183" w:rsidRDefault="00603805" w:rsidP="00E90160">
            <w:pPr>
              <w:jc w:val="both"/>
              <w:rPr>
                <w:rFonts w:eastAsia="Calibri"/>
                <w:sz w:val="20"/>
                <w:lang w:val="fr-CA"/>
              </w:rPr>
            </w:pPr>
          </w:p>
        </w:tc>
      </w:tr>
      <w:tr w:rsidR="00603805" w:rsidRPr="007C5411" w:rsidTr="00E90160">
        <w:tc>
          <w:tcPr>
            <w:tcW w:w="5000" w:type="pct"/>
            <w:gridSpan w:val="3"/>
          </w:tcPr>
          <w:p w:rsidR="00603805" w:rsidRPr="00073183" w:rsidRDefault="00603805" w:rsidP="00E90160">
            <w:pPr>
              <w:jc w:val="both"/>
              <w:rPr>
                <w:rFonts w:eastAsia="Calibri"/>
                <w:sz w:val="20"/>
                <w:lang w:val="fr-CA"/>
              </w:rPr>
            </w:pPr>
            <w:r w:rsidRPr="00073183">
              <w:rPr>
                <w:rFonts w:eastAsia="Calibri"/>
                <w:sz w:val="20"/>
                <w:lang w:val="fr-CA"/>
              </w:rPr>
              <w:t xml:space="preserve">Le </w:t>
            </w:r>
            <w:r w:rsidRPr="00073183">
              <w:rPr>
                <w:rFonts w:eastAsia="Calibri"/>
                <w:i/>
                <w:sz w:val="20"/>
                <w:lang w:val="fr-CA"/>
              </w:rPr>
              <w:t>Motor Vehicle Act</w:t>
            </w:r>
            <w:r w:rsidRPr="00073183">
              <w:rPr>
                <w:rFonts w:eastAsia="Calibri"/>
                <w:sz w:val="20"/>
                <w:lang w:val="fr-CA"/>
              </w:rPr>
              <w:t>, R.S.B.C. 1996, ch. 318 (« </w:t>
            </w:r>
            <w:r w:rsidRPr="00073183">
              <w:rPr>
                <w:rFonts w:eastAsia="Calibri"/>
                <w:i/>
                <w:sz w:val="20"/>
                <w:lang w:val="fr-CA"/>
              </w:rPr>
              <w:t>MVA</w:t>
            </w:r>
            <w:r w:rsidRPr="00073183">
              <w:rPr>
                <w:rFonts w:eastAsia="Calibri"/>
                <w:sz w:val="20"/>
                <w:lang w:val="fr-CA"/>
              </w:rPr>
              <w:t xml:space="preserve"> »), permet à un agent de la paix de signifier à un conducteur une interdiction automatique de conduire lors d'un contrôle routier dans certaines situations.  En l'espèce, l'intimé, M. Murray, s'est vu signifier une interdiction automatique de conduire lors d'un contrôle routier en application de l'art. 215.41 de la </w:t>
            </w:r>
            <w:r w:rsidRPr="00073183">
              <w:rPr>
                <w:rFonts w:eastAsia="Calibri"/>
                <w:i/>
                <w:sz w:val="20"/>
                <w:lang w:val="fr-CA"/>
              </w:rPr>
              <w:t>MVA</w:t>
            </w:r>
            <w:r w:rsidRPr="00073183">
              <w:rPr>
                <w:rFonts w:eastAsia="Calibri"/>
                <w:sz w:val="20"/>
                <w:lang w:val="fr-CA"/>
              </w:rPr>
              <w:t>, après que deux échantillons d'haleine fournis à l'agent qui l'avait intercepté lui ont fait échoué l’alcootest, indiquant que son alcoolémie était d'au moins 80 mg d’alcool par 100 ml de sang.  L'interdiction a entraîné une suspension du permis de conduire de 90 jours et une pénalité de 500 $.  En outre, le véhicule de M. Murray a été l'objet d'une saisie de 30 jours.  Monsieur Murray a été débouté dans sa demande d'examen de l'interdiction par un arbitre désigné par le surintendant des véhicules automobiles demandeur.  Monsieur Murray a ensuite demandé le contrôle judiciaire de la décision de l'arbitre.  La Cour suprême de la Colombie-Britannique a annulé la décision de l'arbitre, concluant que celui-ci avait eu tort de procéder à une révision en l'absence du rapport sous serment ou appuyé par une déclaration solennelle qu’un agent de la paix doit transmettre au surintendant en application de l'al. 215.47</w:t>
            </w:r>
            <w:r w:rsidRPr="00073183">
              <w:rPr>
                <w:rFonts w:eastAsia="Calibri"/>
                <w:i/>
                <w:sz w:val="20"/>
                <w:lang w:val="fr-CA"/>
              </w:rPr>
              <w:t>d)</w:t>
            </w:r>
            <w:r w:rsidRPr="00073183">
              <w:rPr>
                <w:rFonts w:eastAsia="Calibri"/>
                <w:sz w:val="20"/>
                <w:lang w:val="fr-CA"/>
              </w:rPr>
              <w:t xml:space="preserve"> de la </w:t>
            </w:r>
            <w:r w:rsidRPr="00073183">
              <w:rPr>
                <w:rFonts w:eastAsia="Calibri"/>
                <w:i/>
                <w:sz w:val="20"/>
                <w:lang w:val="fr-CA"/>
              </w:rPr>
              <w:t>MVA</w:t>
            </w:r>
            <w:r w:rsidRPr="00073183">
              <w:rPr>
                <w:rFonts w:eastAsia="Calibri"/>
                <w:sz w:val="20"/>
                <w:lang w:val="fr-CA"/>
              </w:rPr>
              <w:t>.  La Cour d'appel était du même avis et a rejeté l'appel.</w:t>
            </w:r>
          </w:p>
          <w:p w:rsidR="00603805" w:rsidRPr="00073183" w:rsidRDefault="00603805" w:rsidP="00E90160">
            <w:pPr>
              <w:jc w:val="both"/>
              <w:rPr>
                <w:rFonts w:eastAsia="Calibri"/>
                <w:sz w:val="20"/>
                <w:lang w:val="fr-CA"/>
              </w:rPr>
            </w:pPr>
          </w:p>
        </w:tc>
      </w:tr>
      <w:tr w:rsidR="00603805" w:rsidRPr="007C5411" w:rsidTr="00E90160">
        <w:tc>
          <w:tcPr>
            <w:tcW w:w="2427" w:type="pct"/>
          </w:tcPr>
          <w:p w:rsidR="00603805" w:rsidRPr="00073183" w:rsidRDefault="00603805" w:rsidP="00E90160">
            <w:pPr>
              <w:jc w:val="both"/>
              <w:rPr>
                <w:rFonts w:eastAsia="Calibri"/>
                <w:sz w:val="20"/>
                <w:lang w:val="fr-CA"/>
              </w:rPr>
            </w:pPr>
            <w:r w:rsidRPr="00073183">
              <w:rPr>
                <w:rFonts w:eastAsia="Calibri"/>
                <w:sz w:val="20"/>
                <w:lang w:val="fr-CA"/>
              </w:rPr>
              <w:t>22 novembre 2012</w:t>
            </w:r>
          </w:p>
          <w:p w:rsidR="00603805" w:rsidRPr="00073183" w:rsidRDefault="00603805" w:rsidP="00E90160">
            <w:pPr>
              <w:jc w:val="both"/>
              <w:rPr>
                <w:rFonts w:eastAsia="Calibri"/>
                <w:sz w:val="20"/>
                <w:lang w:val="fr-CA"/>
              </w:rPr>
            </w:pPr>
            <w:r w:rsidRPr="00073183">
              <w:rPr>
                <w:rFonts w:eastAsia="Calibri"/>
                <w:sz w:val="20"/>
                <w:lang w:val="fr-CA"/>
              </w:rPr>
              <w:t>Cour suprême de la Colombie-Britannique</w:t>
            </w:r>
          </w:p>
          <w:p w:rsidR="00603805" w:rsidRPr="00073183" w:rsidRDefault="00603805" w:rsidP="00E90160">
            <w:pPr>
              <w:jc w:val="both"/>
              <w:rPr>
                <w:rFonts w:eastAsia="Calibri"/>
                <w:sz w:val="20"/>
                <w:lang w:val="fr-CA"/>
              </w:rPr>
            </w:pPr>
            <w:r w:rsidRPr="00073183">
              <w:rPr>
                <w:rFonts w:eastAsia="Calibri"/>
                <w:sz w:val="20"/>
                <w:lang w:val="fr-CA"/>
              </w:rPr>
              <w:t>(Juge Brown)</w:t>
            </w:r>
          </w:p>
          <w:p w:rsidR="00603805" w:rsidRPr="00073183" w:rsidRDefault="007C5411" w:rsidP="00E90160">
            <w:pPr>
              <w:jc w:val="both"/>
              <w:rPr>
                <w:rFonts w:eastAsia="Calibri"/>
                <w:sz w:val="20"/>
                <w:lang w:val="fr-CA"/>
              </w:rPr>
            </w:pPr>
            <w:hyperlink r:id="rId55" w:history="1">
              <w:r w:rsidR="00603805" w:rsidRPr="00073183">
                <w:rPr>
                  <w:rFonts w:eastAsia="Calibri"/>
                  <w:color w:val="0000FF"/>
                  <w:sz w:val="20"/>
                  <w:u w:val="single"/>
                  <w:lang w:val="fr-CA"/>
                </w:rPr>
                <w:t>2012 BCSC 1730</w:t>
              </w:r>
            </w:hyperlink>
          </w:p>
          <w:p w:rsidR="00603805" w:rsidRPr="00073183" w:rsidRDefault="00603805" w:rsidP="00E90160">
            <w:pPr>
              <w:jc w:val="both"/>
              <w:rPr>
                <w:rFonts w:eastAsia="Calibri"/>
                <w:sz w:val="20"/>
                <w:lang w:val="fr-CA"/>
              </w:rPr>
            </w:pPr>
          </w:p>
        </w:tc>
        <w:tc>
          <w:tcPr>
            <w:tcW w:w="243" w:type="pct"/>
          </w:tcPr>
          <w:p w:rsidR="00603805" w:rsidRPr="00073183" w:rsidRDefault="00603805" w:rsidP="00E90160">
            <w:pPr>
              <w:jc w:val="both"/>
              <w:rPr>
                <w:rFonts w:eastAsia="Calibri"/>
                <w:sz w:val="20"/>
                <w:lang w:val="fr-CA"/>
              </w:rPr>
            </w:pPr>
          </w:p>
        </w:tc>
        <w:tc>
          <w:tcPr>
            <w:tcW w:w="2330" w:type="pct"/>
          </w:tcPr>
          <w:p w:rsidR="00603805" w:rsidRPr="00073183" w:rsidRDefault="00603805" w:rsidP="00E90160">
            <w:pPr>
              <w:jc w:val="both"/>
              <w:rPr>
                <w:rFonts w:eastAsia="Calibri"/>
                <w:sz w:val="20"/>
                <w:lang w:val="fr-CA"/>
              </w:rPr>
            </w:pPr>
            <w:r w:rsidRPr="00073183">
              <w:rPr>
                <w:rFonts w:eastAsia="Calibri"/>
                <w:sz w:val="20"/>
                <w:lang w:val="fr-CA"/>
              </w:rPr>
              <w:t>Décision de l'arbitre annulée; affaire renvoyée au surintendant pour qu'il l’entende de nouveau</w:t>
            </w:r>
          </w:p>
          <w:p w:rsidR="00603805" w:rsidRPr="00073183" w:rsidRDefault="00603805" w:rsidP="00E90160">
            <w:pPr>
              <w:jc w:val="both"/>
              <w:rPr>
                <w:rFonts w:eastAsia="Calibri"/>
                <w:sz w:val="20"/>
                <w:lang w:val="fr-CA"/>
              </w:rPr>
            </w:pPr>
          </w:p>
        </w:tc>
      </w:tr>
      <w:tr w:rsidR="00603805" w:rsidRPr="007C5411" w:rsidTr="00E90160">
        <w:tc>
          <w:tcPr>
            <w:tcW w:w="2427" w:type="pct"/>
          </w:tcPr>
          <w:p w:rsidR="00603805" w:rsidRPr="00073183" w:rsidRDefault="00603805" w:rsidP="00E90160">
            <w:pPr>
              <w:jc w:val="both"/>
              <w:rPr>
                <w:rFonts w:eastAsia="Calibri"/>
                <w:sz w:val="20"/>
                <w:lang w:val="fr-CA"/>
              </w:rPr>
            </w:pPr>
            <w:r w:rsidRPr="00073183">
              <w:rPr>
                <w:rFonts w:eastAsia="Calibri"/>
                <w:sz w:val="20"/>
                <w:lang w:val="fr-CA"/>
              </w:rPr>
              <w:t>13 août 2013</w:t>
            </w:r>
          </w:p>
          <w:p w:rsidR="00603805" w:rsidRPr="00073183" w:rsidRDefault="00603805" w:rsidP="00E90160">
            <w:pPr>
              <w:jc w:val="both"/>
              <w:rPr>
                <w:rFonts w:eastAsia="Calibri"/>
                <w:sz w:val="20"/>
                <w:lang w:val="fr-CA"/>
              </w:rPr>
            </w:pPr>
            <w:r w:rsidRPr="00073183">
              <w:rPr>
                <w:rFonts w:eastAsia="Calibri"/>
                <w:sz w:val="20"/>
                <w:lang w:val="fr-CA"/>
              </w:rPr>
              <w:lastRenderedPageBreak/>
              <w:t>Cour d'appel de la Colombie-Britannique</w:t>
            </w:r>
          </w:p>
          <w:p w:rsidR="00603805" w:rsidRPr="00073183" w:rsidRDefault="00603805" w:rsidP="00E90160">
            <w:pPr>
              <w:jc w:val="both"/>
              <w:rPr>
                <w:rFonts w:eastAsia="Calibri"/>
                <w:sz w:val="20"/>
                <w:lang w:val="fr-CA"/>
              </w:rPr>
            </w:pPr>
            <w:r w:rsidRPr="00073183">
              <w:rPr>
                <w:rFonts w:eastAsia="Calibri"/>
                <w:sz w:val="20"/>
                <w:lang w:val="fr-CA"/>
              </w:rPr>
              <w:t>(Juges Newbury, Levine et Garson)</w:t>
            </w:r>
          </w:p>
          <w:p w:rsidR="00603805" w:rsidRPr="00073183" w:rsidRDefault="007C5411" w:rsidP="00E90160">
            <w:pPr>
              <w:jc w:val="both"/>
              <w:rPr>
                <w:rFonts w:eastAsia="Calibri"/>
                <w:sz w:val="20"/>
                <w:lang w:val="fr-CA"/>
              </w:rPr>
            </w:pPr>
            <w:hyperlink r:id="rId56" w:history="1">
              <w:r w:rsidR="00603805" w:rsidRPr="00073183">
                <w:rPr>
                  <w:rFonts w:eastAsia="Calibri"/>
                  <w:color w:val="0000FF"/>
                  <w:sz w:val="20"/>
                  <w:u w:val="single"/>
                  <w:lang w:val="fr-CA"/>
                </w:rPr>
                <w:t>2013 BCCA 363</w:t>
              </w:r>
            </w:hyperlink>
          </w:p>
          <w:p w:rsidR="00603805" w:rsidRPr="00073183" w:rsidRDefault="00603805" w:rsidP="00E90160">
            <w:pPr>
              <w:jc w:val="both"/>
              <w:rPr>
                <w:rFonts w:eastAsia="Calibri"/>
                <w:sz w:val="20"/>
                <w:lang w:val="fr-CA"/>
              </w:rPr>
            </w:pPr>
          </w:p>
        </w:tc>
        <w:tc>
          <w:tcPr>
            <w:tcW w:w="243" w:type="pct"/>
          </w:tcPr>
          <w:p w:rsidR="00603805" w:rsidRPr="00073183" w:rsidRDefault="00603805" w:rsidP="00E90160">
            <w:pPr>
              <w:jc w:val="both"/>
              <w:rPr>
                <w:rFonts w:eastAsia="Calibri"/>
                <w:sz w:val="20"/>
                <w:lang w:val="fr-CA"/>
              </w:rPr>
            </w:pPr>
          </w:p>
        </w:tc>
        <w:tc>
          <w:tcPr>
            <w:tcW w:w="2330" w:type="pct"/>
          </w:tcPr>
          <w:p w:rsidR="00603805" w:rsidRPr="00073183" w:rsidRDefault="00603805" w:rsidP="00E90160">
            <w:pPr>
              <w:jc w:val="both"/>
              <w:rPr>
                <w:rFonts w:eastAsia="Calibri"/>
                <w:sz w:val="20"/>
                <w:lang w:val="fr-CA"/>
              </w:rPr>
            </w:pPr>
            <w:r w:rsidRPr="00073183">
              <w:rPr>
                <w:rFonts w:eastAsia="Calibri"/>
                <w:sz w:val="20"/>
                <w:lang w:val="fr-CA"/>
              </w:rPr>
              <w:t xml:space="preserve">Appel rejeté; mention dans l'ordonnance du juge en </w:t>
            </w:r>
            <w:r w:rsidRPr="00073183">
              <w:rPr>
                <w:rFonts w:eastAsia="Calibri"/>
                <w:sz w:val="20"/>
                <w:lang w:val="fr-CA"/>
              </w:rPr>
              <w:lastRenderedPageBreak/>
              <w:t>chambre de renvoyer l'affaire, supprimée; interdiction annulée</w:t>
            </w:r>
          </w:p>
        </w:tc>
      </w:tr>
      <w:tr w:rsidR="00603805" w:rsidRPr="00073183" w:rsidTr="00E90160">
        <w:tc>
          <w:tcPr>
            <w:tcW w:w="2427" w:type="pct"/>
          </w:tcPr>
          <w:p w:rsidR="00603805" w:rsidRPr="00073183" w:rsidRDefault="00603805" w:rsidP="00E90160">
            <w:pPr>
              <w:jc w:val="both"/>
              <w:rPr>
                <w:rFonts w:eastAsia="Calibri"/>
                <w:sz w:val="20"/>
                <w:lang w:val="fr-CA"/>
              </w:rPr>
            </w:pPr>
            <w:r w:rsidRPr="00073183">
              <w:rPr>
                <w:rFonts w:eastAsia="Calibri"/>
                <w:sz w:val="20"/>
                <w:lang w:val="fr-CA"/>
              </w:rPr>
              <w:lastRenderedPageBreak/>
              <w:t>15 octobre 2013</w:t>
            </w:r>
          </w:p>
          <w:p w:rsidR="00603805" w:rsidRPr="00073183" w:rsidRDefault="00603805" w:rsidP="00E90160">
            <w:pPr>
              <w:jc w:val="both"/>
              <w:rPr>
                <w:rFonts w:eastAsia="Calibri"/>
                <w:sz w:val="20"/>
                <w:lang w:val="fr-CA"/>
              </w:rPr>
            </w:pPr>
            <w:r w:rsidRPr="00073183">
              <w:rPr>
                <w:rFonts w:eastAsia="Calibri"/>
                <w:sz w:val="20"/>
                <w:lang w:val="fr-CA"/>
              </w:rPr>
              <w:t>Cour suprême du Canada</w:t>
            </w:r>
          </w:p>
        </w:tc>
        <w:tc>
          <w:tcPr>
            <w:tcW w:w="243" w:type="pct"/>
          </w:tcPr>
          <w:p w:rsidR="00603805" w:rsidRPr="00073183" w:rsidRDefault="00603805" w:rsidP="00E90160">
            <w:pPr>
              <w:jc w:val="both"/>
              <w:rPr>
                <w:rFonts w:eastAsia="Calibri"/>
                <w:sz w:val="20"/>
                <w:lang w:val="fr-CA"/>
              </w:rPr>
            </w:pPr>
          </w:p>
        </w:tc>
        <w:tc>
          <w:tcPr>
            <w:tcW w:w="2330" w:type="pct"/>
          </w:tcPr>
          <w:p w:rsidR="00603805" w:rsidRPr="00073183" w:rsidRDefault="00603805" w:rsidP="00E90160">
            <w:pPr>
              <w:jc w:val="both"/>
              <w:rPr>
                <w:rFonts w:eastAsia="Calibri"/>
                <w:sz w:val="20"/>
                <w:lang w:val="fr-CA"/>
              </w:rPr>
            </w:pPr>
            <w:r w:rsidRPr="00073183">
              <w:rPr>
                <w:rFonts w:eastAsia="Calibri"/>
                <w:sz w:val="20"/>
                <w:lang w:val="fr-CA"/>
              </w:rPr>
              <w:t>Demande d'autorisation d'appel, déposée</w:t>
            </w:r>
          </w:p>
          <w:p w:rsidR="00603805" w:rsidRPr="00073183" w:rsidRDefault="00603805" w:rsidP="00E90160">
            <w:pPr>
              <w:jc w:val="both"/>
              <w:rPr>
                <w:rFonts w:eastAsia="Calibri"/>
                <w:sz w:val="20"/>
                <w:lang w:val="fr-CA"/>
              </w:rPr>
            </w:pPr>
          </w:p>
        </w:tc>
      </w:tr>
    </w:tbl>
    <w:p w:rsidR="000F69AD" w:rsidRDefault="000F69AD" w:rsidP="000F69AD">
      <w:pPr>
        <w:rPr>
          <w:sz w:val="20"/>
          <w:szCs w:val="20"/>
        </w:rPr>
      </w:pPr>
    </w:p>
    <w:p w:rsidR="000F69AD" w:rsidRDefault="007C5411" w:rsidP="000F69AD">
      <w:pPr>
        <w:rPr>
          <w:sz w:val="20"/>
          <w:szCs w:val="20"/>
        </w:rPr>
      </w:pPr>
      <w:r>
        <w:rPr>
          <w:sz w:val="20"/>
          <w:szCs w:val="20"/>
          <w:lang w:val="fr-CA"/>
        </w:rPr>
        <w:pict>
          <v:rect id="_x0000_i1053" style="width:2in;height:1pt" o:hrpct="0" o:hralign="center" o:hrstd="t" o:hrnoshade="t" o:hr="t" fillcolor="black [3213]" stroked="f"/>
        </w:pict>
      </w:r>
    </w:p>
    <w:p w:rsidR="000F69AD" w:rsidRDefault="000F69AD" w:rsidP="000F69AD">
      <w:pPr>
        <w:rPr>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E14C3" w:rsidRPr="002E14C3" w:rsidTr="003A5C99">
        <w:trPr>
          <w:cantSplit/>
        </w:trPr>
        <w:tc>
          <w:tcPr>
            <w:tcW w:w="1458" w:type="dxa"/>
          </w:tcPr>
          <w:p w:rsidR="002E14C3" w:rsidRPr="002E14C3" w:rsidRDefault="002E14C3" w:rsidP="002E14C3">
            <w:pPr>
              <w:rPr>
                <w:sz w:val="20"/>
              </w:rPr>
            </w:pPr>
            <w:r w:rsidRPr="002E14C3">
              <w:rPr>
                <w:b/>
                <w:sz w:val="20"/>
                <w:lang w:val="fr-CA"/>
              </w:rPr>
              <w:t>35585</w:t>
            </w:r>
          </w:p>
          <w:p w:rsidR="002E14C3" w:rsidRPr="002E14C3" w:rsidRDefault="002E14C3" w:rsidP="002E14C3">
            <w:pPr>
              <w:rPr>
                <w:b/>
                <w:sz w:val="20"/>
                <w:lang w:val="fr-CA"/>
              </w:rPr>
            </w:pPr>
          </w:p>
        </w:tc>
        <w:tc>
          <w:tcPr>
            <w:tcW w:w="8118" w:type="dxa"/>
          </w:tcPr>
          <w:p w:rsidR="002E14C3" w:rsidRPr="002E14C3" w:rsidRDefault="002E14C3" w:rsidP="002E14C3">
            <w:pPr>
              <w:rPr>
                <w:sz w:val="20"/>
              </w:rPr>
            </w:pPr>
            <w:r w:rsidRPr="002E14C3">
              <w:rPr>
                <w:b/>
                <w:sz w:val="20"/>
                <w:u w:val="single"/>
              </w:rPr>
              <w:t>Oldrich Pelich v. Attorney General of Ontario</w:t>
            </w:r>
            <w:r w:rsidRPr="002E14C3">
              <w:rPr>
                <w:sz w:val="20"/>
              </w:rPr>
              <w:t xml:space="preserve"> (Ont.) (Criminal) (By Leave)</w:t>
            </w:r>
          </w:p>
          <w:p w:rsidR="002E14C3" w:rsidRPr="002E14C3" w:rsidRDefault="002E14C3" w:rsidP="002E14C3">
            <w:pPr>
              <w:rPr>
                <w:sz w:val="20"/>
              </w:rPr>
            </w:pPr>
          </w:p>
        </w:tc>
      </w:tr>
      <w:tr w:rsidR="002E14C3" w:rsidRPr="002E14C3" w:rsidTr="003A5C99">
        <w:trPr>
          <w:cantSplit/>
        </w:trPr>
        <w:tc>
          <w:tcPr>
            <w:tcW w:w="1458" w:type="dxa"/>
          </w:tcPr>
          <w:p w:rsidR="002E14C3" w:rsidRPr="002E14C3" w:rsidRDefault="002E14C3" w:rsidP="002E14C3">
            <w:pPr>
              <w:rPr>
                <w:sz w:val="20"/>
              </w:rPr>
            </w:pPr>
            <w:r w:rsidRPr="002E14C3">
              <w:rPr>
                <w:sz w:val="20"/>
              </w:rPr>
              <w:t>Coram :</w:t>
            </w:r>
          </w:p>
        </w:tc>
        <w:tc>
          <w:tcPr>
            <w:tcW w:w="8118" w:type="dxa"/>
          </w:tcPr>
          <w:p w:rsidR="002E14C3" w:rsidRPr="002E14C3" w:rsidRDefault="002E14C3" w:rsidP="002E14C3">
            <w:pPr>
              <w:rPr>
                <w:sz w:val="20"/>
              </w:rPr>
            </w:pPr>
            <w:r w:rsidRPr="002E14C3">
              <w:rPr>
                <w:sz w:val="20"/>
                <w:u w:val="single"/>
              </w:rPr>
              <w:t>McLachlin C.J. and Cromwell and Wagner JJ.</w:t>
            </w:r>
          </w:p>
          <w:p w:rsidR="002E14C3" w:rsidRPr="002E14C3" w:rsidRDefault="002E14C3" w:rsidP="002E14C3">
            <w:pPr>
              <w:rPr>
                <w:sz w:val="20"/>
                <w:u w:val="single"/>
              </w:rPr>
            </w:pPr>
          </w:p>
        </w:tc>
      </w:tr>
      <w:tr w:rsidR="002E14C3" w:rsidRPr="007C5411" w:rsidTr="003A5C99">
        <w:trPr>
          <w:cantSplit/>
        </w:trPr>
        <w:tc>
          <w:tcPr>
            <w:tcW w:w="9576" w:type="dxa"/>
            <w:gridSpan w:val="2"/>
          </w:tcPr>
          <w:p w:rsidR="002E14C3" w:rsidRPr="002E14C3" w:rsidRDefault="002E14C3" w:rsidP="002E14C3">
            <w:pPr>
              <w:ind w:firstLine="720"/>
              <w:jc w:val="both"/>
              <w:rPr>
                <w:sz w:val="20"/>
              </w:rPr>
            </w:pPr>
            <w:r w:rsidRPr="002E14C3">
              <w:rPr>
                <w:sz w:val="20"/>
              </w:rPr>
              <w:t>The application for leave to appeal from the judgment of the Court of Appeal for Ontario, Number C55822, dated June 10, 2013, is dismissed without costs.</w:t>
            </w:r>
          </w:p>
          <w:p w:rsidR="002E14C3" w:rsidRPr="002E14C3" w:rsidRDefault="002E14C3" w:rsidP="002E14C3">
            <w:pPr>
              <w:jc w:val="both"/>
              <w:rPr>
                <w:sz w:val="20"/>
              </w:rPr>
            </w:pPr>
          </w:p>
          <w:p w:rsidR="002E14C3" w:rsidRPr="002E14C3" w:rsidRDefault="002E14C3" w:rsidP="002E14C3">
            <w:pPr>
              <w:ind w:firstLine="720"/>
              <w:jc w:val="both"/>
              <w:rPr>
                <w:sz w:val="20"/>
                <w:lang w:val="fr-CA"/>
              </w:rPr>
            </w:pPr>
            <w:r w:rsidRPr="002E14C3">
              <w:rPr>
                <w:sz w:val="20"/>
                <w:lang w:val="fr-CA"/>
              </w:rPr>
              <w:t>La demande d’autorisation d’appel de l’arrêt de la Cour d’appel de l’Ontario, numéro C55822, daté du 10 juin 2013, est rejetée sans dépens.</w:t>
            </w:r>
          </w:p>
        </w:tc>
      </w:tr>
    </w:tbl>
    <w:p w:rsidR="000F69AD" w:rsidRPr="002E14C3" w:rsidRDefault="000F69AD" w:rsidP="000F69AD">
      <w:pPr>
        <w:rPr>
          <w:sz w:val="20"/>
          <w:szCs w:val="20"/>
          <w:lang w:val="fr-CA"/>
        </w:rPr>
      </w:pPr>
    </w:p>
    <w:p w:rsidR="002E14C3" w:rsidRPr="00B60D0E" w:rsidRDefault="002E14C3">
      <w:pPr>
        <w:rPr>
          <w:sz w:val="20"/>
          <w:szCs w:val="20"/>
          <w:u w:val="single"/>
          <w:lang w:val="fr-CA"/>
        </w:rPr>
      </w:pPr>
      <w:r w:rsidRPr="00B60D0E">
        <w:rPr>
          <w:sz w:val="20"/>
          <w:szCs w:val="20"/>
          <w:u w:val="single"/>
          <w:lang w:val="fr-CA"/>
        </w:rPr>
        <w:br w:type="page"/>
      </w:r>
    </w:p>
    <w:p w:rsidR="000F69AD" w:rsidRPr="001B157C" w:rsidRDefault="000F69AD" w:rsidP="000F69AD">
      <w:pPr>
        <w:rPr>
          <w:sz w:val="20"/>
          <w:szCs w:val="20"/>
          <w:u w:val="single"/>
        </w:rPr>
      </w:pPr>
      <w:r w:rsidRPr="001B157C">
        <w:rPr>
          <w:sz w:val="20"/>
          <w:szCs w:val="20"/>
          <w:u w:val="single"/>
        </w:rPr>
        <w:lastRenderedPageBreak/>
        <w:t>CASE SUMMARY</w:t>
      </w:r>
    </w:p>
    <w:p w:rsidR="000F69AD" w:rsidRDefault="000F69AD" w:rsidP="000F69A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03805" w:rsidRPr="00073183" w:rsidTr="00E90160">
        <w:tc>
          <w:tcPr>
            <w:tcW w:w="5000" w:type="pct"/>
            <w:gridSpan w:val="3"/>
          </w:tcPr>
          <w:p w:rsidR="00603805" w:rsidRPr="00073183" w:rsidRDefault="00603805" w:rsidP="00E90160">
            <w:pPr>
              <w:jc w:val="both"/>
              <w:rPr>
                <w:rFonts w:eastAsia="Calibri"/>
                <w:sz w:val="20"/>
              </w:rPr>
            </w:pPr>
            <w:r w:rsidRPr="00073183">
              <w:rPr>
                <w:rFonts w:eastAsia="Calibri"/>
                <w:i/>
                <w:sz w:val="20"/>
              </w:rPr>
              <w:t>Canadian Charter of Rights and Freedoms</w:t>
            </w:r>
            <w:r w:rsidRPr="00073183">
              <w:rPr>
                <w:rFonts w:eastAsia="Calibri"/>
                <w:sz w:val="20"/>
              </w:rPr>
              <w:t xml:space="preserve"> – Criminal law – Offences – Child pornography – Trial of Applicant on charges of making available, possessing and accessing child pornography – Whether the Applicant’s s. 8, 10 and 11 </w:t>
            </w:r>
            <w:r w:rsidRPr="00073183">
              <w:rPr>
                <w:rFonts w:eastAsia="Calibri"/>
                <w:i/>
                <w:sz w:val="20"/>
              </w:rPr>
              <w:t>Charter</w:t>
            </w:r>
            <w:r w:rsidRPr="00073183">
              <w:rPr>
                <w:rFonts w:eastAsia="Calibri"/>
                <w:sz w:val="20"/>
              </w:rPr>
              <w:t xml:space="preserve"> rights were violated – Whether the Court of Appeal erred in concluding that the computer images of child pornography were owned and accessed by the Applicant.</w:t>
            </w:r>
          </w:p>
        </w:tc>
      </w:tr>
      <w:tr w:rsidR="00603805" w:rsidRPr="00073183" w:rsidTr="00E90160">
        <w:tc>
          <w:tcPr>
            <w:tcW w:w="5000" w:type="pct"/>
            <w:gridSpan w:val="3"/>
          </w:tcPr>
          <w:p w:rsidR="00603805" w:rsidRPr="00073183" w:rsidRDefault="00603805" w:rsidP="00E90160">
            <w:pPr>
              <w:jc w:val="both"/>
              <w:rPr>
                <w:rFonts w:eastAsia="Calibri"/>
                <w:sz w:val="20"/>
              </w:rPr>
            </w:pPr>
          </w:p>
        </w:tc>
      </w:tr>
      <w:tr w:rsidR="00603805" w:rsidRPr="00073183" w:rsidTr="00E90160">
        <w:tc>
          <w:tcPr>
            <w:tcW w:w="5000" w:type="pct"/>
            <w:gridSpan w:val="3"/>
          </w:tcPr>
          <w:p w:rsidR="00603805" w:rsidRPr="00073183" w:rsidRDefault="00603805" w:rsidP="00E90160">
            <w:pPr>
              <w:jc w:val="both"/>
              <w:rPr>
                <w:rFonts w:eastAsia="Calibri"/>
                <w:sz w:val="20"/>
              </w:rPr>
            </w:pPr>
            <w:r w:rsidRPr="00073183">
              <w:rPr>
                <w:rFonts w:eastAsia="Calibri"/>
                <w:sz w:val="20"/>
              </w:rPr>
              <w:t>An undercover police officer using file sharing software found a user downloading and sharing numerous files with names consistent with child pornography.  The IP address of the user was held by the Applicant. The officer then monitored the IP address.  He downloaded and viewed certain of the files shared by the computer.  After searching the Applicant’s residence under a search warrant, numerous images and videos of child pornography were found on the Applicant’s two computers, some of which had been removed to unallocated space by a file deletion program.  Police also seized compact discs with images and videos containing child pornography.</w:t>
            </w:r>
          </w:p>
          <w:p w:rsidR="00603805" w:rsidRPr="00073183" w:rsidRDefault="00603805" w:rsidP="00E90160">
            <w:pPr>
              <w:jc w:val="both"/>
              <w:rPr>
                <w:rFonts w:eastAsia="Calibri"/>
                <w:sz w:val="20"/>
              </w:rPr>
            </w:pPr>
          </w:p>
        </w:tc>
      </w:tr>
      <w:tr w:rsidR="00603805" w:rsidRPr="00073183" w:rsidTr="00E90160">
        <w:tc>
          <w:tcPr>
            <w:tcW w:w="2427" w:type="pct"/>
          </w:tcPr>
          <w:p w:rsidR="00603805" w:rsidRPr="00073183" w:rsidRDefault="00603805" w:rsidP="00E90160">
            <w:pPr>
              <w:jc w:val="both"/>
              <w:rPr>
                <w:rFonts w:eastAsia="Calibri"/>
                <w:sz w:val="20"/>
              </w:rPr>
            </w:pPr>
            <w:r w:rsidRPr="00073183">
              <w:rPr>
                <w:rFonts w:eastAsia="Calibri"/>
                <w:sz w:val="20"/>
              </w:rPr>
              <w:t>June 27, 2012</w:t>
            </w:r>
          </w:p>
          <w:p w:rsidR="00603805" w:rsidRPr="00073183" w:rsidRDefault="00603805" w:rsidP="00E90160">
            <w:pPr>
              <w:jc w:val="both"/>
              <w:rPr>
                <w:rFonts w:eastAsia="Calibri"/>
                <w:sz w:val="20"/>
              </w:rPr>
            </w:pPr>
            <w:r w:rsidRPr="00073183">
              <w:rPr>
                <w:rFonts w:eastAsia="Calibri"/>
                <w:sz w:val="20"/>
              </w:rPr>
              <w:t>Ontario Superior Court of Justice</w:t>
            </w:r>
          </w:p>
          <w:p w:rsidR="00603805" w:rsidRPr="00073183" w:rsidRDefault="00603805" w:rsidP="00E90160">
            <w:pPr>
              <w:jc w:val="both"/>
              <w:rPr>
                <w:rFonts w:eastAsia="Calibri"/>
                <w:sz w:val="20"/>
              </w:rPr>
            </w:pPr>
            <w:r w:rsidRPr="00073183">
              <w:rPr>
                <w:rFonts w:eastAsia="Calibri"/>
                <w:sz w:val="20"/>
              </w:rPr>
              <w:t>(Dunnet J.)</w:t>
            </w:r>
          </w:p>
        </w:tc>
        <w:tc>
          <w:tcPr>
            <w:tcW w:w="243" w:type="pct"/>
          </w:tcPr>
          <w:p w:rsidR="00603805" w:rsidRPr="00073183" w:rsidRDefault="00603805" w:rsidP="00E90160">
            <w:pPr>
              <w:jc w:val="both"/>
              <w:rPr>
                <w:rFonts w:eastAsia="Calibri"/>
                <w:sz w:val="20"/>
              </w:rPr>
            </w:pPr>
          </w:p>
        </w:tc>
        <w:tc>
          <w:tcPr>
            <w:tcW w:w="2330" w:type="pct"/>
          </w:tcPr>
          <w:p w:rsidR="00603805" w:rsidRPr="00073183" w:rsidRDefault="00603805" w:rsidP="00E90160">
            <w:pPr>
              <w:jc w:val="both"/>
              <w:rPr>
                <w:rFonts w:eastAsia="Calibri"/>
                <w:sz w:val="20"/>
              </w:rPr>
            </w:pPr>
            <w:r w:rsidRPr="00073183">
              <w:rPr>
                <w:rFonts w:eastAsia="Calibri"/>
                <w:sz w:val="20"/>
              </w:rPr>
              <w:t>Conviction: making available, possessing and accessing child pornography.</w:t>
            </w:r>
          </w:p>
          <w:p w:rsidR="00603805" w:rsidRPr="00073183" w:rsidRDefault="00603805" w:rsidP="00E90160">
            <w:pPr>
              <w:jc w:val="both"/>
              <w:rPr>
                <w:rFonts w:eastAsia="Calibri"/>
                <w:sz w:val="20"/>
              </w:rPr>
            </w:pPr>
            <w:r w:rsidRPr="00073183">
              <w:rPr>
                <w:rFonts w:eastAsia="Calibri"/>
                <w:sz w:val="20"/>
              </w:rPr>
              <w:t>Acquittal: making child pornography</w:t>
            </w:r>
          </w:p>
          <w:p w:rsidR="00603805" w:rsidRPr="00073183" w:rsidRDefault="00603805" w:rsidP="00E90160">
            <w:pPr>
              <w:jc w:val="both"/>
              <w:rPr>
                <w:rFonts w:eastAsia="Calibri"/>
                <w:sz w:val="20"/>
              </w:rPr>
            </w:pPr>
          </w:p>
        </w:tc>
      </w:tr>
      <w:tr w:rsidR="00603805" w:rsidRPr="00073183" w:rsidTr="00E90160">
        <w:tc>
          <w:tcPr>
            <w:tcW w:w="2427" w:type="pct"/>
          </w:tcPr>
          <w:p w:rsidR="00603805" w:rsidRPr="00073183" w:rsidRDefault="00603805" w:rsidP="00E90160">
            <w:pPr>
              <w:jc w:val="both"/>
              <w:rPr>
                <w:rFonts w:eastAsia="Calibri"/>
                <w:sz w:val="20"/>
              </w:rPr>
            </w:pPr>
            <w:r w:rsidRPr="00073183">
              <w:rPr>
                <w:rFonts w:eastAsia="Calibri"/>
                <w:sz w:val="20"/>
              </w:rPr>
              <w:t>June 10, 2013</w:t>
            </w:r>
          </w:p>
          <w:p w:rsidR="00603805" w:rsidRPr="00073183" w:rsidRDefault="00603805" w:rsidP="00E90160">
            <w:pPr>
              <w:jc w:val="both"/>
              <w:rPr>
                <w:rFonts w:eastAsia="Calibri"/>
                <w:sz w:val="20"/>
              </w:rPr>
            </w:pPr>
            <w:r w:rsidRPr="00073183">
              <w:rPr>
                <w:rFonts w:eastAsia="Calibri"/>
                <w:sz w:val="20"/>
              </w:rPr>
              <w:t>Court of Appeal for Ontario</w:t>
            </w:r>
          </w:p>
          <w:p w:rsidR="00603805" w:rsidRPr="00073183" w:rsidRDefault="00603805" w:rsidP="00E90160">
            <w:pPr>
              <w:jc w:val="both"/>
              <w:rPr>
                <w:rFonts w:eastAsia="Calibri"/>
                <w:sz w:val="20"/>
              </w:rPr>
            </w:pPr>
            <w:r w:rsidRPr="00073183">
              <w:rPr>
                <w:rFonts w:eastAsia="Calibri"/>
                <w:sz w:val="20"/>
              </w:rPr>
              <w:t>(MacPherson, Feldman and Cronk JJ.A.)</w:t>
            </w:r>
          </w:p>
          <w:p w:rsidR="00603805" w:rsidRPr="00073183" w:rsidRDefault="00603805" w:rsidP="00E90160">
            <w:pPr>
              <w:jc w:val="both"/>
              <w:rPr>
                <w:rFonts w:eastAsia="Calibri"/>
                <w:sz w:val="20"/>
              </w:rPr>
            </w:pPr>
          </w:p>
        </w:tc>
        <w:tc>
          <w:tcPr>
            <w:tcW w:w="243" w:type="pct"/>
          </w:tcPr>
          <w:p w:rsidR="00603805" w:rsidRPr="00073183" w:rsidRDefault="00603805" w:rsidP="00E90160">
            <w:pPr>
              <w:jc w:val="both"/>
              <w:rPr>
                <w:rFonts w:eastAsia="Calibri"/>
                <w:sz w:val="20"/>
              </w:rPr>
            </w:pPr>
          </w:p>
        </w:tc>
        <w:tc>
          <w:tcPr>
            <w:tcW w:w="2330" w:type="pct"/>
          </w:tcPr>
          <w:p w:rsidR="00603805" w:rsidRPr="00073183" w:rsidRDefault="00603805" w:rsidP="00E90160">
            <w:pPr>
              <w:jc w:val="both"/>
              <w:rPr>
                <w:rFonts w:eastAsia="Calibri"/>
                <w:sz w:val="20"/>
              </w:rPr>
            </w:pPr>
            <w:r w:rsidRPr="00073183">
              <w:rPr>
                <w:rFonts w:eastAsia="Calibri"/>
                <w:sz w:val="20"/>
              </w:rPr>
              <w:t>Appeal dismissed</w:t>
            </w:r>
          </w:p>
          <w:p w:rsidR="00603805" w:rsidRPr="00073183" w:rsidRDefault="00603805" w:rsidP="00E90160">
            <w:pPr>
              <w:jc w:val="both"/>
              <w:rPr>
                <w:rFonts w:eastAsia="Calibri"/>
                <w:sz w:val="20"/>
              </w:rPr>
            </w:pPr>
          </w:p>
        </w:tc>
      </w:tr>
      <w:tr w:rsidR="00603805" w:rsidRPr="00073183" w:rsidTr="00E90160">
        <w:tc>
          <w:tcPr>
            <w:tcW w:w="2427" w:type="pct"/>
          </w:tcPr>
          <w:p w:rsidR="00603805" w:rsidRPr="00073183" w:rsidRDefault="00603805" w:rsidP="00E90160">
            <w:pPr>
              <w:jc w:val="both"/>
              <w:rPr>
                <w:rFonts w:eastAsia="Calibri"/>
                <w:sz w:val="20"/>
              </w:rPr>
            </w:pPr>
            <w:r w:rsidRPr="00073183">
              <w:rPr>
                <w:rFonts w:eastAsia="Calibri"/>
                <w:sz w:val="20"/>
              </w:rPr>
              <w:t>September 10, 2013</w:t>
            </w:r>
          </w:p>
          <w:p w:rsidR="00603805" w:rsidRPr="00073183" w:rsidRDefault="00603805" w:rsidP="00E90160">
            <w:pPr>
              <w:jc w:val="both"/>
              <w:rPr>
                <w:rFonts w:eastAsia="Calibri"/>
                <w:sz w:val="20"/>
              </w:rPr>
            </w:pPr>
            <w:r w:rsidRPr="00073183">
              <w:rPr>
                <w:rFonts w:eastAsia="Calibri"/>
                <w:sz w:val="20"/>
              </w:rPr>
              <w:t>Supreme Court of Canada</w:t>
            </w:r>
          </w:p>
          <w:p w:rsidR="00603805" w:rsidRPr="00073183" w:rsidRDefault="00603805" w:rsidP="00E90160">
            <w:pPr>
              <w:jc w:val="both"/>
              <w:rPr>
                <w:rFonts w:eastAsia="Calibri"/>
                <w:sz w:val="20"/>
              </w:rPr>
            </w:pPr>
          </w:p>
        </w:tc>
        <w:tc>
          <w:tcPr>
            <w:tcW w:w="243" w:type="pct"/>
          </w:tcPr>
          <w:p w:rsidR="00603805" w:rsidRPr="00073183" w:rsidRDefault="00603805" w:rsidP="00E90160">
            <w:pPr>
              <w:jc w:val="both"/>
              <w:rPr>
                <w:rFonts w:eastAsia="Calibri"/>
                <w:sz w:val="20"/>
              </w:rPr>
            </w:pPr>
          </w:p>
        </w:tc>
        <w:tc>
          <w:tcPr>
            <w:tcW w:w="2330" w:type="pct"/>
          </w:tcPr>
          <w:p w:rsidR="00603805" w:rsidRPr="00073183" w:rsidRDefault="00603805" w:rsidP="00E90160">
            <w:pPr>
              <w:jc w:val="both"/>
              <w:rPr>
                <w:rFonts w:eastAsia="Calibri"/>
                <w:sz w:val="20"/>
              </w:rPr>
            </w:pPr>
            <w:r w:rsidRPr="00073183">
              <w:rPr>
                <w:rFonts w:eastAsia="Calibri"/>
                <w:sz w:val="20"/>
              </w:rPr>
              <w:t>Application for leave to appeal filed</w:t>
            </w:r>
          </w:p>
        </w:tc>
      </w:tr>
      <w:tr w:rsidR="00603805" w:rsidRPr="00073183" w:rsidTr="00E90160">
        <w:tc>
          <w:tcPr>
            <w:tcW w:w="2427" w:type="pct"/>
          </w:tcPr>
          <w:p w:rsidR="00603805" w:rsidRPr="00073183" w:rsidRDefault="00603805" w:rsidP="00E90160">
            <w:pPr>
              <w:jc w:val="both"/>
              <w:rPr>
                <w:rFonts w:eastAsia="Calibri"/>
                <w:sz w:val="20"/>
              </w:rPr>
            </w:pPr>
            <w:r w:rsidRPr="00073183">
              <w:rPr>
                <w:rFonts w:eastAsia="Calibri"/>
                <w:sz w:val="20"/>
              </w:rPr>
              <w:t>October 15, 2013</w:t>
            </w:r>
          </w:p>
          <w:p w:rsidR="00603805" w:rsidRPr="00073183" w:rsidRDefault="00603805" w:rsidP="00E90160">
            <w:pPr>
              <w:jc w:val="both"/>
              <w:rPr>
                <w:rFonts w:eastAsia="Calibri"/>
                <w:sz w:val="20"/>
              </w:rPr>
            </w:pPr>
            <w:r w:rsidRPr="00073183">
              <w:rPr>
                <w:rFonts w:eastAsia="Calibri"/>
                <w:sz w:val="20"/>
              </w:rPr>
              <w:t>Supreme Court of Canada</w:t>
            </w:r>
          </w:p>
        </w:tc>
        <w:tc>
          <w:tcPr>
            <w:tcW w:w="243" w:type="pct"/>
          </w:tcPr>
          <w:p w:rsidR="00603805" w:rsidRPr="00073183" w:rsidRDefault="00603805" w:rsidP="00E90160">
            <w:pPr>
              <w:jc w:val="both"/>
              <w:rPr>
                <w:rFonts w:eastAsia="Calibri"/>
                <w:sz w:val="20"/>
              </w:rPr>
            </w:pPr>
          </w:p>
        </w:tc>
        <w:tc>
          <w:tcPr>
            <w:tcW w:w="2330" w:type="pct"/>
          </w:tcPr>
          <w:p w:rsidR="00603805" w:rsidRPr="00073183" w:rsidRDefault="00603805" w:rsidP="00603805">
            <w:pPr>
              <w:jc w:val="both"/>
              <w:rPr>
                <w:rFonts w:eastAsia="Calibri"/>
                <w:sz w:val="20"/>
              </w:rPr>
            </w:pPr>
            <w:r w:rsidRPr="00073183">
              <w:rPr>
                <w:rFonts w:eastAsia="Calibri"/>
                <w:sz w:val="20"/>
              </w:rPr>
              <w:t>Motion to extend time to serve and file application for leave to appeal filed</w:t>
            </w:r>
          </w:p>
        </w:tc>
      </w:tr>
    </w:tbl>
    <w:p w:rsidR="000F69AD" w:rsidRDefault="000F69AD" w:rsidP="000F69AD">
      <w:pPr>
        <w:rPr>
          <w:sz w:val="20"/>
          <w:szCs w:val="20"/>
        </w:rPr>
      </w:pPr>
    </w:p>
    <w:p w:rsidR="000F69AD" w:rsidRPr="00C50A5C" w:rsidRDefault="007C5411" w:rsidP="000F69AD">
      <w:pPr>
        <w:rPr>
          <w:sz w:val="20"/>
          <w:szCs w:val="20"/>
        </w:rPr>
      </w:pPr>
      <w:r>
        <w:rPr>
          <w:sz w:val="20"/>
          <w:szCs w:val="20"/>
          <w:lang w:val="fr-CA"/>
        </w:rPr>
        <w:pict>
          <v:rect id="_x0000_i1054" style="width:2in;height:1pt" o:hrpct="0" o:hralign="center" o:hrstd="t" o:hrnoshade="t" o:hr="t" fillcolor="black [3213]" stroked="f"/>
        </w:pict>
      </w:r>
    </w:p>
    <w:p w:rsidR="000F69AD" w:rsidRDefault="000F69AD" w:rsidP="000F69AD">
      <w:pPr>
        <w:rPr>
          <w:sz w:val="20"/>
          <w:szCs w:val="20"/>
        </w:rPr>
      </w:pPr>
    </w:p>
    <w:p w:rsidR="000F69AD" w:rsidRPr="001B157C" w:rsidRDefault="000F69AD" w:rsidP="000F69AD">
      <w:pPr>
        <w:rPr>
          <w:sz w:val="20"/>
          <w:szCs w:val="20"/>
          <w:u w:val="single"/>
          <w:lang w:val="fr-CA"/>
        </w:rPr>
      </w:pPr>
      <w:r w:rsidRPr="001B157C">
        <w:rPr>
          <w:sz w:val="20"/>
          <w:szCs w:val="20"/>
          <w:u w:val="single"/>
          <w:lang w:val="fr-CA"/>
        </w:rPr>
        <w:t>RÉSUMÉ DE L’AFFAIRE</w:t>
      </w:r>
    </w:p>
    <w:p w:rsidR="000F69AD" w:rsidRDefault="000F69AD" w:rsidP="000F69A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03805" w:rsidRPr="007C5411" w:rsidTr="00E90160">
        <w:tc>
          <w:tcPr>
            <w:tcW w:w="5000" w:type="pct"/>
            <w:gridSpan w:val="3"/>
          </w:tcPr>
          <w:p w:rsidR="00603805" w:rsidRPr="00073183" w:rsidRDefault="00603805" w:rsidP="00E90160">
            <w:pPr>
              <w:jc w:val="both"/>
              <w:rPr>
                <w:sz w:val="20"/>
                <w:lang w:val="fr-CA"/>
              </w:rPr>
            </w:pPr>
            <w:r w:rsidRPr="00073183">
              <w:rPr>
                <w:i/>
                <w:sz w:val="20"/>
                <w:lang w:val="fr-CA"/>
              </w:rPr>
              <w:t xml:space="preserve">Charte canadienne des droits et libertés </w:t>
            </w:r>
            <w:r w:rsidRPr="00073183">
              <w:rPr>
                <w:sz w:val="20"/>
                <w:lang w:val="fr-CA"/>
              </w:rPr>
              <w:t xml:space="preserve">– Droit criminel – Infractions – Pornographie juvénile – Procès du demandeur relativement à des accusations d’avoir rendu accessible de la pornographie juvénile, d’en avoir possédé ou d’y avoir accédé – Les droits du demandeur garantis par les art. 8, 10 et 11 de la </w:t>
            </w:r>
            <w:r w:rsidRPr="00073183">
              <w:rPr>
                <w:i/>
                <w:sz w:val="20"/>
                <w:lang w:val="fr-CA"/>
              </w:rPr>
              <w:t>Charte</w:t>
            </w:r>
            <w:r w:rsidRPr="00073183">
              <w:rPr>
                <w:sz w:val="20"/>
                <w:lang w:val="fr-CA"/>
              </w:rPr>
              <w:t xml:space="preserve"> ont-ils été violés? – La Cour d'appel a-t-elle eu tort de conclure que les images informatiques de pornographie juvénile appartenaient au demandeur et que celui-ci y avait accédé?</w:t>
            </w:r>
          </w:p>
        </w:tc>
      </w:tr>
      <w:tr w:rsidR="00603805" w:rsidRPr="007C5411" w:rsidTr="00E90160">
        <w:tc>
          <w:tcPr>
            <w:tcW w:w="5000" w:type="pct"/>
            <w:gridSpan w:val="3"/>
          </w:tcPr>
          <w:p w:rsidR="00603805" w:rsidRPr="00073183" w:rsidRDefault="00603805" w:rsidP="00E90160">
            <w:pPr>
              <w:jc w:val="both"/>
              <w:rPr>
                <w:sz w:val="20"/>
                <w:lang w:val="fr-CA"/>
              </w:rPr>
            </w:pPr>
          </w:p>
        </w:tc>
      </w:tr>
      <w:tr w:rsidR="00603805" w:rsidRPr="007C5411" w:rsidTr="00E90160">
        <w:tc>
          <w:tcPr>
            <w:tcW w:w="5000" w:type="pct"/>
            <w:gridSpan w:val="3"/>
          </w:tcPr>
          <w:p w:rsidR="00603805" w:rsidRPr="00073183" w:rsidRDefault="00603805" w:rsidP="00E90160">
            <w:pPr>
              <w:jc w:val="both"/>
              <w:rPr>
                <w:sz w:val="20"/>
                <w:lang w:val="fr-CA"/>
              </w:rPr>
            </w:pPr>
            <w:r w:rsidRPr="00073183">
              <w:rPr>
                <w:sz w:val="20"/>
                <w:lang w:val="fr-CA"/>
              </w:rPr>
              <w:t>Un policier banalisé utilisant un logiciel de partage des fichiers a trouvé un utilisateur qui téléchargeait et partageait de nombreux fichiers dont les noms pouvaient laisser entendre qu'il s'agissait de pornographie juvénile.  Le demandeur était titulaire de l’adresse IP de l'utilisateur. Le policier a ensuite surveillé l'adresse IP.  Il a téléchargé et visionné certains fichiers partagés par l'ordinateur.  Après avoir perquisitionné la résidence du demandeur en exécution d'un mandat de perquisition, de nombreuses images et vidéos de pornographie juvénile ont été trouvées sur deux des ordinateurs du demandeur, dont certaines avaient été déplacées vers de l'espace non alloué par un programme de suppression de fichiers.  Les policiers ont également saisi des disques compacts d’images et de vidéos renfermant de la pornographie juvénile.</w:t>
            </w:r>
          </w:p>
          <w:p w:rsidR="00603805" w:rsidRPr="00073183" w:rsidRDefault="00603805" w:rsidP="00E90160">
            <w:pPr>
              <w:jc w:val="both"/>
              <w:rPr>
                <w:sz w:val="20"/>
                <w:lang w:val="fr-CA"/>
              </w:rPr>
            </w:pPr>
          </w:p>
        </w:tc>
      </w:tr>
      <w:tr w:rsidR="00603805" w:rsidRPr="007C5411" w:rsidTr="002E14C3">
        <w:trPr>
          <w:cantSplit/>
        </w:trPr>
        <w:tc>
          <w:tcPr>
            <w:tcW w:w="2427" w:type="pct"/>
          </w:tcPr>
          <w:p w:rsidR="00603805" w:rsidRPr="00073183" w:rsidRDefault="00603805" w:rsidP="00E90160">
            <w:pPr>
              <w:jc w:val="both"/>
              <w:rPr>
                <w:sz w:val="20"/>
                <w:lang w:val="fr-CA"/>
              </w:rPr>
            </w:pPr>
            <w:r w:rsidRPr="00073183">
              <w:rPr>
                <w:sz w:val="20"/>
                <w:lang w:val="fr-CA"/>
              </w:rPr>
              <w:lastRenderedPageBreak/>
              <w:t>27 juin 2012</w:t>
            </w:r>
          </w:p>
          <w:p w:rsidR="00603805" w:rsidRPr="00073183" w:rsidRDefault="00603805" w:rsidP="00E90160">
            <w:pPr>
              <w:jc w:val="both"/>
              <w:rPr>
                <w:sz w:val="20"/>
                <w:lang w:val="fr-CA"/>
              </w:rPr>
            </w:pPr>
            <w:r w:rsidRPr="00073183">
              <w:rPr>
                <w:sz w:val="20"/>
                <w:lang w:val="fr-CA"/>
              </w:rPr>
              <w:t>Cour supérieure de justice de l'Ontario</w:t>
            </w:r>
          </w:p>
          <w:p w:rsidR="00603805" w:rsidRPr="00073183" w:rsidRDefault="00603805" w:rsidP="00E90160">
            <w:pPr>
              <w:jc w:val="both"/>
              <w:rPr>
                <w:sz w:val="20"/>
                <w:lang w:val="fr-CA"/>
              </w:rPr>
            </w:pPr>
            <w:r w:rsidRPr="00073183">
              <w:rPr>
                <w:sz w:val="20"/>
                <w:lang w:val="fr-CA"/>
              </w:rPr>
              <w:t>(Juge Dunnet)</w:t>
            </w:r>
          </w:p>
        </w:tc>
        <w:tc>
          <w:tcPr>
            <w:tcW w:w="243" w:type="pct"/>
          </w:tcPr>
          <w:p w:rsidR="00603805" w:rsidRPr="00073183" w:rsidRDefault="00603805" w:rsidP="00E90160">
            <w:pPr>
              <w:jc w:val="both"/>
              <w:rPr>
                <w:sz w:val="20"/>
                <w:lang w:val="fr-CA"/>
              </w:rPr>
            </w:pPr>
          </w:p>
        </w:tc>
        <w:tc>
          <w:tcPr>
            <w:tcW w:w="2330" w:type="pct"/>
          </w:tcPr>
          <w:p w:rsidR="00603805" w:rsidRPr="00073183" w:rsidRDefault="00603805" w:rsidP="00E90160">
            <w:pPr>
              <w:jc w:val="both"/>
              <w:rPr>
                <w:sz w:val="20"/>
                <w:lang w:val="fr-CA"/>
              </w:rPr>
            </w:pPr>
            <w:r w:rsidRPr="00073183">
              <w:rPr>
                <w:sz w:val="20"/>
                <w:lang w:val="fr-CA"/>
              </w:rPr>
              <w:t>Déclarations de culpabilité : avoir rendu accessible de la pornographie juvénile, en avoir possédé et y avoir accédé.</w:t>
            </w:r>
          </w:p>
          <w:p w:rsidR="00603805" w:rsidRPr="00073183" w:rsidRDefault="00603805" w:rsidP="00E90160">
            <w:pPr>
              <w:jc w:val="both"/>
              <w:rPr>
                <w:sz w:val="20"/>
                <w:lang w:val="fr-CA"/>
              </w:rPr>
            </w:pPr>
            <w:r w:rsidRPr="00073183">
              <w:rPr>
                <w:sz w:val="20"/>
                <w:lang w:val="fr-CA"/>
              </w:rPr>
              <w:t>Acquittement : avoir produit de la pornographie juvénile</w:t>
            </w:r>
          </w:p>
          <w:p w:rsidR="00603805" w:rsidRPr="00073183" w:rsidRDefault="00603805" w:rsidP="00E90160">
            <w:pPr>
              <w:jc w:val="both"/>
              <w:rPr>
                <w:sz w:val="20"/>
                <w:lang w:val="fr-CA"/>
              </w:rPr>
            </w:pPr>
          </w:p>
        </w:tc>
      </w:tr>
      <w:tr w:rsidR="00603805" w:rsidRPr="00073183" w:rsidTr="002E14C3">
        <w:trPr>
          <w:cantSplit/>
        </w:trPr>
        <w:tc>
          <w:tcPr>
            <w:tcW w:w="2427" w:type="pct"/>
          </w:tcPr>
          <w:p w:rsidR="00603805" w:rsidRPr="00073183" w:rsidRDefault="00603805" w:rsidP="00E90160">
            <w:pPr>
              <w:jc w:val="both"/>
              <w:rPr>
                <w:sz w:val="20"/>
                <w:lang w:val="fr-CA"/>
              </w:rPr>
            </w:pPr>
            <w:r w:rsidRPr="00073183">
              <w:rPr>
                <w:sz w:val="20"/>
                <w:lang w:val="fr-CA"/>
              </w:rPr>
              <w:t>10 juin 2013</w:t>
            </w:r>
          </w:p>
          <w:p w:rsidR="00603805" w:rsidRPr="00073183" w:rsidRDefault="00603805" w:rsidP="00E90160">
            <w:pPr>
              <w:jc w:val="both"/>
              <w:rPr>
                <w:sz w:val="20"/>
                <w:lang w:val="fr-CA"/>
              </w:rPr>
            </w:pPr>
            <w:r w:rsidRPr="00073183">
              <w:rPr>
                <w:sz w:val="20"/>
                <w:lang w:val="fr-CA"/>
              </w:rPr>
              <w:t>Cour d'appel de l'Ontario</w:t>
            </w:r>
          </w:p>
          <w:p w:rsidR="00603805" w:rsidRPr="00073183" w:rsidRDefault="00603805" w:rsidP="00E90160">
            <w:pPr>
              <w:jc w:val="both"/>
              <w:rPr>
                <w:sz w:val="20"/>
                <w:lang w:val="fr-CA"/>
              </w:rPr>
            </w:pPr>
            <w:r w:rsidRPr="00073183">
              <w:rPr>
                <w:sz w:val="20"/>
                <w:lang w:val="fr-CA"/>
              </w:rPr>
              <w:t>(Juges MacPherson, Feldman et Cronk)</w:t>
            </w:r>
          </w:p>
          <w:p w:rsidR="00603805" w:rsidRPr="00073183" w:rsidRDefault="00603805" w:rsidP="00E90160">
            <w:pPr>
              <w:jc w:val="both"/>
              <w:rPr>
                <w:sz w:val="20"/>
                <w:lang w:val="fr-CA"/>
              </w:rPr>
            </w:pPr>
          </w:p>
        </w:tc>
        <w:tc>
          <w:tcPr>
            <w:tcW w:w="243" w:type="pct"/>
          </w:tcPr>
          <w:p w:rsidR="00603805" w:rsidRPr="00073183" w:rsidRDefault="00603805" w:rsidP="00E90160">
            <w:pPr>
              <w:jc w:val="both"/>
              <w:rPr>
                <w:sz w:val="20"/>
                <w:lang w:val="fr-CA"/>
              </w:rPr>
            </w:pPr>
          </w:p>
        </w:tc>
        <w:tc>
          <w:tcPr>
            <w:tcW w:w="2330" w:type="pct"/>
          </w:tcPr>
          <w:p w:rsidR="00603805" w:rsidRPr="00073183" w:rsidRDefault="00603805" w:rsidP="00E90160">
            <w:pPr>
              <w:jc w:val="both"/>
              <w:rPr>
                <w:sz w:val="20"/>
                <w:lang w:val="fr-CA"/>
              </w:rPr>
            </w:pPr>
            <w:r w:rsidRPr="00073183">
              <w:rPr>
                <w:sz w:val="20"/>
                <w:lang w:val="fr-CA"/>
              </w:rPr>
              <w:t>Appel rejeté</w:t>
            </w:r>
          </w:p>
          <w:p w:rsidR="00603805" w:rsidRPr="00073183" w:rsidRDefault="00603805" w:rsidP="00E90160">
            <w:pPr>
              <w:jc w:val="both"/>
              <w:rPr>
                <w:sz w:val="20"/>
                <w:lang w:val="fr-CA"/>
              </w:rPr>
            </w:pPr>
          </w:p>
        </w:tc>
      </w:tr>
      <w:tr w:rsidR="00603805" w:rsidRPr="00073183" w:rsidTr="002E14C3">
        <w:trPr>
          <w:cantSplit/>
        </w:trPr>
        <w:tc>
          <w:tcPr>
            <w:tcW w:w="2427" w:type="pct"/>
          </w:tcPr>
          <w:p w:rsidR="00603805" w:rsidRPr="00073183" w:rsidRDefault="00603805" w:rsidP="00E90160">
            <w:pPr>
              <w:jc w:val="both"/>
              <w:rPr>
                <w:sz w:val="20"/>
                <w:lang w:val="fr-CA"/>
              </w:rPr>
            </w:pPr>
            <w:r w:rsidRPr="00073183">
              <w:rPr>
                <w:sz w:val="20"/>
                <w:lang w:val="fr-CA"/>
              </w:rPr>
              <w:t>10 septembre 2013</w:t>
            </w:r>
          </w:p>
          <w:p w:rsidR="00603805" w:rsidRPr="00073183" w:rsidRDefault="00603805" w:rsidP="00E90160">
            <w:pPr>
              <w:jc w:val="both"/>
              <w:rPr>
                <w:sz w:val="20"/>
                <w:lang w:val="fr-CA"/>
              </w:rPr>
            </w:pPr>
            <w:r w:rsidRPr="00073183">
              <w:rPr>
                <w:sz w:val="20"/>
                <w:lang w:val="fr-CA"/>
              </w:rPr>
              <w:t>Cour suprême du Canada</w:t>
            </w:r>
          </w:p>
          <w:p w:rsidR="00603805" w:rsidRPr="00073183" w:rsidRDefault="00603805" w:rsidP="00E90160">
            <w:pPr>
              <w:jc w:val="both"/>
              <w:rPr>
                <w:sz w:val="20"/>
                <w:lang w:val="fr-CA"/>
              </w:rPr>
            </w:pPr>
          </w:p>
        </w:tc>
        <w:tc>
          <w:tcPr>
            <w:tcW w:w="243" w:type="pct"/>
          </w:tcPr>
          <w:p w:rsidR="00603805" w:rsidRPr="00073183" w:rsidRDefault="00603805" w:rsidP="00E90160">
            <w:pPr>
              <w:jc w:val="both"/>
              <w:rPr>
                <w:sz w:val="20"/>
                <w:lang w:val="fr-CA"/>
              </w:rPr>
            </w:pPr>
          </w:p>
        </w:tc>
        <w:tc>
          <w:tcPr>
            <w:tcW w:w="2330" w:type="pct"/>
          </w:tcPr>
          <w:p w:rsidR="00603805" w:rsidRPr="00073183" w:rsidRDefault="00603805" w:rsidP="00E90160">
            <w:pPr>
              <w:jc w:val="both"/>
              <w:rPr>
                <w:sz w:val="20"/>
                <w:lang w:val="fr-CA"/>
              </w:rPr>
            </w:pPr>
            <w:r w:rsidRPr="00073183">
              <w:rPr>
                <w:sz w:val="20"/>
                <w:lang w:val="fr-CA"/>
              </w:rPr>
              <w:t>Demande d'autorisation d'appel, déposée</w:t>
            </w:r>
          </w:p>
        </w:tc>
      </w:tr>
      <w:tr w:rsidR="00603805" w:rsidRPr="007C5411" w:rsidTr="002E14C3">
        <w:trPr>
          <w:cantSplit/>
        </w:trPr>
        <w:tc>
          <w:tcPr>
            <w:tcW w:w="2427" w:type="pct"/>
          </w:tcPr>
          <w:p w:rsidR="00603805" w:rsidRPr="00073183" w:rsidRDefault="00603805" w:rsidP="00E90160">
            <w:pPr>
              <w:jc w:val="both"/>
              <w:rPr>
                <w:sz w:val="20"/>
                <w:lang w:val="fr-CA"/>
              </w:rPr>
            </w:pPr>
            <w:r w:rsidRPr="00073183">
              <w:rPr>
                <w:sz w:val="20"/>
                <w:lang w:val="fr-CA"/>
              </w:rPr>
              <w:t>15 octobre 2013</w:t>
            </w:r>
          </w:p>
          <w:p w:rsidR="00603805" w:rsidRPr="00073183" w:rsidRDefault="00603805" w:rsidP="00E90160">
            <w:pPr>
              <w:jc w:val="both"/>
              <w:rPr>
                <w:sz w:val="20"/>
                <w:lang w:val="fr-CA"/>
              </w:rPr>
            </w:pPr>
            <w:r w:rsidRPr="00073183">
              <w:rPr>
                <w:sz w:val="20"/>
                <w:lang w:val="fr-CA"/>
              </w:rPr>
              <w:t>Cour suprême du Canada</w:t>
            </w:r>
          </w:p>
        </w:tc>
        <w:tc>
          <w:tcPr>
            <w:tcW w:w="243" w:type="pct"/>
          </w:tcPr>
          <w:p w:rsidR="00603805" w:rsidRPr="00073183" w:rsidRDefault="00603805" w:rsidP="00E90160">
            <w:pPr>
              <w:jc w:val="both"/>
              <w:rPr>
                <w:sz w:val="20"/>
                <w:lang w:val="fr-CA"/>
              </w:rPr>
            </w:pPr>
          </w:p>
        </w:tc>
        <w:tc>
          <w:tcPr>
            <w:tcW w:w="2330" w:type="pct"/>
          </w:tcPr>
          <w:p w:rsidR="00603805" w:rsidRPr="00073183" w:rsidRDefault="00603805" w:rsidP="00E90160">
            <w:pPr>
              <w:jc w:val="both"/>
              <w:rPr>
                <w:sz w:val="20"/>
                <w:lang w:val="fr-CA"/>
              </w:rPr>
            </w:pPr>
            <w:r w:rsidRPr="00073183">
              <w:rPr>
                <w:sz w:val="20"/>
                <w:lang w:val="fr-CA"/>
              </w:rPr>
              <w:t>Requête en prorogation du délai de signification et de dépôt de la demande d'autorisation d'appel, déposée</w:t>
            </w:r>
          </w:p>
        </w:tc>
      </w:tr>
    </w:tbl>
    <w:p w:rsidR="000F69AD" w:rsidRPr="00603805" w:rsidRDefault="000F69AD" w:rsidP="000F69AD">
      <w:pPr>
        <w:rPr>
          <w:sz w:val="20"/>
          <w:szCs w:val="20"/>
          <w:lang w:val="fr-CA"/>
        </w:rPr>
      </w:pPr>
    </w:p>
    <w:p w:rsidR="000F69AD" w:rsidRDefault="007C5411" w:rsidP="000F69AD">
      <w:pPr>
        <w:rPr>
          <w:sz w:val="20"/>
          <w:szCs w:val="20"/>
        </w:rPr>
      </w:pPr>
      <w:r>
        <w:rPr>
          <w:sz w:val="20"/>
          <w:szCs w:val="20"/>
          <w:lang w:val="fr-CA"/>
        </w:rPr>
        <w:pict>
          <v:rect id="_x0000_i1055" style="width:2in;height:1pt" o:hrpct="0" o:hralign="center" o:hrstd="t" o:hrnoshade="t" o:hr="t" fillcolor="black [3213]" stroked="f"/>
        </w:pict>
      </w:r>
    </w:p>
    <w:p w:rsidR="000F69AD" w:rsidRDefault="000F69AD" w:rsidP="000F69AD">
      <w:pPr>
        <w:rPr>
          <w:sz w:val="20"/>
          <w:szCs w:val="20"/>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E14C3" w:rsidRPr="002E14C3" w:rsidTr="003A5C99">
        <w:trPr>
          <w:cantSplit/>
        </w:trPr>
        <w:tc>
          <w:tcPr>
            <w:tcW w:w="1458" w:type="dxa"/>
          </w:tcPr>
          <w:p w:rsidR="002E14C3" w:rsidRPr="002E14C3" w:rsidRDefault="002E14C3" w:rsidP="002E14C3">
            <w:pPr>
              <w:rPr>
                <w:sz w:val="20"/>
              </w:rPr>
            </w:pPr>
            <w:r w:rsidRPr="002E14C3">
              <w:rPr>
                <w:b/>
                <w:sz w:val="20"/>
                <w:lang w:val="fr-CA"/>
              </w:rPr>
              <w:t>35588</w:t>
            </w:r>
          </w:p>
          <w:p w:rsidR="002E14C3" w:rsidRPr="002E14C3" w:rsidRDefault="002E14C3" w:rsidP="002E14C3">
            <w:pPr>
              <w:rPr>
                <w:b/>
                <w:sz w:val="20"/>
                <w:lang w:val="fr-CA"/>
              </w:rPr>
            </w:pPr>
          </w:p>
        </w:tc>
        <w:tc>
          <w:tcPr>
            <w:tcW w:w="8118" w:type="dxa"/>
          </w:tcPr>
          <w:p w:rsidR="002E14C3" w:rsidRPr="002E14C3" w:rsidRDefault="002E14C3" w:rsidP="002E14C3">
            <w:pPr>
              <w:rPr>
                <w:sz w:val="20"/>
              </w:rPr>
            </w:pPr>
            <w:r w:rsidRPr="002E14C3">
              <w:rPr>
                <w:b/>
                <w:sz w:val="20"/>
                <w:u w:val="single"/>
              </w:rPr>
              <w:t>Larry Peter Klippenstein v. Manitoba Human Rights Commission</w:t>
            </w:r>
            <w:r w:rsidRPr="002E14C3">
              <w:rPr>
                <w:sz w:val="20"/>
              </w:rPr>
              <w:t xml:space="preserve"> (Man.) (Civil) (By Leave)</w:t>
            </w:r>
          </w:p>
          <w:p w:rsidR="002E14C3" w:rsidRPr="002E14C3" w:rsidRDefault="002E14C3" w:rsidP="002E14C3">
            <w:pPr>
              <w:rPr>
                <w:sz w:val="20"/>
              </w:rPr>
            </w:pPr>
          </w:p>
        </w:tc>
      </w:tr>
      <w:tr w:rsidR="002E14C3" w:rsidRPr="002E14C3" w:rsidTr="003A5C99">
        <w:trPr>
          <w:cantSplit/>
        </w:trPr>
        <w:tc>
          <w:tcPr>
            <w:tcW w:w="1458" w:type="dxa"/>
          </w:tcPr>
          <w:p w:rsidR="002E14C3" w:rsidRPr="002E14C3" w:rsidRDefault="002E14C3" w:rsidP="002E14C3">
            <w:pPr>
              <w:rPr>
                <w:sz w:val="20"/>
              </w:rPr>
            </w:pPr>
            <w:r w:rsidRPr="002E14C3">
              <w:rPr>
                <w:sz w:val="20"/>
              </w:rPr>
              <w:t>Coram :</w:t>
            </w:r>
          </w:p>
        </w:tc>
        <w:tc>
          <w:tcPr>
            <w:tcW w:w="8118" w:type="dxa"/>
          </w:tcPr>
          <w:p w:rsidR="002E14C3" w:rsidRPr="002E14C3" w:rsidRDefault="002E14C3" w:rsidP="002E14C3">
            <w:pPr>
              <w:rPr>
                <w:sz w:val="20"/>
              </w:rPr>
            </w:pPr>
            <w:r w:rsidRPr="002E14C3">
              <w:rPr>
                <w:sz w:val="20"/>
                <w:u w:val="single"/>
              </w:rPr>
              <w:t>McLachlin C.J. and Cromwell and Wagner JJ.</w:t>
            </w:r>
          </w:p>
          <w:p w:rsidR="002E14C3" w:rsidRPr="002E14C3" w:rsidRDefault="002E14C3" w:rsidP="002E14C3">
            <w:pPr>
              <w:rPr>
                <w:sz w:val="20"/>
                <w:u w:val="single"/>
              </w:rPr>
            </w:pPr>
          </w:p>
        </w:tc>
      </w:tr>
      <w:tr w:rsidR="002E14C3" w:rsidRPr="007C5411" w:rsidTr="003A5C99">
        <w:trPr>
          <w:cantSplit/>
        </w:trPr>
        <w:tc>
          <w:tcPr>
            <w:tcW w:w="9576" w:type="dxa"/>
            <w:gridSpan w:val="2"/>
          </w:tcPr>
          <w:p w:rsidR="002E14C3" w:rsidRPr="002E14C3" w:rsidRDefault="002E14C3" w:rsidP="002E14C3">
            <w:pPr>
              <w:ind w:firstLine="720"/>
              <w:jc w:val="both"/>
              <w:rPr>
                <w:sz w:val="20"/>
              </w:rPr>
            </w:pPr>
            <w:r w:rsidRPr="002E14C3">
              <w:rPr>
                <w:sz w:val="20"/>
              </w:rPr>
              <w:t>The motion for an extension of time to serve and file the motion to apply for review and the motion to review the registrar’s decision to send back the application for leave to appeal are dismissed.  The application for leave to appeal from the judgment of the Court of Appeal of Manitoba, Number AI 12-30-07853, 2013 MBCA 1, dated January 14, 2013, is dismissed without costs.</w:t>
            </w:r>
          </w:p>
          <w:p w:rsidR="002E14C3" w:rsidRPr="002E14C3" w:rsidRDefault="002E14C3" w:rsidP="002E14C3">
            <w:pPr>
              <w:jc w:val="both"/>
              <w:rPr>
                <w:sz w:val="20"/>
              </w:rPr>
            </w:pPr>
          </w:p>
          <w:p w:rsidR="002E14C3" w:rsidRPr="002E14C3" w:rsidRDefault="002E14C3" w:rsidP="002E14C3">
            <w:pPr>
              <w:ind w:firstLine="720"/>
              <w:jc w:val="both"/>
              <w:rPr>
                <w:sz w:val="20"/>
                <w:lang w:val="fr-CA"/>
              </w:rPr>
            </w:pPr>
            <w:r w:rsidRPr="002E14C3">
              <w:rPr>
                <w:sz w:val="20"/>
                <w:lang w:val="fr-CA"/>
              </w:rPr>
              <w:t>La requête en prorogation du délai de signification et de dépôt de la requête en révision ainsi que la requête en révision de la décision du registraire de retourner la demande d’autorisation d’appel sont rejetées.  La demande d’autorisation d’appel de l’arrêt de la Cour d’appel du Manitoba, numéro AI 12-30-07853, 2013 MBCA 1, daté du 14 janvier 2013, est rejetée sans dépens.</w:t>
            </w:r>
          </w:p>
        </w:tc>
      </w:tr>
    </w:tbl>
    <w:p w:rsidR="000F69AD" w:rsidRPr="002E14C3" w:rsidRDefault="000F69AD" w:rsidP="000F69AD">
      <w:pPr>
        <w:rPr>
          <w:sz w:val="20"/>
          <w:szCs w:val="20"/>
          <w:lang w:val="fr-CA"/>
        </w:rPr>
      </w:pPr>
    </w:p>
    <w:p w:rsidR="000F69AD" w:rsidRPr="001B157C" w:rsidRDefault="000F69AD" w:rsidP="000F69AD">
      <w:pPr>
        <w:rPr>
          <w:sz w:val="20"/>
          <w:szCs w:val="20"/>
          <w:u w:val="single"/>
        </w:rPr>
      </w:pPr>
      <w:r w:rsidRPr="001B157C">
        <w:rPr>
          <w:sz w:val="20"/>
          <w:szCs w:val="20"/>
          <w:u w:val="single"/>
        </w:rPr>
        <w:t>CASE SUMMARY</w:t>
      </w:r>
    </w:p>
    <w:p w:rsidR="000F69AD" w:rsidRDefault="000F69AD" w:rsidP="000F69A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57F04" w:rsidRPr="00073183" w:rsidTr="00E90160">
        <w:tc>
          <w:tcPr>
            <w:tcW w:w="5000" w:type="pct"/>
            <w:gridSpan w:val="3"/>
          </w:tcPr>
          <w:p w:rsidR="00F57F04" w:rsidRPr="00073183" w:rsidRDefault="00F57F04" w:rsidP="00E90160">
            <w:pPr>
              <w:jc w:val="both"/>
              <w:rPr>
                <w:rFonts w:eastAsia="Calibri"/>
                <w:sz w:val="20"/>
              </w:rPr>
            </w:pPr>
            <w:r w:rsidRPr="00073183">
              <w:rPr>
                <w:rFonts w:eastAsia="Calibri"/>
                <w:i/>
                <w:sz w:val="20"/>
              </w:rPr>
              <w:t>Charter of Rights</w:t>
            </w:r>
            <w:r w:rsidRPr="00073183">
              <w:rPr>
                <w:rFonts w:eastAsia="Calibri"/>
                <w:sz w:val="20"/>
              </w:rPr>
              <w:t xml:space="preserve"> – Freedom of religion – Right to equality – Civil procedure – Stay – Applicant’s action against respondent stayed pending submission of affidavit from psychiatrist regarding applicant’s mental health status – Whether motions judge ought to have recused himself – Whether applicant’s </w:t>
            </w:r>
            <w:r w:rsidRPr="00073183">
              <w:rPr>
                <w:rFonts w:eastAsia="Calibri"/>
                <w:i/>
                <w:sz w:val="20"/>
              </w:rPr>
              <w:t>Charter</w:t>
            </w:r>
            <w:r w:rsidRPr="00073183">
              <w:rPr>
                <w:rFonts w:eastAsia="Calibri"/>
                <w:sz w:val="20"/>
              </w:rPr>
              <w:t xml:space="preserve"> rights violated</w:t>
            </w:r>
          </w:p>
        </w:tc>
      </w:tr>
      <w:tr w:rsidR="00F57F04" w:rsidRPr="00073183" w:rsidTr="00E90160">
        <w:tc>
          <w:tcPr>
            <w:tcW w:w="5000" w:type="pct"/>
            <w:gridSpan w:val="3"/>
          </w:tcPr>
          <w:p w:rsidR="00F57F04" w:rsidRPr="00073183" w:rsidRDefault="00F57F04" w:rsidP="00E90160">
            <w:pPr>
              <w:jc w:val="both"/>
              <w:rPr>
                <w:rFonts w:eastAsia="Calibri"/>
                <w:sz w:val="20"/>
              </w:rPr>
            </w:pPr>
          </w:p>
        </w:tc>
      </w:tr>
      <w:tr w:rsidR="00F57F04" w:rsidRPr="00073183" w:rsidTr="00E90160">
        <w:trPr>
          <w:trHeight w:val="1728"/>
        </w:trPr>
        <w:tc>
          <w:tcPr>
            <w:tcW w:w="5000" w:type="pct"/>
            <w:gridSpan w:val="3"/>
          </w:tcPr>
          <w:p w:rsidR="00F57F04" w:rsidRPr="00073183" w:rsidRDefault="00F57F04" w:rsidP="00E90160">
            <w:pPr>
              <w:jc w:val="both"/>
              <w:rPr>
                <w:rFonts w:eastAsia="Calibri"/>
                <w:sz w:val="20"/>
              </w:rPr>
            </w:pPr>
            <w:r w:rsidRPr="00073183">
              <w:rPr>
                <w:rFonts w:eastAsia="Calibri"/>
                <w:sz w:val="20"/>
              </w:rPr>
              <w:t>Mr. Klippenstein sued the Manitoba Human Rights Commission claiming compensation and damages as a result of the alleged incompetent handling of a complaint he made in 2010.  He claimed that he was denied government services that should have been made available to him as a disabled person, including legal aid.  In 2012, he brought several interlocutory motions including one to have various judges disqualified from hearing parts of his case on the grounds of bias.  He claimed to be a vulnerable person entitled to legal representation due to his mental disability.  His action was stayed and he was asked to submit evidence of mental disability.</w:t>
            </w:r>
          </w:p>
          <w:p w:rsidR="00F57F04" w:rsidRPr="00073183" w:rsidRDefault="00F57F04" w:rsidP="00E90160">
            <w:pPr>
              <w:jc w:val="both"/>
              <w:rPr>
                <w:rFonts w:eastAsia="Calibri"/>
                <w:sz w:val="20"/>
              </w:rPr>
            </w:pPr>
          </w:p>
        </w:tc>
      </w:tr>
      <w:tr w:rsidR="00F57F04" w:rsidRPr="00073183" w:rsidTr="00E90160">
        <w:tc>
          <w:tcPr>
            <w:tcW w:w="2427" w:type="pct"/>
          </w:tcPr>
          <w:p w:rsidR="00F57F04" w:rsidRPr="00073183" w:rsidRDefault="00F57F04" w:rsidP="00E90160">
            <w:pPr>
              <w:jc w:val="both"/>
              <w:rPr>
                <w:rFonts w:eastAsia="Calibri"/>
                <w:sz w:val="20"/>
              </w:rPr>
            </w:pPr>
            <w:r w:rsidRPr="00073183">
              <w:rPr>
                <w:rFonts w:eastAsia="Calibri"/>
                <w:sz w:val="20"/>
              </w:rPr>
              <w:t>September 27, 2012</w:t>
            </w:r>
          </w:p>
          <w:p w:rsidR="00F57F04" w:rsidRPr="00073183" w:rsidRDefault="00F57F04" w:rsidP="00E90160">
            <w:pPr>
              <w:jc w:val="both"/>
              <w:rPr>
                <w:rFonts w:eastAsia="Calibri"/>
                <w:sz w:val="20"/>
              </w:rPr>
            </w:pPr>
            <w:r w:rsidRPr="00073183">
              <w:rPr>
                <w:rFonts w:eastAsia="Calibri"/>
                <w:sz w:val="20"/>
              </w:rPr>
              <w:t>Court of Queen’s Bench of Manitoba</w:t>
            </w:r>
          </w:p>
          <w:p w:rsidR="00F57F04" w:rsidRPr="00073183" w:rsidRDefault="00F57F04" w:rsidP="00E90160">
            <w:pPr>
              <w:jc w:val="both"/>
              <w:rPr>
                <w:rFonts w:eastAsia="Calibri"/>
                <w:sz w:val="20"/>
              </w:rPr>
            </w:pPr>
            <w:r w:rsidRPr="00073183">
              <w:rPr>
                <w:rFonts w:eastAsia="Calibri"/>
                <w:sz w:val="20"/>
              </w:rPr>
              <w:t>(Dewar J.)</w:t>
            </w:r>
          </w:p>
          <w:p w:rsidR="00F57F04" w:rsidRPr="00073183" w:rsidRDefault="00F57F04" w:rsidP="00E90160">
            <w:pPr>
              <w:jc w:val="both"/>
              <w:rPr>
                <w:rFonts w:eastAsia="Calibri"/>
                <w:sz w:val="20"/>
              </w:rPr>
            </w:pPr>
            <w:r w:rsidRPr="00073183">
              <w:rPr>
                <w:rFonts w:eastAsia="Calibri"/>
                <w:sz w:val="20"/>
              </w:rPr>
              <w:t>2012 MBQB 262</w:t>
            </w:r>
          </w:p>
          <w:p w:rsidR="00F57F04" w:rsidRPr="00073183" w:rsidRDefault="00F57F04" w:rsidP="00E90160">
            <w:pPr>
              <w:jc w:val="both"/>
              <w:rPr>
                <w:rFonts w:eastAsia="Calibri"/>
                <w:sz w:val="20"/>
              </w:rPr>
            </w:pPr>
          </w:p>
        </w:tc>
        <w:tc>
          <w:tcPr>
            <w:tcW w:w="243" w:type="pct"/>
          </w:tcPr>
          <w:p w:rsidR="00F57F04" w:rsidRPr="00073183" w:rsidRDefault="00F57F04" w:rsidP="00E90160">
            <w:pPr>
              <w:jc w:val="both"/>
              <w:rPr>
                <w:rFonts w:eastAsia="Calibri"/>
                <w:sz w:val="20"/>
              </w:rPr>
            </w:pPr>
          </w:p>
        </w:tc>
        <w:tc>
          <w:tcPr>
            <w:tcW w:w="2330" w:type="pct"/>
          </w:tcPr>
          <w:p w:rsidR="00F57F04" w:rsidRPr="00073183" w:rsidRDefault="00F57F04" w:rsidP="00E90160">
            <w:pPr>
              <w:jc w:val="both"/>
              <w:rPr>
                <w:rFonts w:eastAsia="Calibri"/>
                <w:sz w:val="20"/>
              </w:rPr>
            </w:pPr>
            <w:r w:rsidRPr="00073183">
              <w:rPr>
                <w:rFonts w:eastAsia="Calibri"/>
                <w:sz w:val="20"/>
              </w:rPr>
              <w:t>Applicant’s motion to have several judges disqualified dismissed.   Stay of proceedings</w:t>
            </w:r>
          </w:p>
          <w:p w:rsidR="00F57F04" w:rsidRPr="00073183" w:rsidRDefault="00F57F04" w:rsidP="00E90160">
            <w:pPr>
              <w:jc w:val="both"/>
              <w:rPr>
                <w:rFonts w:eastAsia="Calibri"/>
                <w:sz w:val="20"/>
              </w:rPr>
            </w:pPr>
            <w:r w:rsidRPr="00073183">
              <w:rPr>
                <w:rFonts w:eastAsia="Calibri"/>
                <w:sz w:val="20"/>
              </w:rPr>
              <w:t>ordered in applicant’s action to continue.</w:t>
            </w:r>
          </w:p>
          <w:p w:rsidR="00F57F04" w:rsidRPr="00073183" w:rsidRDefault="00F57F04" w:rsidP="00E90160">
            <w:pPr>
              <w:jc w:val="both"/>
              <w:rPr>
                <w:rFonts w:eastAsia="Calibri"/>
                <w:sz w:val="20"/>
              </w:rPr>
            </w:pPr>
          </w:p>
        </w:tc>
      </w:tr>
      <w:tr w:rsidR="00F57F04" w:rsidRPr="00073183" w:rsidTr="00E90160">
        <w:tc>
          <w:tcPr>
            <w:tcW w:w="2427" w:type="pct"/>
          </w:tcPr>
          <w:p w:rsidR="00F57F04" w:rsidRPr="00073183" w:rsidRDefault="00F57F04" w:rsidP="00E90160">
            <w:pPr>
              <w:jc w:val="both"/>
              <w:rPr>
                <w:rFonts w:eastAsia="Calibri"/>
                <w:sz w:val="20"/>
              </w:rPr>
            </w:pPr>
            <w:r w:rsidRPr="00073183">
              <w:rPr>
                <w:rFonts w:eastAsia="Calibri"/>
                <w:sz w:val="20"/>
              </w:rPr>
              <w:lastRenderedPageBreak/>
              <w:t>January 14, 2013</w:t>
            </w:r>
          </w:p>
          <w:p w:rsidR="00F57F04" w:rsidRPr="00073183" w:rsidRDefault="00F57F04" w:rsidP="00E90160">
            <w:pPr>
              <w:jc w:val="both"/>
              <w:rPr>
                <w:rFonts w:eastAsia="Calibri"/>
                <w:sz w:val="20"/>
              </w:rPr>
            </w:pPr>
            <w:r w:rsidRPr="00073183">
              <w:rPr>
                <w:rFonts w:eastAsia="Calibri"/>
                <w:sz w:val="20"/>
              </w:rPr>
              <w:t>Court of Appeal of Manitoba</w:t>
            </w:r>
          </w:p>
          <w:p w:rsidR="00F57F04" w:rsidRPr="00073183" w:rsidRDefault="00F57F04" w:rsidP="00E90160">
            <w:pPr>
              <w:jc w:val="both"/>
              <w:rPr>
                <w:rFonts w:eastAsia="Calibri"/>
                <w:sz w:val="20"/>
              </w:rPr>
            </w:pPr>
            <w:r w:rsidRPr="00073183">
              <w:rPr>
                <w:rFonts w:eastAsia="Calibri"/>
                <w:sz w:val="20"/>
              </w:rPr>
              <w:t>(Scott C.J.M.)</w:t>
            </w:r>
          </w:p>
          <w:p w:rsidR="00F57F04" w:rsidRPr="00073183" w:rsidRDefault="00F57F04" w:rsidP="00E90160">
            <w:pPr>
              <w:jc w:val="both"/>
              <w:rPr>
                <w:rFonts w:eastAsia="Calibri"/>
                <w:sz w:val="20"/>
              </w:rPr>
            </w:pPr>
            <w:r w:rsidRPr="00073183">
              <w:rPr>
                <w:rFonts w:eastAsia="Calibri"/>
                <w:sz w:val="20"/>
              </w:rPr>
              <w:t>2013 MBCA 1</w:t>
            </w:r>
          </w:p>
          <w:p w:rsidR="00F57F04" w:rsidRPr="00073183" w:rsidRDefault="00F57F04" w:rsidP="00E90160">
            <w:pPr>
              <w:jc w:val="both"/>
              <w:rPr>
                <w:rFonts w:eastAsia="Calibri"/>
                <w:sz w:val="20"/>
              </w:rPr>
            </w:pPr>
          </w:p>
        </w:tc>
        <w:tc>
          <w:tcPr>
            <w:tcW w:w="243" w:type="pct"/>
          </w:tcPr>
          <w:p w:rsidR="00F57F04" w:rsidRPr="00073183" w:rsidRDefault="00F57F04" w:rsidP="00E90160">
            <w:pPr>
              <w:jc w:val="both"/>
              <w:rPr>
                <w:rFonts w:eastAsia="Calibri"/>
                <w:sz w:val="20"/>
              </w:rPr>
            </w:pPr>
          </w:p>
        </w:tc>
        <w:tc>
          <w:tcPr>
            <w:tcW w:w="2330" w:type="pct"/>
          </w:tcPr>
          <w:p w:rsidR="00F57F04" w:rsidRPr="00073183" w:rsidRDefault="00F57F04" w:rsidP="00E90160">
            <w:pPr>
              <w:jc w:val="both"/>
              <w:rPr>
                <w:rFonts w:eastAsia="Calibri"/>
                <w:sz w:val="20"/>
              </w:rPr>
            </w:pPr>
            <w:r w:rsidRPr="00073183">
              <w:rPr>
                <w:rFonts w:eastAsia="Calibri"/>
                <w:sz w:val="20"/>
              </w:rPr>
              <w:t>Applicant’s appeal stayed until further order of the court.</w:t>
            </w:r>
          </w:p>
        </w:tc>
      </w:tr>
      <w:tr w:rsidR="00F57F04" w:rsidRPr="00073183" w:rsidTr="00E90160">
        <w:tc>
          <w:tcPr>
            <w:tcW w:w="2427" w:type="pct"/>
          </w:tcPr>
          <w:p w:rsidR="00F57F04" w:rsidRPr="00073183" w:rsidRDefault="00F57F04" w:rsidP="00E90160">
            <w:pPr>
              <w:jc w:val="both"/>
              <w:rPr>
                <w:rFonts w:eastAsia="Calibri"/>
                <w:sz w:val="20"/>
              </w:rPr>
            </w:pPr>
            <w:r w:rsidRPr="00073183">
              <w:rPr>
                <w:rFonts w:eastAsia="Calibri"/>
                <w:sz w:val="20"/>
              </w:rPr>
              <w:t>January 25, 2013</w:t>
            </w:r>
          </w:p>
          <w:p w:rsidR="00F57F04" w:rsidRPr="00073183" w:rsidRDefault="00F57F04" w:rsidP="00E90160">
            <w:pPr>
              <w:jc w:val="both"/>
              <w:rPr>
                <w:rFonts w:eastAsia="Calibri"/>
                <w:sz w:val="20"/>
              </w:rPr>
            </w:pPr>
            <w:r w:rsidRPr="00073183">
              <w:rPr>
                <w:rFonts w:eastAsia="Calibri"/>
                <w:sz w:val="20"/>
              </w:rPr>
              <w:t>Supreme Court of Canada</w:t>
            </w:r>
          </w:p>
        </w:tc>
        <w:tc>
          <w:tcPr>
            <w:tcW w:w="243" w:type="pct"/>
          </w:tcPr>
          <w:p w:rsidR="00F57F04" w:rsidRPr="00073183" w:rsidRDefault="00F57F04" w:rsidP="00E90160">
            <w:pPr>
              <w:jc w:val="both"/>
              <w:rPr>
                <w:rFonts w:eastAsia="Calibri"/>
                <w:sz w:val="20"/>
              </w:rPr>
            </w:pPr>
          </w:p>
        </w:tc>
        <w:tc>
          <w:tcPr>
            <w:tcW w:w="2330" w:type="pct"/>
          </w:tcPr>
          <w:p w:rsidR="00F57F04" w:rsidRPr="00073183" w:rsidRDefault="00F57F04" w:rsidP="00E90160">
            <w:pPr>
              <w:jc w:val="both"/>
              <w:rPr>
                <w:rFonts w:eastAsia="Calibri"/>
                <w:sz w:val="20"/>
              </w:rPr>
            </w:pPr>
            <w:r w:rsidRPr="00073183">
              <w:rPr>
                <w:rFonts w:eastAsia="Calibri"/>
                <w:sz w:val="20"/>
              </w:rPr>
              <w:t>Application for leave to appeal filed.</w:t>
            </w:r>
          </w:p>
          <w:p w:rsidR="00F57F04" w:rsidRPr="00073183" w:rsidRDefault="00F57F04" w:rsidP="00E90160">
            <w:pPr>
              <w:jc w:val="both"/>
              <w:rPr>
                <w:rFonts w:eastAsia="Calibri"/>
                <w:sz w:val="20"/>
              </w:rPr>
            </w:pPr>
          </w:p>
        </w:tc>
      </w:tr>
    </w:tbl>
    <w:p w:rsidR="000F69AD" w:rsidRDefault="000F69AD" w:rsidP="000F69AD">
      <w:pPr>
        <w:rPr>
          <w:sz w:val="20"/>
          <w:szCs w:val="20"/>
        </w:rPr>
      </w:pPr>
    </w:p>
    <w:p w:rsidR="000F69AD" w:rsidRPr="00C50A5C" w:rsidRDefault="007C5411" w:rsidP="000F69AD">
      <w:pPr>
        <w:rPr>
          <w:sz w:val="20"/>
          <w:szCs w:val="20"/>
        </w:rPr>
      </w:pPr>
      <w:r>
        <w:rPr>
          <w:sz w:val="20"/>
          <w:szCs w:val="20"/>
          <w:lang w:val="fr-CA"/>
        </w:rPr>
        <w:pict>
          <v:rect id="_x0000_i1056" style="width:2in;height:1pt" o:hrpct="0" o:hralign="center" o:hrstd="t" o:hrnoshade="t" o:hr="t" fillcolor="black [3213]" stroked="f"/>
        </w:pict>
      </w:r>
    </w:p>
    <w:p w:rsidR="000F69AD" w:rsidRDefault="000F69AD" w:rsidP="000F69AD">
      <w:pPr>
        <w:rPr>
          <w:sz w:val="20"/>
          <w:szCs w:val="20"/>
        </w:rPr>
      </w:pPr>
    </w:p>
    <w:p w:rsidR="000F69AD" w:rsidRPr="001B157C" w:rsidRDefault="000F69AD" w:rsidP="000F69AD">
      <w:pPr>
        <w:rPr>
          <w:sz w:val="20"/>
          <w:szCs w:val="20"/>
          <w:u w:val="single"/>
          <w:lang w:val="fr-CA"/>
        </w:rPr>
      </w:pPr>
      <w:r w:rsidRPr="001B157C">
        <w:rPr>
          <w:sz w:val="20"/>
          <w:szCs w:val="20"/>
          <w:u w:val="single"/>
          <w:lang w:val="fr-CA"/>
        </w:rPr>
        <w:t>RÉSUMÉ DE L’AFFAIRE</w:t>
      </w:r>
    </w:p>
    <w:p w:rsidR="000F69AD" w:rsidRDefault="000F69AD" w:rsidP="000F69A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57F04" w:rsidRPr="007C5411" w:rsidTr="00E90160">
        <w:tc>
          <w:tcPr>
            <w:tcW w:w="5000" w:type="pct"/>
            <w:gridSpan w:val="3"/>
          </w:tcPr>
          <w:p w:rsidR="00F57F04" w:rsidRPr="00073183" w:rsidRDefault="00F57F04" w:rsidP="00E90160">
            <w:pPr>
              <w:jc w:val="both"/>
              <w:rPr>
                <w:rFonts w:eastAsia="Calibri"/>
                <w:sz w:val="20"/>
                <w:lang w:val="fr-CA"/>
              </w:rPr>
            </w:pPr>
            <w:r w:rsidRPr="00073183">
              <w:rPr>
                <w:rFonts w:eastAsia="Calibri"/>
                <w:i/>
                <w:sz w:val="20"/>
                <w:lang w:val="fr-CA"/>
              </w:rPr>
              <w:t xml:space="preserve">Charte des droits </w:t>
            </w:r>
            <w:r w:rsidRPr="00073183">
              <w:rPr>
                <w:rFonts w:eastAsia="Calibri"/>
                <w:sz w:val="20"/>
                <w:lang w:val="fr-CA"/>
              </w:rPr>
              <w:t xml:space="preserve">– Liberté de religion – Droit à l'égalité – Procédure civile – Sursis – L'action du demandeur contre l'intimée a été suspendue en attendant la présentation de l’affidavit d'un psychiatre relativement à l'état de santé mentale du demandeur – Le juge de première instance aurait-il dû se récuser? – Les droits du demandeur garantis par la </w:t>
            </w:r>
            <w:r w:rsidRPr="00073183">
              <w:rPr>
                <w:rFonts w:eastAsia="Calibri"/>
                <w:i/>
                <w:sz w:val="20"/>
                <w:lang w:val="fr-CA"/>
              </w:rPr>
              <w:t>Charte</w:t>
            </w:r>
            <w:r w:rsidRPr="00073183">
              <w:rPr>
                <w:rFonts w:eastAsia="Calibri"/>
                <w:sz w:val="20"/>
                <w:lang w:val="fr-CA"/>
              </w:rPr>
              <w:t xml:space="preserve"> ont-ils été violés?</w:t>
            </w:r>
          </w:p>
        </w:tc>
      </w:tr>
      <w:tr w:rsidR="00F57F04" w:rsidRPr="007C5411" w:rsidTr="00E90160">
        <w:tc>
          <w:tcPr>
            <w:tcW w:w="5000" w:type="pct"/>
            <w:gridSpan w:val="3"/>
          </w:tcPr>
          <w:p w:rsidR="00F57F04" w:rsidRPr="00073183" w:rsidRDefault="00F57F04" w:rsidP="00E90160">
            <w:pPr>
              <w:jc w:val="both"/>
              <w:rPr>
                <w:rFonts w:eastAsia="Calibri"/>
                <w:sz w:val="20"/>
                <w:lang w:val="fr-CA"/>
              </w:rPr>
            </w:pPr>
          </w:p>
        </w:tc>
      </w:tr>
      <w:tr w:rsidR="00F57F04" w:rsidRPr="007C5411" w:rsidTr="00E90160">
        <w:trPr>
          <w:trHeight w:val="1728"/>
        </w:trPr>
        <w:tc>
          <w:tcPr>
            <w:tcW w:w="5000" w:type="pct"/>
            <w:gridSpan w:val="3"/>
          </w:tcPr>
          <w:p w:rsidR="00F57F04" w:rsidRPr="00073183" w:rsidRDefault="00F57F04" w:rsidP="00E90160">
            <w:pPr>
              <w:jc w:val="both"/>
              <w:rPr>
                <w:rFonts w:eastAsia="Calibri"/>
                <w:sz w:val="20"/>
                <w:lang w:val="fr-CA"/>
              </w:rPr>
            </w:pPr>
            <w:r w:rsidRPr="00073183">
              <w:rPr>
                <w:rFonts w:eastAsia="Calibri"/>
                <w:sz w:val="20"/>
                <w:lang w:val="fr-CA"/>
              </w:rPr>
              <w:t>Monsieur Klippenstein a poursuivi la Commission des droits de la personne du Manitoba, réclamant une indemnité et des dommages-intérêts à la suite d'une plainte qu'il avait déposée en 2010 et qui, selon lui, aurait été traitée de façon incompétente.  Il allègue avoir été privé de services gouvernementaux qui auraient dû lui être offerts en tant que personne handicapée, notamment de l’aide juridique.  En 2012, il a présenté plusieurs requêtes interlocutoires, y compris une requête visant à faire déclarer divers juges inhabiles à entendre des parties de sa cause en raison d'un parti pris.  Il alléguait être une personne vulnérable ayant le droit d'être représenté par un avocat en raison de son incapacité mentale.  Son action a été suspendue et on lui a demandé de présenter une preuve d'incapacité mentale.</w:t>
            </w:r>
          </w:p>
          <w:p w:rsidR="00F57F04" w:rsidRPr="00073183" w:rsidRDefault="00F57F04" w:rsidP="00E90160">
            <w:pPr>
              <w:jc w:val="both"/>
              <w:rPr>
                <w:rFonts w:eastAsia="Calibri"/>
                <w:sz w:val="20"/>
                <w:lang w:val="fr-CA"/>
              </w:rPr>
            </w:pPr>
          </w:p>
        </w:tc>
      </w:tr>
      <w:tr w:rsidR="00F57F04" w:rsidRPr="007C5411" w:rsidTr="00E90160">
        <w:tc>
          <w:tcPr>
            <w:tcW w:w="2427" w:type="pct"/>
          </w:tcPr>
          <w:p w:rsidR="00F57F04" w:rsidRPr="00073183" w:rsidRDefault="00F57F04" w:rsidP="00E90160">
            <w:pPr>
              <w:jc w:val="both"/>
              <w:rPr>
                <w:rFonts w:eastAsia="Calibri"/>
                <w:sz w:val="20"/>
                <w:lang w:val="fr-CA"/>
              </w:rPr>
            </w:pPr>
            <w:r w:rsidRPr="00073183">
              <w:rPr>
                <w:rFonts w:eastAsia="Calibri"/>
                <w:sz w:val="20"/>
                <w:lang w:val="fr-CA"/>
              </w:rPr>
              <w:t>27 septembre 2012</w:t>
            </w:r>
          </w:p>
          <w:p w:rsidR="00F57F04" w:rsidRPr="00073183" w:rsidRDefault="00F57F04" w:rsidP="00E90160">
            <w:pPr>
              <w:jc w:val="both"/>
              <w:rPr>
                <w:rFonts w:eastAsia="Calibri"/>
                <w:sz w:val="20"/>
                <w:lang w:val="fr-CA"/>
              </w:rPr>
            </w:pPr>
            <w:r w:rsidRPr="00073183">
              <w:rPr>
                <w:rFonts w:eastAsia="Calibri"/>
                <w:sz w:val="20"/>
                <w:lang w:val="fr-CA"/>
              </w:rPr>
              <w:t xml:space="preserve">Cour du Banc de la Reine du Manitoba </w:t>
            </w:r>
          </w:p>
          <w:p w:rsidR="00F57F04" w:rsidRPr="00073183" w:rsidRDefault="00F57F04" w:rsidP="00E90160">
            <w:pPr>
              <w:jc w:val="both"/>
              <w:rPr>
                <w:rFonts w:eastAsia="Calibri"/>
                <w:sz w:val="20"/>
                <w:lang w:val="fr-CA"/>
              </w:rPr>
            </w:pPr>
            <w:r w:rsidRPr="00073183">
              <w:rPr>
                <w:rFonts w:eastAsia="Calibri"/>
                <w:sz w:val="20"/>
                <w:lang w:val="fr-CA"/>
              </w:rPr>
              <w:t>(Juge Dewar)</w:t>
            </w:r>
          </w:p>
          <w:p w:rsidR="00F57F04" w:rsidRPr="00073183" w:rsidRDefault="00F57F04" w:rsidP="00E90160">
            <w:pPr>
              <w:jc w:val="both"/>
              <w:rPr>
                <w:rFonts w:eastAsia="Calibri"/>
                <w:sz w:val="20"/>
                <w:lang w:val="fr-CA"/>
              </w:rPr>
            </w:pPr>
            <w:r w:rsidRPr="00073183">
              <w:rPr>
                <w:rFonts w:eastAsia="Calibri"/>
                <w:sz w:val="20"/>
                <w:lang w:val="fr-CA"/>
              </w:rPr>
              <w:t>2012 MBQB 262</w:t>
            </w:r>
          </w:p>
          <w:p w:rsidR="00F57F04" w:rsidRPr="00073183" w:rsidRDefault="00F57F04" w:rsidP="00E90160">
            <w:pPr>
              <w:jc w:val="both"/>
              <w:rPr>
                <w:rFonts w:eastAsia="Calibri"/>
                <w:sz w:val="20"/>
                <w:lang w:val="fr-CA"/>
              </w:rPr>
            </w:pPr>
          </w:p>
        </w:tc>
        <w:tc>
          <w:tcPr>
            <w:tcW w:w="243" w:type="pct"/>
          </w:tcPr>
          <w:p w:rsidR="00F57F04" w:rsidRPr="00073183" w:rsidRDefault="00F57F04" w:rsidP="00E90160">
            <w:pPr>
              <w:jc w:val="both"/>
              <w:rPr>
                <w:rFonts w:eastAsia="Calibri"/>
                <w:sz w:val="20"/>
                <w:lang w:val="fr-CA"/>
              </w:rPr>
            </w:pPr>
          </w:p>
        </w:tc>
        <w:tc>
          <w:tcPr>
            <w:tcW w:w="2330" w:type="pct"/>
          </w:tcPr>
          <w:p w:rsidR="00F57F04" w:rsidRPr="00073183" w:rsidRDefault="00F57F04" w:rsidP="00E90160">
            <w:pPr>
              <w:jc w:val="both"/>
              <w:rPr>
                <w:rFonts w:eastAsia="Calibri"/>
                <w:sz w:val="20"/>
                <w:lang w:val="fr-CA"/>
              </w:rPr>
            </w:pPr>
            <w:r w:rsidRPr="00073183">
              <w:rPr>
                <w:rFonts w:eastAsia="Calibri"/>
                <w:sz w:val="20"/>
                <w:lang w:val="fr-CA"/>
              </w:rPr>
              <w:t>Requête du demandeur visant à faire déclarer plusieurs juges inhabiles, rejetée. Suspension des procédures ordonnée dans l’action en reprise d’instance du demandeur.</w:t>
            </w:r>
          </w:p>
          <w:p w:rsidR="00F57F04" w:rsidRPr="00073183" w:rsidRDefault="00F57F04" w:rsidP="00E90160">
            <w:pPr>
              <w:jc w:val="both"/>
              <w:rPr>
                <w:rFonts w:eastAsia="Calibri"/>
                <w:sz w:val="20"/>
                <w:lang w:val="fr-CA"/>
              </w:rPr>
            </w:pPr>
          </w:p>
        </w:tc>
      </w:tr>
      <w:tr w:rsidR="00F57F04" w:rsidRPr="007C5411" w:rsidTr="00E90160">
        <w:tc>
          <w:tcPr>
            <w:tcW w:w="2427" w:type="pct"/>
          </w:tcPr>
          <w:p w:rsidR="00F57F04" w:rsidRPr="00073183" w:rsidRDefault="00F57F04" w:rsidP="00E90160">
            <w:pPr>
              <w:jc w:val="both"/>
              <w:rPr>
                <w:rFonts w:eastAsia="Calibri"/>
                <w:sz w:val="20"/>
                <w:lang w:val="fr-CA"/>
              </w:rPr>
            </w:pPr>
            <w:r w:rsidRPr="00073183">
              <w:rPr>
                <w:rFonts w:eastAsia="Calibri"/>
                <w:sz w:val="20"/>
                <w:lang w:val="fr-CA"/>
              </w:rPr>
              <w:t>14 janvier 2013</w:t>
            </w:r>
          </w:p>
          <w:p w:rsidR="00F57F04" w:rsidRPr="00073183" w:rsidRDefault="00F57F04" w:rsidP="00E90160">
            <w:pPr>
              <w:jc w:val="both"/>
              <w:rPr>
                <w:rFonts w:eastAsia="Calibri"/>
                <w:sz w:val="20"/>
                <w:lang w:val="fr-CA"/>
              </w:rPr>
            </w:pPr>
            <w:r w:rsidRPr="00073183">
              <w:rPr>
                <w:rFonts w:eastAsia="Calibri"/>
                <w:sz w:val="20"/>
                <w:lang w:val="fr-CA"/>
              </w:rPr>
              <w:t>Cour d'appel du Manitoba</w:t>
            </w:r>
          </w:p>
          <w:p w:rsidR="00F57F04" w:rsidRPr="00073183" w:rsidRDefault="00F57F04" w:rsidP="00E90160">
            <w:pPr>
              <w:jc w:val="both"/>
              <w:rPr>
                <w:rFonts w:eastAsia="Calibri"/>
                <w:sz w:val="20"/>
                <w:lang w:val="fr-CA"/>
              </w:rPr>
            </w:pPr>
            <w:r w:rsidRPr="00073183">
              <w:rPr>
                <w:rFonts w:eastAsia="Calibri"/>
                <w:sz w:val="20"/>
                <w:lang w:val="fr-CA"/>
              </w:rPr>
              <w:t>(Juge en chef Scott)</w:t>
            </w:r>
          </w:p>
          <w:p w:rsidR="00F57F04" w:rsidRPr="00073183" w:rsidRDefault="00F57F04" w:rsidP="00E90160">
            <w:pPr>
              <w:jc w:val="both"/>
              <w:rPr>
                <w:rFonts w:eastAsia="Calibri"/>
                <w:sz w:val="20"/>
                <w:lang w:val="fr-CA"/>
              </w:rPr>
            </w:pPr>
            <w:r w:rsidRPr="00073183">
              <w:rPr>
                <w:rFonts w:eastAsia="Calibri"/>
                <w:sz w:val="20"/>
                <w:lang w:val="fr-CA"/>
              </w:rPr>
              <w:t>2013 MBCA 1</w:t>
            </w:r>
          </w:p>
          <w:p w:rsidR="00F57F04" w:rsidRPr="00073183" w:rsidRDefault="00F57F04" w:rsidP="00E90160">
            <w:pPr>
              <w:jc w:val="both"/>
              <w:rPr>
                <w:rFonts w:eastAsia="Calibri"/>
                <w:sz w:val="20"/>
                <w:lang w:val="fr-CA"/>
              </w:rPr>
            </w:pPr>
          </w:p>
        </w:tc>
        <w:tc>
          <w:tcPr>
            <w:tcW w:w="243" w:type="pct"/>
          </w:tcPr>
          <w:p w:rsidR="00F57F04" w:rsidRPr="00073183" w:rsidRDefault="00F57F04" w:rsidP="00E90160">
            <w:pPr>
              <w:jc w:val="both"/>
              <w:rPr>
                <w:rFonts w:eastAsia="Calibri"/>
                <w:sz w:val="20"/>
                <w:lang w:val="fr-CA"/>
              </w:rPr>
            </w:pPr>
          </w:p>
        </w:tc>
        <w:tc>
          <w:tcPr>
            <w:tcW w:w="2330" w:type="pct"/>
          </w:tcPr>
          <w:p w:rsidR="00F57F04" w:rsidRPr="00073183" w:rsidRDefault="00F57F04" w:rsidP="00E90160">
            <w:pPr>
              <w:jc w:val="both"/>
              <w:rPr>
                <w:rFonts w:eastAsia="Calibri"/>
                <w:sz w:val="20"/>
                <w:lang w:val="fr-CA"/>
              </w:rPr>
            </w:pPr>
            <w:r w:rsidRPr="00073183">
              <w:rPr>
                <w:rFonts w:eastAsia="Calibri"/>
                <w:sz w:val="20"/>
                <w:lang w:val="fr-CA"/>
              </w:rPr>
              <w:t>Appel du demandeur suspendu jusqu'à nouvel ordre de la cour.</w:t>
            </w:r>
          </w:p>
        </w:tc>
      </w:tr>
      <w:tr w:rsidR="00F57F04" w:rsidRPr="00073183" w:rsidTr="00E90160">
        <w:tc>
          <w:tcPr>
            <w:tcW w:w="2427" w:type="pct"/>
          </w:tcPr>
          <w:p w:rsidR="00F57F04" w:rsidRPr="00073183" w:rsidRDefault="00F57F04" w:rsidP="00E90160">
            <w:pPr>
              <w:jc w:val="both"/>
              <w:rPr>
                <w:rFonts w:eastAsia="Calibri"/>
                <w:sz w:val="20"/>
                <w:lang w:val="fr-CA"/>
              </w:rPr>
            </w:pPr>
            <w:r w:rsidRPr="00073183">
              <w:rPr>
                <w:rFonts w:eastAsia="Calibri"/>
                <w:sz w:val="20"/>
                <w:lang w:val="fr-CA"/>
              </w:rPr>
              <w:t>25 janvier 2013</w:t>
            </w:r>
          </w:p>
          <w:p w:rsidR="00F57F04" w:rsidRPr="00073183" w:rsidRDefault="00F57F04" w:rsidP="00E90160">
            <w:pPr>
              <w:jc w:val="both"/>
              <w:rPr>
                <w:rFonts w:eastAsia="Calibri"/>
                <w:sz w:val="20"/>
                <w:lang w:val="fr-CA"/>
              </w:rPr>
            </w:pPr>
            <w:r w:rsidRPr="00073183">
              <w:rPr>
                <w:rFonts w:eastAsia="Calibri"/>
                <w:sz w:val="20"/>
                <w:lang w:val="fr-CA"/>
              </w:rPr>
              <w:t>Cour suprême du Canada</w:t>
            </w:r>
          </w:p>
        </w:tc>
        <w:tc>
          <w:tcPr>
            <w:tcW w:w="243" w:type="pct"/>
          </w:tcPr>
          <w:p w:rsidR="00F57F04" w:rsidRPr="00073183" w:rsidRDefault="00F57F04" w:rsidP="00E90160">
            <w:pPr>
              <w:jc w:val="both"/>
              <w:rPr>
                <w:rFonts w:eastAsia="Calibri"/>
                <w:sz w:val="20"/>
                <w:lang w:val="fr-CA"/>
              </w:rPr>
            </w:pPr>
          </w:p>
        </w:tc>
        <w:tc>
          <w:tcPr>
            <w:tcW w:w="2330" w:type="pct"/>
          </w:tcPr>
          <w:p w:rsidR="00F57F04" w:rsidRPr="00073183" w:rsidRDefault="00F57F04" w:rsidP="00E90160">
            <w:pPr>
              <w:jc w:val="both"/>
              <w:rPr>
                <w:rFonts w:eastAsia="Calibri"/>
                <w:sz w:val="20"/>
                <w:lang w:val="fr-CA"/>
              </w:rPr>
            </w:pPr>
            <w:r w:rsidRPr="00073183">
              <w:rPr>
                <w:rFonts w:eastAsia="Calibri"/>
                <w:sz w:val="20"/>
                <w:lang w:val="fr-CA"/>
              </w:rPr>
              <w:t>Demande d'autorisation d'appel, déposée.</w:t>
            </w:r>
          </w:p>
          <w:p w:rsidR="00F57F04" w:rsidRPr="00073183" w:rsidRDefault="00F57F04" w:rsidP="00E90160">
            <w:pPr>
              <w:jc w:val="both"/>
              <w:rPr>
                <w:rFonts w:eastAsia="Calibri"/>
                <w:sz w:val="20"/>
                <w:lang w:val="fr-CA"/>
              </w:rPr>
            </w:pPr>
          </w:p>
        </w:tc>
      </w:tr>
    </w:tbl>
    <w:p w:rsidR="000F69AD" w:rsidRDefault="000F69AD" w:rsidP="000F69AD">
      <w:pPr>
        <w:rPr>
          <w:sz w:val="20"/>
          <w:szCs w:val="20"/>
        </w:rPr>
      </w:pPr>
    </w:p>
    <w:p w:rsidR="000F69AD" w:rsidRDefault="007C5411" w:rsidP="000F69AD">
      <w:pPr>
        <w:rPr>
          <w:sz w:val="20"/>
          <w:szCs w:val="20"/>
        </w:rPr>
      </w:pPr>
      <w:r>
        <w:rPr>
          <w:sz w:val="20"/>
          <w:szCs w:val="20"/>
          <w:lang w:val="fr-CA"/>
        </w:rPr>
        <w:pict>
          <v:rect id="_x0000_i1057" style="width:2in;height:1pt" o:hrpct="0" o:hralign="center" o:hrstd="t" o:hrnoshade="t" o:hr="t" fillcolor="black [3213]" stroked="f"/>
        </w:pict>
      </w:r>
    </w:p>
    <w:p w:rsidR="000F69AD" w:rsidRDefault="000F69AD" w:rsidP="000F69AD">
      <w:pPr>
        <w:rPr>
          <w:sz w:val="20"/>
          <w:szCs w:val="20"/>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E14C3" w:rsidRPr="002E14C3" w:rsidTr="003A5C99">
        <w:trPr>
          <w:cantSplit/>
        </w:trPr>
        <w:tc>
          <w:tcPr>
            <w:tcW w:w="1458" w:type="dxa"/>
          </w:tcPr>
          <w:p w:rsidR="002E14C3" w:rsidRPr="002E14C3" w:rsidRDefault="002E14C3" w:rsidP="002E14C3">
            <w:pPr>
              <w:rPr>
                <w:sz w:val="20"/>
              </w:rPr>
            </w:pPr>
            <w:r w:rsidRPr="002E14C3">
              <w:rPr>
                <w:b/>
                <w:sz w:val="20"/>
                <w:lang w:val="fr-CA"/>
              </w:rPr>
              <w:t>35589</w:t>
            </w:r>
          </w:p>
          <w:p w:rsidR="002E14C3" w:rsidRPr="002E14C3" w:rsidRDefault="002E14C3" w:rsidP="002E14C3">
            <w:pPr>
              <w:rPr>
                <w:b/>
                <w:sz w:val="20"/>
                <w:lang w:val="fr-CA"/>
              </w:rPr>
            </w:pPr>
          </w:p>
        </w:tc>
        <w:tc>
          <w:tcPr>
            <w:tcW w:w="8118" w:type="dxa"/>
          </w:tcPr>
          <w:p w:rsidR="002E14C3" w:rsidRPr="002E14C3" w:rsidRDefault="002E14C3" w:rsidP="002E14C3">
            <w:pPr>
              <w:jc w:val="both"/>
              <w:rPr>
                <w:sz w:val="20"/>
              </w:rPr>
            </w:pPr>
            <w:r w:rsidRPr="002E14C3">
              <w:rPr>
                <w:b/>
                <w:sz w:val="20"/>
                <w:u w:val="single"/>
              </w:rPr>
              <w:t>Gabriel Hunter Gibson v. Director of Adult Forensic Psychiatric Services and Attorney General of British Columbia</w:t>
            </w:r>
            <w:r w:rsidRPr="002E14C3">
              <w:rPr>
                <w:sz w:val="20"/>
              </w:rPr>
              <w:t xml:space="preserve"> (B.C.) (Civil) (By Leave)</w:t>
            </w:r>
          </w:p>
          <w:p w:rsidR="002E14C3" w:rsidRPr="002E14C3" w:rsidRDefault="002E14C3" w:rsidP="002E14C3">
            <w:pPr>
              <w:jc w:val="both"/>
              <w:rPr>
                <w:sz w:val="20"/>
              </w:rPr>
            </w:pPr>
          </w:p>
        </w:tc>
      </w:tr>
      <w:tr w:rsidR="002E14C3" w:rsidRPr="002E14C3" w:rsidTr="003A5C99">
        <w:trPr>
          <w:cantSplit/>
        </w:trPr>
        <w:tc>
          <w:tcPr>
            <w:tcW w:w="1458" w:type="dxa"/>
          </w:tcPr>
          <w:p w:rsidR="002E14C3" w:rsidRPr="002E14C3" w:rsidRDefault="002E14C3" w:rsidP="002E14C3">
            <w:pPr>
              <w:rPr>
                <w:sz w:val="20"/>
              </w:rPr>
            </w:pPr>
            <w:r w:rsidRPr="002E14C3">
              <w:rPr>
                <w:sz w:val="20"/>
              </w:rPr>
              <w:t>Coram :</w:t>
            </w:r>
          </w:p>
        </w:tc>
        <w:tc>
          <w:tcPr>
            <w:tcW w:w="8118" w:type="dxa"/>
          </w:tcPr>
          <w:p w:rsidR="002E14C3" w:rsidRPr="002E14C3" w:rsidRDefault="002E14C3" w:rsidP="002E14C3">
            <w:pPr>
              <w:rPr>
                <w:sz w:val="20"/>
              </w:rPr>
            </w:pPr>
            <w:r w:rsidRPr="002E14C3">
              <w:rPr>
                <w:sz w:val="20"/>
                <w:u w:val="single"/>
              </w:rPr>
              <w:t>McLachlin C.J. and Cromwell and Wagner JJ.</w:t>
            </w:r>
          </w:p>
          <w:p w:rsidR="002E14C3" w:rsidRPr="002E14C3" w:rsidRDefault="002E14C3" w:rsidP="002E14C3">
            <w:pPr>
              <w:rPr>
                <w:sz w:val="20"/>
                <w:u w:val="single"/>
              </w:rPr>
            </w:pPr>
          </w:p>
        </w:tc>
      </w:tr>
      <w:tr w:rsidR="002E14C3" w:rsidRPr="007C5411" w:rsidTr="003A5C99">
        <w:trPr>
          <w:cantSplit/>
        </w:trPr>
        <w:tc>
          <w:tcPr>
            <w:tcW w:w="9576" w:type="dxa"/>
            <w:gridSpan w:val="2"/>
          </w:tcPr>
          <w:p w:rsidR="002E14C3" w:rsidRPr="002E14C3" w:rsidRDefault="002E14C3" w:rsidP="002E14C3">
            <w:pPr>
              <w:ind w:firstLine="720"/>
              <w:jc w:val="both"/>
              <w:rPr>
                <w:sz w:val="20"/>
              </w:rPr>
            </w:pPr>
            <w:r w:rsidRPr="002E14C3">
              <w:rPr>
                <w:sz w:val="20"/>
              </w:rPr>
              <w:lastRenderedPageBreak/>
              <w:t>The motion for an extension of time to serve and file the application for leave to appeal is granted.  The application for leave to appeal from the judgment of the Court of Appeal for British Columbia (Vancouver), Number CA040209, 2012 BCCA 505, dated December 6, 2012, is dismissed without costs.</w:t>
            </w:r>
          </w:p>
          <w:p w:rsidR="002E14C3" w:rsidRPr="002E14C3" w:rsidRDefault="002E14C3" w:rsidP="002E14C3">
            <w:pPr>
              <w:jc w:val="both"/>
              <w:rPr>
                <w:sz w:val="20"/>
              </w:rPr>
            </w:pPr>
          </w:p>
          <w:p w:rsidR="002E14C3" w:rsidRPr="002E14C3" w:rsidRDefault="002E14C3" w:rsidP="002E14C3">
            <w:pPr>
              <w:ind w:firstLine="720"/>
              <w:jc w:val="both"/>
              <w:rPr>
                <w:sz w:val="20"/>
                <w:lang w:val="fr-CA"/>
              </w:rPr>
            </w:pPr>
            <w:r w:rsidRPr="002E14C3">
              <w:rPr>
                <w:sz w:val="20"/>
                <w:lang w:val="fr-CA"/>
              </w:rPr>
              <w:t>La requête en prorogation du délai de signification et de dépôt de la demande d’autorisation d’appel est accueillie. La demande d’autorisation d’appel de l’arrêt de la Cour d’appel de la Colombie-Britannique (Vancouver), numéro CA040209, 2012 BCCA 505, daté du 6 décembre 2012, est rejetée sans dépens.</w:t>
            </w:r>
          </w:p>
        </w:tc>
      </w:tr>
    </w:tbl>
    <w:p w:rsidR="000F69AD" w:rsidRPr="002E14C3" w:rsidRDefault="000F69AD" w:rsidP="000F69AD">
      <w:pPr>
        <w:rPr>
          <w:sz w:val="20"/>
          <w:szCs w:val="20"/>
          <w:lang w:val="fr-CA"/>
        </w:rPr>
      </w:pPr>
    </w:p>
    <w:p w:rsidR="000F69AD" w:rsidRPr="001B157C" w:rsidRDefault="000F69AD" w:rsidP="000F69AD">
      <w:pPr>
        <w:rPr>
          <w:sz w:val="20"/>
          <w:szCs w:val="20"/>
          <w:u w:val="single"/>
        </w:rPr>
      </w:pPr>
      <w:r w:rsidRPr="001B157C">
        <w:rPr>
          <w:sz w:val="20"/>
          <w:szCs w:val="20"/>
          <w:u w:val="single"/>
        </w:rPr>
        <w:t>CASE SUMMARY</w:t>
      </w:r>
    </w:p>
    <w:p w:rsidR="000F69AD" w:rsidRDefault="000F69AD" w:rsidP="000F69A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57F04" w:rsidRPr="00073183" w:rsidTr="00E90160">
        <w:tc>
          <w:tcPr>
            <w:tcW w:w="5000" w:type="pct"/>
            <w:gridSpan w:val="3"/>
          </w:tcPr>
          <w:p w:rsidR="00F57F04" w:rsidRPr="00073183" w:rsidRDefault="00F57F04" w:rsidP="00E90160">
            <w:pPr>
              <w:jc w:val="both"/>
              <w:rPr>
                <w:rFonts w:eastAsia="Calibri"/>
                <w:sz w:val="20"/>
              </w:rPr>
            </w:pPr>
            <w:r w:rsidRPr="00073183">
              <w:rPr>
                <w:rFonts w:eastAsia="Calibri"/>
                <w:sz w:val="20"/>
              </w:rPr>
              <w:t>Criminal law – Mental disorder – Applicant found to be not criminally responsible on account of mental disorder on charge of failing to comply with condition of recognizance – Applicant detained in psychiatric hospital under custodial disposition order – Whether Review Board’s custodial disposition orders unreasonable</w:t>
            </w:r>
          </w:p>
        </w:tc>
      </w:tr>
      <w:tr w:rsidR="00F57F04" w:rsidRPr="00073183" w:rsidTr="00E90160">
        <w:tc>
          <w:tcPr>
            <w:tcW w:w="5000" w:type="pct"/>
            <w:gridSpan w:val="3"/>
          </w:tcPr>
          <w:p w:rsidR="00F57F04" w:rsidRPr="00073183" w:rsidRDefault="00F57F04" w:rsidP="00E90160">
            <w:pPr>
              <w:jc w:val="both"/>
              <w:rPr>
                <w:rFonts w:eastAsia="Calibri"/>
                <w:sz w:val="20"/>
              </w:rPr>
            </w:pPr>
          </w:p>
        </w:tc>
      </w:tr>
      <w:tr w:rsidR="00F57F04" w:rsidRPr="00073183" w:rsidTr="00E90160">
        <w:tc>
          <w:tcPr>
            <w:tcW w:w="5000" w:type="pct"/>
            <w:gridSpan w:val="3"/>
          </w:tcPr>
          <w:p w:rsidR="00F57F04" w:rsidRPr="00073183" w:rsidRDefault="00F57F04" w:rsidP="00E90160">
            <w:pPr>
              <w:jc w:val="both"/>
              <w:rPr>
                <w:rFonts w:eastAsia="Calibri"/>
                <w:sz w:val="20"/>
              </w:rPr>
            </w:pPr>
            <w:r w:rsidRPr="00073183">
              <w:rPr>
                <w:rFonts w:eastAsia="Calibri"/>
                <w:sz w:val="20"/>
              </w:rPr>
              <w:t>In January, 2011, a provincial court found that Ms. Gibson was not criminally responsible on account of mental disorder on a charge of failing to comply with a condition of a recognizance.  In February, 2011 she was ordered into the custody of the Forensic Psychiatric Hospital.  This order was reviewed annually resulting in further custodial dispositions. Ms. Gibson appealed the custodial disposition order.</w:t>
            </w:r>
          </w:p>
          <w:p w:rsidR="00F57F04" w:rsidRPr="00073183" w:rsidRDefault="00F57F04" w:rsidP="00E90160">
            <w:pPr>
              <w:jc w:val="both"/>
              <w:rPr>
                <w:rFonts w:eastAsia="Calibri"/>
                <w:sz w:val="20"/>
              </w:rPr>
            </w:pPr>
          </w:p>
        </w:tc>
      </w:tr>
      <w:tr w:rsidR="00F57F04" w:rsidRPr="00073183" w:rsidTr="00E90160">
        <w:tc>
          <w:tcPr>
            <w:tcW w:w="2427" w:type="pct"/>
          </w:tcPr>
          <w:p w:rsidR="00F57F04" w:rsidRPr="00073183" w:rsidRDefault="00F57F04" w:rsidP="00E90160">
            <w:pPr>
              <w:jc w:val="both"/>
              <w:rPr>
                <w:rFonts w:eastAsia="Calibri"/>
                <w:sz w:val="20"/>
              </w:rPr>
            </w:pPr>
            <w:r w:rsidRPr="00073183">
              <w:rPr>
                <w:rFonts w:eastAsia="Calibri"/>
                <w:sz w:val="20"/>
              </w:rPr>
              <w:t>December 6, 2012</w:t>
            </w:r>
          </w:p>
          <w:p w:rsidR="00F57F04" w:rsidRPr="00073183" w:rsidRDefault="00F57F04" w:rsidP="00E90160">
            <w:pPr>
              <w:jc w:val="both"/>
              <w:rPr>
                <w:rFonts w:eastAsia="Calibri"/>
                <w:sz w:val="20"/>
              </w:rPr>
            </w:pPr>
            <w:r w:rsidRPr="00073183">
              <w:rPr>
                <w:rFonts w:eastAsia="Calibri"/>
                <w:sz w:val="20"/>
              </w:rPr>
              <w:t xml:space="preserve">Court of Appeal for British Columbia </w:t>
            </w:r>
          </w:p>
          <w:p w:rsidR="00F57F04" w:rsidRPr="00073183" w:rsidRDefault="00F57F04" w:rsidP="00E90160">
            <w:pPr>
              <w:jc w:val="both"/>
              <w:rPr>
                <w:rFonts w:eastAsia="Calibri"/>
                <w:sz w:val="20"/>
              </w:rPr>
            </w:pPr>
            <w:r w:rsidRPr="00073183">
              <w:rPr>
                <w:rFonts w:eastAsia="Calibri"/>
                <w:sz w:val="20"/>
              </w:rPr>
              <w:t>(Vancouver)</w:t>
            </w:r>
          </w:p>
          <w:p w:rsidR="00F57F04" w:rsidRPr="00073183" w:rsidRDefault="00F57F04" w:rsidP="00E90160">
            <w:pPr>
              <w:jc w:val="both"/>
              <w:rPr>
                <w:rFonts w:eastAsia="Calibri"/>
                <w:sz w:val="20"/>
              </w:rPr>
            </w:pPr>
            <w:r w:rsidRPr="00073183">
              <w:rPr>
                <w:rFonts w:eastAsia="Calibri"/>
                <w:sz w:val="20"/>
              </w:rPr>
              <w:t>(Saunders, Frankel and Mackenzie JJ.A.)</w:t>
            </w:r>
          </w:p>
          <w:p w:rsidR="00F57F04" w:rsidRPr="00073183" w:rsidRDefault="00F57F04" w:rsidP="00E90160">
            <w:pPr>
              <w:jc w:val="both"/>
              <w:rPr>
                <w:rFonts w:eastAsia="Calibri"/>
                <w:sz w:val="20"/>
              </w:rPr>
            </w:pPr>
          </w:p>
        </w:tc>
        <w:tc>
          <w:tcPr>
            <w:tcW w:w="243" w:type="pct"/>
          </w:tcPr>
          <w:p w:rsidR="00F57F04" w:rsidRPr="00073183" w:rsidRDefault="00F57F04" w:rsidP="00E90160">
            <w:pPr>
              <w:jc w:val="both"/>
              <w:rPr>
                <w:rFonts w:eastAsia="Calibri"/>
                <w:sz w:val="20"/>
              </w:rPr>
            </w:pPr>
          </w:p>
        </w:tc>
        <w:tc>
          <w:tcPr>
            <w:tcW w:w="2330" w:type="pct"/>
          </w:tcPr>
          <w:p w:rsidR="00F57F04" w:rsidRPr="00073183" w:rsidRDefault="00F57F04" w:rsidP="00E90160">
            <w:pPr>
              <w:jc w:val="both"/>
              <w:rPr>
                <w:rFonts w:eastAsia="Calibri"/>
                <w:sz w:val="20"/>
              </w:rPr>
            </w:pPr>
            <w:r w:rsidRPr="00073183">
              <w:rPr>
                <w:rFonts w:eastAsia="Calibri"/>
                <w:sz w:val="20"/>
              </w:rPr>
              <w:t>Applicant’s appeal from order of British Columbia Review Board ordering that she remain detained at the Forensic Psychiatric Hospital dismissed</w:t>
            </w:r>
          </w:p>
          <w:p w:rsidR="00F57F04" w:rsidRPr="00073183" w:rsidRDefault="00F57F04" w:rsidP="00E90160">
            <w:pPr>
              <w:jc w:val="both"/>
              <w:rPr>
                <w:rFonts w:eastAsia="Calibri"/>
                <w:sz w:val="20"/>
              </w:rPr>
            </w:pPr>
          </w:p>
        </w:tc>
      </w:tr>
      <w:tr w:rsidR="00F57F04" w:rsidRPr="00073183" w:rsidTr="00E90160">
        <w:tc>
          <w:tcPr>
            <w:tcW w:w="2427" w:type="pct"/>
          </w:tcPr>
          <w:p w:rsidR="00F57F04" w:rsidRPr="00073183" w:rsidRDefault="00F57F04" w:rsidP="00E90160">
            <w:pPr>
              <w:jc w:val="both"/>
              <w:rPr>
                <w:rFonts w:eastAsia="Calibri"/>
                <w:sz w:val="20"/>
              </w:rPr>
            </w:pPr>
            <w:r w:rsidRPr="00073183">
              <w:rPr>
                <w:rFonts w:eastAsia="Calibri"/>
                <w:sz w:val="20"/>
              </w:rPr>
              <w:t>July 9, 2013</w:t>
            </w:r>
          </w:p>
          <w:p w:rsidR="00F57F04" w:rsidRPr="00073183" w:rsidRDefault="00F57F04" w:rsidP="00E90160">
            <w:pPr>
              <w:jc w:val="both"/>
              <w:rPr>
                <w:rFonts w:eastAsia="Calibri"/>
                <w:sz w:val="20"/>
              </w:rPr>
            </w:pPr>
            <w:r w:rsidRPr="00073183">
              <w:rPr>
                <w:rFonts w:eastAsia="Calibri"/>
                <w:sz w:val="20"/>
              </w:rPr>
              <w:t>Supreme Court of Canada</w:t>
            </w:r>
          </w:p>
        </w:tc>
        <w:tc>
          <w:tcPr>
            <w:tcW w:w="243" w:type="pct"/>
          </w:tcPr>
          <w:p w:rsidR="00F57F04" w:rsidRPr="00073183" w:rsidRDefault="00F57F04" w:rsidP="00E90160">
            <w:pPr>
              <w:jc w:val="both"/>
              <w:rPr>
                <w:rFonts w:eastAsia="Calibri"/>
                <w:sz w:val="20"/>
              </w:rPr>
            </w:pPr>
          </w:p>
        </w:tc>
        <w:tc>
          <w:tcPr>
            <w:tcW w:w="2330" w:type="pct"/>
          </w:tcPr>
          <w:p w:rsidR="00F57F04" w:rsidRPr="00073183" w:rsidRDefault="00F57F04" w:rsidP="00E90160">
            <w:pPr>
              <w:jc w:val="both"/>
              <w:rPr>
                <w:rFonts w:eastAsia="Calibri"/>
                <w:sz w:val="20"/>
              </w:rPr>
            </w:pPr>
            <w:r w:rsidRPr="00073183">
              <w:rPr>
                <w:rFonts w:eastAsia="Calibri"/>
                <w:sz w:val="20"/>
              </w:rPr>
              <w:t>Motion for extension of time in which to serve and file application for leave to appeal  and application for leave to appeal filed</w:t>
            </w:r>
          </w:p>
        </w:tc>
      </w:tr>
    </w:tbl>
    <w:p w:rsidR="000F69AD" w:rsidRDefault="000F69AD" w:rsidP="000F69AD">
      <w:pPr>
        <w:rPr>
          <w:sz w:val="20"/>
          <w:szCs w:val="20"/>
        </w:rPr>
      </w:pPr>
    </w:p>
    <w:p w:rsidR="000F69AD" w:rsidRPr="00C50A5C" w:rsidRDefault="007C5411" w:rsidP="000F69AD">
      <w:pPr>
        <w:rPr>
          <w:sz w:val="20"/>
          <w:szCs w:val="20"/>
        </w:rPr>
      </w:pPr>
      <w:r>
        <w:rPr>
          <w:sz w:val="20"/>
          <w:szCs w:val="20"/>
          <w:lang w:val="fr-CA"/>
        </w:rPr>
        <w:pict>
          <v:rect id="_x0000_i1058" style="width:2in;height:1pt" o:hrpct="0" o:hralign="center" o:hrstd="t" o:hrnoshade="t" o:hr="t" fillcolor="black [3213]" stroked="f"/>
        </w:pict>
      </w:r>
    </w:p>
    <w:p w:rsidR="000F69AD" w:rsidRDefault="000F69AD" w:rsidP="000F69AD">
      <w:pPr>
        <w:rPr>
          <w:sz w:val="20"/>
          <w:szCs w:val="20"/>
        </w:rPr>
      </w:pPr>
    </w:p>
    <w:p w:rsidR="000F69AD" w:rsidRPr="001B157C" w:rsidRDefault="000F69AD" w:rsidP="000F69AD">
      <w:pPr>
        <w:rPr>
          <w:sz w:val="20"/>
          <w:szCs w:val="20"/>
          <w:u w:val="single"/>
          <w:lang w:val="fr-CA"/>
        </w:rPr>
      </w:pPr>
      <w:r w:rsidRPr="001B157C">
        <w:rPr>
          <w:sz w:val="20"/>
          <w:szCs w:val="20"/>
          <w:u w:val="single"/>
          <w:lang w:val="fr-CA"/>
        </w:rPr>
        <w:t>RÉSUMÉ DE L’AFFAIRE</w:t>
      </w:r>
    </w:p>
    <w:p w:rsidR="000F69AD" w:rsidRDefault="000F69AD" w:rsidP="000F69A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57F04" w:rsidRPr="007C5411" w:rsidTr="00E90160">
        <w:tc>
          <w:tcPr>
            <w:tcW w:w="5000" w:type="pct"/>
            <w:gridSpan w:val="3"/>
          </w:tcPr>
          <w:p w:rsidR="00F57F04" w:rsidRPr="00073183" w:rsidRDefault="00F57F04" w:rsidP="00E90160">
            <w:pPr>
              <w:jc w:val="both"/>
              <w:rPr>
                <w:rFonts w:eastAsia="Calibri"/>
                <w:sz w:val="20"/>
                <w:lang w:val="fr-CA"/>
              </w:rPr>
            </w:pPr>
            <w:r w:rsidRPr="00073183">
              <w:rPr>
                <w:rFonts w:eastAsia="Calibri"/>
                <w:sz w:val="20"/>
                <w:lang w:val="fr-CA"/>
              </w:rPr>
              <w:t>Droit criminel – Troubles mentaux – Demanderesse déclarée non responsable criminellement pour cause de troubles mentaux relativement à une accusation de manquement à une condition d’un engagement – Demanderesse incarcérée dans un hôpital psychiatrique conformément à une ordonnance de détention – Les ordonnances de détention rendues par la commission d’examen sont-elles déraisonnables?</w:t>
            </w:r>
          </w:p>
        </w:tc>
      </w:tr>
      <w:tr w:rsidR="00F57F04" w:rsidRPr="007C5411" w:rsidTr="00E90160">
        <w:tc>
          <w:tcPr>
            <w:tcW w:w="5000" w:type="pct"/>
            <w:gridSpan w:val="3"/>
          </w:tcPr>
          <w:p w:rsidR="00F57F04" w:rsidRPr="00073183" w:rsidRDefault="00F57F04" w:rsidP="00E90160">
            <w:pPr>
              <w:jc w:val="both"/>
              <w:rPr>
                <w:rFonts w:eastAsia="Calibri"/>
                <w:sz w:val="20"/>
                <w:lang w:val="fr-CA"/>
              </w:rPr>
            </w:pPr>
          </w:p>
        </w:tc>
      </w:tr>
      <w:tr w:rsidR="00F57F04" w:rsidRPr="00073183" w:rsidTr="00E90160">
        <w:tc>
          <w:tcPr>
            <w:tcW w:w="5000" w:type="pct"/>
            <w:gridSpan w:val="3"/>
          </w:tcPr>
          <w:p w:rsidR="00F57F04" w:rsidRPr="00073183" w:rsidRDefault="00F57F04" w:rsidP="00E90160">
            <w:pPr>
              <w:jc w:val="both"/>
              <w:rPr>
                <w:rFonts w:eastAsia="Calibri"/>
                <w:sz w:val="20"/>
              </w:rPr>
            </w:pPr>
            <w:r w:rsidRPr="00073183">
              <w:rPr>
                <w:rFonts w:eastAsia="Calibri"/>
                <w:sz w:val="20"/>
                <w:lang w:val="fr-CA"/>
              </w:rPr>
              <w:t>En janvier 2011, un tribunal provincial a jugé M</w:t>
            </w:r>
            <w:r w:rsidRPr="00073183">
              <w:rPr>
                <w:rFonts w:eastAsia="Calibri"/>
                <w:sz w:val="20"/>
                <w:vertAlign w:val="superscript"/>
                <w:lang w:val="fr-CA"/>
              </w:rPr>
              <w:t>me</w:t>
            </w:r>
            <w:r w:rsidRPr="00073183">
              <w:rPr>
                <w:rFonts w:eastAsia="Calibri"/>
                <w:sz w:val="20"/>
                <w:lang w:val="fr-CA"/>
              </w:rPr>
              <w:t xml:space="preserve"> Gibson non responsable criminellement pour cause de troubles mentaux relativement à une accusation de manquement à une condition d’un engagement. Elle a été confiée à la garde du Forensic Psychiatric Hospital en février 2011. Cette détention a fait l’objet d’un examen annuel qui a débouché sur d’autres mesures de détention. </w:t>
            </w:r>
            <w:r w:rsidRPr="00073183">
              <w:rPr>
                <w:rFonts w:eastAsia="Calibri"/>
                <w:sz w:val="20"/>
              </w:rPr>
              <w:t>M</w:t>
            </w:r>
            <w:r w:rsidRPr="00073183">
              <w:rPr>
                <w:rFonts w:eastAsia="Calibri"/>
                <w:sz w:val="20"/>
                <w:vertAlign w:val="superscript"/>
              </w:rPr>
              <w:t>me</w:t>
            </w:r>
            <w:r w:rsidRPr="00073183">
              <w:rPr>
                <w:rFonts w:eastAsia="Calibri"/>
                <w:sz w:val="20"/>
              </w:rPr>
              <w:t xml:space="preserve"> Gibson fait appel de l’ordonnance de détention.</w:t>
            </w:r>
          </w:p>
          <w:p w:rsidR="00F57F04" w:rsidRPr="00073183" w:rsidRDefault="00F57F04" w:rsidP="00E90160">
            <w:pPr>
              <w:jc w:val="both"/>
              <w:rPr>
                <w:rFonts w:eastAsia="Calibri"/>
                <w:sz w:val="20"/>
              </w:rPr>
            </w:pPr>
          </w:p>
        </w:tc>
      </w:tr>
      <w:tr w:rsidR="00F57F04" w:rsidRPr="007C5411" w:rsidTr="00E90160">
        <w:tc>
          <w:tcPr>
            <w:tcW w:w="2427" w:type="pct"/>
          </w:tcPr>
          <w:p w:rsidR="00F57F04" w:rsidRPr="00073183" w:rsidRDefault="00F57F04" w:rsidP="00E90160">
            <w:pPr>
              <w:jc w:val="both"/>
              <w:rPr>
                <w:rFonts w:eastAsia="Calibri"/>
                <w:sz w:val="20"/>
                <w:lang w:val="fr-CA"/>
              </w:rPr>
            </w:pPr>
            <w:r w:rsidRPr="00073183">
              <w:rPr>
                <w:rFonts w:eastAsia="Calibri"/>
                <w:sz w:val="20"/>
                <w:lang w:val="fr-CA"/>
              </w:rPr>
              <w:t>6 décembre 2012</w:t>
            </w:r>
          </w:p>
          <w:p w:rsidR="00F57F04" w:rsidRPr="00073183" w:rsidRDefault="00F57F04" w:rsidP="00E90160">
            <w:pPr>
              <w:jc w:val="both"/>
              <w:rPr>
                <w:rFonts w:eastAsia="Calibri"/>
                <w:sz w:val="20"/>
                <w:lang w:val="fr-CA"/>
              </w:rPr>
            </w:pPr>
            <w:r w:rsidRPr="00073183">
              <w:rPr>
                <w:rFonts w:eastAsia="Calibri"/>
                <w:sz w:val="20"/>
                <w:lang w:val="fr-CA"/>
              </w:rPr>
              <w:t xml:space="preserve">Cour d’appel de la Colombie-Britannique </w:t>
            </w:r>
          </w:p>
          <w:p w:rsidR="00F57F04" w:rsidRPr="00073183" w:rsidRDefault="00F57F04" w:rsidP="00E90160">
            <w:pPr>
              <w:jc w:val="both"/>
              <w:rPr>
                <w:rFonts w:eastAsia="Calibri"/>
                <w:sz w:val="20"/>
                <w:lang w:val="fr-CA"/>
              </w:rPr>
            </w:pPr>
            <w:r w:rsidRPr="00073183">
              <w:rPr>
                <w:rFonts w:eastAsia="Calibri"/>
                <w:sz w:val="20"/>
                <w:lang w:val="fr-CA"/>
              </w:rPr>
              <w:t>(Vancouver)</w:t>
            </w:r>
          </w:p>
          <w:p w:rsidR="00F57F04" w:rsidRPr="00073183" w:rsidRDefault="00F57F04" w:rsidP="00E90160">
            <w:pPr>
              <w:jc w:val="both"/>
              <w:rPr>
                <w:rFonts w:eastAsia="Calibri"/>
                <w:sz w:val="20"/>
                <w:lang w:val="fr-CA"/>
              </w:rPr>
            </w:pPr>
            <w:r w:rsidRPr="00073183">
              <w:rPr>
                <w:rFonts w:eastAsia="Calibri"/>
                <w:sz w:val="20"/>
                <w:lang w:val="fr-CA"/>
              </w:rPr>
              <w:t>(Juges Saunders, Frankel et Mackenzie)</w:t>
            </w:r>
          </w:p>
          <w:p w:rsidR="00F57F04" w:rsidRPr="00073183" w:rsidRDefault="00F57F04" w:rsidP="00E90160">
            <w:pPr>
              <w:jc w:val="both"/>
              <w:rPr>
                <w:rFonts w:eastAsia="Calibri"/>
                <w:sz w:val="20"/>
                <w:lang w:val="fr-CA"/>
              </w:rPr>
            </w:pPr>
          </w:p>
        </w:tc>
        <w:tc>
          <w:tcPr>
            <w:tcW w:w="243" w:type="pct"/>
          </w:tcPr>
          <w:p w:rsidR="00F57F04" w:rsidRPr="00073183" w:rsidRDefault="00F57F04" w:rsidP="00E90160">
            <w:pPr>
              <w:jc w:val="both"/>
              <w:rPr>
                <w:rFonts w:eastAsia="Calibri"/>
                <w:sz w:val="20"/>
                <w:lang w:val="fr-CA"/>
              </w:rPr>
            </w:pPr>
          </w:p>
        </w:tc>
        <w:tc>
          <w:tcPr>
            <w:tcW w:w="2330" w:type="pct"/>
          </w:tcPr>
          <w:p w:rsidR="00F57F04" w:rsidRPr="00073183" w:rsidRDefault="00F57F04" w:rsidP="00E90160">
            <w:pPr>
              <w:jc w:val="both"/>
              <w:rPr>
                <w:rFonts w:eastAsia="Calibri"/>
                <w:sz w:val="20"/>
                <w:lang w:val="fr-CA"/>
              </w:rPr>
            </w:pPr>
            <w:r w:rsidRPr="00073183">
              <w:rPr>
                <w:rFonts w:eastAsia="Calibri"/>
                <w:sz w:val="20"/>
                <w:lang w:val="fr-CA"/>
              </w:rPr>
              <w:t>Appel formé par la demanderesse contre l’ordonnance de la commission d’examen de la Colombie-Britannique portant qu’elle reste détenue au Forensic Psychiatric Hospital, rejeté</w:t>
            </w:r>
          </w:p>
          <w:p w:rsidR="00F57F04" w:rsidRPr="00073183" w:rsidRDefault="00F57F04" w:rsidP="00E90160">
            <w:pPr>
              <w:jc w:val="both"/>
              <w:rPr>
                <w:rFonts w:eastAsia="Calibri"/>
                <w:sz w:val="20"/>
                <w:lang w:val="fr-CA"/>
              </w:rPr>
            </w:pPr>
          </w:p>
        </w:tc>
      </w:tr>
    </w:tbl>
    <w:p w:rsidR="002E14C3" w:rsidRPr="00B60D0E" w:rsidRDefault="002E14C3">
      <w:pPr>
        <w:rPr>
          <w:lang w:val="fr-CA"/>
        </w:rPr>
      </w:pPr>
      <w:r w:rsidRPr="00B60D0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57F04" w:rsidRPr="007C5411" w:rsidTr="002E14C3">
        <w:trPr>
          <w:cantSplit/>
        </w:trPr>
        <w:tc>
          <w:tcPr>
            <w:tcW w:w="2427" w:type="pct"/>
          </w:tcPr>
          <w:p w:rsidR="00F57F04" w:rsidRPr="00073183" w:rsidRDefault="00F57F04" w:rsidP="00E90160">
            <w:pPr>
              <w:jc w:val="both"/>
              <w:rPr>
                <w:rFonts w:eastAsia="Calibri"/>
                <w:sz w:val="20"/>
                <w:lang w:val="fr-CA"/>
              </w:rPr>
            </w:pPr>
            <w:r w:rsidRPr="00073183">
              <w:rPr>
                <w:rFonts w:eastAsia="Calibri"/>
                <w:sz w:val="20"/>
                <w:lang w:val="fr-CA"/>
              </w:rPr>
              <w:lastRenderedPageBreak/>
              <w:t>9 juillet 2013</w:t>
            </w:r>
          </w:p>
          <w:p w:rsidR="00F57F04" w:rsidRPr="00073183" w:rsidRDefault="00F57F04" w:rsidP="00E90160">
            <w:pPr>
              <w:jc w:val="both"/>
              <w:rPr>
                <w:rFonts w:eastAsia="Calibri"/>
                <w:sz w:val="20"/>
                <w:lang w:val="fr-CA"/>
              </w:rPr>
            </w:pPr>
            <w:r w:rsidRPr="00073183">
              <w:rPr>
                <w:rFonts w:eastAsia="Calibri"/>
                <w:sz w:val="20"/>
                <w:lang w:val="fr-CA"/>
              </w:rPr>
              <w:t>Cour suprême du Canada</w:t>
            </w:r>
          </w:p>
        </w:tc>
        <w:tc>
          <w:tcPr>
            <w:tcW w:w="243" w:type="pct"/>
          </w:tcPr>
          <w:p w:rsidR="00F57F04" w:rsidRPr="00073183" w:rsidRDefault="00F57F04" w:rsidP="00E90160">
            <w:pPr>
              <w:jc w:val="both"/>
              <w:rPr>
                <w:rFonts w:eastAsia="Calibri"/>
                <w:sz w:val="20"/>
                <w:lang w:val="fr-CA"/>
              </w:rPr>
            </w:pPr>
          </w:p>
        </w:tc>
        <w:tc>
          <w:tcPr>
            <w:tcW w:w="2330" w:type="pct"/>
          </w:tcPr>
          <w:p w:rsidR="00F57F04" w:rsidRPr="00073183" w:rsidRDefault="00F57F04" w:rsidP="00E90160">
            <w:pPr>
              <w:jc w:val="both"/>
              <w:rPr>
                <w:rFonts w:eastAsia="Calibri"/>
                <w:sz w:val="20"/>
                <w:lang w:val="fr-CA"/>
              </w:rPr>
            </w:pPr>
            <w:r w:rsidRPr="00073183">
              <w:rPr>
                <w:rFonts w:eastAsia="Calibri"/>
                <w:sz w:val="20"/>
                <w:lang w:val="fr-CA"/>
              </w:rPr>
              <w:t xml:space="preserve">Requête en prorogation du délai pour signifier et déposer la demande d’autorisation d’appel et demande d’autorisation d’appel déposées </w:t>
            </w:r>
          </w:p>
        </w:tc>
      </w:tr>
    </w:tbl>
    <w:p w:rsidR="000F69AD" w:rsidRPr="00F57F04" w:rsidRDefault="000F69AD" w:rsidP="000F69AD">
      <w:pPr>
        <w:rPr>
          <w:sz w:val="20"/>
          <w:szCs w:val="20"/>
          <w:lang w:val="fr-CA"/>
        </w:rPr>
      </w:pPr>
    </w:p>
    <w:p w:rsidR="000F69AD" w:rsidRDefault="007C5411" w:rsidP="000F69AD">
      <w:pPr>
        <w:rPr>
          <w:sz w:val="20"/>
          <w:szCs w:val="20"/>
        </w:rPr>
      </w:pPr>
      <w:r>
        <w:rPr>
          <w:sz w:val="20"/>
          <w:szCs w:val="20"/>
          <w:lang w:val="fr-CA"/>
        </w:rPr>
        <w:pict>
          <v:rect id="_x0000_i1059" style="width:2in;height:1pt" o:hrpct="0" o:hralign="center" o:hrstd="t" o:hrnoshade="t" o:hr="t" fillcolor="black [3213]" stroked="f"/>
        </w:pict>
      </w:r>
    </w:p>
    <w:p w:rsidR="000F69AD" w:rsidRDefault="000F69AD" w:rsidP="000F69AD">
      <w:pPr>
        <w:rPr>
          <w:sz w:val="20"/>
          <w:szCs w:val="20"/>
        </w:rPr>
      </w:pPr>
    </w:p>
    <w:tbl>
      <w:tblPr>
        <w:tblStyle w:val="TableGrid1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E14C3" w:rsidRPr="002E14C3" w:rsidTr="003A5C99">
        <w:trPr>
          <w:cantSplit/>
        </w:trPr>
        <w:tc>
          <w:tcPr>
            <w:tcW w:w="1458" w:type="dxa"/>
          </w:tcPr>
          <w:p w:rsidR="002E14C3" w:rsidRPr="002E14C3" w:rsidRDefault="002E14C3" w:rsidP="002E14C3">
            <w:pPr>
              <w:rPr>
                <w:sz w:val="20"/>
              </w:rPr>
            </w:pPr>
            <w:r w:rsidRPr="002E14C3">
              <w:rPr>
                <w:b/>
                <w:sz w:val="20"/>
                <w:lang w:val="fr-CA"/>
              </w:rPr>
              <w:t>35598</w:t>
            </w:r>
          </w:p>
          <w:p w:rsidR="002E14C3" w:rsidRPr="002E14C3" w:rsidRDefault="002E14C3" w:rsidP="002E14C3">
            <w:pPr>
              <w:rPr>
                <w:b/>
                <w:sz w:val="20"/>
                <w:lang w:val="fr-CA"/>
              </w:rPr>
            </w:pPr>
          </w:p>
        </w:tc>
        <w:tc>
          <w:tcPr>
            <w:tcW w:w="8118" w:type="dxa"/>
          </w:tcPr>
          <w:p w:rsidR="002E14C3" w:rsidRPr="002E14C3" w:rsidRDefault="002E14C3" w:rsidP="002E14C3">
            <w:pPr>
              <w:rPr>
                <w:sz w:val="20"/>
              </w:rPr>
            </w:pPr>
            <w:r w:rsidRPr="002E14C3">
              <w:rPr>
                <w:b/>
                <w:sz w:val="20"/>
                <w:u w:val="single"/>
              </w:rPr>
              <w:t>Mary Lou Davis v. Workers’ Compensation Appeal Tribunal</w:t>
            </w:r>
            <w:r w:rsidRPr="002E14C3">
              <w:rPr>
                <w:sz w:val="20"/>
              </w:rPr>
              <w:t xml:space="preserve"> (B.C.) (Civil) (By Leave)</w:t>
            </w:r>
          </w:p>
          <w:p w:rsidR="002E14C3" w:rsidRPr="002E14C3" w:rsidRDefault="002E14C3" w:rsidP="002E14C3">
            <w:pPr>
              <w:rPr>
                <w:sz w:val="20"/>
              </w:rPr>
            </w:pPr>
          </w:p>
        </w:tc>
      </w:tr>
      <w:tr w:rsidR="002E14C3" w:rsidRPr="002E14C3" w:rsidTr="003A5C99">
        <w:trPr>
          <w:cantSplit/>
        </w:trPr>
        <w:tc>
          <w:tcPr>
            <w:tcW w:w="1458" w:type="dxa"/>
          </w:tcPr>
          <w:p w:rsidR="002E14C3" w:rsidRPr="002E14C3" w:rsidRDefault="002E14C3" w:rsidP="002E14C3">
            <w:pPr>
              <w:rPr>
                <w:sz w:val="20"/>
              </w:rPr>
            </w:pPr>
            <w:r w:rsidRPr="002E14C3">
              <w:rPr>
                <w:sz w:val="20"/>
              </w:rPr>
              <w:t>Coram :</w:t>
            </w:r>
          </w:p>
        </w:tc>
        <w:tc>
          <w:tcPr>
            <w:tcW w:w="8118" w:type="dxa"/>
          </w:tcPr>
          <w:p w:rsidR="002E14C3" w:rsidRPr="002E14C3" w:rsidRDefault="002E14C3" w:rsidP="002E14C3">
            <w:pPr>
              <w:rPr>
                <w:sz w:val="20"/>
              </w:rPr>
            </w:pPr>
            <w:r w:rsidRPr="002E14C3">
              <w:rPr>
                <w:sz w:val="20"/>
                <w:u w:val="single"/>
              </w:rPr>
              <w:t>McLachlin C.J. and Cromwell and Wagner JJ.</w:t>
            </w:r>
          </w:p>
          <w:p w:rsidR="002E14C3" w:rsidRPr="002E14C3" w:rsidRDefault="002E14C3" w:rsidP="002E14C3">
            <w:pPr>
              <w:rPr>
                <w:sz w:val="20"/>
                <w:u w:val="single"/>
              </w:rPr>
            </w:pPr>
          </w:p>
        </w:tc>
      </w:tr>
      <w:tr w:rsidR="002E14C3" w:rsidRPr="007C5411" w:rsidTr="003A5C99">
        <w:trPr>
          <w:cantSplit/>
        </w:trPr>
        <w:tc>
          <w:tcPr>
            <w:tcW w:w="9576" w:type="dxa"/>
            <w:gridSpan w:val="2"/>
          </w:tcPr>
          <w:p w:rsidR="002E14C3" w:rsidRPr="002E14C3" w:rsidRDefault="002E14C3" w:rsidP="002E14C3">
            <w:pPr>
              <w:ind w:firstLine="720"/>
              <w:jc w:val="both"/>
              <w:rPr>
                <w:sz w:val="20"/>
              </w:rPr>
            </w:pPr>
            <w:r w:rsidRPr="002E14C3">
              <w:rPr>
                <w:sz w:val="20"/>
              </w:rPr>
              <w:t>The application for leave to appeal from the judgment of the Court of Appeal for British Columbia (Vancouver), Number CA040793, 2013 BCCA 418, dated September 23, 2013, is dismissed without costs.</w:t>
            </w:r>
          </w:p>
          <w:p w:rsidR="002E14C3" w:rsidRPr="002E14C3" w:rsidRDefault="002E14C3" w:rsidP="002E14C3">
            <w:pPr>
              <w:jc w:val="both"/>
              <w:rPr>
                <w:sz w:val="20"/>
              </w:rPr>
            </w:pPr>
          </w:p>
          <w:p w:rsidR="002E14C3" w:rsidRPr="002E14C3" w:rsidRDefault="002E14C3" w:rsidP="002E14C3">
            <w:pPr>
              <w:ind w:firstLine="720"/>
              <w:jc w:val="both"/>
              <w:rPr>
                <w:sz w:val="20"/>
                <w:lang w:val="fr-CA"/>
              </w:rPr>
            </w:pPr>
            <w:r w:rsidRPr="002E14C3">
              <w:rPr>
                <w:sz w:val="20"/>
                <w:lang w:val="fr-CA"/>
              </w:rPr>
              <w:t>La demande d’autorisation d’appel de l’arrêt de la Cour d’appel de la Colombie-Britannique (Vancouver), numéro CA040793, 2013 BCCA 418, daté du 23 septembre 2013, est rejetée sans dépens.</w:t>
            </w:r>
          </w:p>
        </w:tc>
      </w:tr>
    </w:tbl>
    <w:p w:rsidR="000F69AD" w:rsidRPr="002E14C3" w:rsidRDefault="000F69AD" w:rsidP="000F69AD">
      <w:pPr>
        <w:rPr>
          <w:sz w:val="20"/>
          <w:szCs w:val="20"/>
          <w:lang w:val="fr-CA"/>
        </w:rPr>
      </w:pPr>
    </w:p>
    <w:p w:rsidR="000F69AD" w:rsidRPr="001B157C" w:rsidRDefault="000F69AD" w:rsidP="000F69AD">
      <w:pPr>
        <w:rPr>
          <w:sz w:val="20"/>
          <w:szCs w:val="20"/>
          <w:u w:val="single"/>
        </w:rPr>
      </w:pPr>
      <w:r w:rsidRPr="001B157C">
        <w:rPr>
          <w:sz w:val="20"/>
          <w:szCs w:val="20"/>
          <w:u w:val="single"/>
        </w:rPr>
        <w:t>CASE SUMMARY</w:t>
      </w:r>
    </w:p>
    <w:p w:rsidR="000F69AD" w:rsidRDefault="000F69AD" w:rsidP="000F69A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57F04" w:rsidRPr="00073183" w:rsidTr="00E90160">
        <w:tc>
          <w:tcPr>
            <w:tcW w:w="5000" w:type="pct"/>
            <w:gridSpan w:val="3"/>
          </w:tcPr>
          <w:p w:rsidR="00F57F04" w:rsidRPr="00073183" w:rsidRDefault="00F57F04" w:rsidP="00E90160">
            <w:pPr>
              <w:jc w:val="both"/>
              <w:rPr>
                <w:rFonts w:eastAsia="Calibri"/>
                <w:sz w:val="20"/>
              </w:rPr>
            </w:pPr>
            <w:r w:rsidRPr="00073183">
              <w:rPr>
                <w:rFonts w:eastAsia="Calibri"/>
                <w:i/>
                <w:sz w:val="20"/>
              </w:rPr>
              <w:t>Charter of Rights</w:t>
            </w:r>
            <w:r w:rsidRPr="00073183">
              <w:rPr>
                <w:rFonts w:eastAsia="Calibri"/>
                <w:sz w:val="20"/>
              </w:rPr>
              <w:t xml:space="preserve"> – Right to trial by jury – Workers compensation – Applicant suffering eight workplace injuries – Applicant’s claim that she was permanently disabled denied by Workers’ Compensation Board – Whether Applicant may proceed to jury trial to present evidence and cross-examine witnesses.</w:t>
            </w:r>
          </w:p>
        </w:tc>
      </w:tr>
      <w:tr w:rsidR="00F57F04" w:rsidRPr="00073183" w:rsidTr="00E90160">
        <w:tc>
          <w:tcPr>
            <w:tcW w:w="5000" w:type="pct"/>
            <w:gridSpan w:val="3"/>
          </w:tcPr>
          <w:p w:rsidR="00F57F04" w:rsidRPr="00073183" w:rsidRDefault="00F57F04" w:rsidP="00E90160">
            <w:pPr>
              <w:jc w:val="both"/>
              <w:rPr>
                <w:rFonts w:eastAsia="Calibri"/>
                <w:sz w:val="20"/>
              </w:rPr>
            </w:pPr>
          </w:p>
        </w:tc>
      </w:tr>
      <w:tr w:rsidR="00F57F04" w:rsidRPr="00073183" w:rsidTr="00E90160">
        <w:tc>
          <w:tcPr>
            <w:tcW w:w="5000" w:type="pct"/>
            <w:gridSpan w:val="3"/>
          </w:tcPr>
          <w:p w:rsidR="00F57F04" w:rsidRPr="00073183" w:rsidRDefault="00F57F04" w:rsidP="00E90160">
            <w:pPr>
              <w:jc w:val="both"/>
              <w:rPr>
                <w:rFonts w:eastAsia="Calibri"/>
                <w:sz w:val="20"/>
              </w:rPr>
            </w:pPr>
            <w:r w:rsidRPr="00073183">
              <w:rPr>
                <w:rFonts w:eastAsia="Calibri"/>
                <w:sz w:val="20"/>
              </w:rPr>
              <w:t>Ms. Davis was employed as a special education teaching assistant and as a residential care worker.  She suffered several work related injuries between 1999 and 2004 and made eight claims to WorkSafe BC during the period from 1999 to 2012.  Each claim was allowed and she received wage loss and other benefits.  She appealed the decisions from the Workers’ Compensation Board to the Review Division, and then to the Workers’ Compensation Appeal Tribunal (“WCAT”).  Ms. Davis claimed that the cumulative effect of the eight compensable injuries she suffered either by themselves or in conjunction with her workplace activities permanently disabled her.  The Board, the Review Division and WCAT all denied her claim. She sought judicial review of the WCAT decisions.</w:t>
            </w:r>
          </w:p>
          <w:p w:rsidR="00F57F04" w:rsidRPr="00073183" w:rsidRDefault="00F57F04" w:rsidP="00E90160">
            <w:pPr>
              <w:jc w:val="both"/>
              <w:rPr>
                <w:rFonts w:eastAsia="Calibri"/>
                <w:sz w:val="20"/>
              </w:rPr>
            </w:pPr>
          </w:p>
        </w:tc>
      </w:tr>
      <w:tr w:rsidR="00F57F04" w:rsidRPr="00073183" w:rsidTr="00E90160">
        <w:tc>
          <w:tcPr>
            <w:tcW w:w="2427" w:type="pct"/>
          </w:tcPr>
          <w:p w:rsidR="00F57F04" w:rsidRPr="00073183" w:rsidRDefault="00F57F04" w:rsidP="00E90160">
            <w:pPr>
              <w:jc w:val="both"/>
              <w:rPr>
                <w:rFonts w:eastAsia="Calibri"/>
                <w:sz w:val="20"/>
              </w:rPr>
            </w:pPr>
            <w:r w:rsidRPr="00073183">
              <w:rPr>
                <w:rFonts w:eastAsia="Calibri"/>
                <w:sz w:val="20"/>
              </w:rPr>
              <w:t>March 19, 2013</w:t>
            </w:r>
          </w:p>
          <w:p w:rsidR="00F57F04" w:rsidRPr="00073183" w:rsidRDefault="00F57F04" w:rsidP="00E90160">
            <w:pPr>
              <w:jc w:val="both"/>
              <w:rPr>
                <w:rFonts w:eastAsia="Calibri"/>
                <w:sz w:val="20"/>
              </w:rPr>
            </w:pPr>
            <w:r w:rsidRPr="00073183">
              <w:rPr>
                <w:rFonts w:eastAsia="Calibri"/>
                <w:sz w:val="20"/>
              </w:rPr>
              <w:t>Supreme Court of British Columbia</w:t>
            </w:r>
          </w:p>
          <w:p w:rsidR="00F57F04" w:rsidRPr="00073183" w:rsidRDefault="00F57F04" w:rsidP="00E90160">
            <w:pPr>
              <w:jc w:val="both"/>
              <w:rPr>
                <w:rFonts w:eastAsia="Calibri"/>
                <w:sz w:val="20"/>
              </w:rPr>
            </w:pPr>
            <w:r w:rsidRPr="00073183">
              <w:rPr>
                <w:rFonts w:eastAsia="Calibri"/>
                <w:sz w:val="20"/>
              </w:rPr>
              <w:t>(Weatherill J.)</w:t>
            </w:r>
          </w:p>
          <w:p w:rsidR="00F57F04" w:rsidRPr="00073183" w:rsidRDefault="00F57F04" w:rsidP="00E90160">
            <w:pPr>
              <w:jc w:val="both"/>
              <w:rPr>
                <w:rFonts w:eastAsia="Calibri"/>
                <w:sz w:val="20"/>
              </w:rPr>
            </w:pPr>
            <w:r w:rsidRPr="00073183">
              <w:rPr>
                <w:rFonts w:eastAsia="Calibri"/>
                <w:sz w:val="20"/>
              </w:rPr>
              <w:t>2013 BCSC 476</w:t>
            </w:r>
          </w:p>
          <w:p w:rsidR="00F57F04" w:rsidRPr="00073183" w:rsidRDefault="00F57F04" w:rsidP="00E90160">
            <w:pPr>
              <w:jc w:val="both"/>
              <w:rPr>
                <w:rFonts w:eastAsia="Calibri"/>
                <w:sz w:val="20"/>
              </w:rPr>
            </w:pPr>
          </w:p>
        </w:tc>
        <w:tc>
          <w:tcPr>
            <w:tcW w:w="243" w:type="pct"/>
          </w:tcPr>
          <w:p w:rsidR="00F57F04" w:rsidRPr="00073183" w:rsidRDefault="00F57F04" w:rsidP="00E90160">
            <w:pPr>
              <w:jc w:val="both"/>
              <w:rPr>
                <w:rFonts w:eastAsia="Calibri"/>
                <w:sz w:val="20"/>
              </w:rPr>
            </w:pPr>
          </w:p>
        </w:tc>
        <w:tc>
          <w:tcPr>
            <w:tcW w:w="2330" w:type="pct"/>
          </w:tcPr>
          <w:p w:rsidR="00F57F04" w:rsidRPr="00073183" w:rsidRDefault="00F57F04" w:rsidP="00E90160">
            <w:pPr>
              <w:jc w:val="both"/>
              <w:rPr>
                <w:rFonts w:eastAsia="Calibri"/>
                <w:sz w:val="20"/>
              </w:rPr>
            </w:pPr>
            <w:r w:rsidRPr="00073183">
              <w:rPr>
                <w:rFonts w:eastAsia="Calibri"/>
                <w:sz w:val="20"/>
              </w:rPr>
              <w:t>Applicant’s application for judicial review dismissed</w:t>
            </w:r>
          </w:p>
        </w:tc>
      </w:tr>
      <w:tr w:rsidR="00F57F04" w:rsidRPr="00073183" w:rsidTr="00E90160">
        <w:tc>
          <w:tcPr>
            <w:tcW w:w="2427" w:type="pct"/>
          </w:tcPr>
          <w:p w:rsidR="00F57F04" w:rsidRPr="00073183" w:rsidRDefault="00F57F04" w:rsidP="00E90160">
            <w:pPr>
              <w:jc w:val="both"/>
              <w:rPr>
                <w:rFonts w:eastAsia="Calibri"/>
                <w:sz w:val="20"/>
              </w:rPr>
            </w:pPr>
            <w:r w:rsidRPr="00073183">
              <w:rPr>
                <w:rFonts w:eastAsia="Calibri"/>
                <w:sz w:val="20"/>
              </w:rPr>
              <w:t>September 23, 2013</w:t>
            </w:r>
          </w:p>
          <w:p w:rsidR="00F57F04" w:rsidRPr="00073183" w:rsidRDefault="00F57F04" w:rsidP="00E90160">
            <w:pPr>
              <w:jc w:val="both"/>
              <w:rPr>
                <w:rFonts w:eastAsia="Calibri"/>
                <w:sz w:val="20"/>
              </w:rPr>
            </w:pPr>
            <w:r w:rsidRPr="00073183">
              <w:rPr>
                <w:rFonts w:eastAsia="Calibri"/>
                <w:sz w:val="20"/>
              </w:rPr>
              <w:t xml:space="preserve">Court of Appeal for British Columbia </w:t>
            </w:r>
          </w:p>
          <w:p w:rsidR="00F57F04" w:rsidRPr="00073183" w:rsidRDefault="00F57F04" w:rsidP="00E90160">
            <w:pPr>
              <w:jc w:val="both"/>
              <w:rPr>
                <w:rFonts w:eastAsia="Calibri"/>
                <w:sz w:val="20"/>
              </w:rPr>
            </w:pPr>
            <w:r w:rsidRPr="00073183">
              <w:rPr>
                <w:rFonts w:eastAsia="Calibri"/>
                <w:sz w:val="20"/>
              </w:rPr>
              <w:t>(Vancouver)</w:t>
            </w:r>
          </w:p>
          <w:p w:rsidR="00F57F04" w:rsidRPr="00073183" w:rsidRDefault="00F57F04" w:rsidP="00E90160">
            <w:pPr>
              <w:jc w:val="both"/>
              <w:rPr>
                <w:rFonts w:eastAsia="Calibri"/>
                <w:sz w:val="20"/>
              </w:rPr>
            </w:pPr>
            <w:r w:rsidRPr="00073183">
              <w:rPr>
                <w:rFonts w:eastAsia="Calibri"/>
                <w:sz w:val="20"/>
              </w:rPr>
              <w:t>(Frankel, Groberman and MacKenzie JJ.A.)</w:t>
            </w:r>
          </w:p>
          <w:p w:rsidR="00F57F04" w:rsidRPr="00073183" w:rsidRDefault="00F57F04" w:rsidP="00E90160">
            <w:pPr>
              <w:jc w:val="both"/>
              <w:rPr>
                <w:rFonts w:eastAsia="Calibri"/>
                <w:sz w:val="20"/>
              </w:rPr>
            </w:pPr>
            <w:r w:rsidRPr="00073183">
              <w:rPr>
                <w:rFonts w:eastAsia="Calibri"/>
                <w:sz w:val="20"/>
              </w:rPr>
              <w:t>2013 BCCA 418</w:t>
            </w:r>
          </w:p>
          <w:p w:rsidR="00F57F04" w:rsidRPr="00073183" w:rsidRDefault="00F57F04" w:rsidP="00E90160">
            <w:pPr>
              <w:jc w:val="both"/>
              <w:rPr>
                <w:rFonts w:eastAsia="Calibri"/>
                <w:sz w:val="20"/>
              </w:rPr>
            </w:pPr>
          </w:p>
        </w:tc>
        <w:tc>
          <w:tcPr>
            <w:tcW w:w="243" w:type="pct"/>
          </w:tcPr>
          <w:p w:rsidR="00F57F04" w:rsidRPr="00073183" w:rsidRDefault="00F57F04" w:rsidP="00E90160">
            <w:pPr>
              <w:jc w:val="both"/>
              <w:rPr>
                <w:rFonts w:eastAsia="Calibri"/>
                <w:sz w:val="20"/>
              </w:rPr>
            </w:pPr>
          </w:p>
        </w:tc>
        <w:tc>
          <w:tcPr>
            <w:tcW w:w="2330" w:type="pct"/>
          </w:tcPr>
          <w:p w:rsidR="00F57F04" w:rsidRPr="00073183" w:rsidRDefault="00F57F04" w:rsidP="00E90160">
            <w:pPr>
              <w:jc w:val="both"/>
              <w:rPr>
                <w:rFonts w:eastAsia="Calibri"/>
                <w:sz w:val="20"/>
              </w:rPr>
            </w:pPr>
            <w:r w:rsidRPr="00073183">
              <w:rPr>
                <w:rFonts w:eastAsia="Calibri"/>
                <w:sz w:val="20"/>
              </w:rPr>
              <w:t>Appeal dismissed</w:t>
            </w:r>
          </w:p>
          <w:p w:rsidR="00F57F04" w:rsidRPr="00073183" w:rsidRDefault="00F57F04" w:rsidP="00E90160">
            <w:pPr>
              <w:jc w:val="both"/>
              <w:rPr>
                <w:rFonts w:eastAsia="Calibri"/>
                <w:sz w:val="20"/>
              </w:rPr>
            </w:pPr>
          </w:p>
        </w:tc>
      </w:tr>
      <w:tr w:rsidR="00F57F04" w:rsidRPr="00073183" w:rsidTr="00E90160">
        <w:tc>
          <w:tcPr>
            <w:tcW w:w="2427" w:type="pct"/>
          </w:tcPr>
          <w:p w:rsidR="00F57F04" w:rsidRPr="00073183" w:rsidRDefault="00F57F04" w:rsidP="00E90160">
            <w:pPr>
              <w:jc w:val="both"/>
              <w:rPr>
                <w:rFonts w:eastAsia="Calibri"/>
                <w:sz w:val="20"/>
              </w:rPr>
            </w:pPr>
            <w:r w:rsidRPr="00073183">
              <w:rPr>
                <w:rFonts w:eastAsia="Calibri"/>
                <w:sz w:val="20"/>
              </w:rPr>
              <w:t>October 29, 2013</w:t>
            </w:r>
          </w:p>
          <w:p w:rsidR="00F57F04" w:rsidRPr="00073183" w:rsidRDefault="00F57F04" w:rsidP="00E90160">
            <w:pPr>
              <w:jc w:val="both"/>
              <w:rPr>
                <w:rFonts w:eastAsia="Calibri"/>
                <w:sz w:val="20"/>
              </w:rPr>
            </w:pPr>
            <w:r w:rsidRPr="00073183">
              <w:rPr>
                <w:rFonts w:eastAsia="Calibri"/>
                <w:sz w:val="20"/>
              </w:rPr>
              <w:t>Supreme Court of Canada</w:t>
            </w:r>
          </w:p>
        </w:tc>
        <w:tc>
          <w:tcPr>
            <w:tcW w:w="243" w:type="pct"/>
          </w:tcPr>
          <w:p w:rsidR="00F57F04" w:rsidRPr="00073183" w:rsidRDefault="00F57F04" w:rsidP="00E90160">
            <w:pPr>
              <w:jc w:val="both"/>
              <w:rPr>
                <w:rFonts w:eastAsia="Calibri"/>
                <w:sz w:val="20"/>
              </w:rPr>
            </w:pPr>
          </w:p>
        </w:tc>
        <w:tc>
          <w:tcPr>
            <w:tcW w:w="2330" w:type="pct"/>
          </w:tcPr>
          <w:p w:rsidR="00F57F04" w:rsidRPr="00073183" w:rsidRDefault="00F57F04" w:rsidP="00E90160">
            <w:pPr>
              <w:jc w:val="both"/>
              <w:rPr>
                <w:rFonts w:eastAsia="Calibri"/>
                <w:sz w:val="20"/>
              </w:rPr>
            </w:pPr>
            <w:r w:rsidRPr="00073183">
              <w:rPr>
                <w:rFonts w:eastAsia="Calibri"/>
                <w:sz w:val="20"/>
              </w:rPr>
              <w:t>Application for leave to appeal filed</w:t>
            </w:r>
          </w:p>
          <w:p w:rsidR="00F57F04" w:rsidRPr="00073183" w:rsidRDefault="00F57F04" w:rsidP="00E90160">
            <w:pPr>
              <w:jc w:val="both"/>
              <w:rPr>
                <w:rFonts w:eastAsia="Calibri"/>
                <w:sz w:val="20"/>
              </w:rPr>
            </w:pPr>
          </w:p>
        </w:tc>
      </w:tr>
    </w:tbl>
    <w:p w:rsidR="000F69AD" w:rsidRDefault="000F69AD" w:rsidP="000F69AD">
      <w:pPr>
        <w:rPr>
          <w:sz w:val="20"/>
          <w:szCs w:val="20"/>
        </w:rPr>
      </w:pPr>
    </w:p>
    <w:p w:rsidR="000F69AD" w:rsidRPr="00C50A5C" w:rsidRDefault="007C5411" w:rsidP="000F69AD">
      <w:pPr>
        <w:rPr>
          <w:sz w:val="20"/>
          <w:szCs w:val="20"/>
        </w:rPr>
      </w:pPr>
      <w:r>
        <w:rPr>
          <w:sz w:val="20"/>
          <w:szCs w:val="20"/>
          <w:lang w:val="fr-CA"/>
        </w:rPr>
        <w:pict>
          <v:rect id="_x0000_i1060" style="width:2in;height:1pt" o:hrpct="0" o:hralign="center" o:hrstd="t" o:hrnoshade="t" o:hr="t" fillcolor="black [3213]" stroked="f"/>
        </w:pict>
      </w:r>
    </w:p>
    <w:p w:rsidR="000F69AD" w:rsidRDefault="000F69AD" w:rsidP="000F69AD">
      <w:pPr>
        <w:rPr>
          <w:sz w:val="20"/>
          <w:szCs w:val="20"/>
        </w:rPr>
      </w:pPr>
    </w:p>
    <w:p w:rsidR="000F69AD" w:rsidRPr="001B157C" w:rsidRDefault="000F69AD" w:rsidP="000F69AD">
      <w:pPr>
        <w:rPr>
          <w:sz w:val="20"/>
          <w:szCs w:val="20"/>
          <w:u w:val="single"/>
          <w:lang w:val="fr-CA"/>
        </w:rPr>
      </w:pPr>
      <w:r w:rsidRPr="001B157C">
        <w:rPr>
          <w:sz w:val="20"/>
          <w:szCs w:val="20"/>
          <w:u w:val="single"/>
          <w:lang w:val="fr-CA"/>
        </w:rPr>
        <w:t>RÉSUMÉ DE L’AFFAIRE</w:t>
      </w:r>
    </w:p>
    <w:p w:rsidR="000F69AD" w:rsidRDefault="000F69AD" w:rsidP="000F69A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57F04" w:rsidRPr="007C5411" w:rsidTr="00E90160">
        <w:tc>
          <w:tcPr>
            <w:tcW w:w="5000" w:type="pct"/>
            <w:gridSpan w:val="3"/>
          </w:tcPr>
          <w:p w:rsidR="00F57F04" w:rsidRPr="00073183" w:rsidRDefault="00F57F04" w:rsidP="00E90160">
            <w:pPr>
              <w:jc w:val="both"/>
              <w:rPr>
                <w:rFonts w:eastAsia="Calibri"/>
                <w:sz w:val="20"/>
                <w:lang w:val="fr-CA"/>
              </w:rPr>
            </w:pPr>
            <w:r w:rsidRPr="00073183">
              <w:rPr>
                <w:rFonts w:eastAsia="Calibri"/>
                <w:i/>
                <w:sz w:val="20"/>
                <w:lang w:val="fr-CA"/>
              </w:rPr>
              <w:t xml:space="preserve">Charte des droits </w:t>
            </w:r>
            <w:r w:rsidRPr="00073183">
              <w:rPr>
                <w:rFonts w:eastAsia="Calibri"/>
                <w:sz w:val="20"/>
                <w:lang w:val="fr-CA"/>
              </w:rPr>
              <w:t xml:space="preserve">– Droit à un procès avec jury – Accidents du travail – La demanderesse a subi huit blessures en </w:t>
            </w:r>
            <w:r w:rsidRPr="00073183">
              <w:rPr>
                <w:rFonts w:eastAsia="Calibri"/>
                <w:sz w:val="20"/>
                <w:lang w:val="fr-CA"/>
              </w:rPr>
              <w:lastRenderedPageBreak/>
              <w:t>milieu de travail – La commission des accidents du travail a rejeté la demande d'invalidité permanente de la demanderesse – La demanderesse peut-elle subir un procès avec jury pour présenter une preuve et contre-interroger des témoins?</w:t>
            </w:r>
          </w:p>
        </w:tc>
      </w:tr>
      <w:tr w:rsidR="00F57F04" w:rsidRPr="007C5411" w:rsidTr="00E90160">
        <w:tc>
          <w:tcPr>
            <w:tcW w:w="5000" w:type="pct"/>
            <w:gridSpan w:val="3"/>
          </w:tcPr>
          <w:p w:rsidR="00F57F04" w:rsidRPr="00073183" w:rsidRDefault="00F57F04" w:rsidP="00E90160">
            <w:pPr>
              <w:jc w:val="both"/>
              <w:rPr>
                <w:rFonts w:eastAsia="Calibri"/>
                <w:sz w:val="20"/>
                <w:lang w:val="fr-CA"/>
              </w:rPr>
            </w:pPr>
          </w:p>
        </w:tc>
      </w:tr>
      <w:tr w:rsidR="00F57F04" w:rsidRPr="007C5411" w:rsidTr="00E90160">
        <w:tc>
          <w:tcPr>
            <w:tcW w:w="5000" w:type="pct"/>
            <w:gridSpan w:val="3"/>
          </w:tcPr>
          <w:p w:rsidR="00F57F04" w:rsidRPr="00073183" w:rsidRDefault="00F57F04" w:rsidP="00E90160">
            <w:pPr>
              <w:jc w:val="both"/>
              <w:rPr>
                <w:rFonts w:eastAsia="Calibri"/>
                <w:sz w:val="20"/>
                <w:lang w:val="fr-CA"/>
              </w:rPr>
            </w:pPr>
            <w:r w:rsidRPr="00073183">
              <w:rPr>
                <w:rFonts w:eastAsia="Calibri"/>
                <w:sz w:val="20"/>
                <w:lang w:val="fr-CA"/>
              </w:rPr>
              <w:t>Madame Davis a occupé des emplois d'adjointe d'enseignement en éducation spécialisée et de préposée aux bénéficiaires.  Elle a subi plusieurs blessures liées au travail entre 1999 et 2004 et a fait huit demandes à WorkSafe BC de 1999 à 2012.  Chacune des demandes a été accueillie et elle a reçu des indemnités d'assurance-salaire et d'autres prestations.  Elle a interjeté appel des décisions de la commission des accidents du travail à la division des révisions, puis au Workers’ Compensation Appeal Tribunal (« WCAT »).  Madame Davis alléguait que l'effet cumulatif des huit blessures donnant droit à une indemnité qu'elle avait subies lui avait causé, soit par elles</w:t>
            </w:r>
            <w:r w:rsidRPr="00073183">
              <w:rPr>
                <w:rFonts w:eastAsia="Calibri"/>
                <w:sz w:val="20"/>
                <w:lang w:val="fr-CA"/>
              </w:rPr>
              <w:noBreakHyphen/>
              <w:t>mêmes, soit en conjugaison avec ses activités professionnelles, une invalidité permanente.  La commission, la division des révisions et le WCAT ont tous rejetés sa demande.  Elle a demandé le contrôle judiciaire des décisions du WCAT.</w:t>
            </w:r>
          </w:p>
          <w:p w:rsidR="00F57F04" w:rsidRPr="00073183" w:rsidRDefault="00F57F04" w:rsidP="00E90160">
            <w:pPr>
              <w:jc w:val="both"/>
              <w:rPr>
                <w:rFonts w:eastAsia="Calibri"/>
                <w:sz w:val="20"/>
                <w:lang w:val="fr-CA"/>
              </w:rPr>
            </w:pPr>
          </w:p>
        </w:tc>
      </w:tr>
      <w:tr w:rsidR="00F57F04" w:rsidRPr="007C5411" w:rsidTr="00E90160">
        <w:tc>
          <w:tcPr>
            <w:tcW w:w="2427" w:type="pct"/>
          </w:tcPr>
          <w:p w:rsidR="00F57F04" w:rsidRPr="00073183" w:rsidRDefault="00F57F04" w:rsidP="00E90160">
            <w:pPr>
              <w:jc w:val="both"/>
              <w:rPr>
                <w:rFonts w:eastAsia="Calibri"/>
                <w:sz w:val="20"/>
                <w:lang w:val="fr-CA"/>
              </w:rPr>
            </w:pPr>
            <w:r w:rsidRPr="00073183">
              <w:rPr>
                <w:rFonts w:eastAsia="Calibri"/>
                <w:sz w:val="20"/>
                <w:lang w:val="fr-CA"/>
              </w:rPr>
              <w:t>19 mars 2013</w:t>
            </w:r>
          </w:p>
          <w:p w:rsidR="00F57F04" w:rsidRPr="00073183" w:rsidRDefault="00F57F04" w:rsidP="00E90160">
            <w:pPr>
              <w:jc w:val="both"/>
              <w:rPr>
                <w:rFonts w:eastAsia="Calibri"/>
                <w:sz w:val="20"/>
                <w:lang w:val="fr-CA"/>
              </w:rPr>
            </w:pPr>
            <w:r w:rsidRPr="00073183">
              <w:rPr>
                <w:rFonts w:eastAsia="Calibri"/>
                <w:sz w:val="20"/>
                <w:lang w:val="fr-CA"/>
              </w:rPr>
              <w:t>Cour suprême de la Colombie-Britannique</w:t>
            </w:r>
          </w:p>
          <w:p w:rsidR="00F57F04" w:rsidRPr="00073183" w:rsidRDefault="00F57F04" w:rsidP="00E90160">
            <w:pPr>
              <w:jc w:val="both"/>
              <w:rPr>
                <w:rFonts w:eastAsia="Calibri"/>
                <w:sz w:val="20"/>
                <w:lang w:val="fr-CA"/>
              </w:rPr>
            </w:pPr>
            <w:r w:rsidRPr="00073183">
              <w:rPr>
                <w:rFonts w:eastAsia="Calibri"/>
                <w:sz w:val="20"/>
                <w:lang w:val="fr-CA"/>
              </w:rPr>
              <w:t>(Juge Weatherill)</w:t>
            </w:r>
          </w:p>
          <w:p w:rsidR="00F57F04" w:rsidRPr="00073183" w:rsidRDefault="00F57F04" w:rsidP="00E90160">
            <w:pPr>
              <w:jc w:val="both"/>
              <w:rPr>
                <w:rFonts w:eastAsia="Calibri"/>
                <w:sz w:val="20"/>
                <w:lang w:val="fr-CA"/>
              </w:rPr>
            </w:pPr>
            <w:r w:rsidRPr="00073183">
              <w:rPr>
                <w:rFonts w:eastAsia="Calibri"/>
                <w:sz w:val="20"/>
                <w:lang w:val="fr-CA"/>
              </w:rPr>
              <w:t>2013 BCSC 476</w:t>
            </w:r>
          </w:p>
          <w:p w:rsidR="00F57F04" w:rsidRPr="00073183" w:rsidRDefault="00F57F04" w:rsidP="00E90160">
            <w:pPr>
              <w:jc w:val="both"/>
              <w:rPr>
                <w:rFonts w:eastAsia="Calibri"/>
                <w:sz w:val="20"/>
                <w:lang w:val="fr-CA"/>
              </w:rPr>
            </w:pPr>
          </w:p>
        </w:tc>
        <w:tc>
          <w:tcPr>
            <w:tcW w:w="243" w:type="pct"/>
          </w:tcPr>
          <w:p w:rsidR="00F57F04" w:rsidRPr="00073183" w:rsidRDefault="00F57F04" w:rsidP="00E90160">
            <w:pPr>
              <w:jc w:val="both"/>
              <w:rPr>
                <w:rFonts w:eastAsia="Calibri"/>
                <w:sz w:val="20"/>
                <w:lang w:val="fr-CA"/>
              </w:rPr>
            </w:pPr>
          </w:p>
        </w:tc>
        <w:tc>
          <w:tcPr>
            <w:tcW w:w="2330" w:type="pct"/>
          </w:tcPr>
          <w:p w:rsidR="00F57F04" w:rsidRPr="00073183" w:rsidRDefault="00F57F04" w:rsidP="00E90160">
            <w:pPr>
              <w:jc w:val="both"/>
              <w:rPr>
                <w:rFonts w:eastAsia="Calibri"/>
                <w:sz w:val="20"/>
                <w:lang w:val="fr-CA"/>
              </w:rPr>
            </w:pPr>
          </w:p>
          <w:p w:rsidR="00F57F04" w:rsidRPr="00073183" w:rsidRDefault="00F57F04" w:rsidP="00E90160">
            <w:pPr>
              <w:jc w:val="both"/>
              <w:rPr>
                <w:rFonts w:eastAsia="Calibri"/>
                <w:sz w:val="20"/>
                <w:lang w:val="fr-CA"/>
              </w:rPr>
            </w:pPr>
            <w:r w:rsidRPr="00073183">
              <w:rPr>
                <w:rFonts w:eastAsia="Calibri"/>
                <w:sz w:val="20"/>
                <w:lang w:val="fr-CA"/>
              </w:rPr>
              <w:t>Demande de contrôle judiciaire, rejetée</w:t>
            </w:r>
          </w:p>
        </w:tc>
      </w:tr>
      <w:tr w:rsidR="00F57F04" w:rsidRPr="00073183" w:rsidTr="00E90160">
        <w:tc>
          <w:tcPr>
            <w:tcW w:w="2427" w:type="pct"/>
          </w:tcPr>
          <w:p w:rsidR="00F57F04" w:rsidRPr="00073183" w:rsidRDefault="00F57F04" w:rsidP="00E90160">
            <w:pPr>
              <w:jc w:val="both"/>
              <w:rPr>
                <w:rFonts w:eastAsia="Calibri"/>
                <w:sz w:val="20"/>
                <w:lang w:val="fr-CA"/>
              </w:rPr>
            </w:pPr>
            <w:r w:rsidRPr="00073183">
              <w:rPr>
                <w:rFonts w:eastAsia="Calibri"/>
                <w:sz w:val="20"/>
                <w:lang w:val="fr-CA"/>
              </w:rPr>
              <w:t>23 septembre 2013</w:t>
            </w:r>
          </w:p>
          <w:p w:rsidR="00F57F04" w:rsidRPr="00073183" w:rsidRDefault="00F57F04" w:rsidP="00E90160">
            <w:pPr>
              <w:jc w:val="both"/>
              <w:rPr>
                <w:rFonts w:eastAsia="Calibri"/>
                <w:sz w:val="20"/>
                <w:lang w:val="fr-CA"/>
              </w:rPr>
            </w:pPr>
            <w:r w:rsidRPr="00073183">
              <w:rPr>
                <w:rFonts w:eastAsia="Calibri"/>
                <w:sz w:val="20"/>
                <w:lang w:val="fr-CA"/>
              </w:rPr>
              <w:t>Cour d'appel de la Colombie-Britannique</w:t>
            </w:r>
          </w:p>
          <w:p w:rsidR="00F57F04" w:rsidRPr="00073183" w:rsidRDefault="00F57F04" w:rsidP="00E90160">
            <w:pPr>
              <w:jc w:val="both"/>
              <w:rPr>
                <w:rFonts w:eastAsia="Calibri"/>
                <w:sz w:val="20"/>
                <w:lang w:val="fr-CA"/>
              </w:rPr>
            </w:pPr>
            <w:r w:rsidRPr="00073183">
              <w:rPr>
                <w:rFonts w:eastAsia="Calibri"/>
                <w:sz w:val="20"/>
                <w:lang w:val="fr-CA"/>
              </w:rPr>
              <w:t>(Vancouver)</w:t>
            </w:r>
          </w:p>
          <w:p w:rsidR="00F57F04" w:rsidRPr="00073183" w:rsidRDefault="00F57F04" w:rsidP="00E90160">
            <w:pPr>
              <w:jc w:val="both"/>
              <w:rPr>
                <w:rFonts w:eastAsia="Calibri"/>
                <w:sz w:val="20"/>
                <w:lang w:val="fr-CA"/>
              </w:rPr>
            </w:pPr>
            <w:r w:rsidRPr="00073183">
              <w:rPr>
                <w:rFonts w:eastAsia="Calibri"/>
                <w:sz w:val="20"/>
                <w:lang w:val="fr-CA"/>
              </w:rPr>
              <w:t>(Juges Frankel, Groberman et MacKenzie)</w:t>
            </w:r>
          </w:p>
          <w:p w:rsidR="00F57F04" w:rsidRPr="00073183" w:rsidRDefault="00F57F04" w:rsidP="00E90160">
            <w:pPr>
              <w:jc w:val="both"/>
              <w:rPr>
                <w:rFonts w:eastAsia="Calibri"/>
                <w:sz w:val="20"/>
                <w:lang w:val="fr-CA"/>
              </w:rPr>
            </w:pPr>
            <w:r w:rsidRPr="00073183">
              <w:rPr>
                <w:rFonts w:eastAsia="Calibri"/>
                <w:sz w:val="20"/>
                <w:lang w:val="fr-CA"/>
              </w:rPr>
              <w:t>2013 BCCA 418</w:t>
            </w:r>
          </w:p>
          <w:p w:rsidR="00F57F04" w:rsidRPr="00073183" w:rsidRDefault="00F57F04" w:rsidP="00E90160">
            <w:pPr>
              <w:jc w:val="both"/>
              <w:rPr>
                <w:rFonts w:eastAsia="Calibri"/>
                <w:sz w:val="20"/>
                <w:lang w:val="fr-CA"/>
              </w:rPr>
            </w:pPr>
          </w:p>
        </w:tc>
        <w:tc>
          <w:tcPr>
            <w:tcW w:w="243" w:type="pct"/>
          </w:tcPr>
          <w:p w:rsidR="00F57F04" w:rsidRPr="00073183" w:rsidRDefault="00F57F04" w:rsidP="00E90160">
            <w:pPr>
              <w:jc w:val="both"/>
              <w:rPr>
                <w:rFonts w:eastAsia="Calibri"/>
                <w:sz w:val="20"/>
                <w:lang w:val="fr-CA"/>
              </w:rPr>
            </w:pPr>
          </w:p>
        </w:tc>
        <w:tc>
          <w:tcPr>
            <w:tcW w:w="2330" w:type="pct"/>
          </w:tcPr>
          <w:p w:rsidR="00F57F04" w:rsidRPr="00073183" w:rsidRDefault="00F57F04" w:rsidP="00E90160">
            <w:pPr>
              <w:jc w:val="both"/>
              <w:rPr>
                <w:rFonts w:eastAsia="Calibri"/>
                <w:sz w:val="20"/>
                <w:lang w:val="fr-CA"/>
              </w:rPr>
            </w:pPr>
            <w:r w:rsidRPr="00073183">
              <w:rPr>
                <w:rFonts w:eastAsia="Calibri"/>
                <w:sz w:val="20"/>
                <w:lang w:val="fr-CA"/>
              </w:rPr>
              <w:t>Appel rejeté</w:t>
            </w:r>
          </w:p>
          <w:p w:rsidR="00F57F04" w:rsidRPr="00073183" w:rsidRDefault="00F57F04" w:rsidP="00E90160">
            <w:pPr>
              <w:jc w:val="both"/>
              <w:rPr>
                <w:rFonts w:eastAsia="Calibri"/>
                <w:sz w:val="20"/>
                <w:lang w:val="fr-CA"/>
              </w:rPr>
            </w:pPr>
          </w:p>
        </w:tc>
      </w:tr>
      <w:tr w:rsidR="00F57F04" w:rsidRPr="00073183" w:rsidTr="00E90160">
        <w:tc>
          <w:tcPr>
            <w:tcW w:w="2427" w:type="pct"/>
          </w:tcPr>
          <w:p w:rsidR="00F57F04" w:rsidRPr="00073183" w:rsidRDefault="00F57F04" w:rsidP="00E90160">
            <w:pPr>
              <w:jc w:val="both"/>
              <w:rPr>
                <w:rFonts w:eastAsia="Calibri"/>
                <w:sz w:val="20"/>
                <w:lang w:val="fr-CA"/>
              </w:rPr>
            </w:pPr>
            <w:r w:rsidRPr="00073183">
              <w:rPr>
                <w:rFonts w:eastAsia="Calibri"/>
                <w:sz w:val="20"/>
                <w:lang w:val="fr-CA"/>
              </w:rPr>
              <w:t>29 octobre 2013</w:t>
            </w:r>
          </w:p>
          <w:p w:rsidR="00F57F04" w:rsidRPr="00073183" w:rsidRDefault="00F57F04" w:rsidP="00E90160">
            <w:pPr>
              <w:jc w:val="both"/>
              <w:rPr>
                <w:rFonts w:eastAsia="Calibri"/>
                <w:sz w:val="20"/>
                <w:lang w:val="fr-CA"/>
              </w:rPr>
            </w:pPr>
            <w:r w:rsidRPr="00073183">
              <w:rPr>
                <w:rFonts w:eastAsia="Calibri"/>
                <w:sz w:val="20"/>
                <w:lang w:val="fr-CA"/>
              </w:rPr>
              <w:t>Cour suprême du Canada</w:t>
            </w:r>
          </w:p>
        </w:tc>
        <w:tc>
          <w:tcPr>
            <w:tcW w:w="243" w:type="pct"/>
          </w:tcPr>
          <w:p w:rsidR="00F57F04" w:rsidRPr="00073183" w:rsidRDefault="00F57F04" w:rsidP="00E90160">
            <w:pPr>
              <w:jc w:val="both"/>
              <w:rPr>
                <w:rFonts w:eastAsia="Calibri"/>
                <w:sz w:val="20"/>
                <w:lang w:val="fr-CA"/>
              </w:rPr>
            </w:pPr>
          </w:p>
        </w:tc>
        <w:tc>
          <w:tcPr>
            <w:tcW w:w="2330" w:type="pct"/>
          </w:tcPr>
          <w:p w:rsidR="00F57F04" w:rsidRPr="00073183" w:rsidRDefault="00F57F04" w:rsidP="00E90160">
            <w:pPr>
              <w:jc w:val="both"/>
              <w:rPr>
                <w:rFonts w:eastAsia="Calibri"/>
                <w:sz w:val="20"/>
                <w:lang w:val="fr-CA"/>
              </w:rPr>
            </w:pPr>
            <w:r w:rsidRPr="00073183">
              <w:rPr>
                <w:rFonts w:eastAsia="Calibri"/>
                <w:sz w:val="20"/>
                <w:lang w:val="fr-CA"/>
              </w:rPr>
              <w:t>Demande d'autorisation d'appel, déposée</w:t>
            </w:r>
          </w:p>
          <w:p w:rsidR="00F57F04" w:rsidRPr="00073183" w:rsidRDefault="00F57F04" w:rsidP="00E90160">
            <w:pPr>
              <w:jc w:val="both"/>
              <w:rPr>
                <w:rFonts w:eastAsia="Calibri"/>
                <w:sz w:val="20"/>
                <w:lang w:val="fr-CA"/>
              </w:rPr>
            </w:pPr>
          </w:p>
        </w:tc>
      </w:tr>
    </w:tbl>
    <w:p w:rsidR="000F69AD" w:rsidRDefault="000F69AD" w:rsidP="000F69AD">
      <w:pPr>
        <w:rPr>
          <w:sz w:val="20"/>
          <w:szCs w:val="20"/>
        </w:rPr>
      </w:pPr>
    </w:p>
    <w:p w:rsidR="000F69AD" w:rsidRDefault="007C5411" w:rsidP="000F69AD">
      <w:pPr>
        <w:rPr>
          <w:sz w:val="20"/>
          <w:szCs w:val="20"/>
        </w:rPr>
      </w:pPr>
      <w:r>
        <w:rPr>
          <w:sz w:val="20"/>
          <w:szCs w:val="20"/>
          <w:lang w:val="fr-CA"/>
        </w:rPr>
        <w:pict>
          <v:rect id="_x0000_i1061" style="width:2in;height:1pt" o:hrpct="0" o:hralign="center" o:hrstd="t" o:hrnoshade="t" o:hr="t" fillcolor="black [3213]" stroked="f"/>
        </w:pict>
      </w:r>
    </w:p>
    <w:p w:rsidR="000F69AD" w:rsidRDefault="000F69AD" w:rsidP="000F69AD">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D48A2" w:rsidRPr="008D48A2" w:rsidRDefault="008D48A2" w:rsidP="008D48A2">
      <w:pPr>
        <w:tabs>
          <w:tab w:val="left" w:pos="-1440"/>
          <w:tab w:val="left" w:pos="-720"/>
        </w:tabs>
        <w:jc w:val="both"/>
        <w:rPr>
          <w:rFonts w:eastAsia="Times New Roman" w:cs="Times New Roman"/>
          <w:sz w:val="20"/>
          <w:szCs w:val="20"/>
          <w:lang w:val="fr-CA" w:eastAsia="en-CA"/>
        </w:rPr>
      </w:pPr>
      <w:r w:rsidRPr="008D48A2">
        <w:rPr>
          <w:rFonts w:eastAsia="Times New Roman" w:cs="Times New Roman"/>
          <w:sz w:val="20"/>
          <w:szCs w:val="20"/>
          <w:lang w:val="fr-CA" w:eastAsia="en-CA"/>
        </w:rPr>
        <w:t>10.01.2014</w:t>
      </w:r>
    </w:p>
    <w:p w:rsidR="008D48A2" w:rsidRPr="008D48A2" w:rsidRDefault="008D48A2" w:rsidP="008D48A2">
      <w:pPr>
        <w:tabs>
          <w:tab w:val="left" w:pos="-1440"/>
          <w:tab w:val="left" w:pos="-720"/>
        </w:tabs>
        <w:jc w:val="both"/>
        <w:rPr>
          <w:rFonts w:eastAsia="Times New Roman" w:cs="Times New Roman"/>
          <w:sz w:val="20"/>
          <w:szCs w:val="20"/>
          <w:lang w:val="fr-CA" w:eastAsia="en-CA"/>
        </w:rPr>
      </w:pPr>
    </w:p>
    <w:p w:rsidR="008D48A2" w:rsidRPr="008D48A2" w:rsidRDefault="008D48A2" w:rsidP="008D48A2">
      <w:pPr>
        <w:tabs>
          <w:tab w:val="left" w:pos="-1440"/>
          <w:tab w:val="left" w:pos="-720"/>
        </w:tabs>
        <w:jc w:val="both"/>
        <w:rPr>
          <w:rFonts w:eastAsia="Times New Roman" w:cs="Times New Roman"/>
          <w:sz w:val="20"/>
          <w:szCs w:val="20"/>
          <w:lang w:val="fr-CA" w:eastAsia="en-CA"/>
        </w:rPr>
      </w:pPr>
      <w:r w:rsidRPr="008D48A2">
        <w:rPr>
          <w:rFonts w:eastAsia="Times New Roman" w:cs="Times New Roman"/>
          <w:sz w:val="20"/>
          <w:szCs w:val="20"/>
          <w:lang w:val="fr-CA" w:eastAsia="en-CA"/>
        </w:rPr>
        <w:t>Before / Devant :   LEBEL J. / LE JUGE LEBEL</w:t>
      </w:r>
    </w:p>
    <w:p w:rsidR="008D48A2" w:rsidRPr="008D48A2" w:rsidRDefault="008D48A2" w:rsidP="008D48A2">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8D48A2" w:rsidRPr="007C5411" w:rsidTr="008D48A2">
        <w:tc>
          <w:tcPr>
            <w:tcW w:w="4338" w:type="dxa"/>
            <w:gridSpan w:val="2"/>
          </w:tcPr>
          <w:p w:rsidR="008D48A2" w:rsidRPr="008D48A2" w:rsidRDefault="008D48A2" w:rsidP="008D48A2">
            <w:pPr>
              <w:jc w:val="both"/>
              <w:rPr>
                <w:b/>
              </w:rPr>
            </w:pPr>
            <w:r w:rsidRPr="008D48A2">
              <w:rPr>
                <w:b/>
                <w:lang w:val="en-US"/>
              </w:rPr>
              <w:t xml:space="preserve">Order on intervention with respect to oral argument </w:t>
            </w:r>
            <w:r w:rsidR="00FD4200" w:rsidRPr="008D48A2">
              <w:rPr>
                <w:b/>
                <w:lang w:val="en-US"/>
              </w:rPr>
              <w:fldChar w:fldCharType="begin"/>
            </w:r>
            <w:r w:rsidRPr="008D48A2">
              <w:rPr>
                <w:b/>
              </w:rPr>
              <w:instrText xml:space="preserve"> SEQ CHAPTER \h \r 1</w:instrText>
            </w:r>
            <w:r w:rsidR="00FD4200" w:rsidRPr="008D48A2">
              <w:rPr>
                <w:b/>
                <w:lang w:val="en-US"/>
              </w:rPr>
              <w:fldChar w:fldCharType="end"/>
            </w:r>
          </w:p>
        </w:tc>
        <w:tc>
          <w:tcPr>
            <w:tcW w:w="1170" w:type="dxa"/>
          </w:tcPr>
          <w:p w:rsidR="008D48A2" w:rsidRPr="008D48A2" w:rsidRDefault="008D48A2" w:rsidP="008D48A2"/>
          <w:p w:rsidR="008D48A2" w:rsidRPr="008D48A2" w:rsidRDefault="008D48A2" w:rsidP="008D48A2"/>
          <w:p w:rsidR="008D48A2" w:rsidRPr="008D48A2" w:rsidRDefault="008D48A2" w:rsidP="008D48A2"/>
        </w:tc>
        <w:tc>
          <w:tcPr>
            <w:tcW w:w="4327" w:type="dxa"/>
          </w:tcPr>
          <w:p w:rsidR="008D48A2" w:rsidRPr="008D48A2" w:rsidRDefault="008D48A2" w:rsidP="008D48A2">
            <w:pPr>
              <w:jc w:val="both"/>
              <w:rPr>
                <w:b/>
                <w:lang w:val="fr-CA"/>
              </w:rPr>
            </w:pPr>
            <w:r w:rsidRPr="008D48A2">
              <w:rPr>
                <w:b/>
                <w:lang w:val="fr-CA"/>
              </w:rPr>
              <w:t>Ordonnance relative à la présentation d’une plaidoirie orale par l’intervenant</w:t>
            </w:r>
            <w:r w:rsidR="00FD4200" w:rsidRPr="008D48A2">
              <w:rPr>
                <w:b/>
                <w:lang w:val="en-US"/>
              </w:rPr>
              <w:fldChar w:fldCharType="begin"/>
            </w:r>
            <w:r w:rsidRPr="008D48A2">
              <w:rPr>
                <w:b/>
                <w:lang w:val="fr-CA"/>
              </w:rPr>
              <w:instrText xml:space="preserve"> SEQ CHAPTER \h \r 1</w:instrText>
            </w:r>
            <w:r w:rsidR="00FD4200" w:rsidRPr="008D48A2">
              <w:rPr>
                <w:b/>
                <w:lang w:val="en-US"/>
              </w:rPr>
              <w:fldChar w:fldCharType="end"/>
            </w:r>
          </w:p>
        </w:tc>
      </w:tr>
      <w:tr w:rsidR="008D48A2" w:rsidRPr="008D48A2" w:rsidTr="008D48A2">
        <w:tc>
          <w:tcPr>
            <w:tcW w:w="1368" w:type="dxa"/>
          </w:tcPr>
          <w:p w:rsidR="008D48A2" w:rsidRPr="008D48A2" w:rsidRDefault="008D48A2" w:rsidP="008D48A2">
            <w:r w:rsidRPr="008D48A2">
              <w:t>RE:</w:t>
            </w:r>
          </w:p>
        </w:tc>
        <w:tc>
          <w:tcPr>
            <w:tcW w:w="2970" w:type="dxa"/>
          </w:tcPr>
          <w:p w:rsidR="008D48A2" w:rsidRPr="008D48A2" w:rsidRDefault="008D48A2" w:rsidP="008D48A2">
            <w:r w:rsidRPr="008D48A2">
              <w:rPr>
                <w:lang w:val="en-US"/>
              </w:rPr>
              <w:t>Attorney General of Alberta</w:t>
            </w:r>
          </w:p>
        </w:tc>
        <w:tc>
          <w:tcPr>
            <w:tcW w:w="1170" w:type="dxa"/>
          </w:tcPr>
          <w:p w:rsidR="008D48A2" w:rsidRPr="008D48A2" w:rsidRDefault="008D48A2" w:rsidP="008D48A2"/>
        </w:tc>
        <w:tc>
          <w:tcPr>
            <w:tcW w:w="4327" w:type="dxa"/>
          </w:tcPr>
          <w:p w:rsidR="008D48A2" w:rsidRPr="008D48A2" w:rsidRDefault="008D48A2" w:rsidP="008D48A2"/>
        </w:tc>
      </w:tr>
      <w:tr w:rsidR="008D48A2" w:rsidRPr="008D48A2" w:rsidTr="008D48A2">
        <w:tc>
          <w:tcPr>
            <w:tcW w:w="1368" w:type="dxa"/>
          </w:tcPr>
          <w:p w:rsidR="008D48A2" w:rsidRPr="008D48A2" w:rsidRDefault="008D48A2" w:rsidP="008D48A2"/>
        </w:tc>
        <w:tc>
          <w:tcPr>
            <w:tcW w:w="2970" w:type="dxa"/>
          </w:tcPr>
          <w:p w:rsidR="008D48A2" w:rsidRPr="008D48A2" w:rsidRDefault="008D48A2" w:rsidP="008D48A2"/>
        </w:tc>
        <w:tc>
          <w:tcPr>
            <w:tcW w:w="1170" w:type="dxa"/>
          </w:tcPr>
          <w:p w:rsidR="008D48A2" w:rsidRPr="008D48A2" w:rsidRDefault="008D48A2" w:rsidP="008D48A2"/>
        </w:tc>
        <w:tc>
          <w:tcPr>
            <w:tcW w:w="4327" w:type="dxa"/>
          </w:tcPr>
          <w:p w:rsidR="008D48A2" w:rsidRPr="008D48A2" w:rsidRDefault="008D48A2" w:rsidP="008D48A2"/>
        </w:tc>
      </w:tr>
      <w:tr w:rsidR="008D48A2" w:rsidRPr="008D48A2" w:rsidTr="008D48A2">
        <w:tc>
          <w:tcPr>
            <w:tcW w:w="1368" w:type="dxa"/>
          </w:tcPr>
          <w:p w:rsidR="008D48A2" w:rsidRPr="008D48A2" w:rsidRDefault="008D48A2" w:rsidP="008D48A2">
            <w:r w:rsidRPr="008D48A2">
              <w:t>IN / DANS :</w:t>
            </w:r>
          </w:p>
        </w:tc>
        <w:tc>
          <w:tcPr>
            <w:tcW w:w="2970" w:type="dxa"/>
          </w:tcPr>
          <w:p w:rsidR="008D48A2" w:rsidRPr="008D48A2" w:rsidRDefault="008D48A2" w:rsidP="008D48A2">
            <w:r w:rsidRPr="008D48A2">
              <w:t>Mohammad Hassan Mian</w:t>
            </w:r>
          </w:p>
          <w:p w:rsidR="008D48A2" w:rsidRPr="008D48A2" w:rsidRDefault="008D48A2" w:rsidP="008D48A2"/>
          <w:p w:rsidR="008D48A2" w:rsidRPr="008D48A2" w:rsidRDefault="008D48A2" w:rsidP="008D48A2">
            <w:r w:rsidRPr="008D48A2">
              <w:tab/>
              <w:t>v. (35132)</w:t>
            </w:r>
          </w:p>
          <w:p w:rsidR="008D48A2" w:rsidRPr="008D48A2" w:rsidRDefault="008D48A2" w:rsidP="008D48A2"/>
          <w:p w:rsidR="008D48A2" w:rsidRPr="008D48A2" w:rsidRDefault="008D48A2" w:rsidP="008D48A2">
            <w:r w:rsidRPr="008D48A2">
              <w:t>Her Majesty the Queen (Crim.) (Alta.)</w:t>
            </w:r>
          </w:p>
        </w:tc>
        <w:tc>
          <w:tcPr>
            <w:tcW w:w="1170" w:type="dxa"/>
          </w:tcPr>
          <w:p w:rsidR="008D48A2" w:rsidRPr="008D48A2" w:rsidRDefault="008D48A2" w:rsidP="008D48A2"/>
        </w:tc>
        <w:tc>
          <w:tcPr>
            <w:tcW w:w="4327" w:type="dxa"/>
          </w:tcPr>
          <w:p w:rsidR="008D48A2" w:rsidRPr="008D48A2" w:rsidRDefault="008D48A2" w:rsidP="008D48A2"/>
        </w:tc>
      </w:tr>
    </w:tbl>
    <w:p w:rsidR="008D48A2" w:rsidRPr="008D48A2" w:rsidRDefault="008D48A2" w:rsidP="008D48A2">
      <w:pPr>
        <w:tabs>
          <w:tab w:val="left" w:pos="-1440"/>
          <w:tab w:val="left" w:pos="-720"/>
        </w:tabs>
        <w:jc w:val="both"/>
        <w:rPr>
          <w:rFonts w:eastAsia="Times New Roman" w:cs="Times New Roman"/>
          <w:sz w:val="20"/>
          <w:szCs w:val="20"/>
          <w:lang w:val="fr-CA" w:eastAsia="en-CA"/>
        </w:rPr>
      </w:pPr>
    </w:p>
    <w:p w:rsidR="008D48A2" w:rsidRPr="008D48A2" w:rsidRDefault="008D48A2" w:rsidP="008D48A2">
      <w:pPr>
        <w:spacing w:line="233" w:lineRule="auto"/>
        <w:jc w:val="both"/>
        <w:rPr>
          <w:rFonts w:eastAsia="Times New Roman" w:cs="Times New Roman"/>
          <w:b/>
          <w:bCs/>
          <w:sz w:val="20"/>
          <w:szCs w:val="20"/>
          <w:lang w:val="en-US" w:eastAsia="en-CA"/>
        </w:rPr>
      </w:pPr>
      <w:r w:rsidRPr="008D48A2">
        <w:rPr>
          <w:rFonts w:eastAsia="Times New Roman" w:cs="Times New Roman"/>
          <w:b/>
          <w:bCs/>
          <w:sz w:val="20"/>
          <w:szCs w:val="20"/>
          <w:lang w:val="en-US" w:eastAsia="en-CA"/>
        </w:rPr>
        <w:t xml:space="preserve">FURTHER TO THE ORDER </w:t>
      </w:r>
      <w:r w:rsidRPr="008D48A2">
        <w:rPr>
          <w:rFonts w:eastAsia="Times New Roman" w:cs="Times New Roman"/>
          <w:bCs/>
          <w:sz w:val="20"/>
          <w:szCs w:val="20"/>
          <w:lang w:val="en-US" w:eastAsia="en-CA"/>
        </w:rPr>
        <w:t xml:space="preserve">dated October 25, 2013, granting leave to intervene to the </w:t>
      </w:r>
      <w:r w:rsidRPr="008D48A2">
        <w:rPr>
          <w:rFonts w:eastAsia="Times New Roman" w:cs="Times New Roman"/>
          <w:sz w:val="20"/>
          <w:szCs w:val="20"/>
          <w:lang w:val="en-US" w:eastAsia="en-CA"/>
        </w:rPr>
        <w:t>Attorney General of Alberta</w:t>
      </w:r>
      <w:r w:rsidRPr="008D48A2">
        <w:rPr>
          <w:rFonts w:eastAsia="Times New Roman" w:cs="Times New Roman"/>
          <w:bCs/>
          <w:sz w:val="20"/>
          <w:szCs w:val="20"/>
          <w:lang w:val="en-US" w:eastAsia="en-CA"/>
        </w:rPr>
        <w:t>;</w:t>
      </w:r>
    </w:p>
    <w:p w:rsidR="008D48A2" w:rsidRPr="008D48A2" w:rsidRDefault="008D48A2" w:rsidP="008D48A2">
      <w:pPr>
        <w:spacing w:line="233" w:lineRule="auto"/>
        <w:jc w:val="both"/>
        <w:rPr>
          <w:rFonts w:eastAsia="Times New Roman" w:cs="Times New Roman"/>
          <w:sz w:val="20"/>
          <w:szCs w:val="20"/>
          <w:lang w:val="en-US" w:eastAsia="en-CA"/>
        </w:rPr>
      </w:pPr>
    </w:p>
    <w:p w:rsidR="008D48A2" w:rsidRPr="008D48A2" w:rsidRDefault="008D48A2" w:rsidP="008D48A2">
      <w:pPr>
        <w:spacing w:line="233" w:lineRule="auto"/>
        <w:jc w:val="both"/>
        <w:rPr>
          <w:rFonts w:eastAsia="Times New Roman" w:cs="Times New Roman"/>
          <w:sz w:val="20"/>
          <w:szCs w:val="20"/>
          <w:lang w:val="en-US" w:eastAsia="en-CA"/>
        </w:rPr>
      </w:pPr>
      <w:r w:rsidRPr="008D48A2">
        <w:rPr>
          <w:rFonts w:eastAsia="Times New Roman" w:cs="Times New Roman"/>
          <w:b/>
          <w:bCs/>
          <w:sz w:val="20"/>
          <w:szCs w:val="20"/>
          <w:lang w:val="en-US" w:eastAsia="en-CA"/>
        </w:rPr>
        <w:t xml:space="preserve">IT IS HEREBY FURTHER ORDERED THAT </w:t>
      </w:r>
      <w:r w:rsidRPr="008D48A2">
        <w:rPr>
          <w:rFonts w:eastAsia="Times New Roman" w:cs="Times New Roman"/>
          <w:bCs/>
          <w:sz w:val="20"/>
          <w:szCs w:val="20"/>
          <w:lang w:val="en-US" w:eastAsia="en-CA"/>
        </w:rPr>
        <w:t>the Attorney General of Alberta is granted permission to present oral argument not exceeding ten (10) minutes at the hearing of the appeal.</w:t>
      </w:r>
    </w:p>
    <w:p w:rsidR="008D48A2" w:rsidRPr="008D48A2" w:rsidRDefault="008D48A2" w:rsidP="008D48A2">
      <w:pPr>
        <w:spacing w:line="233" w:lineRule="auto"/>
        <w:jc w:val="both"/>
        <w:rPr>
          <w:rFonts w:eastAsia="Times New Roman" w:cs="Times New Roman"/>
          <w:b/>
          <w:bCs/>
          <w:sz w:val="20"/>
          <w:szCs w:val="20"/>
          <w:lang w:val="en-US" w:eastAsia="en-CA"/>
        </w:rPr>
      </w:pPr>
    </w:p>
    <w:p w:rsidR="008D48A2" w:rsidRPr="008D48A2" w:rsidRDefault="008D48A2" w:rsidP="008D48A2">
      <w:pPr>
        <w:spacing w:line="233" w:lineRule="auto"/>
        <w:jc w:val="both"/>
        <w:rPr>
          <w:rFonts w:eastAsia="Times New Roman" w:cs="Times New Roman"/>
          <w:sz w:val="20"/>
          <w:szCs w:val="20"/>
          <w:lang w:val="en-US" w:eastAsia="en-CA"/>
        </w:rPr>
      </w:pPr>
    </w:p>
    <w:p w:rsidR="008D48A2" w:rsidRPr="008D48A2" w:rsidRDefault="008D48A2" w:rsidP="008D48A2">
      <w:pPr>
        <w:spacing w:line="233" w:lineRule="auto"/>
        <w:jc w:val="both"/>
        <w:rPr>
          <w:rFonts w:eastAsia="Times New Roman" w:cs="Times New Roman"/>
          <w:sz w:val="20"/>
          <w:szCs w:val="20"/>
          <w:lang w:val="en-US"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b/>
          <w:sz w:val="20"/>
          <w:szCs w:val="20"/>
          <w:lang w:val="fr-CA" w:eastAsia="en-CA"/>
        </w:rPr>
        <w:t xml:space="preserve">À LA SUITE DE L'ORDONNANCE </w:t>
      </w:r>
      <w:r w:rsidRPr="008D48A2">
        <w:rPr>
          <w:rFonts w:eastAsia="Times New Roman" w:cs="Times New Roman"/>
          <w:sz w:val="20"/>
          <w:szCs w:val="20"/>
          <w:lang w:val="fr-CA" w:eastAsia="en-CA"/>
        </w:rPr>
        <w:t>datée du 25 octobre 2013 autorisant le Procureur général de l’Alberta à intervenir;</w:t>
      </w:r>
    </w:p>
    <w:p w:rsidR="008D48A2" w:rsidRPr="008D48A2" w:rsidRDefault="008D48A2" w:rsidP="008D48A2">
      <w:pPr>
        <w:spacing w:line="233" w:lineRule="auto"/>
        <w:jc w:val="both"/>
        <w:rPr>
          <w:rFonts w:eastAsia="Times New Roman" w:cs="Times New Roman"/>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b/>
          <w:sz w:val="20"/>
          <w:szCs w:val="20"/>
          <w:lang w:val="fr-CA" w:eastAsia="en-CA"/>
        </w:rPr>
        <w:t>IL EST EN OUTRE ORDONNÉ CE QUI SUIT :</w:t>
      </w:r>
      <w:r w:rsidRPr="008D48A2">
        <w:rPr>
          <w:rFonts w:eastAsia="Times New Roman" w:cs="Times New Roman"/>
          <w:sz w:val="20"/>
          <w:szCs w:val="20"/>
          <w:lang w:val="fr-CA" w:eastAsia="en-CA"/>
        </w:rPr>
        <w:t xml:space="preserve"> ledit Procureur général de l’Alberta est autorisé à présenter une plaidoirie orale d'au plus dix (10) minutes lors de l'audition de l'appel.</w:t>
      </w:r>
    </w:p>
    <w:p w:rsidR="008D48A2" w:rsidRPr="008D48A2" w:rsidRDefault="008D48A2" w:rsidP="008D48A2">
      <w:pPr>
        <w:spacing w:line="233" w:lineRule="auto"/>
        <w:jc w:val="both"/>
        <w:rPr>
          <w:rFonts w:eastAsia="Times New Roman" w:cs="Times New Roman"/>
          <w:sz w:val="20"/>
          <w:szCs w:val="20"/>
          <w:lang w:val="fr-CA" w:eastAsia="en-CA"/>
        </w:rPr>
      </w:pPr>
    </w:p>
    <w:p w:rsidR="008D48A2" w:rsidRPr="008D48A2" w:rsidRDefault="007C5411" w:rsidP="008D48A2">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4" style="width:2in;height:1pt" o:hrpct="0" o:hralign="center" o:hrstd="t" o:hrnoshade="t" o:hr="t" fillcolor="black [3213]" stroked="f"/>
        </w:pict>
      </w:r>
    </w:p>
    <w:p w:rsidR="008D48A2" w:rsidRPr="008D48A2" w:rsidRDefault="008D48A2" w:rsidP="008D48A2">
      <w:pPr>
        <w:tabs>
          <w:tab w:val="left" w:pos="-1440"/>
          <w:tab w:val="left" w:pos="-720"/>
        </w:tabs>
        <w:jc w:val="both"/>
        <w:rPr>
          <w:rFonts w:eastAsia="Times New Roman" w:cs="Times New Roman"/>
          <w:sz w:val="20"/>
          <w:szCs w:val="20"/>
          <w:lang w:val="fr-CA" w:eastAsia="en-CA"/>
        </w:rPr>
      </w:pPr>
    </w:p>
    <w:p w:rsidR="008D48A2" w:rsidRPr="008D48A2" w:rsidRDefault="008D48A2" w:rsidP="008D48A2">
      <w:pPr>
        <w:tabs>
          <w:tab w:val="left" w:pos="-1440"/>
          <w:tab w:val="left" w:pos="-720"/>
        </w:tabs>
        <w:jc w:val="both"/>
        <w:rPr>
          <w:rFonts w:eastAsia="Times New Roman" w:cs="Times New Roman"/>
          <w:sz w:val="20"/>
          <w:szCs w:val="20"/>
          <w:lang w:val="fr-CA" w:eastAsia="en-CA"/>
        </w:rPr>
      </w:pPr>
      <w:r w:rsidRPr="008D48A2">
        <w:rPr>
          <w:rFonts w:eastAsia="Times New Roman" w:cs="Times New Roman"/>
          <w:sz w:val="20"/>
          <w:szCs w:val="20"/>
          <w:lang w:val="fr-CA" w:eastAsia="en-CA"/>
        </w:rPr>
        <w:t>10.01.2014</w:t>
      </w:r>
    </w:p>
    <w:p w:rsidR="008D48A2" w:rsidRPr="008D48A2" w:rsidRDefault="008D48A2" w:rsidP="008D48A2">
      <w:pPr>
        <w:tabs>
          <w:tab w:val="left" w:pos="-1440"/>
          <w:tab w:val="left" w:pos="-720"/>
        </w:tabs>
        <w:jc w:val="both"/>
        <w:rPr>
          <w:rFonts w:eastAsia="Times New Roman" w:cs="Times New Roman"/>
          <w:sz w:val="20"/>
          <w:szCs w:val="20"/>
          <w:lang w:val="fr-CA" w:eastAsia="en-CA"/>
        </w:rPr>
      </w:pPr>
    </w:p>
    <w:p w:rsidR="008D48A2" w:rsidRPr="008D48A2" w:rsidRDefault="008D48A2" w:rsidP="008D48A2">
      <w:pPr>
        <w:tabs>
          <w:tab w:val="left" w:pos="-1440"/>
          <w:tab w:val="left" w:pos="-720"/>
        </w:tabs>
        <w:jc w:val="both"/>
        <w:rPr>
          <w:rFonts w:eastAsia="Times New Roman" w:cs="Times New Roman"/>
          <w:sz w:val="20"/>
          <w:szCs w:val="20"/>
          <w:lang w:val="fr-CA" w:eastAsia="en-CA"/>
        </w:rPr>
      </w:pPr>
      <w:r w:rsidRPr="008D48A2">
        <w:rPr>
          <w:rFonts w:eastAsia="Times New Roman" w:cs="Times New Roman"/>
          <w:sz w:val="20"/>
          <w:szCs w:val="20"/>
          <w:lang w:val="fr-CA" w:eastAsia="en-CA"/>
        </w:rPr>
        <w:t>Before / Devant :   LEBEL J. / LE JUGE LEBEL</w:t>
      </w:r>
    </w:p>
    <w:p w:rsidR="008D48A2" w:rsidRPr="008D48A2" w:rsidRDefault="008D48A2" w:rsidP="008D48A2">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8D48A2" w:rsidRPr="008D48A2" w:rsidTr="008D48A2">
        <w:tc>
          <w:tcPr>
            <w:tcW w:w="4338" w:type="dxa"/>
            <w:gridSpan w:val="2"/>
          </w:tcPr>
          <w:p w:rsidR="008D48A2" w:rsidRPr="008D48A2" w:rsidRDefault="008D48A2" w:rsidP="008D48A2">
            <w:pPr>
              <w:rPr>
                <w:b/>
              </w:rPr>
            </w:pPr>
            <w:r w:rsidRPr="008D48A2">
              <w:rPr>
                <w:b/>
              </w:rPr>
              <w:t>Motions for leave to intervene</w:t>
            </w:r>
            <w:r w:rsidRPr="008D48A2">
              <w:rPr>
                <w:lang w:val="en-US"/>
              </w:rPr>
              <w:t xml:space="preserve"> </w:t>
            </w:r>
            <w:r w:rsidR="00FD4200" w:rsidRPr="008D48A2">
              <w:rPr>
                <w:lang w:val="en-US"/>
              </w:rPr>
              <w:fldChar w:fldCharType="begin"/>
            </w:r>
            <w:r w:rsidRPr="008D48A2">
              <w:instrText xml:space="preserve"> SEQ CHAPTER \h \r 1</w:instrText>
            </w:r>
            <w:r w:rsidR="00FD4200" w:rsidRPr="008D48A2">
              <w:rPr>
                <w:lang w:val="en-US"/>
              </w:rPr>
              <w:fldChar w:fldCharType="end"/>
            </w:r>
          </w:p>
        </w:tc>
        <w:tc>
          <w:tcPr>
            <w:tcW w:w="1170" w:type="dxa"/>
          </w:tcPr>
          <w:p w:rsidR="008D48A2" w:rsidRPr="008D48A2" w:rsidRDefault="008D48A2" w:rsidP="008D48A2"/>
          <w:p w:rsidR="008D48A2" w:rsidRPr="008D48A2" w:rsidRDefault="008D48A2" w:rsidP="008D48A2"/>
        </w:tc>
        <w:tc>
          <w:tcPr>
            <w:tcW w:w="4327" w:type="dxa"/>
          </w:tcPr>
          <w:p w:rsidR="008D48A2" w:rsidRPr="008D48A2" w:rsidRDefault="008D48A2" w:rsidP="008D48A2">
            <w:pPr>
              <w:rPr>
                <w:b/>
              </w:rPr>
            </w:pPr>
            <w:r w:rsidRPr="008D48A2">
              <w:rPr>
                <w:b/>
                <w:bCs/>
                <w:lang w:val="fr-CA"/>
              </w:rPr>
              <w:t>Requêtes en autorisation d’intervenir</w:t>
            </w:r>
            <w:r w:rsidRPr="008D48A2">
              <w:rPr>
                <w:lang w:val="en-US"/>
              </w:rPr>
              <w:t xml:space="preserve"> </w:t>
            </w:r>
            <w:r w:rsidR="00FD4200" w:rsidRPr="008D48A2">
              <w:rPr>
                <w:lang w:val="en-US"/>
              </w:rPr>
              <w:fldChar w:fldCharType="begin"/>
            </w:r>
            <w:r w:rsidRPr="008D48A2">
              <w:instrText xml:space="preserve"> SEQ CHAPTER \h \r 1</w:instrText>
            </w:r>
            <w:r w:rsidR="00FD4200" w:rsidRPr="008D48A2">
              <w:rPr>
                <w:lang w:val="en-US"/>
              </w:rPr>
              <w:fldChar w:fldCharType="end"/>
            </w:r>
          </w:p>
        </w:tc>
      </w:tr>
      <w:tr w:rsidR="008D48A2" w:rsidRPr="008D48A2" w:rsidTr="008D48A2">
        <w:tc>
          <w:tcPr>
            <w:tcW w:w="1368" w:type="dxa"/>
          </w:tcPr>
          <w:p w:rsidR="008D48A2" w:rsidRPr="008D48A2" w:rsidRDefault="008D48A2" w:rsidP="008D48A2">
            <w:r w:rsidRPr="008D48A2">
              <w:t>BY / PAR</w:t>
            </w:r>
          </w:p>
        </w:tc>
        <w:tc>
          <w:tcPr>
            <w:tcW w:w="2970" w:type="dxa"/>
          </w:tcPr>
          <w:p w:rsidR="008D48A2" w:rsidRPr="008D48A2" w:rsidRDefault="008D48A2" w:rsidP="008D48A2">
            <w:pPr>
              <w:rPr>
                <w:lang w:val="en-US"/>
              </w:rPr>
            </w:pPr>
            <w:r w:rsidRPr="008D48A2">
              <w:rPr>
                <w:lang w:val="en-US"/>
              </w:rPr>
              <w:t>Canadian Labour Congress;</w:t>
            </w:r>
          </w:p>
          <w:p w:rsidR="008D48A2" w:rsidRPr="008D48A2" w:rsidRDefault="008D48A2" w:rsidP="008D48A2"/>
        </w:tc>
        <w:tc>
          <w:tcPr>
            <w:tcW w:w="1170" w:type="dxa"/>
          </w:tcPr>
          <w:p w:rsidR="008D48A2" w:rsidRPr="008D48A2" w:rsidRDefault="008D48A2" w:rsidP="008D48A2"/>
        </w:tc>
        <w:tc>
          <w:tcPr>
            <w:tcW w:w="4327" w:type="dxa"/>
          </w:tcPr>
          <w:p w:rsidR="008D48A2" w:rsidRPr="008D48A2" w:rsidRDefault="008D48A2" w:rsidP="008D48A2"/>
        </w:tc>
      </w:tr>
      <w:tr w:rsidR="008D48A2" w:rsidRPr="008D48A2" w:rsidTr="008D48A2">
        <w:tc>
          <w:tcPr>
            <w:tcW w:w="1368" w:type="dxa"/>
          </w:tcPr>
          <w:p w:rsidR="008D48A2" w:rsidRPr="008D48A2" w:rsidRDefault="008D48A2" w:rsidP="008D48A2"/>
        </w:tc>
        <w:tc>
          <w:tcPr>
            <w:tcW w:w="2970" w:type="dxa"/>
          </w:tcPr>
          <w:p w:rsidR="008D48A2" w:rsidRPr="008D48A2" w:rsidRDefault="008D48A2" w:rsidP="008D48A2">
            <w:pPr>
              <w:rPr>
                <w:lang w:val="en-US"/>
              </w:rPr>
            </w:pPr>
            <w:r w:rsidRPr="008D48A2">
              <w:rPr>
                <w:lang w:val="en-US"/>
              </w:rPr>
              <w:t>Professional Institute of the Public Service of Canada;</w:t>
            </w:r>
          </w:p>
          <w:p w:rsidR="008D48A2" w:rsidRPr="008D48A2" w:rsidRDefault="008D48A2" w:rsidP="008D48A2"/>
        </w:tc>
        <w:tc>
          <w:tcPr>
            <w:tcW w:w="1170" w:type="dxa"/>
          </w:tcPr>
          <w:p w:rsidR="008D48A2" w:rsidRPr="008D48A2" w:rsidRDefault="008D48A2" w:rsidP="008D48A2"/>
        </w:tc>
        <w:tc>
          <w:tcPr>
            <w:tcW w:w="4327" w:type="dxa"/>
          </w:tcPr>
          <w:p w:rsidR="008D48A2" w:rsidRPr="008D48A2" w:rsidRDefault="008D48A2" w:rsidP="008D48A2"/>
        </w:tc>
      </w:tr>
      <w:tr w:rsidR="008D48A2" w:rsidRPr="008D48A2" w:rsidTr="008D48A2">
        <w:tc>
          <w:tcPr>
            <w:tcW w:w="1368" w:type="dxa"/>
          </w:tcPr>
          <w:p w:rsidR="008D48A2" w:rsidRPr="008D48A2" w:rsidRDefault="008D48A2" w:rsidP="008D48A2"/>
        </w:tc>
        <w:tc>
          <w:tcPr>
            <w:tcW w:w="2970" w:type="dxa"/>
          </w:tcPr>
          <w:p w:rsidR="008D48A2" w:rsidRPr="008D48A2" w:rsidRDefault="008D48A2" w:rsidP="008D48A2">
            <w:pPr>
              <w:rPr>
                <w:lang w:val="en-US"/>
              </w:rPr>
            </w:pPr>
            <w:r w:rsidRPr="008D48A2">
              <w:rPr>
                <w:lang w:val="en-US"/>
              </w:rPr>
              <w:t>Canadian Union of Public Employees, Local 675;</w:t>
            </w:r>
          </w:p>
          <w:p w:rsidR="008D48A2" w:rsidRPr="008D48A2" w:rsidRDefault="008D48A2" w:rsidP="008D48A2"/>
        </w:tc>
        <w:tc>
          <w:tcPr>
            <w:tcW w:w="1170" w:type="dxa"/>
          </w:tcPr>
          <w:p w:rsidR="008D48A2" w:rsidRPr="008D48A2" w:rsidRDefault="008D48A2" w:rsidP="008D48A2"/>
        </w:tc>
        <w:tc>
          <w:tcPr>
            <w:tcW w:w="4327" w:type="dxa"/>
          </w:tcPr>
          <w:p w:rsidR="008D48A2" w:rsidRPr="008D48A2" w:rsidRDefault="008D48A2" w:rsidP="008D48A2"/>
        </w:tc>
      </w:tr>
      <w:tr w:rsidR="008D48A2" w:rsidRPr="008D48A2" w:rsidTr="008D48A2">
        <w:tc>
          <w:tcPr>
            <w:tcW w:w="1368" w:type="dxa"/>
          </w:tcPr>
          <w:p w:rsidR="008D48A2" w:rsidRPr="008D48A2" w:rsidRDefault="008D48A2" w:rsidP="008D48A2"/>
        </w:tc>
        <w:tc>
          <w:tcPr>
            <w:tcW w:w="2970" w:type="dxa"/>
          </w:tcPr>
          <w:p w:rsidR="008D48A2" w:rsidRPr="008D48A2" w:rsidRDefault="008D48A2" w:rsidP="008D48A2">
            <w:r w:rsidRPr="008D48A2">
              <w:rPr>
                <w:lang w:val="en-US"/>
              </w:rPr>
              <w:t>Public Service Alliance of Canada</w:t>
            </w:r>
          </w:p>
        </w:tc>
        <w:tc>
          <w:tcPr>
            <w:tcW w:w="1170" w:type="dxa"/>
          </w:tcPr>
          <w:p w:rsidR="008D48A2" w:rsidRPr="008D48A2" w:rsidRDefault="008D48A2" w:rsidP="008D48A2"/>
        </w:tc>
        <w:tc>
          <w:tcPr>
            <w:tcW w:w="4327" w:type="dxa"/>
          </w:tcPr>
          <w:p w:rsidR="008D48A2" w:rsidRPr="008D48A2" w:rsidRDefault="008D48A2" w:rsidP="008D48A2"/>
        </w:tc>
      </w:tr>
      <w:tr w:rsidR="008D48A2" w:rsidRPr="008D48A2" w:rsidTr="008D48A2">
        <w:tc>
          <w:tcPr>
            <w:tcW w:w="1368" w:type="dxa"/>
          </w:tcPr>
          <w:p w:rsidR="008D48A2" w:rsidRPr="008D48A2" w:rsidRDefault="008D48A2" w:rsidP="008D48A2"/>
        </w:tc>
        <w:tc>
          <w:tcPr>
            <w:tcW w:w="2970" w:type="dxa"/>
          </w:tcPr>
          <w:p w:rsidR="008D48A2" w:rsidRPr="008D48A2" w:rsidRDefault="008D48A2" w:rsidP="008D48A2">
            <w:pPr>
              <w:rPr>
                <w:lang w:val="en-US"/>
              </w:rPr>
            </w:pPr>
          </w:p>
        </w:tc>
        <w:tc>
          <w:tcPr>
            <w:tcW w:w="1170" w:type="dxa"/>
          </w:tcPr>
          <w:p w:rsidR="008D48A2" w:rsidRPr="008D48A2" w:rsidRDefault="008D48A2" w:rsidP="008D48A2"/>
        </w:tc>
        <w:tc>
          <w:tcPr>
            <w:tcW w:w="4327" w:type="dxa"/>
          </w:tcPr>
          <w:p w:rsidR="008D48A2" w:rsidRPr="008D48A2" w:rsidRDefault="008D48A2" w:rsidP="008D48A2"/>
        </w:tc>
      </w:tr>
      <w:tr w:rsidR="008D48A2" w:rsidRPr="008D48A2" w:rsidTr="008D48A2">
        <w:tc>
          <w:tcPr>
            <w:tcW w:w="1368" w:type="dxa"/>
          </w:tcPr>
          <w:p w:rsidR="008D48A2" w:rsidRPr="008D48A2" w:rsidRDefault="008D48A2" w:rsidP="008D48A2">
            <w:r w:rsidRPr="008D48A2">
              <w:t>IN / DANS :</w:t>
            </w:r>
          </w:p>
        </w:tc>
        <w:tc>
          <w:tcPr>
            <w:tcW w:w="2970" w:type="dxa"/>
          </w:tcPr>
          <w:p w:rsidR="008D48A2" w:rsidRPr="008D48A2" w:rsidRDefault="008D48A2" w:rsidP="008D48A2">
            <w:r w:rsidRPr="008D48A2">
              <w:t>Robert Meredith et al.</w:t>
            </w:r>
          </w:p>
          <w:p w:rsidR="008D48A2" w:rsidRPr="008D48A2" w:rsidRDefault="008D48A2" w:rsidP="008D48A2"/>
          <w:p w:rsidR="008D48A2" w:rsidRPr="008D48A2" w:rsidRDefault="008D48A2" w:rsidP="008D48A2">
            <w:r w:rsidRPr="008D48A2">
              <w:tab/>
              <w:t>v. (35424)</w:t>
            </w:r>
          </w:p>
          <w:p w:rsidR="008D48A2" w:rsidRPr="008D48A2" w:rsidRDefault="008D48A2" w:rsidP="008D48A2"/>
          <w:p w:rsidR="008D48A2" w:rsidRPr="008D48A2" w:rsidRDefault="008D48A2" w:rsidP="008D48A2">
            <w:r w:rsidRPr="008D48A2">
              <w:t>Attorney General of Canada (F.C.)</w:t>
            </w:r>
          </w:p>
        </w:tc>
        <w:tc>
          <w:tcPr>
            <w:tcW w:w="1170" w:type="dxa"/>
          </w:tcPr>
          <w:p w:rsidR="008D48A2" w:rsidRPr="008D48A2" w:rsidRDefault="008D48A2" w:rsidP="008D48A2"/>
        </w:tc>
        <w:tc>
          <w:tcPr>
            <w:tcW w:w="4327" w:type="dxa"/>
          </w:tcPr>
          <w:p w:rsidR="008D48A2" w:rsidRPr="008D48A2" w:rsidRDefault="008D48A2" w:rsidP="008D48A2"/>
        </w:tc>
      </w:tr>
    </w:tbl>
    <w:p w:rsidR="008D48A2" w:rsidRPr="008D48A2" w:rsidRDefault="008D48A2" w:rsidP="008D48A2">
      <w:pPr>
        <w:tabs>
          <w:tab w:val="left" w:pos="-1440"/>
          <w:tab w:val="left" w:pos="-720"/>
        </w:tabs>
        <w:jc w:val="both"/>
        <w:rPr>
          <w:rFonts w:eastAsia="Times New Roman" w:cs="Times New Roman"/>
          <w:sz w:val="20"/>
          <w:szCs w:val="20"/>
          <w:lang w:eastAsia="en-CA"/>
        </w:rPr>
      </w:pPr>
    </w:p>
    <w:p w:rsidR="008D48A2" w:rsidRPr="008D48A2" w:rsidRDefault="008D48A2" w:rsidP="008D48A2">
      <w:pPr>
        <w:tabs>
          <w:tab w:val="left" w:pos="-1440"/>
          <w:tab w:val="left" w:pos="-720"/>
        </w:tabs>
        <w:jc w:val="both"/>
        <w:rPr>
          <w:rFonts w:eastAsia="Times New Roman" w:cs="Times New Roman"/>
          <w:sz w:val="20"/>
          <w:szCs w:val="20"/>
          <w:lang w:eastAsia="en-CA"/>
        </w:rPr>
      </w:pPr>
      <w:r w:rsidRPr="008D48A2">
        <w:rPr>
          <w:rFonts w:eastAsia="Times New Roman" w:cs="Times New Roman"/>
          <w:b/>
          <w:sz w:val="20"/>
          <w:szCs w:val="20"/>
          <w:lang w:eastAsia="en-CA"/>
        </w:rPr>
        <w:t>GRANTED / ACCORDÉES</w:t>
      </w:r>
    </w:p>
    <w:p w:rsidR="008D48A2" w:rsidRPr="008D48A2" w:rsidRDefault="008D48A2" w:rsidP="008D48A2">
      <w:pPr>
        <w:tabs>
          <w:tab w:val="left" w:pos="-1440"/>
          <w:tab w:val="left" w:pos="-720"/>
        </w:tabs>
        <w:jc w:val="both"/>
        <w:rPr>
          <w:rFonts w:eastAsia="Times New Roman" w:cs="Times New Roman"/>
          <w:sz w:val="20"/>
          <w:szCs w:val="20"/>
          <w:lang w:eastAsia="en-CA"/>
        </w:rPr>
      </w:pPr>
    </w:p>
    <w:p w:rsidR="008D48A2" w:rsidRPr="008D48A2" w:rsidRDefault="008D48A2" w:rsidP="008D48A2">
      <w:pPr>
        <w:spacing w:line="233" w:lineRule="auto"/>
        <w:jc w:val="both"/>
        <w:rPr>
          <w:rFonts w:eastAsia="Times New Roman" w:cs="Times New Roman"/>
          <w:sz w:val="20"/>
          <w:szCs w:val="20"/>
          <w:lang w:val="en-US" w:eastAsia="en-CA"/>
        </w:rPr>
      </w:pPr>
      <w:r w:rsidRPr="008D48A2">
        <w:rPr>
          <w:rFonts w:eastAsia="Times New Roman" w:cs="Times New Roman"/>
          <w:b/>
          <w:bCs/>
          <w:sz w:val="20"/>
          <w:szCs w:val="20"/>
          <w:lang w:val="en-US" w:eastAsia="en-CA"/>
        </w:rPr>
        <w:t xml:space="preserve">UPON APPLICATIONS </w:t>
      </w:r>
      <w:r w:rsidRPr="008D48A2">
        <w:rPr>
          <w:rFonts w:eastAsia="Times New Roman" w:cs="Times New Roman"/>
          <w:sz w:val="20"/>
          <w:szCs w:val="20"/>
          <w:lang w:val="en-US" w:eastAsia="en-CA"/>
        </w:rPr>
        <w:t>by the Canadian Labour Congress, the Professional Institute of the Public Service of Canada, the Canadian Union of Public Employees, Local 675 and the Public Service Alliance of Canada</w:t>
      </w:r>
      <w:r w:rsidRPr="008D48A2">
        <w:rPr>
          <w:rFonts w:eastAsia="Times New Roman" w:cs="Times New Roman"/>
          <w:sz w:val="20"/>
          <w:szCs w:val="20"/>
          <w:lang w:eastAsia="en-CA"/>
        </w:rPr>
        <w:t xml:space="preserve"> </w:t>
      </w:r>
      <w:r w:rsidRPr="008D48A2">
        <w:rPr>
          <w:rFonts w:eastAsia="Times New Roman" w:cs="Times New Roman"/>
          <w:sz w:val="20"/>
          <w:szCs w:val="20"/>
          <w:lang w:val="en-US" w:eastAsia="en-CA"/>
        </w:rPr>
        <w:t>for leave to intervene in the above appeal;</w:t>
      </w:r>
    </w:p>
    <w:p w:rsidR="008D48A2" w:rsidRPr="008D48A2" w:rsidRDefault="008D48A2" w:rsidP="008D48A2">
      <w:pPr>
        <w:spacing w:line="233" w:lineRule="auto"/>
        <w:jc w:val="both"/>
        <w:rPr>
          <w:rFonts w:eastAsia="Times New Roman" w:cs="Times New Roman"/>
          <w:sz w:val="20"/>
          <w:szCs w:val="20"/>
          <w:lang w:val="en-US" w:eastAsia="en-CA"/>
        </w:rPr>
      </w:pPr>
    </w:p>
    <w:p w:rsidR="008D48A2" w:rsidRPr="008D48A2" w:rsidRDefault="008D48A2" w:rsidP="008D48A2">
      <w:pPr>
        <w:spacing w:line="233" w:lineRule="auto"/>
        <w:jc w:val="both"/>
        <w:rPr>
          <w:rFonts w:eastAsia="Times New Roman" w:cs="Times New Roman"/>
          <w:sz w:val="20"/>
          <w:szCs w:val="20"/>
          <w:lang w:eastAsia="en-CA"/>
        </w:rPr>
      </w:pPr>
      <w:r w:rsidRPr="008D48A2">
        <w:rPr>
          <w:rFonts w:eastAsia="Times New Roman" w:cs="Times New Roman"/>
          <w:b/>
          <w:sz w:val="20"/>
          <w:szCs w:val="20"/>
          <w:lang w:val="en-US" w:eastAsia="en-CA"/>
        </w:rPr>
        <w:t xml:space="preserve">UPON APPLICATION </w:t>
      </w:r>
      <w:r w:rsidRPr="008D48A2">
        <w:rPr>
          <w:rFonts w:eastAsia="Times New Roman" w:cs="Times New Roman"/>
          <w:sz w:val="20"/>
          <w:szCs w:val="20"/>
          <w:lang w:val="en-US" w:eastAsia="en-CA"/>
        </w:rPr>
        <w:t>by the Canadian Union of Public Employees, Local 675 for an order to adduce new evidence in the above appeal, namely the evidence filed in the Superior Court;</w:t>
      </w:r>
    </w:p>
    <w:p w:rsidR="008D48A2" w:rsidRPr="008D48A2" w:rsidRDefault="008D48A2" w:rsidP="008D48A2">
      <w:pPr>
        <w:spacing w:line="233" w:lineRule="auto"/>
        <w:jc w:val="both"/>
        <w:rPr>
          <w:rFonts w:eastAsia="Times New Roman" w:cs="Times New Roman"/>
          <w:sz w:val="20"/>
          <w:szCs w:val="20"/>
          <w:lang w:val="en-US" w:eastAsia="en-CA"/>
        </w:rPr>
      </w:pPr>
    </w:p>
    <w:p w:rsidR="008D48A2" w:rsidRPr="008D48A2" w:rsidRDefault="008D48A2" w:rsidP="008D48A2">
      <w:pPr>
        <w:spacing w:line="233" w:lineRule="auto"/>
        <w:jc w:val="both"/>
        <w:rPr>
          <w:rFonts w:eastAsia="Times New Roman" w:cs="Times New Roman"/>
          <w:sz w:val="20"/>
          <w:szCs w:val="20"/>
          <w:lang w:val="en-US" w:eastAsia="en-CA"/>
        </w:rPr>
      </w:pPr>
      <w:r w:rsidRPr="008D48A2">
        <w:rPr>
          <w:rFonts w:eastAsia="Times New Roman" w:cs="Times New Roman"/>
          <w:b/>
          <w:bCs/>
          <w:sz w:val="20"/>
          <w:szCs w:val="20"/>
          <w:lang w:val="en-US" w:eastAsia="en-CA"/>
        </w:rPr>
        <w:t>AND THE MATERIAL FILED</w:t>
      </w:r>
      <w:r w:rsidRPr="008D48A2">
        <w:rPr>
          <w:rFonts w:eastAsia="Times New Roman" w:cs="Times New Roman"/>
          <w:sz w:val="20"/>
          <w:szCs w:val="20"/>
          <w:lang w:val="en-US" w:eastAsia="en-CA"/>
        </w:rPr>
        <w:t xml:space="preserve"> having been read;</w:t>
      </w:r>
    </w:p>
    <w:p w:rsidR="008D48A2" w:rsidRPr="008D48A2" w:rsidRDefault="008D48A2" w:rsidP="008D48A2">
      <w:pPr>
        <w:spacing w:line="233" w:lineRule="auto"/>
        <w:jc w:val="both"/>
        <w:rPr>
          <w:rFonts w:eastAsia="Times New Roman" w:cs="Times New Roman"/>
          <w:sz w:val="20"/>
          <w:szCs w:val="20"/>
          <w:lang w:val="en-US" w:eastAsia="en-CA"/>
        </w:rPr>
      </w:pPr>
    </w:p>
    <w:p w:rsidR="008D48A2" w:rsidRPr="008D48A2" w:rsidRDefault="008D48A2" w:rsidP="008D48A2">
      <w:pPr>
        <w:spacing w:line="233" w:lineRule="auto"/>
        <w:jc w:val="both"/>
        <w:rPr>
          <w:rFonts w:eastAsia="Times New Roman" w:cs="Times New Roman"/>
          <w:sz w:val="20"/>
          <w:szCs w:val="20"/>
          <w:lang w:val="en-US" w:eastAsia="en-CA"/>
        </w:rPr>
      </w:pPr>
      <w:r w:rsidRPr="008D48A2">
        <w:rPr>
          <w:rFonts w:eastAsia="Times New Roman" w:cs="Times New Roman"/>
          <w:b/>
          <w:bCs/>
          <w:sz w:val="20"/>
          <w:szCs w:val="20"/>
          <w:lang w:val="en-US" w:eastAsia="en-CA"/>
        </w:rPr>
        <w:t>IT IS HEREBY ORDERED THAT:</w:t>
      </w:r>
    </w:p>
    <w:p w:rsidR="008D48A2" w:rsidRPr="008D48A2" w:rsidRDefault="008D48A2" w:rsidP="008D48A2">
      <w:pPr>
        <w:spacing w:line="233" w:lineRule="auto"/>
        <w:jc w:val="both"/>
        <w:rPr>
          <w:rFonts w:eastAsia="Times New Roman" w:cs="Times New Roman"/>
          <w:sz w:val="20"/>
          <w:szCs w:val="20"/>
          <w:lang w:val="en-US" w:eastAsia="en-CA"/>
        </w:rPr>
      </w:pPr>
    </w:p>
    <w:p w:rsidR="008D48A2" w:rsidRPr="008D48A2" w:rsidRDefault="008D48A2" w:rsidP="008D48A2">
      <w:pPr>
        <w:spacing w:line="233" w:lineRule="auto"/>
        <w:jc w:val="both"/>
        <w:rPr>
          <w:rFonts w:eastAsia="Times New Roman" w:cs="Times New Roman"/>
          <w:sz w:val="20"/>
          <w:szCs w:val="20"/>
          <w:lang w:val="en-US" w:eastAsia="en-CA"/>
        </w:rPr>
      </w:pPr>
      <w:r w:rsidRPr="008D48A2">
        <w:rPr>
          <w:rFonts w:eastAsia="Times New Roman" w:cs="Times New Roman"/>
          <w:sz w:val="20"/>
          <w:szCs w:val="20"/>
          <w:lang w:val="en-US" w:eastAsia="en-CA"/>
        </w:rPr>
        <w:t>The motions for leave to intervene of</w:t>
      </w:r>
      <w:r w:rsidRPr="008D48A2">
        <w:rPr>
          <w:rFonts w:eastAsia="Times New Roman" w:cs="Times New Roman"/>
          <w:sz w:val="20"/>
          <w:szCs w:val="20"/>
          <w:lang w:eastAsia="en-CA"/>
        </w:rPr>
        <w:t xml:space="preserve"> </w:t>
      </w:r>
      <w:r w:rsidRPr="008D48A2">
        <w:rPr>
          <w:rFonts w:eastAsia="Times New Roman" w:cs="Times New Roman"/>
          <w:sz w:val="20"/>
          <w:szCs w:val="20"/>
          <w:lang w:val="en-US" w:eastAsia="en-CA"/>
        </w:rPr>
        <w:t>the Canadian Labour Congress, the Professional Institute of the Public Service of Canada, Canadian Union of Public Employees, Local 675 and the Public Service Alliance of Canada</w:t>
      </w:r>
      <w:r w:rsidRPr="008D48A2">
        <w:rPr>
          <w:rFonts w:eastAsia="Times New Roman" w:cs="Times New Roman"/>
          <w:sz w:val="20"/>
          <w:szCs w:val="20"/>
          <w:lang w:eastAsia="en-CA"/>
        </w:rPr>
        <w:t xml:space="preserve"> are </w:t>
      </w:r>
      <w:r w:rsidRPr="008D48A2">
        <w:rPr>
          <w:rFonts w:eastAsia="Times New Roman" w:cs="Times New Roman"/>
          <w:sz w:val="20"/>
          <w:szCs w:val="20"/>
          <w:lang w:val="en-US" w:eastAsia="en-CA"/>
        </w:rPr>
        <w:t>granted and the said interveners shall be entitled to each serve and file a factum not to exceed 10 pages in length in these appeals on or before February 5, 2014.</w:t>
      </w:r>
    </w:p>
    <w:p w:rsidR="008D48A2" w:rsidRPr="008D48A2" w:rsidRDefault="008D48A2" w:rsidP="008D48A2">
      <w:pPr>
        <w:spacing w:line="233" w:lineRule="auto"/>
        <w:jc w:val="both"/>
        <w:rPr>
          <w:rFonts w:eastAsia="Times New Roman" w:cs="Times New Roman"/>
          <w:sz w:val="20"/>
          <w:szCs w:val="20"/>
          <w:lang w:val="en-US" w:eastAsia="en-CA"/>
        </w:rPr>
      </w:pPr>
    </w:p>
    <w:p w:rsidR="008D48A2" w:rsidRPr="008D48A2" w:rsidRDefault="008D48A2" w:rsidP="008D48A2">
      <w:pPr>
        <w:spacing w:line="233" w:lineRule="auto"/>
        <w:jc w:val="both"/>
        <w:rPr>
          <w:rFonts w:eastAsia="Times New Roman" w:cs="Times New Roman"/>
          <w:sz w:val="20"/>
          <w:szCs w:val="20"/>
          <w:lang w:val="en-US" w:eastAsia="en-CA"/>
        </w:rPr>
      </w:pPr>
      <w:r w:rsidRPr="008D48A2">
        <w:rPr>
          <w:rFonts w:eastAsia="Times New Roman" w:cs="Times New Roman"/>
          <w:sz w:val="20"/>
          <w:szCs w:val="20"/>
          <w:lang w:val="en-US" w:eastAsia="en-CA"/>
        </w:rPr>
        <w:t>The motion by the Canadian Union of Public Employees, Local 675 to adduce new evidence is dismissed.</w:t>
      </w:r>
    </w:p>
    <w:p w:rsidR="008D48A2" w:rsidRPr="008D48A2" w:rsidRDefault="008D48A2" w:rsidP="008D48A2">
      <w:pPr>
        <w:spacing w:line="233" w:lineRule="auto"/>
        <w:jc w:val="both"/>
        <w:rPr>
          <w:rFonts w:eastAsia="Times New Roman" w:cs="Times New Roman"/>
          <w:sz w:val="20"/>
          <w:szCs w:val="20"/>
          <w:lang w:val="en-US" w:eastAsia="en-CA"/>
        </w:rPr>
      </w:pPr>
    </w:p>
    <w:p w:rsidR="008D48A2" w:rsidRPr="008D48A2" w:rsidRDefault="008D48A2" w:rsidP="008D48A2">
      <w:pPr>
        <w:spacing w:line="233" w:lineRule="auto"/>
        <w:jc w:val="both"/>
        <w:rPr>
          <w:rFonts w:eastAsia="Times New Roman" w:cs="Times New Roman"/>
          <w:sz w:val="20"/>
          <w:szCs w:val="20"/>
          <w:lang w:val="en-US" w:eastAsia="en-CA"/>
        </w:rPr>
      </w:pPr>
      <w:r w:rsidRPr="008D48A2">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8D48A2" w:rsidRPr="008D48A2" w:rsidRDefault="008D48A2" w:rsidP="008D48A2">
      <w:pPr>
        <w:spacing w:line="233" w:lineRule="auto"/>
        <w:jc w:val="both"/>
        <w:rPr>
          <w:rFonts w:eastAsia="Times New Roman" w:cs="Times New Roman"/>
          <w:sz w:val="20"/>
          <w:szCs w:val="20"/>
          <w:lang w:val="en-US" w:eastAsia="en-CA"/>
        </w:rPr>
      </w:pPr>
    </w:p>
    <w:p w:rsidR="008D48A2" w:rsidRPr="008D48A2" w:rsidRDefault="00FD4200" w:rsidP="008D48A2">
      <w:pPr>
        <w:spacing w:line="233" w:lineRule="auto"/>
        <w:jc w:val="both"/>
        <w:rPr>
          <w:rFonts w:eastAsia="Times New Roman" w:cs="Times New Roman"/>
          <w:sz w:val="20"/>
          <w:szCs w:val="20"/>
          <w:lang w:val="en-US" w:eastAsia="en-CA"/>
        </w:rPr>
      </w:pPr>
      <w:r w:rsidRPr="008D48A2">
        <w:rPr>
          <w:rFonts w:eastAsia="Times New Roman" w:cs="Times New Roman"/>
          <w:sz w:val="20"/>
          <w:szCs w:val="20"/>
          <w:lang w:eastAsia="en-CA"/>
        </w:rPr>
        <w:fldChar w:fldCharType="begin"/>
      </w:r>
      <w:r w:rsidR="008D48A2" w:rsidRPr="008D48A2">
        <w:rPr>
          <w:rFonts w:eastAsia="Times New Roman" w:cs="Times New Roman"/>
          <w:sz w:val="20"/>
          <w:szCs w:val="20"/>
          <w:lang w:eastAsia="en-CA"/>
        </w:rPr>
        <w:instrText xml:space="preserve"> SEQ CHAPTER \h \r 1</w:instrText>
      </w:r>
      <w:r w:rsidRPr="008D48A2">
        <w:rPr>
          <w:rFonts w:eastAsia="Times New Roman" w:cs="Times New Roman"/>
          <w:sz w:val="20"/>
          <w:szCs w:val="20"/>
          <w:lang w:eastAsia="en-CA"/>
        </w:rPr>
        <w:fldChar w:fldCharType="end"/>
      </w:r>
      <w:r w:rsidR="008D48A2" w:rsidRPr="008D48A2">
        <w:rPr>
          <w:rFonts w:eastAsia="Times New Roman" w:cs="Times New Roman"/>
          <w:bCs/>
          <w:sz w:val="20"/>
          <w:szCs w:val="20"/>
          <w:lang w:val="en-US" w:eastAsia="en-CA"/>
        </w:rPr>
        <w:t>The interveners are not entitled to raise new issues or to adduce further evidence or otherwise to supplement the record of the parties.</w:t>
      </w:r>
    </w:p>
    <w:p w:rsidR="008D48A2" w:rsidRPr="008D48A2" w:rsidRDefault="008D48A2" w:rsidP="008D48A2">
      <w:pPr>
        <w:spacing w:line="233" w:lineRule="auto"/>
        <w:jc w:val="both"/>
        <w:rPr>
          <w:rFonts w:eastAsia="Times New Roman" w:cs="Times New Roman"/>
          <w:sz w:val="20"/>
          <w:szCs w:val="20"/>
          <w:lang w:val="en-US" w:eastAsia="en-CA"/>
        </w:rPr>
      </w:pPr>
    </w:p>
    <w:p w:rsidR="008D48A2" w:rsidRPr="008D48A2" w:rsidRDefault="008D48A2" w:rsidP="008D48A2">
      <w:pPr>
        <w:spacing w:line="233" w:lineRule="auto"/>
        <w:jc w:val="both"/>
        <w:rPr>
          <w:rFonts w:eastAsia="Times New Roman" w:cs="Times New Roman"/>
          <w:sz w:val="20"/>
          <w:szCs w:val="20"/>
          <w:lang w:val="en-US" w:eastAsia="en-CA"/>
        </w:rPr>
      </w:pPr>
      <w:r w:rsidRPr="008D48A2">
        <w:rPr>
          <w:rFonts w:eastAsia="Times New Roman" w:cs="Times New Roman"/>
          <w:sz w:val="20"/>
          <w:szCs w:val="20"/>
          <w:lang w:val="en-US" w:eastAsia="en-CA"/>
        </w:rPr>
        <w:t>Pursuant to Rule 59(1)(</w:t>
      </w:r>
      <w:r w:rsidRPr="008D48A2">
        <w:rPr>
          <w:rFonts w:eastAsia="Times New Roman" w:cs="Times New Roman"/>
          <w:i/>
          <w:iCs/>
          <w:sz w:val="20"/>
          <w:szCs w:val="20"/>
          <w:lang w:val="en-US" w:eastAsia="en-CA"/>
        </w:rPr>
        <w:t>a</w:t>
      </w:r>
      <w:r w:rsidRPr="008D48A2">
        <w:rPr>
          <w:rFonts w:eastAsia="Times New Roman" w:cs="Times New Roman"/>
          <w:sz w:val="20"/>
          <w:szCs w:val="20"/>
          <w:lang w:val="en-US" w:eastAsia="en-CA"/>
        </w:rPr>
        <w:t xml:space="preserve">) of the </w:t>
      </w:r>
      <w:r w:rsidRPr="008D48A2">
        <w:rPr>
          <w:rFonts w:eastAsia="Times New Roman" w:cs="Times New Roman"/>
          <w:i/>
          <w:iCs/>
          <w:sz w:val="20"/>
          <w:szCs w:val="20"/>
          <w:lang w:val="en-US" w:eastAsia="en-CA"/>
        </w:rPr>
        <w:t>Rules of the Supreme Court of Canada</w:t>
      </w:r>
      <w:r w:rsidRPr="008D48A2">
        <w:rPr>
          <w:rFonts w:eastAsia="Times New Roman" w:cs="Times New Roman"/>
          <w:sz w:val="20"/>
          <w:szCs w:val="20"/>
          <w:lang w:val="en-US" w:eastAsia="en-CA"/>
        </w:rPr>
        <w:t>, the interveners shall pay to the appellant and respondent any additional disbursements occasioned to the appellant and respondent by their interventions.</w:t>
      </w:r>
    </w:p>
    <w:p w:rsidR="008D48A2" w:rsidRPr="008D48A2" w:rsidRDefault="008D48A2" w:rsidP="008D48A2">
      <w:pPr>
        <w:spacing w:line="233" w:lineRule="auto"/>
        <w:jc w:val="both"/>
        <w:rPr>
          <w:rFonts w:eastAsia="Times New Roman" w:cs="Times New Roman"/>
          <w:sz w:val="20"/>
          <w:szCs w:val="20"/>
          <w:lang w:val="en-US" w:eastAsia="en-CA"/>
        </w:rPr>
      </w:pPr>
    </w:p>
    <w:p w:rsidR="008D48A2" w:rsidRPr="008D48A2" w:rsidRDefault="008D48A2" w:rsidP="008D48A2">
      <w:pPr>
        <w:spacing w:line="233" w:lineRule="auto"/>
        <w:jc w:val="both"/>
        <w:rPr>
          <w:rFonts w:eastAsia="Times New Roman" w:cs="Times New Roman"/>
          <w:b/>
          <w:sz w:val="20"/>
          <w:szCs w:val="20"/>
          <w:lang w:val="en-US" w:eastAsia="en-CA"/>
        </w:rPr>
      </w:pPr>
    </w:p>
    <w:p w:rsidR="008D48A2" w:rsidRPr="008D48A2" w:rsidRDefault="008D48A2" w:rsidP="008D48A2">
      <w:pPr>
        <w:spacing w:line="233" w:lineRule="auto"/>
        <w:jc w:val="both"/>
        <w:rPr>
          <w:rFonts w:eastAsia="Times New Roman" w:cs="Times New Roman"/>
          <w:b/>
          <w:sz w:val="20"/>
          <w:szCs w:val="20"/>
          <w:lang w:val="en-US"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b/>
          <w:sz w:val="20"/>
          <w:szCs w:val="20"/>
          <w:lang w:val="fr-CA" w:eastAsia="en-CA"/>
        </w:rPr>
        <w:t>À LA SUITE DES REQUÊTES</w:t>
      </w:r>
      <w:r w:rsidRPr="008D48A2">
        <w:rPr>
          <w:rFonts w:eastAsia="Times New Roman" w:cs="Times New Roman"/>
          <w:sz w:val="20"/>
          <w:szCs w:val="20"/>
          <w:lang w:val="fr-CA" w:eastAsia="en-CA"/>
        </w:rPr>
        <w:t xml:space="preserve"> présentées par le Congrès du travail du Canada, l’Institut professionnel de la fonction publique du Canada, le Syndicat canadien de la fonction publique, section locale 675 et l’Alliance de la fonction publique du Canada en autorisation d’intervenir dans l’appel; </w:t>
      </w:r>
    </w:p>
    <w:p w:rsidR="008D48A2" w:rsidRPr="008D48A2" w:rsidRDefault="008D48A2" w:rsidP="008D48A2">
      <w:pPr>
        <w:spacing w:line="233" w:lineRule="auto"/>
        <w:jc w:val="both"/>
        <w:rPr>
          <w:rFonts w:eastAsia="Times New Roman" w:cs="Times New Roman"/>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b/>
          <w:sz w:val="20"/>
          <w:szCs w:val="20"/>
          <w:lang w:val="fr-CA" w:eastAsia="en-CA"/>
        </w:rPr>
        <w:t>À LA SUITE DE LA REQUÊTE</w:t>
      </w:r>
      <w:r w:rsidRPr="008D48A2">
        <w:rPr>
          <w:rFonts w:eastAsia="Times New Roman" w:cs="Times New Roman"/>
          <w:sz w:val="20"/>
          <w:szCs w:val="20"/>
          <w:lang w:val="fr-CA" w:eastAsia="en-CA"/>
        </w:rPr>
        <w:t xml:space="preserve"> du Syndicat canadien de la fonction publique, section locale 675 pour produire une preuve nouvelle dans le présent appel ;</w:t>
      </w:r>
    </w:p>
    <w:p w:rsidR="008D48A2" w:rsidRPr="008D48A2" w:rsidRDefault="008D48A2" w:rsidP="008D48A2">
      <w:pPr>
        <w:spacing w:line="233" w:lineRule="auto"/>
        <w:jc w:val="both"/>
        <w:rPr>
          <w:rFonts w:eastAsia="Times New Roman" w:cs="Times New Roman"/>
          <w:b/>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b/>
          <w:sz w:val="20"/>
          <w:szCs w:val="20"/>
          <w:lang w:val="fr-CA" w:eastAsia="en-CA"/>
        </w:rPr>
        <w:t>ET APRÈS EXAMEN</w:t>
      </w:r>
      <w:r w:rsidRPr="008D48A2">
        <w:rPr>
          <w:rFonts w:eastAsia="Times New Roman" w:cs="Times New Roman"/>
          <w:sz w:val="20"/>
          <w:szCs w:val="20"/>
          <w:lang w:val="fr-CA" w:eastAsia="en-CA"/>
        </w:rPr>
        <w:t xml:space="preserve"> des documents déposés; </w:t>
      </w:r>
    </w:p>
    <w:p w:rsidR="008D48A2" w:rsidRPr="008D48A2" w:rsidRDefault="008D48A2" w:rsidP="008D48A2">
      <w:pPr>
        <w:spacing w:line="233" w:lineRule="auto"/>
        <w:jc w:val="both"/>
        <w:rPr>
          <w:rFonts w:eastAsia="Times New Roman" w:cs="Times New Roman"/>
          <w:b/>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b/>
          <w:sz w:val="20"/>
          <w:szCs w:val="20"/>
          <w:lang w:val="fr-CA" w:eastAsia="en-CA"/>
        </w:rPr>
        <w:t>IL EST ORDONNÉ CE QUI SUIT</w:t>
      </w:r>
      <w:r w:rsidRPr="008D48A2">
        <w:rPr>
          <w:rFonts w:eastAsia="Times New Roman" w:cs="Times New Roman"/>
          <w:sz w:val="20"/>
          <w:szCs w:val="20"/>
          <w:lang w:val="fr-CA" w:eastAsia="en-CA"/>
        </w:rPr>
        <w:t xml:space="preserve"> : </w:t>
      </w:r>
    </w:p>
    <w:p w:rsidR="008D48A2" w:rsidRPr="008D48A2" w:rsidRDefault="008D48A2" w:rsidP="008D48A2">
      <w:pPr>
        <w:spacing w:line="233" w:lineRule="auto"/>
        <w:jc w:val="both"/>
        <w:rPr>
          <w:rFonts w:eastAsia="Times New Roman" w:cs="Times New Roman"/>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sz w:val="20"/>
          <w:szCs w:val="20"/>
          <w:lang w:val="fr-CA" w:eastAsia="en-CA"/>
        </w:rPr>
        <w:t>Les requêtes en autorisation d’intervenir présentées par le Congrès du travail du Canada, l’Institut professionnel de la fonction publique du Canada, le Syndicat canadien de la fonction publique, section locale 675 et l’Alliance de la fonction publique du Canada sont accueillies et ces intervenants pourront chacun signifier et déposer un mémoire d’au plus dix (10) pages au plus tard le 5 février 2014.</w:t>
      </w:r>
    </w:p>
    <w:p w:rsidR="008D48A2" w:rsidRPr="008D48A2" w:rsidRDefault="008D48A2" w:rsidP="008D48A2">
      <w:pPr>
        <w:spacing w:line="233" w:lineRule="auto"/>
        <w:jc w:val="both"/>
        <w:rPr>
          <w:rFonts w:eastAsia="Times New Roman" w:cs="Times New Roman"/>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sz w:val="20"/>
          <w:szCs w:val="20"/>
          <w:lang w:val="fr-CA" w:eastAsia="en-CA"/>
        </w:rPr>
        <w:t>La requête présentée par le Syndicat canadien de la fonction publique, section locale 675 pour produire une preuve nouvelle est rejetée.</w:t>
      </w:r>
    </w:p>
    <w:p w:rsidR="008D48A2" w:rsidRPr="008D48A2" w:rsidRDefault="008D48A2" w:rsidP="008D48A2">
      <w:pPr>
        <w:spacing w:line="233" w:lineRule="auto"/>
        <w:jc w:val="both"/>
        <w:rPr>
          <w:rFonts w:eastAsia="Times New Roman" w:cs="Times New Roman"/>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sz w:val="20"/>
          <w:szCs w:val="20"/>
          <w:lang w:val="fr-CA" w:eastAsia="en-CA"/>
        </w:rPr>
        <w:t>Les décisions sur les requêtes en vue de présenter des plaidoiries orales seront rendues après réception et examen des arguments écrits des parties et des intervenants.</w:t>
      </w:r>
    </w:p>
    <w:p w:rsidR="008D48A2" w:rsidRPr="008D48A2" w:rsidRDefault="008D48A2" w:rsidP="008D48A2">
      <w:pPr>
        <w:spacing w:line="233" w:lineRule="auto"/>
        <w:jc w:val="both"/>
        <w:rPr>
          <w:rFonts w:eastAsia="Times New Roman" w:cs="Times New Roman"/>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8D48A2" w:rsidRPr="008D48A2" w:rsidRDefault="008D48A2" w:rsidP="008D48A2">
      <w:pPr>
        <w:spacing w:line="233" w:lineRule="auto"/>
        <w:jc w:val="both"/>
        <w:rPr>
          <w:rFonts w:eastAsia="Times New Roman" w:cs="Times New Roman"/>
          <w:b/>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sz w:val="20"/>
          <w:szCs w:val="20"/>
          <w:lang w:val="fr-CA" w:eastAsia="en-CA"/>
        </w:rPr>
        <w:lastRenderedPageBreak/>
        <w:t>Conformément à l’alinéa 59(1)(</w:t>
      </w:r>
      <w:r w:rsidRPr="008D48A2">
        <w:rPr>
          <w:rFonts w:eastAsia="Times New Roman" w:cs="Times New Roman"/>
          <w:i/>
          <w:sz w:val="20"/>
          <w:szCs w:val="20"/>
          <w:lang w:val="fr-CA" w:eastAsia="en-CA"/>
        </w:rPr>
        <w:t>a</w:t>
      </w:r>
      <w:r w:rsidRPr="008D48A2">
        <w:rPr>
          <w:rFonts w:eastAsia="Times New Roman" w:cs="Times New Roman"/>
          <w:sz w:val="20"/>
          <w:szCs w:val="20"/>
          <w:lang w:val="fr-CA" w:eastAsia="en-CA"/>
        </w:rPr>
        <w:t xml:space="preserve">) des </w:t>
      </w:r>
      <w:r w:rsidRPr="008D48A2">
        <w:rPr>
          <w:rFonts w:eastAsia="Times New Roman" w:cs="Times New Roman"/>
          <w:i/>
          <w:sz w:val="20"/>
          <w:szCs w:val="20"/>
          <w:lang w:val="fr-CA" w:eastAsia="en-CA"/>
        </w:rPr>
        <w:t>Règles de la Cour suprême du Canada</w:t>
      </w:r>
      <w:r w:rsidRPr="008D48A2">
        <w:rPr>
          <w:rFonts w:eastAsia="Times New Roman" w:cs="Times New Roman"/>
          <w:sz w:val="20"/>
          <w:szCs w:val="20"/>
          <w:lang w:val="fr-CA" w:eastAsia="en-CA"/>
        </w:rPr>
        <w:t>, les intervenants paieront à l’appelante et à l’intimé tous débours supplémentaires résultant de leur intervention.</w:t>
      </w:r>
    </w:p>
    <w:p w:rsidR="008D48A2" w:rsidRPr="008D48A2" w:rsidRDefault="008D48A2" w:rsidP="008D48A2">
      <w:pPr>
        <w:tabs>
          <w:tab w:val="left" w:pos="-1440"/>
          <w:tab w:val="left" w:pos="-720"/>
        </w:tabs>
        <w:jc w:val="both"/>
        <w:rPr>
          <w:rFonts w:eastAsia="Times New Roman" w:cs="Times New Roman"/>
          <w:sz w:val="20"/>
          <w:szCs w:val="20"/>
          <w:lang w:val="fr-CA" w:eastAsia="en-CA"/>
        </w:rPr>
      </w:pPr>
    </w:p>
    <w:p w:rsidR="008D48A2" w:rsidRPr="008D48A2" w:rsidRDefault="007C5411" w:rsidP="008D48A2">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5" style="width:2in;height:1pt" o:hrpct="0" o:hralign="center" o:hrstd="t" o:hrnoshade="t" o:hr="t" fillcolor="black [3213]" stroked="f"/>
        </w:pict>
      </w:r>
    </w:p>
    <w:p w:rsidR="008D48A2" w:rsidRPr="008D48A2" w:rsidRDefault="008D48A2" w:rsidP="008D48A2">
      <w:pPr>
        <w:tabs>
          <w:tab w:val="left" w:pos="-1440"/>
          <w:tab w:val="left" w:pos="-720"/>
        </w:tabs>
        <w:jc w:val="both"/>
        <w:rPr>
          <w:rFonts w:eastAsia="Times New Roman" w:cs="Times New Roman"/>
          <w:sz w:val="20"/>
          <w:szCs w:val="20"/>
          <w:lang w:val="fr-CA" w:eastAsia="en-CA"/>
        </w:rPr>
      </w:pPr>
    </w:p>
    <w:p w:rsidR="008D48A2" w:rsidRPr="008D48A2" w:rsidRDefault="008D48A2" w:rsidP="008D48A2">
      <w:pPr>
        <w:tabs>
          <w:tab w:val="left" w:pos="-1440"/>
          <w:tab w:val="left" w:pos="-720"/>
        </w:tabs>
        <w:jc w:val="both"/>
        <w:rPr>
          <w:rFonts w:eastAsia="Times New Roman" w:cs="Times New Roman"/>
          <w:sz w:val="20"/>
          <w:szCs w:val="20"/>
          <w:lang w:val="fr-CA" w:eastAsia="en-CA"/>
        </w:rPr>
      </w:pPr>
    </w:p>
    <w:p w:rsidR="008D48A2" w:rsidRPr="008D48A2" w:rsidRDefault="008D48A2" w:rsidP="008D48A2">
      <w:pPr>
        <w:tabs>
          <w:tab w:val="left" w:pos="-1440"/>
          <w:tab w:val="left" w:pos="-720"/>
        </w:tabs>
        <w:jc w:val="both"/>
        <w:rPr>
          <w:rFonts w:eastAsia="Times New Roman" w:cs="Times New Roman"/>
          <w:sz w:val="20"/>
          <w:szCs w:val="20"/>
          <w:lang w:val="fr-CA" w:eastAsia="en-CA"/>
        </w:rPr>
      </w:pPr>
      <w:r w:rsidRPr="008D48A2">
        <w:rPr>
          <w:rFonts w:eastAsia="Times New Roman" w:cs="Times New Roman"/>
          <w:sz w:val="20"/>
          <w:szCs w:val="20"/>
          <w:lang w:val="fr-CA" w:eastAsia="en-CA"/>
        </w:rPr>
        <w:t>14.01.2014</w:t>
      </w:r>
    </w:p>
    <w:p w:rsidR="008D48A2" w:rsidRPr="008D48A2" w:rsidRDefault="008D48A2" w:rsidP="008D48A2">
      <w:pPr>
        <w:tabs>
          <w:tab w:val="left" w:pos="-1440"/>
          <w:tab w:val="left" w:pos="-720"/>
        </w:tabs>
        <w:jc w:val="both"/>
        <w:rPr>
          <w:rFonts w:eastAsia="Times New Roman" w:cs="Times New Roman"/>
          <w:sz w:val="20"/>
          <w:szCs w:val="20"/>
          <w:lang w:val="fr-CA" w:eastAsia="en-CA"/>
        </w:rPr>
      </w:pPr>
    </w:p>
    <w:p w:rsidR="008D48A2" w:rsidRPr="008D48A2" w:rsidRDefault="008D48A2" w:rsidP="008D48A2">
      <w:pPr>
        <w:tabs>
          <w:tab w:val="left" w:pos="-1440"/>
          <w:tab w:val="left" w:pos="-720"/>
        </w:tabs>
        <w:jc w:val="both"/>
        <w:rPr>
          <w:rFonts w:eastAsia="Times New Roman" w:cs="Times New Roman"/>
          <w:sz w:val="20"/>
          <w:szCs w:val="20"/>
          <w:lang w:val="fr-CA" w:eastAsia="en-CA"/>
        </w:rPr>
      </w:pPr>
      <w:r w:rsidRPr="008D48A2">
        <w:rPr>
          <w:rFonts w:eastAsia="Times New Roman" w:cs="Times New Roman"/>
          <w:sz w:val="20"/>
          <w:szCs w:val="20"/>
          <w:lang w:val="fr-CA" w:eastAsia="en-CA"/>
        </w:rPr>
        <w:t>Before / Devant :   LEBEL J. / LE JUGE LEBEL</w:t>
      </w:r>
    </w:p>
    <w:p w:rsidR="008D48A2" w:rsidRPr="008D48A2" w:rsidRDefault="008D48A2" w:rsidP="008D48A2">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8D48A2" w:rsidRPr="008D48A2" w:rsidTr="008D48A2">
        <w:trPr>
          <w:trHeight w:val="151"/>
        </w:trPr>
        <w:tc>
          <w:tcPr>
            <w:tcW w:w="4338" w:type="dxa"/>
          </w:tcPr>
          <w:p w:rsidR="008D48A2" w:rsidRPr="008D48A2" w:rsidRDefault="00FD4200" w:rsidP="008D48A2">
            <w:pPr>
              <w:tabs>
                <w:tab w:val="left" w:pos="-1440"/>
                <w:tab w:val="left" w:pos="-720"/>
              </w:tabs>
              <w:jc w:val="both"/>
              <w:rPr>
                <w:lang w:val="fr-CA"/>
              </w:rPr>
            </w:pPr>
            <w:r w:rsidRPr="008D48A2">
              <w:rPr>
                <w:lang w:val="en-US"/>
              </w:rPr>
              <w:fldChar w:fldCharType="begin"/>
            </w:r>
            <w:r w:rsidR="008D48A2" w:rsidRPr="008D48A2">
              <w:rPr>
                <w:lang w:val="fr-CA"/>
              </w:rPr>
              <w:instrText xml:space="preserve"> SEQ CHAPTER \h \r 1</w:instrText>
            </w:r>
            <w:r w:rsidRPr="008D48A2">
              <w:rPr>
                <w:lang w:val="en-US"/>
              </w:rPr>
              <w:fldChar w:fldCharType="end"/>
            </w:r>
            <w:r w:rsidR="008D48A2" w:rsidRPr="008D48A2">
              <w:rPr>
                <w:b/>
                <w:bCs/>
                <w:lang w:val="fr-CA"/>
              </w:rPr>
              <w:t>Miscellaneous motion</w:t>
            </w:r>
          </w:p>
          <w:p w:rsidR="008D48A2" w:rsidRPr="008D48A2" w:rsidRDefault="00FD4200" w:rsidP="008D48A2">
            <w:pPr>
              <w:tabs>
                <w:tab w:val="left" w:pos="-1440"/>
                <w:tab w:val="left" w:pos="-720"/>
              </w:tabs>
              <w:jc w:val="both"/>
              <w:rPr>
                <w:lang w:val="fr-CA"/>
              </w:rPr>
            </w:pPr>
            <w:r w:rsidRPr="008D48A2">
              <w:rPr>
                <w:lang w:val="en-US"/>
              </w:rPr>
              <w:fldChar w:fldCharType="begin"/>
            </w:r>
            <w:r w:rsidR="008D48A2" w:rsidRPr="008D48A2">
              <w:rPr>
                <w:lang w:val="fr-CA"/>
              </w:rPr>
              <w:instrText xml:space="preserve"> SEQ CHAPTER \h \r 1</w:instrText>
            </w:r>
            <w:r w:rsidRPr="008D48A2">
              <w:rPr>
                <w:lang w:val="en-US"/>
              </w:rPr>
              <w:fldChar w:fldCharType="end"/>
            </w:r>
          </w:p>
        </w:tc>
        <w:tc>
          <w:tcPr>
            <w:tcW w:w="1170" w:type="dxa"/>
          </w:tcPr>
          <w:p w:rsidR="008D48A2" w:rsidRPr="008D48A2" w:rsidRDefault="008D48A2" w:rsidP="008D48A2">
            <w:pPr>
              <w:jc w:val="both"/>
              <w:rPr>
                <w:lang w:val="fr-CA"/>
              </w:rPr>
            </w:pPr>
          </w:p>
          <w:p w:rsidR="008D48A2" w:rsidRPr="008D48A2" w:rsidRDefault="008D48A2" w:rsidP="008D48A2">
            <w:pPr>
              <w:jc w:val="both"/>
              <w:rPr>
                <w:lang w:val="fr-CA"/>
              </w:rPr>
            </w:pPr>
          </w:p>
        </w:tc>
        <w:tc>
          <w:tcPr>
            <w:tcW w:w="4327" w:type="dxa"/>
          </w:tcPr>
          <w:p w:rsidR="008D48A2" w:rsidRPr="008D48A2" w:rsidRDefault="00FD4200" w:rsidP="008D48A2">
            <w:pPr>
              <w:jc w:val="both"/>
              <w:rPr>
                <w:b/>
                <w:lang w:val="fr-CA"/>
              </w:rPr>
            </w:pPr>
            <w:r w:rsidRPr="008D48A2">
              <w:rPr>
                <w:lang w:val="en-US"/>
              </w:rPr>
              <w:fldChar w:fldCharType="begin"/>
            </w:r>
            <w:r w:rsidR="008D48A2" w:rsidRPr="008D48A2">
              <w:rPr>
                <w:lang w:val="fr-CA"/>
              </w:rPr>
              <w:instrText xml:space="preserve"> SEQ CHAPTER \h \r 1</w:instrText>
            </w:r>
            <w:r w:rsidRPr="008D48A2">
              <w:rPr>
                <w:lang w:val="en-US"/>
              </w:rPr>
              <w:fldChar w:fldCharType="end"/>
            </w:r>
            <w:r w:rsidR="008D48A2" w:rsidRPr="008D48A2">
              <w:rPr>
                <w:b/>
                <w:bCs/>
                <w:lang w:val="fr-CA"/>
              </w:rPr>
              <w:t>Requête diverse</w:t>
            </w:r>
          </w:p>
          <w:p w:rsidR="008D48A2" w:rsidRPr="008D48A2" w:rsidRDefault="00FD4200" w:rsidP="008D48A2">
            <w:pPr>
              <w:jc w:val="both"/>
              <w:rPr>
                <w:b/>
                <w:lang w:val="fr-CA"/>
              </w:rPr>
            </w:pPr>
            <w:r w:rsidRPr="008D48A2">
              <w:rPr>
                <w:b/>
                <w:lang w:val="en-US"/>
              </w:rPr>
              <w:fldChar w:fldCharType="begin"/>
            </w:r>
            <w:r w:rsidR="008D48A2" w:rsidRPr="008D48A2">
              <w:rPr>
                <w:b/>
                <w:lang w:val="fr-CA"/>
              </w:rPr>
              <w:instrText xml:space="preserve"> SEQ CHAPTER \h \r 1</w:instrText>
            </w:r>
            <w:r w:rsidRPr="008D48A2">
              <w:rPr>
                <w:b/>
                <w:lang w:val="en-US"/>
              </w:rPr>
              <w:fldChar w:fldCharType="end"/>
            </w:r>
            <w:r w:rsidRPr="008D48A2">
              <w:rPr>
                <w:b/>
                <w:lang w:val="en-US"/>
              </w:rPr>
              <w:fldChar w:fldCharType="begin"/>
            </w:r>
            <w:r w:rsidR="008D48A2" w:rsidRPr="008D48A2">
              <w:rPr>
                <w:b/>
                <w:lang w:val="fr-CA"/>
              </w:rPr>
              <w:instrText xml:space="preserve"> SEQ CHAPTER \h \r 1</w:instrText>
            </w:r>
            <w:r w:rsidRPr="008D48A2">
              <w:rPr>
                <w:b/>
                <w:lang w:val="en-US"/>
              </w:rPr>
              <w:fldChar w:fldCharType="end"/>
            </w:r>
          </w:p>
        </w:tc>
      </w:tr>
      <w:tr w:rsidR="008D48A2" w:rsidRPr="008D48A2" w:rsidTr="008D48A2">
        <w:trPr>
          <w:trHeight w:val="150"/>
        </w:trPr>
        <w:tc>
          <w:tcPr>
            <w:tcW w:w="4338" w:type="dxa"/>
          </w:tcPr>
          <w:p w:rsidR="008D48A2" w:rsidRPr="008D48A2" w:rsidRDefault="008D48A2" w:rsidP="008D48A2">
            <w:pPr>
              <w:spacing w:line="233" w:lineRule="auto"/>
              <w:jc w:val="both"/>
              <w:rPr>
                <w:b/>
                <w:bCs/>
                <w:lang w:val="en-US"/>
              </w:rPr>
            </w:pPr>
            <w:r w:rsidRPr="008D48A2">
              <w:rPr>
                <w:b/>
                <w:bCs/>
                <w:lang w:val="en-US"/>
              </w:rPr>
              <w:t>IN THE MATTER OF SECTION 53 OF THE SUPREME COURT ACT, R.S.C. 1985, C. S-26;</w:t>
            </w:r>
            <w:r w:rsidRPr="008D48A2">
              <w:rPr>
                <w:lang w:val="en-US"/>
              </w:rPr>
              <w:t xml:space="preserve"> </w:t>
            </w:r>
            <w:r w:rsidRPr="008D48A2">
              <w:rPr>
                <w:b/>
                <w:bCs/>
                <w:lang w:val="en-US"/>
              </w:rPr>
              <w:t>AND IN THE MATTER OF A REFERENCE BY THE GOVERNOR IN COUNCIL CONCERNING SECTIONS 5 AND 6 OF THE SUPREME COURT ACT, R.S.C. 1985, C. S-26, AS SET OUT IN ORDER IN COUNCIL, P.C. 2013-1105, DATED OCTOBER 22, 2013</w:t>
            </w:r>
          </w:p>
          <w:p w:rsidR="008D48A2" w:rsidRPr="008D48A2" w:rsidRDefault="008D48A2" w:rsidP="008D48A2">
            <w:pPr>
              <w:spacing w:line="233" w:lineRule="auto"/>
              <w:jc w:val="both"/>
              <w:rPr>
                <w:b/>
                <w:bCs/>
                <w:lang w:val="en-US"/>
              </w:rPr>
            </w:pPr>
          </w:p>
          <w:p w:rsidR="008D48A2" w:rsidRPr="008D48A2" w:rsidRDefault="008D48A2" w:rsidP="008D48A2">
            <w:pPr>
              <w:tabs>
                <w:tab w:val="left" w:pos="-1440"/>
                <w:tab w:val="left" w:pos="-720"/>
              </w:tabs>
              <w:jc w:val="both"/>
              <w:rPr>
                <w:lang w:val="fr-CA"/>
              </w:rPr>
            </w:pPr>
            <w:r w:rsidRPr="008D48A2">
              <w:rPr>
                <w:b/>
                <w:bCs/>
                <w:lang w:val="fr-CA"/>
              </w:rPr>
              <w:t>DANS L'AFFAIRE DE L'ARTICLE 53 DE LA LOI SUR LA COUR SUPRÊME, L.R.C. 1985, CH. S-26;</w:t>
            </w:r>
            <w:r w:rsidRPr="008D48A2">
              <w:rPr>
                <w:lang w:val="fr-CA"/>
              </w:rPr>
              <w:t xml:space="preserve"> </w:t>
            </w:r>
            <w:r w:rsidRPr="008D48A2">
              <w:rPr>
                <w:b/>
                <w:bCs/>
                <w:lang w:val="fr-CA"/>
              </w:rPr>
              <w:t>DANS L'AFFAIRE D'UN RENVOI PAR LE GOUVERNEUR EN CONSEIL CONCERNANT LES ARTICLES 5 ET 6 DE LA LOI SUR LA COUR SUPRÊME, L.R.C. 1985, CH. S-26, DANS LE DÉCRET C.P. 2013-1105 EN DATE DU 22 OCTOBRE 2013</w:t>
            </w:r>
          </w:p>
          <w:p w:rsidR="008D48A2" w:rsidRPr="008D48A2" w:rsidRDefault="008D48A2" w:rsidP="008D48A2">
            <w:pPr>
              <w:tabs>
                <w:tab w:val="left" w:pos="-1440"/>
                <w:tab w:val="left" w:pos="-720"/>
              </w:tabs>
              <w:jc w:val="both"/>
              <w:rPr>
                <w:lang w:val="fr-CA"/>
              </w:rPr>
            </w:pPr>
            <w:r w:rsidRPr="008D48A2">
              <w:t>(35586)</w:t>
            </w:r>
          </w:p>
        </w:tc>
        <w:tc>
          <w:tcPr>
            <w:tcW w:w="1170" w:type="dxa"/>
          </w:tcPr>
          <w:p w:rsidR="008D48A2" w:rsidRPr="008D48A2" w:rsidRDefault="008D48A2" w:rsidP="008D48A2">
            <w:pPr>
              <w:jc w:val="both"/>
              <w:rPr>
                <w:lang w:val="fr-CA"/>
              </w:rPr>
            </w:pPr>
          </w:p>
        </w:tc>
        <w:tc>
          <w:tcPr>
            <w:tcW w:w="4327" w:type="dxa"/>
          </w:tcPr>
          <w:p w:rsidR="008D48A2" w:rsidRPr="008D48A2" w:rsidRDefault="008D48A2" w:rsidP="008D48A2">
            <w:pPr>
              <w:jc w:val="both"/>
              <w:rPr>
                <w:lang w:val="fr-CA"/>
              </w:rPr>
            </w:pPr>
          </w:p>
        </w:tc>
      </w:tr>
    </w:tbl>
    <w:p w:rsidR="008D48A2" w:rsidRPr="008D48A2" w:rsidRDefault="008D48A2" w:rsidP="008D48A2">
      <w:pPr>
        <w:tabs>
          <w:tab w:val="left" w:pos="-1440"/>
          <w:tab w:val="left" w:pos="-720"/>
        </w:tabs>
        <w:jc w:val="both"/>
        <w:rPr>
          <w:rFonts w:eastAsia="Times New Roman" w:cs="Times New Roman"/>
          <w:sz w:val="20"/>
          <w:szCs w:val="20"/>
          <w:lang w:val="fr-CA" w:eastAsia="en-CA"/>
        </w:rPr>
      </w:pPr>
    </w:p>
    <w:p w:rsidR="008D48A2" w:rsidRPr="008D48A2" w:rsidRDefault="008D48A2" w:rsidP="008D48A2">
      <w:pPr>
        <w:tabs>
          <w:tab w:val="left" w:pos="-1440"/>
          <w:tab w:val="left" w:pos="-720"/>
        </w:tabs>
        <w:jc w:val="both"/>
        <w:rPr>
          <w:rFonts w:eastAsia="Times New Roman" w:cs="Times New Roman"/>
          <w:sz w:val="20"/>
          <w:szCs w:val="20"/>
          <w:lang w:eastAsia="en-CA"/>
        </w:rPr>
      </w:pPr>
      <w:r w:rsidRPr="008D48A2">
        <w:rPr>
          <w:rFonts w:eastAsia="Times New Roman" w:cs="Times New Roman"/>
          <w:b/>
          <w:sz w:val="20"/>
          <w:szCs w:val="20"/>
          <w:lang w:eastAsia="en-CA"/>
        </w:rPr>
        <w:t>GRANTED / ACCORDÉE</w:t>
      </w:r>
    </w:p>
    <w:p w:rsidR="008D48A2" w:rsidRPr="008D48A2" w:rsidRDefault="008D48A2" w:rsidP="008D48A2">
      <w:pPr>
        <w:tabs>
          <w:tab w:val="left" w:pos="-1440"/>
          <w:tab w:val="left" w:pos="-720"/>
        </w:tabs>
        <w:jc w:val="both"/>
        <w:rPr>
          <w:rFonts w:eastAsia="Times New Roman" w:cs="Times New Roman"/>
          <w:sz w:val="20"/>
          <w:szCs w:val="20"/>
          <w:lang w:eastAsia="en-CA"/>
        </w:rPr>
      </w:pPr>
    </w:p>
    <w:p w:rsidR="008D48A2" w:rsidRPr="008D48A2" w:rsidRDefault="008D48A2" w:rsidP="008D48A2">
      <w:pPr>
        <w:jc w:val="both"/>
        <w:rPr>
          <w:rFonts w:eastAsia="Times New Roman" w:cs="Times New Roman"/>
          <w:sz w:val="20"/>
          <w:szCs w:val="20"/>
          <w:lang w:val="en-US" w:eastAsia="en-CA"/>
        </w:rPr>
      </w:pPr>
      <w:r w:rsidRPr="008D48A2">
        <w:rPr>
          <w:rFonts w:eastAsia="Times New Roman" w:cs="Times New Roman"/>
          <w:b/>
          <w:sz w:val="20"/>
          <w:szCs w:val="20"/>
          <w:lang w:val="en-US" w:eastAsia="en-CA"/>
        </w:rPr>
        <w:t>UPON APPLICATION</w:t>
      </w:r>
      <w:r w:rsidRPr="008D48A2">
        <w:rPr>
          <w:rFonts w:eastAsia="Times New Roman" w:cs="Times New Roman"/>
          <w:sz w:val="20"/>
          <w:szCs w:val="20"/>
          <w:lang w:val="en-US" w:eastAsia="en-CA"/>
        </w:rPr>
        <w:t xml:space="preserve"> by the Attorney General of Canada for an order permitting the filing of a supplementary record and supplementary authorities in the above reference;</w:t>
      </w:r>
    </w:p>
    <w:p w:rsidR="008D48A2" w:rsidRPr="008D48A2" w:rsidRDefault="008D48A2" w:rsidP="008D48A2">
      <w:pPr>
        <w:jc w:val="both"/>
        <w:rPr>
          <w:rFonts w:eastAsia="Times New Roman" w:cs="Times New Roman"/>
          <w:sz w:val="20"/>
          <w:szCs w:val="20"/>
          <w:lang w:val="en-US" w:eastAsia="en-CA"/>
        </w:rPr>
      </w:pPr>
    </w:p>
    <w:p w:rsidR="008D48A2" w:rsidRPr="008D48A2" w:rsidRDefault="008D48A2" w:rsidP="008D48A2">
      <w:pPr>
        <w:jc w:val="both"/>
        <w:rPr>
          <w:rFonts w:eastAsia="Times New Roman" w:cs="Times New Roman"/>
          <w:sz w:val="20"/>
          <w:szCs w:val="20"/>
          <w:lang w:val="en-US" w:eastAsia="en-CA"/>
        </w:rPr>
      </w:pPr>
      <w:r w:rsidRPr="008D48A2">
        <w:rPr>
          <w:rFonts w:eastAsia="Times New Roman" w:cs="Times New Roman"/>
          <w:b/>
          <w:sz w:val="20"/>
          <w:szCs w:val="20"/>
          <w:lang w:val="en-US" w:eastAsia="en-CA"/>
        </w:rPr>
        <w:t>AND THE MATERIAL FILED</w:t>
      </w:r>
      <w:r w:rsidRPr="008D48A2">
        <w:rPr>
          <w:rFonts w:eastAsia="Times New Roman" w:cs="Times New Roman"/>
          <w:sz w:val="20"/>
          <w:szCs w:val="20"/>
          <w:lang w:val="en-US" w:eastAsia="en-CA"/>
        </w:rPr>
        <w:t xml:space="preserve"> having been read;</w:t>
      </w:r>
    </w:p>
    <w:p w:rsidR="008D48A2" w:rsidRPr="008D48A2" w:rsidRDefault="008D48A2" w:rsidP="008D48A2">
      <w:pPr>
        <w:jc w:val="both"/>
        <w:rPr>
          <w:rFonts w:eastAsia="Times New Roman" w:cs="Times New Roman"/>
          <w:sz w:val="20"/>
          <w:szCs w:val="20"/>
          <w:lang w:val="en-US" w:eastAsia="en-CA"/>
        </w:rPr>
      </w:pPr>
    </w:p>
    <w:p w:rsidR="008D48A2" w:rsidRPr="008D48A2" w:rsidRDefault="008D48A2" w:rsidP="008D48A2">
      <w:pPr>
        <w:jc w:val="both"/>
        <w:rPr>
          <w:rFonts w:eastAsia="Times New Roman" w:cs="Times New Roman"/>
          <w:sz w:val="20"/>
          <w:szCs w:val="20"/>
          <w:lang w:eastAsia="en-CA"/>
        </w:rPr>
      </w:pPr>
      <w:r w:rsidRPr="008D48A2">
        <w:rPr>
          <w:rFonts w:eastAsia="Times New Roman" w:cs="Times New Roman"/>
          <w:b/>
          <w:bCs/>
          <w:sz w:val="20"/>
          <w:szCs w:val="20"/>
          <w:lang w:eastAsia="en-CA"/>
        </w:rPr>
        <w:t>IT IS HEREBY ORDERED THAT:</w:t>
      </w:r>
    </w:p>
    <w:p w:rsidR="008D48A2" w:rsidRPr="008D48A2" w:rsidRDefault="008D48A2" w:rsidP="008D48A2">
      <w:pPr>
        <w:jc w:val="both"/>
        <w:rPr>
          <w:rFonts w:eastAsia="Times New Roman" w:cs="Times New Roman"/>
          <w:sz w:val="20"/>
          <w:szCs w:val="20"/>
          <w:lang w:eastAsia="en-CA"/>
        </w:rPr>
      </w:pPr>
    </w:p>
    <w:p w:rsidR="008D48A2" w:rsidRPr="008D48A2" w:rsidRDefault="008D48A2" w:rsidP="008D48A2">
      <w:pPr>
        <w:jc w:val="both"/>
        <w:rPr>
          <w:rFonts w:eastAsia="Times New Roman" w:cs="Times New Roman"/>
          <w:sz w:val="20"/>
          <w:szCs w:val="20"/>
          <w:lang w:val="fr-CA" w:eastAsia="en-CA"/>
        </w:rPr>
      </w:pPr>
      <w:r w:rsidRPr="008D48A2">
        <w:rPr>
          <w:rFonts w:eastAsia="Times New Roman" w:cs="Times New Roman"/>
          <w:sz w:val="20"/>
          <w:szCs w:val="20"/>
          <w:lang w:val="en-US" w:eastAsia="en-CA"/>
        </w:rPr>
        <w:tab/>
      </w:r>
      <w:r w:rsidRPr="008D48A2">
        <w:rPr>
          <w:rFonts w:eastAsia="Times New Roman" w:cs="Times New Roman"/>
          <w:sz w:val="20"/>
          <w:szCs w:val="20"/>
          <w:lang w:val="fr-CA" w:eastAsia="en-CA"/>
        </w:rPr>
        <w:t>The motion is granted.</w:t>
      </w:r>
    </w:p>
    <w:p w:rsidR="008D48A2" w:rsidRPr="008D48A2" w:rsidRDefault="008D48A2" w:rsidP="008D48A2">
      <w:pPr>
        <w:jc w:val="both"/>
        <w:rPr>
          <w:rFonts w:eastAsia="Times New Roman" w:cs="Times New Roman"/>
          <w:sz w:val="20"/>
          <w:szCs w:val="20"/>
          <w:lang w:val="fr-CA" w:eastAsia="en-CA"/>
        </w:rPr>
      </w:pPr>
    </w:p>
    <w:p w:rsidR="008D48A2" w:rsidRPr="008D48A2" w:rsidRDefault="008D48A2" w:rsidP="008D48A2">
      <w:pPr>
        <w:jc w:val="both"/>
        <w:rPr>
          <w:rFonts w:eastAsia="Times New Roman" w:cs="Times New Roman"/>
          <w:sz w:val="20"/>
          <w:szCs w:val="20"/>
          <w:lang w:val="fr-CA" w:eastAsia="en-CA"/>
        </w:rPr>
      </w:pPr>
    </w:p>
    <w:p w:rsidR="008D48A2" w:rsidRPr="008D48A2" w:rsidRDefault="008D48A2" w:rsidP="008D48A2">
      <w:pPr>
        <w:jc w:val="both"/>
        <w:rPr>
          <w:rFonts w:eastAsia="Times New Roman" w:cs="Times New Roman"/>
          <w:sz w:val="20"/>
          <w:szCs w:val="20"/>
          <w:lang w:val="fr-CA" w:eastAsia="en-CA"/>
        </w:rPr>
      </w:pPr>
    </w:p>
    <w:p w:rsidR="008D48A2" w:rsidRPr="008D48A2" w:rsidRDefault="008D48A2" w:rsidP="008D48A2">
      <w:pPr>
        <w:jc w:val="both"/>
        <w:rPr>
          <w:rFonts w:eastAsia="Times New Roman" w:cs="Times New Roman"/>
          <w:sz w:val="20"/>
          <w:szCs w:val="20"/>
          <w:lang w:val="fr-CA" w:eastAsia="en-CA"/>
        </w:rPr>
      </w:pPr>
      <w:r w:rsidRPr="008D48A2">
        <w:rPr>
          <w:rFonts w:eastAsia="Times New Roman" w:cs="Times New Roman"/>
          <w:b/>
          <w:bCs/>
          <w:sz w:val="20"/>
          <w:szCs w:val="20"/>
          <w:lang w:val="fr-CA" w:eastAsia="en-CA"/>
        </w:rPr>
        <w:t xml:space="preserve">À LA SUITE D’UNE DEMANDE </w:t>
      </w:r>
      <w:r w:rsidRPr="008D48A2">
        <w:rPr>
          <w:rFonts w:eastAsia="Times New Roman" w:cs="Times New Roman"/>
          <w:sz w:val="20"/>
          <w:szCs w:val="20"/>
          <w:lang w:val="fr-CA" w:eastAsia="en-CA"/>
        </w:rPr>
        <w:t>par le procureur général du Canada p</w:t>
      </w:r>
      <w:r w:rsidRPr="008D48A2">
        <w:rPr>
          <w:rFonts w:eastAsia="Times New Roman" w:cs="Times New Roman"/>
          <w:bCs/>
          <w:sz w:val="20"/>
          <w:szCs w:val="20"/>
          <w:lang w:val="fr-CA" w:eastAsia="en-CA"/>
        </w:rPr>
        <w:t xml:space="preserve">our obtenir l’autorisation </w:t>
      </w:r>
      <w:r w:rsidR="00FD4200" w:rsidRPr="008D48A2">
        <w:rPr>
          <w:rFonts w:eastAsia="Times New Roman" w:cs="Times New Roman"/>
          <w:sz w:val="20"/>
          <w:szCs w:val="20"/>
          <w:lang w:eastAsia="en-CA"/>
        </w:rPr>
        <w:fldChar w:fldCharType="begin"/>
      </w:r>
      <w:r w:rsidRPr="008D48A2">
        <w:rPr>
          <w:rFonts w:eastAsia="Times New Roman" w:cs="Times New Roman"/>
          <w:sz w:val="20"/>
          <w:szCs w:val="20"/>
          <w:lang w:val="fr-CA" w:eastAsia="en-CA"/>
        </w:rPr>
        <w:instrText xml:space="preserve"> SEQ CHAPTER \h \r 1</w:instrText>
      </w:r>
      <w:r w:rsidR="00FD4200" w:rsidRPr="008D48A2">
        <w:rPr>
          <w:rFonts w:eastAsia="Times New Roman" w:cs="Times New Roman"/>
          <w:sz w:val="20"/>
          <w:szCs w:val="20"/>
          <w:lang w:eastAsia="en-CA"/>
        </w:rPr>
        <w:fldChar w:fldCharType="end"/>
      </w:r>
      <w:r w:rsidRPr="008D48A2">
        <w:rPr>
          <w:rFonts w:eastAsia="Times New Roman" w:cs="Times New Roman"/>
          <w:sz w:val="20"/>
          <w:szCs w:val="20"/>
          <w:lang w:val="fr-CA" w:eastAsia="en-CA"/>
        </w:rPr>
        <w:t>de déposer un dossier supplémentaire et un recueil de sources additionnel dans le renvoi;</w:t>
      </w:r>
    </w:p>
    <w:p w:rsidR="008D48A2" w:rsidRPr="008D48A2" w:rsidRDefault="008D48A2" w:rsidP="008D48A2">
      <w:pPr>
        <w:jc w:val="both"/>
        <w:rPr>
          <w:rFonts w:eastAsia="Times New Roman" w:cs="Times New Roman"/>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b/>
          <w:bCs/>
          <w:sz w:val="20"/>
          <w:szCs w:val="20"/>
          <w:lang w:val="fr-CA" w:eastAsia="en-CA"/>
        </w:rPr>
        <w:t xml:space="preserve">ET APRÈS EXAMEN </w:t>
      </w:r>
      <w:r w:rsidRPr="008D48A2">
        <w:rPr>
          <w:rFonts w:eastAsia="Times New Roman" w:cs="Times New Roman"/>
          <w:sz w:val="20"/>
          <w:szCs w:val="20"/>
          <w:lang w:val="fr-CA" w:eastAsia="en-CA"/>
        </w:rPr>
        <w:t xml:space="preserve">des documents déposés; </w:t>
      </w:r>
    </w:p>
    <w:p w:rsidR="008D48A2" w:rsidRPr="008D48A2" w:rsidRDefault="008D48A2" w:rsidP="008D48A2">
      <w:pPr>
        <w:spacing w:line="233" w:lineRule="auto"/>
        <w:jc w:val="both"/>
        <w:rPr>
          <w:rFonts w:eastAsia="Times New Roman" w:cs="Times New Roman"/>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b/>
          <w:bCs/>
          <w:sz w:val="20"/>
          <w:szCs w:val="20"/>
          <w:lang w:val="fr-CA" w:eastAsia="en-CA"/>
        </w:rPr>
        <w:t xml:space="preserve">IL EST ORDONNÉ CE QUI SUIT : </w:t>
      </w:r>
    </w:p>
    <w:p w:rsidR="008D48A2" w:rsidRPr="008D48A2" w:rsidRDefault="008D48A2" w:rsidP="008D48A2">
      <w:pPr>
        <w:jc w:val="both"/>
        <w:rPr>
          <w:rFonts w:eastAsia="Times New Roman" w:cs="Times New Roman"/>
          <w:sz w:val="20"/>
          <w:szCs w:val="20"/>
          <w:lang w:val="fr-CA" w:eastAsia="en-CA"/>
        </w:rPr>
      </w:pPr>
    </w:p>
    <w:p w:rsidR="008D48A2" w:rsidRPr="008D48A2" w:rsidRDefault="008D48A2" w:rsidP="008D48A2">
      <w:pPr>
        <w:ind w:firstLine="720"/>
        <w:jc w:val="both"/>
        <w:rPr>
          <w:rFonts w:eastAsia="Times New Roman" w:cs="Times New Roman"/>
          <w:b/>
          <w:bCs/>
          <w:sz w:val="20"/>
          <w:szCs w:val="20"/>
          <w:lang w:val="fr-CA" w:eastAsia="en-CA"/>
        </w:rPr>
      </w:pPr>
      <w:r w:rsidRPr="008D48A2">
        <w:rPr>
          <w:rFonts w:eastAsia="Times New Roman" w:cs="Times New Roman"/>
          <w:sz w:val="20"/>
          <w:szCs w:val="20"/>
          <w:lang w:val="fr-CA" w:eastAsia="en-CA"/>
        </w:rPr>
        <w:t>La requête est accueillie.</w:t>
      </w:r>
    </w:p>
    <w:p w:rsidR="008D48A2" w:rsidRPr="008D48A2" w:rsidRDefault="008D48A2" w:rsidP="008D48A2">
      <w:pPr>
        <w:jc w:val="both"/>
        <w:rPr>
          <w:rFonts w:eastAsia="Times New Roman" w:cs="Times New Roman"/>
          <w:b/>
          <w:bCs/>
          <w:sz w:val="20"/>
          <w:szCs w:val="20"/>
          <w:lang w:val="fr-CA" w:eastAsia="en-CA"/>
        </w:rPr>
      </w:pPr>
    </w:p>
    <w:p w:rsidR="008D48A2" w:rsidRPr="008D48A2" w:rsidRDefault="007C5411" w:rsidP="008D48A2">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6" style="width:2in;height:1pt" o:hrpct="0" o:hralign="center" o:hrstd="t" o:hrnoshade="t" o:hr="t" fillcolor="black [3213]" stroked="f"/>
        </w:pict>
      </w:r>
    </w:p>
    <w:p w:rsidR="008D48A2" w:rsidRPr="008D48A2" w:rsidRDefault="008D48A2" w:rsidP="008D48A2">
      <w:pPr>
        <w:rPr>
          <w:rFonts w:eastAsia="Times New Roman" w:cs="Times New Roman"/>
          <w:sz w:val="20"/>
          <w:szCs w:val="20"/>
          <w:lang w:val="fr-CA" w:eastAsia="en-CA"/>
        </w:rPr>
      </w:pPr>
      <w:r w:rsidRPr="008D48A2">
        <w:rPr>
          <w:rFonts w:eastAsia="Times New Roman" w:cs="Times New Roman"/>
          <w:sz w:val="20"/>
          <w:szCs w:val="20"/>
          <w:lang w:val="fr-CA" w:eastAsia="en-CA"/>
        </w:rPr>
        <w:br w:type="page"/>
      </w:r>
    </w:p>
    <w:p w:rsidR="008D48A2" w:rsidRPr="008D48A2" w:rsidRDefault="008D48A2" w:rsidP="008D48A2">
      <w:pPr>
        <w:tabs>
          <w:tab w:val="left" w:pos="-1440"/>
          <w:tab w:val="left" w:pos="-720"/>
        </w:tabs>
        <w:jc w:val="both"/>
        <w:rPr>
          <w:rFonts w:eastAsia="Times New Roman" w:cs="Times New Roman"/>
          <w:sz w:val="20"/>
          <w:szCs w:val="20"/>
          <w:lang w:val="fr-CA" w:eastAsia="en-CA"/>
        </w:rPr>
      </w:pPr>
      <w:r w:rsidRPr="008D48A2">
        <w:rPr>
          <w:rFonts w:eastAsia="Times New Roman" w:cs="Times New Roman"/>
          <w:sz w:val="20"/>
          <w:szCs w:val="20"/>
          <w:lang w:val="fr-CA" w:eastAsia="en-CA"/>
        </w:rPr>
        <w:lastRenderedPageBreak/>
        <w:t>15.01.2014</w:t>
      </w:r>
    </w:p>
    <w:p w:rsidR="008D48A2" w:rsidRPr="008D48A2" w:rsidRDefault="008D48A2" w:rsidP="008D48A2">
      <w:pPr>
        <w:tabs>
          <w:tab w:val="left" w:pos="-1440"/>
          <w:tab w:val="left" w:pos="-720"/>
        </w:tabs>
        <w:jc w:val="both"/>
        <w:rPr>
          <w:rFonts w:eastAsia="Times New Roman" w:cs="Times New Roman"/>
          <w:sz w:val="20"/>
          <w:szCs w:val="20"/>
          <w:lang w:val="fr-CA" w:eastAsia="en-CA"/>
        </w:rPr>
      </w:pPr>
    </w:p>
    <w:p w:rsidR="008D48A2" w:rsidRPr="008D48A2" w:rsidRDefault="008D48A2" w:rsidP="008D48A2">
      <w:pPr>
        <w:tabs>
          <w:tab w:val="left" w:pos="-1440"/>
          <w:tab w:val="left" w:pos="-720"/>
        </w:tabs>
        <w:jc w:val="both"/>
        <w:rPr>
          <w:rFonts w:eastAsia="Times New Roman" w:cs="Times New Roman"/>
          <w:sz w:val="20"/>
          <w:szCs w:val="20"/>
          <w:lang w:val="fr-CA" w:eastAsia="en-CA"/>
        </w:rPr>
      </w:pPr>
      <w:r w:rsidRPr="008D48A2">
        <w:rPr>
          <w:rFonts w:eastAsia="Times New Roman" w:cs="Times New Roman"/>
          <w:sz w:val="20"/>
          <w:szCs w:val="20"/>
          <w:lang w:val="fr-CA" w:eastAsia="en-CA"/>
        </w:rPr>
        <w:t>Before / Devant :   LEBEL J. / LE JUGE LEBEL</w:t>
      </w:r>
    </w:p>
    <w:p w:rsidR="008D48A2" w:rsidRPr="008D48A2" w:rsidRDefault="008D48A2" w:rsidP="008D48A2">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8D48A2" w:rsidRPr="008D48A2" w:rsidTr="008D48A2">
        <w:tc>
          <w:tcPr>
            <w:tcW w:w="4338" w:type="dxa"/>
            <w:gridSpan w:val="2"/>
          </w:tcPr>
          <w:p w:rsidR="008D48A2" w:rsidRPr="008D48A2" w:rsidRDefault="008D48A2" w:rsidP="008D48A2">
            <w:pPr>
              <w:rPr>
                <w:b/>
              </w:rPr>
            </w:pPr>
            <w:r w:rsidRPr="008D48A2">
              <w:rPr>
                <w:b/>
              </w:rPr>
              <w:t>Motions for leave to intervene</w:t>
            </w:r>
            <w:r w:rsidRPr="008D48A2">
              <w:rPr>
                <w:lang w:val="en-US"/>
              </w:rPr>
              <w:t xml:space="preserve"> </w:t>
            </w:r>
            <w:r w:rsidR="00FD4200" w:rsidRPr="008D48A2">
              <w:rPr>
                <w:lang w:val="en-US"/>
              </w:rPr>
              <w:fldChar w:fldCharType="begin"/>
            </w:r>
            <w:r w:rsidRPr="008D48A2">
              <w:instrText xml:space="preserve"> SEQ CHAPTER \h \r 1</w:instrText>
            </w:r>
            <w:r w:rsidR="00FD4200" w:rsidRPr="008D48A2">
              <w:rPr>
                <w:lang w:val="en-US"/>
              </w:rPr>
              <w:fldChar w:fldCharType="end"/>
            </w:r>
          </w:p>
        </w:tc>
        <w:tc>
          <w:tcPr>
            <w:tcW w:w="1170" w:type="dxa"/>
          </w:tcPr>
          <w:p w:rsidR="008D48A2" w:rsidRPr="008D48A2" w:rsidRDefault="008D48A2" w:rsidP="008D48A2"/>
          <w:p w:rsidR="008D48A2" w:rsidRPr="008D48A2" w:rsidRDefault="008D48A2" w:rsidP="008D48A2"/>
        </w:tc>
        <w:tc>
          <w:tcPr>
            <w:tcW w:w="4327" w:type="dxa"/>
          </w:tcPr>
          <w:p w:rsidR="008D48A2" w:rsidRPr="008D48A2" w:rsidRDefault="008D48A2" w:rsidP="008D48A2">
            <w:pPr>
              <w:rPr>
                <w:b/>
              </w:rPr>
            </w:pPr>
            <w:r w:rsidRPr="008D48A2">
              <w:rPr>
                <w:b/>
                <w:bCs/>
                <w:lang w:val="fr-CA"/>
              </w:rPr>
              <w:t>Requêtes en autorisation d’intervenir</w:t>
            </w:r>
            <w:r w:rsidRPr="008D48A2">
              <w:rPr>
                <w:lang w:val="en-US"/>
              </w:rPr>
              <w:t xml:space="preserve"> </w:t>
            </w:r>
            <w:r w:rsidR="00FD4200" w:rsidRPr="008D48A2">
              <w:rPr>
                <w:lang w:val="en-US"/>
              </w:rPr>
              <w:fldChar w:fldCharType="begin"/>
            </w:r>
            <w:r w:rsidRPr="008D48A2">
              <w:instrText xml:space="preserve"> SEQ CHAPTER \h \r 1</w:instrText>
            </w:r>
            <w:r w:rsidR="00FD4200" w:rsidRPr="008D48A2">
              <w:rPr>
                <w:lang w:val="en-US"/>
              </w:rPr>
              <w:fldChar w:fldCharType="end"/>
            </w:r>
          </w:p>
        </w:tc>
      </w:tr>
      <w:tr w:rsidR="008D48A2" w:rsidRPr="007C5411" w:rsidTr="008D48A2">
        <w:tc>
          <w:tcPr>
            <w:tcW w:w="1368" w:type="dxa"/>
          </w:tcPr>
          <w:p w:rsidR="008D48A2" w:rsidRPr="008D48A2" w:rsidRDefault="008D48A2" w:rsidP="008D48A2">
            <w:r w:rsidRPr="008D48A2">
              <w:t>BY / PAR</w:t>
            </w:r>
          </w:p>
        </w:tc>
        <w:tc>
          <w:tcPr>
            <w:tcW w:w="2970" w:type="dxa"/>
          </w:tcPr>
          <w:p w:rsidR="008D48A2" w:rsidRPr="008D48A2" w:rsidRDefault="008D48A2" w:rsidP="008D48A2">
            <w:pPr>
              <w:rPr>
                <w:lang w:val="fr-CA"/>
              </w:rPr>
            </w:pPr>
            <w:r w:rsidRPr="008D48A2">
              <w:rPr>
                <w:lang w:val="fr-FR"/>
              </w:rPr>
              <w:t>Confédération des syndicats nationaux et du Syndicat des agents correctionnels du Canada</w:t>
            </w:r>
          </w:p>
        </w:tc>
        <w:tc>
          <w:tcPr>
            <w:tcW w:w="1170" w:type="dxa"/>
          </w:tcPr>
          <w:p w:rsidR="008D48A2" w:rsidRPr="008D48A2" w:rsidRDefault="008D48A2" w:rsidP="008D48A2">
            <w:pPr>
              <w:rPr>
                <w:lang w:val="fr-CA"/>
              </w:rPr>
            </w:pPr>
          </w:p>
        </w:tc>
        <w:tc>
          <w:tcPr>
            <w:tcW w:w="4327" w:type="dxa"/>
          </w:tcPr>
          <w:p w:rsidR="008D48A2" w:rsidRPr="008D48A2" w:rsidRDefault="008D48A2" w:rsidP="008D48A2">
            <w:pPr>
              <w:rPr>
                <w:lang w:val="fr-CA"/>
              </w:rPr>
            </w:pPr>
          </w:p>
        </w:tc>
      </w:tr>
      <w:tr w:rsidR="008D48A2" w:rsidRPr="007C5411" w:rsidTr="008D48A2">
        <w:tc>
          <w:tcPr>
            <w:tcW w:w="1368" w:type="dxa"/>
          </w:tcPr>
          <w:p w:rsidR="008D48A2" w:rsidRPr="008D48A2" w:rsidRDefault="008D48A2" w:rsidP="008D48A2">
            <w:pPr>
              <w:rPr>
                <w:lang w:val="fr-CA"/>
              </w:rPr>
            </w:pPr>
          </w:p>
        </w:tc>
        <w:tc>
          <w:tcPr>
            <w:tcW w:w="2970" w:type="dxa"/>
          </w:tcPr>
          <w:p w:rsidR="008D48A2" w:rsidRPr="008D48A2" w:rsidRDefault="008D48A2" w:rsidP="008D48A2">
            <w:pPr>
              <w:rPr>
                <w:lang w:val="fr-CA"/>
              </w:rPr>
            </w:pPr>
          </w:p>
        </w:tc>
        <w:tc>
          <w:tcPr>
            <w:tcW w:w="1170" w:type="dxa"/>
          </w:tcPr>
          <w:p w:rsidR="008D48A2" w:rsidRPr="008D48A2" w:rsidRDefault="008D48A2" w:rsidP="008D48A2">
            <w:pPr>
              <w:rPr>
                <w:lang w:val="fr-CA"/>
              </w:rPr>
            </w:pPr>
          </w:p>
        </w:tc>
        <w:tc>
          <w:tcPr>
            <w:tcW w:w="4327" w:type="dxa"/>
          </w:tcPr>
          <w:p w:rsidR="008D48A2" w:rsidRPr="008D48A2" w:rsidRDefault="008D48A2" w:rsidP="008D48A2">
            <w:pPr>
              <w:rPr>
                <w:lang w:val="fr-CA"/>
              </w:rPr>
            </w:pPr>
          </w:p>
        </w:tc>
      </w:tr>
      <w:tr w:rsidR="008D48A2" w:rsidRPr="008D48A2" w:rsidTr="008D48A2">
        <w:tc>
          <w:tcPr>
            <w:tcW w:w="1368" w:type="dxa"/>
          </w:tcPr>
          <w:p w:rsidR="008D48A2" w:rsidRPr="008D48A2" w:rsidRDefault="008D48A2" w:rsidP="008D48A2">
            <w:r w:rsidRPr="008D48A2">
              <w:t>IN / DANS :</w:t>
            </w:r>
          </w:p>
        </w:tc>
        <w:tc>
          <w:tcPr>
            <w:tcW w:w="2970" w:type="dxa"/>
          </w:tcPr>
          <w:p w:rsidR="008D48A2" w:rsidRPr="008D48A2" w:rsidRDefault="008D48A2" w:rsidP="008D48A2">
            <w:r w:rsidRPr="008D48A2">
              <w:t>Robert Meredith et al.</w:t>
            </w:r>
          </w:p>
          <w:p w:rsidR="008D48A2" w:rsidRPr="008D48A2" w:rsidRDefault="008D48A2" w:rsidP="008D48A2"/>
          <w:p w:rsidR="008D48A2" w:rsidRPr="008D48A2" w:rsidRDefault="008D48A2" w:rsidP="008D48A2">
            <w:r w:rsidRPr="008D48A2">
              <w:tab/>
              <w:t>v. (35424)</w:t>
            </w:r>
          </w:p>
          <w:p w:rsidR="008D48A2" w:rsidRPr="008D48A2" w:rsidRDefault="008D48A2" w:rsidP="008D48A2"/>
          <w:p w:rsidR="008D48A2" w:rsidRPr="008D48A2" w:rsidRDefault="008D48A2" w:rsidP="008D48A2">
            <w:r w:rsidRPr="008D48A2">
              <w:t>Attorney General of Canada (F.C.)</w:t>
            </w:r>
          </w:p>
        </w:tc>
        <w:tc>
          <w:tcPr>
            <w:tcW w:w="1170" w:type="dxa"/>
          </w:tcPr>
          <w:p w:rsidR="008D48A2" w:rsidRPr="008D48A2" w:rsidRDefault="008D48A2" w:rsidP="008D48A2"/>
        </w:tc>
        <w:tc>
          <w:tcPr>
            <w:tcW w:w="4327" w:type="dxa"/>
          </w:tcPr>
          <w:p w:rsidR="008D48A2" w:rsidRPr="008D48A2" w:rsidRDefault="008D48A2" w:rsidP="008D48A2"/>
        </w:tc>
      </w:tr>
    </w:tbl>
    <w:p w:rsidR="008D48A2" w:rsidRPr="008D48A2" w:rsidRDefault="008D48A2" w:rsidP="008D48A2">
      <w:pPr>
        <w:tabs>
          <w:tab w:val="left" w:pos="-1440"/>
          <w:tab w:val="left" w:pos="-720"/>
        </w:tabs>
        <w:jc w:val="both"/>
        <w:rPr>
          <w:rFonts w:eastAsia="Times New Roman" w:cs="Times New Roman"/>
          <w:sz w:val="20"/>
          <w:szCs w:val="20"/>
          <w:lang w:eastAsia="en-CA"/>
        </w:rPr>
      </w:pPr>
    </w:p>
    <w:p w:rsidR="008D48A2" w:rsidRPr="008D48A2" w:rsidRDefault="008D48A2" w:rsidP="008D48A2">
      <w:pPr>
        <w:tabs>
          <w:tab w:val="left" w:pos="-1440"/>
          <w:tab w:val="left" w:pos="-720"/>
        </w:tabs>
        <w:jc w:val="both"/>
        <w:rPr>
          <w:rFonts w:eastAsia="Times New Roman" w:cs="Times New Roman"/>
          <w:sz w:val="20"/>
          <w:szCs w:val="20"/>
          <w:lang w:eastAsia="en-CA"/>
        </w:rPr>
      </w:pPr>
      <w:r w:rsidRPr="008D48A2">
        <w:rPr>
          <w:rFonts w:eastAsia="Times New Roman" w:cs="Times New Roman"/>
          <w:b/>
          <w:sz w:val="20"/>
          <w:szCs w:val="20"/>
          <w:lang w:eastAsia="en-CA"/>
        </w:rPr>
        <w:t>GRANTED / ACCORDÉES</w:t>
      </w:r>
    </w:p>
    <w:p w:rsidR="008D48A2" w:rsidRPr="008D48A2" w:rsidRDefault="008D48A2" w:rsidP="008D48A2">
      <w:pPr>
        <w:tabs>
          <w:tab w:val="left" w:pos="-1440"/>
          <w:tab w:val="left" w:pos="-720"/>
        </w:tabs>
        <w:jc w:val="both"/>
        <w:rPr>
          <w:rFonts w:eastAsia="Times New Roman" w:cs="Times New Roman"/>
          <w:sz w:val="20"/>
          <w:szCs w:val="20"/>
          <w:lang w:eastAsia="en-CA"/>
        </w:rPr>
      </w:pPr>
    </w:p>
    <w:p w:rsidR="008D48A2" w:rsidRPr="008D48A2" w:rsidRDefault="008D48A2" w:rsidP="008D48A2">
      <w:pPr>
        <w:spacing w:line="233" w:lineRule="auto"/>
        <w:jc w:val="both"/>
        <w:rPr>
          <w:rFonts w:eastAsia="Times New Roman" w:cs="Times New Roman"/>
          <w:sz w:val="20"/>
          <w:szCs w:val="20"/>
          <w:lang w:eastAsia="en-CA"/>
        </w:rPr>
      </w:pPr>
      <w:r w:rsidRPr="008D48A2">
        <w:rPr>
          <w:rFonts w:eastAsia="Times New Roman" w:cs="Times New Roman"/>
          <w:b/>
          <w:sz w:val="20"/>
          <w:szCs w:val="20"/>
          <w:lang w:eastAsia="en-CA"/>
        </w:rPr>
        <w:t xml:space="preserve">UPON JOINT MOTIONS </w:t>
      </w:r>
      <w:r w:rsidRPr="008D48A2">
        <w:rPr>
          <w:rFonts w:eastAsia="Times New Roman" w:cs="Times New Roman"/>
          <w:sz w:val="20"/>
          <w:szCs w:val="20"/>
          <w:lang w:eastAsia="en-CA"/>
        </w:rPr>
        <w:t xml:space="preserve">by the Confédération des syndicats nationaux and the Union of Canadian Correctional Officers for an extension of the time to serve and file a motion for leave to intervene, and for leave to intervene in the appeal; </w:t>
      </w:r>
    </w:p>
    <w:p w:rsidR="008D48A2" w:rsidRPr="008D48A2" w:rsidRDefault="008D48A2" w:rsidP="008D48A2">
      <w:pPr>
        <w:spacing w:line="233" w:lineRule="auto"/>
        <w:jc w:val="both"/>
        <w:rPr>
          <w:rFonts w:eastAsia="Times New Roman" w:cs="Times New Roman"/>
          <w:b/>
          <w:sz w:val="20"/>
          <w:szCs w:val="20"/>
          <w:lang w:eastAsia="en-CA"/>
        </w:rPr>
      </w:pPr>
    </w:p>
    <w:p w:rsidR="008D48A2" w:rsidRPr="008D48A2" w:rsidRDefault="008D48A2" w:rsidP="008D48A2">
      <w:pPr>
        <w:spacing w:line="233" w:lineRule="auto"/>
        <w:jc w:val="both"/>
        <w:rPr>
          <w:rFonts w:eastAsia="Times New Roman" w:cs="Times New Roman"/>
          <w:sz w:val="20"/>
          <w:szCs w:val="20"/>
          <w:lang w:eastAsia="en-CA"/>
        </w:rPr>
      </w:pPr>
      <w:r w:rsidRPr="008D48A2">
        <w:rPr>
          <w:rFonts w:eastAsia="Times New Roman" w:cs="Times New Roman"/>
          <w:b/>
          <w:sz w:val="20"/>
          <w:szCs w:val="20"/>
          <w:lang w:eastAsia="en-CA"/>
        </w:rPr>
        <w:t>AND THE MATERIAL FILED</w:t>
      </w:r>
      <w:r w:rsidRPr="008D48A2">
        <w:rPr>
          <w:rFonts w:eastAsia="Times New Roman" w:cs="Times New Roman"/>
          <w:sz w:val="20"/>
          <w:szCs w:val="20"/>
          <w:lang w:eastAsia="en-CA"/>
        </w:rPr>
        <w:t xml:space="preserve"> having been read; </w:t>
      </w:r>
    </w:p>
    <w:p w:rsidR="008D48A2" w:rsidRPr="008D48A2" w:rsidRDefault="008D48A2" w:rsidP="008D48A2">
      <w:pPr>
        <w:spacing w:line="233" w:lineRule="auto"/>
        <w:jc w:val="both"/>
        <w:rPr>
          <w:rFonts w:eastAsia="Times New Roman" w:cs="Times New Roman"/>
          <w:b/>
          <w:sz w:val="20"/>
          <w:szCs w:val="20"/>
          <w:lang w:eastAsia="en-CA"/>
        </w:rPr>
      </w:pPr>
    </w:p>
    <w:p w:rsidR="008D48A2" w:rsidRPr="008D48A2" w:rsidRDefault="008D48A2" w:rsidP="008D48A2">
      <w:pPr>
        <w:spacing w:line="233" w:lineRule="auto"/>
        <w:jc w:val="both"/>
        <w:rPr>
          <w:rFonts w:eastAsia="Times New Roman" w:cs="Times New Roman"/>
          <w:sz w:val="20"/>
          <w:szCs w:val="20"/>
          <w:lang w:eastAsia="en-CA"/>
        </w:rPr>
      </w:pPr>
      <w:r w:rsidRPr="008D48A2">
        <w:rPr>
          <w:rFonts w:eastAsia="Times New Roman" w:cs="Times New Roman"/>
          <w:b/>
          <w:sz w:val="20"/>
          <w:szCs w:val="20"/>
          <w:lang w:eastAsia="en-CA"/>
        </w:rPr>
        <w:t>IT IS HEREBY ORDERED THAT</w:t>
      </w:r>
      <w:r w:rsidRPr="008D48A2">
        <w:rPr>
          <w:rFonts w:eastAsia="Times New Roman" w:cs="Times New Roman"/>
          <w:sz w:val="20"/>
          <w:szCs w:val="20"/>
          <w:lang w:eastAsia="en-CA"/>
        </w:rPr>
        <w:t xml:space="preserve">: </w:t>
      </w:r>
    </w:p>
    <w:p w:rsidR="008D48A2" w:rsidRPr="008D48A2" w:rsidRDefault="008D48A2" w:rsidP="008D48A2">
      <w:pPr>
        <w:spacing w:line="233" w:lineRule="auto"/>
        <w:jc w:val="both"/>
        <w:rPr>
          <w:rFonts w:eastAsia="Times New Roman" w:cs="Times New Roman"/>
          <w:sz w:val="20"/>
          <w:szCs w:val="20"/>
          <w:lang w:eastAsia="en-CA"/>
        </w:rPr>
      </w:pPr>
    </w:p>
    <w:p w:rsidR="008D48A2" w:rsidRPr="008D48A2" w:rsidRDefault="008D48A2" w:rsidP="008D48A2">
      <w:pPr>
        <w:spacing w:line="233" w:lineRule="auto"/>
        <w:jc w:val="both"/>
        <w:rPr>
          <w:rFonts w:eastAsia="Times New Roman" w:cs="Times New Roman"/>
          <w:sz w:val="20"/>
          <w:szCs w:val="20"/>
          <w:lang w:eastAsia="en-CA"/>
        </w:rPr>
      </w:pPr>
      <w:r w:rsidRPr="008D48A2">
        <w:rPr>
          <w:rFonts w:eastAsia="Times New Roman" w:cs="Times New Roman"/>
          <w:sz w:val="20"/>
          <w:szCs w:val="20"/>
          <w:lang w:eastAsia="en-CA"/>
        </w:rPr>
        <w:t>The motions for an extension of time and for leave to intervene are granted, and this intervener shall be entitled to serve and file a single factum not to exceed ten (10) pages in length on or before February 5, 2014.</w:t>
      </w:r>
    </w:p>
    <w:p w:rsidR="008D48A2" w:rsidRPr="008D48A2" w:rsidRDefault="008D48A2" w:rsidP="008D48A2">
      <w:pPr>
        <w:spacing w:line="233" w:lineRule="auto"/>
        <w:jc w:val="both"/>
        <w:rPr>
          <w:rFonts w:eastAsia="Times New Roman" w:cs="Times New Roman"/>
          <w:sz w:val="20"/>
          <w:szCs w:val="20"/>
          <w:lang w:eastAsia="en-CA"/>
        </w:rPr>
      </w:pPr>
    </w:p>
    <w:p w:rsidR="008D48A2" w:rsidRPr="008D48A2" w:rsidRDefault="008D48A2" w:rsidP="008D48A2">
      <w:pPr>
        <w:spacing w:line="233" w:lineRule="auto"/>
        <w:jc w:val="both"/>
        <w:rPr>
          <w:rFonts w:eastAsia="Times New Roman" w:cs="Times New Roman"/>
          <w:sz w:val="20"/>
          <w:szCs w:val="20"/>
          <w:lang w:eastAsia="en-CA"/>
        </w:rPr>
      </w:pPr>
      <w:r w:rsidRPr="008D48A2">
        <w:rPr>
          <w:rFonts w:eastAsia="Times New Roman" w:cs="Times New Roman"/>
          <w:sz w:val="20"/>
          <w:szCs w:val="20"/>
          <w:lang w:eastAsia="en-CA"/>
        </w:rPr>
        <w:t>The request to present oral argument is deferred to a date following receipt and consideration of the written arguments of the parties and the intervener.</w:t>
      </w:r>
    </w:p>
    <w:p w:rsidR="008D48A2" w:rsidRPr="008D48A2" w:rsidRDefault="008D48A2" w:rsidP="008D48A2">
      <w:pPr>
        <w:spacing w:line="233" w:lineRule="auto"/>
        <w:jc w:val="both"/>
        <w:rPr>
          <w:rFonts w:eastAsia="Times New Roman" w:cs="Times New Roman"/>
          <w:sz w:val="20"/>
          <w:szCs w:val="20"/>
          <w:lang w:eastAsia="en-CA"/>
        </w:rPr>
      </w:pPr>
    </w:p>
    <w:p w:rsidR="008D48A2" w:rsidRPr="008D48A2" w:rsidRDefault="008D48A2" w:rsidP="008D48A2">
      <w:pPr>
        <w:spacing w:line="233" w:lineRule="auto"/>
        <w:jc w:val="both"/>
        <w:rPr>
          <w:rFonts w:eastAsia="Times New Roman" w:cs="Times New Roman"/>
          <w:sz w:val="20"/>
          <w:szCs w:val="20"/>
          <w:lang w:eastAsia="en-CA"/>
        </w:rPr>
      </w:pPr>
      <w:r w:rsidRPr="008D48A2">
        <w:rPr>
          <w:rFonts w:eastAsia="Times New Roman" w:cs="Times New Roman"/>
          <w:sz w:val="20"/>
          <w:szCs w:val="20"/>
          <w:lang w:eastAsia="en-CA"/>
        </w:rPr>
        <w:t>The intervener shall not be entitled to raise new issues or to adduce further evidence or otherwise to supplement the record of the parties.</w:t>
      </w:r>
    </w:p>
    <w:p w:rsidR="008D48A2" w:rsidRPr="008D48A2" w:rsidRDefault="008D48A2" w:rsidP="008D48A2">
      <w:pPr>
        <w:spacing w:line="233" w:lineRule="auto"/>
        <w:jc w:val="both"/>
        <w:rPr>
          <w:rFonts w:eastAsia="Times New Roman" w:cs="Times New Roman"/>
          <w:b/>
          <w:sz w:val="20"/>
          <w:szCs w:val="20"/>
          <w:lang w:eastAsia="en-CA"/>
        </w:rPr>
      </w:pPr>
    </w:p>
    <w:p w:rsidR="008D48A2" w:rsidRPr="008D48A2" w:rsidRDefault="008D48A2" w:rsidP="008D48A2">
      <w:pPr>
        <w:spacing w:line="233" w:lineRule="auto"/>
        <w:jc w:val="both"/>
        <w:rPr>
          <w:rFonts w:eastAsia="Times New Roman" w:cs="Times New Roman"/>
          <w:sz w:val="20"/>
          <w:szCs w:val="20"/>
          <w:lang w:eastAsia="en-CA"/>
        </w:rPr>
      </w:pPr>
      <w:r w:rsidRPr="008D48A2">
        <w:rPr>
          <w:rFonts w:eastAsia="Times New Roman" w:cs="Times New Roman"/>
          <w:sz w:val="20"/>
          <w:szCs w:val="20"/>
          <w:lang w:eastAsia="en-CA"/>
        </w:rPr>
        <w:t>Pursuant to Rule 59(1)(</w:t>
      </w:r>
      <w:r w:rsidRPr="008D48A2">
        <w:rPr>
          <w:rFonts w:eastAsia="Times New Roman" w:cs="Times New Roman"/>
          <w:i/>
          <w:sz w:val="20"/>
          <w:szCs w:val="20"/>
          <w:lang w:eastAsia="en-CA"/>
        </w:rPr>
        <w:t>a</w:t>
      </w:r>
      <w:r w:rsidRPr="008D48A2">
        <w:rPr>
          <w:rFonts w:eastAsia="Times New Roman" w:cs="Times New Roman"/>
          <w:sz w:val="20"/>
          <w:szCs w:val="20"/>
          <w:lang w:eastAsia="en-CA"/>
        </w:rPr>
        <w:t xml:space="preserve">) of the </w:t>
      </w:r>
      <w:r w:rsidRPr="008D48A2">
        <w:rPr>
          <w:rFonts w:eastAsia="Times New Roman" w:cs="Times New Roman"/>
          <w:i/>
          <w:sz w:val="20"/>
          <w:szCs w:val="20"/>
          <w:lang w:eastAsia="en-CA"/>
        </w:rPr>
        <w:t>Rules of the Supreme Court of Canada</w:t>
      </w:r>
      <w:r w:rsidRPr="008D48A2">
        <w:rPr>
          <w:rFonts w:eastAsia="Times New Roman" w:cs="Times New Roman"/>
          <w:sz w:val="20"/>
          <w:szCs w:val="20"/>
          <w:lang w:eastAsia="en-CA"/>
        </w:rPr>
        <w:t>, the intervener shall pay to the appellants and respondent any additional disbursements occasioned to the appellants and respondent by its intervention.</w:t>
      </w:r>
    </w:p>
    <w:p w:rsidR="008D48A2" w:rsidRPr="008D48A2" w:rsidRDefault="008D48A2" w:rsidP="008D48A2">
      <w:pPr>
        <w:spacing w:line="233" w:lineRule="auto"/>
        <w:jc w:val="both"/>
        <w:rPr>
          <w:rFonts w:eastAsia="Times New Roman" w:cs="Times New Roman"/>
          <w:sz w:val="20"/>
          <w:szCs w:val="20"/>
          <w:lang w:eastAsia="en-CA"/>
        </w:rPr>
      </w:pPr>
    </w:p>
    <w:p w:rsidR="008D48A2" w:rsidRPr="008D48A2" w:rsidRDefault="008D48A2" w:rsidP="008D48A2">
      <w:pPr>
        <w:spacing w:line="233" w:lineRule="auto"/>
        <w:jc w:val="both"/>
        <w:rPr>
          <w:rFonts w:eastAsia="Times New Roman" w:cs="Times New Roman"/>
          <w:sz w:val="20"/>
          <w:szCs w:val="20"/>
          <w:lang w:eastAsia="en-CA"/>
        </w:rPr>
      </w:pPr>
    </w:p>
    <w:p w:rsidR="008D48A2" w:rsidRPr="008D48A2" w:rsidRDefault="008D48A2" w:rsidP="008D48A2">
      <w:pPr>
        <w:spacing w:line="233" w:lineRule="auto"/>
        <w:jc w:val="both"/>
        <w:rPr>
          <w:rFonts w:eastAsia="Times New Roman" w:cs="Times New Roman"/>
          <w:sz w:val="20"/>
          <w:szCs w:val="20"/>
          <w:lang w:eastAsia="en-CA"/>
        </w:rPr>
      </w:pPr>
    </w:p>
    <w:p w:rsidR="008D48A2" w:rsidRPr="008D48A2" w:rsidRDefault="008D48A2" w:rsidP="008D48A2">
      <w:pPr>
        <w:spacing w:line="233" w:lineRule="auto"/>
        <w:jc w:val="both"/>
        <w:rPr>
          <w:rFonts w:eastAsia="Times New Roman" w:cs="Times New Roman"/>
          <w:sz w:val="20"/>
          <w:szCs w:val="20"/>
          <w:lang w:val="fr-FR" w:eastAsia="en-CA"/>
        </w:rPr>
      </w:pPr>
      <w:r w:rsidRPr="008D48A2">
        <w:rPr>
          <w:rFonts w:eastAsia="Times New Roman" w:cs="Times New Roman"/>
          <w:b/>
          <w:sz w:val="20"/>
          <w:szCs w:val="20"/>
          <w:lang w:val="fr-FR" w:eastAsia="en-CA"/>
        </w:rPr>
        <w:t xml:space="preserve">À LA SUITE DES REQUÊTES </w:t>
      </w:r>
      <w:r w:rsidRPr="008D48A2">
        <w:rPr>
          <w:rFonts w:eastAsia="Times New Roman" w:cs="Times New Roman"/>
          <w:sz w:val="20"/>
          <w:szCs w:val="20"/>
          <w:lang w:val="fr-FR" w:eastAsia="en-CA"/>
        </w:rPr>
        <w:t xml:space="preserve">conjointes présentées par la Confédération des syndicats nationaux et du Syndicat des agents correctionnels du Canada en prorogation du délai de signification et de dépôt d’une requête en intervention et en autorisation d’intervenir dans l’appel; </w:t>
      </w:r>
    </w:p>
    <w:p w:rsidR="008D48A2" w:rsidRPr="008D48A2" w:rsidRDefault="008D48A2" w:rsidP="008D48A2">
      <w:pPr>
        <w:spacing w:line="233" w:lineRule="auto"/>
        <w:jc w:val="both"/>
        <w:rPr>
          <w:rFonts w:eastAsia="Times New Roman" w:cs="Times New Roman"/>
          <w:b/>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b/>
          <w:sz w:val="20"/>
          <w:szCs w:val="20"/>
          <w:lang w:val="fr-CA" w:eastAsia="en-CA"/>
        </w:rPr>
        <w:t>ET APRÈS EXAMEN</w:t>
      </w:r>
      <w:r w:rsidRPr="008D48A2">
        <w:rPr>
          <w:rFonts w:eastAsia="Times New Roman" w:cs="Times New Roman"/>
          <w:sz w:val="20"/>
          <w:szCs w:val="20"/>
          <w:lang w:val="fr-CA" w:eastAsia="en-CA"/>
        </w:rPr>
        <w:t xml:space="preserve"> des documents déposés; </w:t>
      </w:r>
    </w:p>
    <w:p w:rsidR="008D48A2" w:rsidRPr="008D48A2" w:rsidRDefault="008D48A2" w:rsidP="008D48A2">
      <w:pPr>
        <w:spacing w:line="233" w:lineRule="auto"/>
        <w:jc w:val="both"/>
        <w:rPr>
          <w:rFonts w:eastAsia="Times New Roman" w:cs="Times New Roman"/>
          <w:b/>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b/>
          <w:sz w:val="20"/>
          <w:szCs w:val="20"/>
          <w:lang w:val="fr-CA" w:eastAsia="en-CA"/>
        </w:rPr>
        <w:t>IL EST ORDONNÉ CE QUI SUIT</w:t>
      </w:r>
      <w:r w:rsidRPr="008D48A2">
        <w:rPr>
          <w:rFonts w:eastAsia="Times New Roman" w:cs="Times New Roman"/>
          <w:sz w:val="20"/>
          <w:szCs w:val="20"/>
          <w:lang w:val="fr-CA" w:eastAsia="en-CA"/>
        </w:rPr>
        <w:t xml:space="preserve"> : </w:t>
      </w:r>
    </w:p>
    <w:p w:rsidR="008D48A2" w:rsidRPr="008D48A2" w:rsidRDefault="008D48A2" w:rsidP="008D48A2">
      <w:pPr>
        <w:spacing w:line="233" w:lineRule="auto"/>
        <w:jc w:val="both"/>
        <w:rPr>
          <w:rFonts w:eastAsia="Times New Roman" w:cs="Times New Roman"/>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sz w:val="20"/>
          <w:szCs w:val="20"/>
          <w:lang w:val="fr-CA" w:eastAsia="en-CA"/>
        </w:rPr>
        <w:t>Les requêtes en prorogation de délai et en autorisation d’intervention sont accueillies et cet intervenant pourra signifier et déposer un seul mémoire d'au plus dix (10) pages au plus tard le 5 février 2014.</w:t>
      </w:r>
    </w:p>
    <w:p w:rsidR="008D48A2" w:rsidRPr="008D48A2" w:rsidRDefault="008D48A2" w:rsidP="008D48A2">
      <w:pPr>
        <w:spacing w:line="233" w:lineRule="auto"/>
        <w:jc w:val="both"/>
        <w:rPr>
          <w:rFonts w:eastAsia="Times New Roman" w:cs="Times New Roman"/>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sz w:val="20"/>
          <w:szCs w:val="20"/>
          <w:lang w:val="fr-CA" w:eastAsia="en-CA"/>
        </w:rPr>
        <w:t>La décision sur la requête en vue de présenter une plaidoirie orale sera rendue après réception et examen des arguments écrits des parties et de l’intervenant.</w:t>
      </w:r>
    </w:p>
    <w:p w:rsidR="008D48A2" w:rsidRPr="008D48A2" w:rsidRDefault="008D48A2" w:rsidP="008D48A2">
      <w:pPr>
        <w:spacing w:line="233" w:lineRule="auto"/>
        <w:jc w:val="both"/>
        <w:rPr>
          <w:rFonts w:eastAsia="Times New Roman" w:cs="Times New Roman"/>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sz w:val="20"/>
          <w:szCs w:val="20"/>
          <w:lang w:val="fr-CA" w:eastAsia="en-CA"/>
        </w:rPr>
        <w:lastRenderedPageBreak/>
        <w:t>L’intervenant n'a pas le droit de soulever de nouvelles questions, de produire d'autres éléments de preuve ni de compléter de quelque autre façon le dossier des parties.</w:t>
      </w:r>
    </w:p>
    <w:p w:rsidR="008D48A2" w:rsidRPr="008D48A2" w:rsidRDefault="008D48A2" w:rsidP="008D48A2">
      <w:pPr>
        <w:spacing w:line="233" w:lineRule="auto"/>
        <w:jc w:val="both"/>
        <w:rPr>
          <w:rFonts w:eastAsia="Times New Roman" w:cs="Times New Roman"/>
          <w:b/>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sz w:val="20"/>
          <w:szCs w:val="20"/>
          <w:lang w:val="fr-CA" w:eastAsia="en-CA"/>
        </w:rPr>
        <w:t>Conformément à l'alinéa 59(1)(</w:t>
      </w:r>
      <w:r w:rsidRPr="008D48A2">
        <w:rPr>
          <w:rFonts w:eastAsia="Times New Roman" w:cs="Times New Roman"/>
          <w:i/>
          <w:sz w:val="20"/>
          <w:szCs w:val="20"/>
          <w:lang w:val="fr-CA" w:eastAsia="en-CA"/>
        </w:rPr>
        <w:t>a</w:t>
      </w:r>
      <w:r w:rsidRPr="008D48A2">
        <w:rPr>
          <w:rFonts w:eastAsia="Times New Roman" w:cs="Times New Roman"/>
          <w:sz w:val="20"/>
          <w:szCs w:val="20"/>
          <w:lang w:val="fr-CA" w:eastAsia="en-CA"/>
        </w:rPr>
        <w:t xml:space="preserve">) des </w:t>
      </w:r>
      <w:r w:rsidRPr="008D48A2">
        <w:rPr>
          <w:rFonts w:eastAsia="Times New Roman" w:cs="Times New Roman"/>
          <w:i/>
          <w:sz w:val="20"/>
          <w:szCs w:val="20"/>
          <w:lang w:val="fr-CA" w:eastAsia="en-CA"/>
        </w:rPr>
        <w:t>Règles de la Cour suprême du Canada</w:t>
      </w:r>
      <w:r w:rsidRPr="008D48A2">
        <w:rPr>
          <w:rFonts w:eastAsia="Times New Roman" w:cs="Times New Roman"/>
          <w:sz w:val="20"/>
          <w:szCs w:val="20"/>
          <w:lang w:val="fr-CA" w:eastAsia="en-CA"/>
        </w:rPr>
        <w:t>, l’intervenant paiera  aux appelants et à l'intimé tous débours supplémentaires résultant de son intervention.</w:t>
      </w:r>
    </w:p>
    <w:p w:rsidR="008D48A2" w:rsidRPr="008D48A2" w:rsidRDefault="008D48A2" w:rsidP="008D48A2">
      <w:pPr>
        <w:tabs>
          <w:tab w:val="left" w:pos="-1440"/>
          <w:tab w:val="left" w:pos="-720"/>
        </w:tabs>
        <w:jc w:val="both"/>
        <w:rPr>
          <w:rFonts w:eastAsia="Times New Roman" w:cs="Times New Roman"/>
          <w:sz w:val="20"/>
          <w:szCs w:val="20"/>
          <w:lang w:val="fr-CA" w:eastAsia="en-CA"/>
        </w:rPr>
      </w:pPr>
    </w:p>
    <w:p w:rsidR="008D48A2" w:rsidRPr="008D48A2" w:rsidRDefault="007C5411" w:rsidP="008D48A2">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7" style="width:2in;height:1pt" o:hrpct="0" o:hralign="center" o:hrstd="t" o:hrnoshade="t" o:hr="t" fillcolor="black [3213]" stroked="f"/>
        </w:pict>
      </w:r>
    </w:p>
    <w:p w:rsidR="008D48A2" w:rsidRPr="008D48A2" w:rsidRDefault="008D48A2" w:rsidP="008D48A2">
      <w:pPr>
        <w:tabs>
          <w:tab w:val="left" w:pos="-1440"/>
          <w:tab w:val="left" w:pos="-720"/>
        </w:tabs>
        <w:jc w:val="both"/>
        <w:rPr>
          <w:rFonts w:eastAsia="Times New Roman" w:cs="Times New Roman"/>
          <w:sz w:val="20"/>
          <w:szCs w:val="20"/>
          <w:lang w:val="fr-CA" w:eastAsia="en-CA"/>
        </w:rPr>
      </w:pPr>
    </w:p>
    <w:p w:rsidR="008D48A2" w:rsidRPr="008D48A2" w:rsidRDefault="008D48A2" w:rsidP="008D48A2">
      <w:pPr>
        <w:tabs>
          <w:tab w:val="left" w:pos="-1440"/>
          <w:tab w:val="left" w:pos="-720"/>
        </w:tabs>
        <w:jc w:val="both"/>
        <w:rPr>
          <w:rFonts w:eastAsia="Times New Roman" w:cs="Times New Roman"/>
          <w:sz w:val="20"/>
          <w:szCs w:val="20"/>
          <w:lang w:val="fr-CA" w:eastAsia="en-CA"/>
        </w:rPr>
      </w:pPr>
      <w:r w:rsidRPr="008D48A2">
        <w:rPr>
          <w:rFonts w:eastAsia="Times New Roman" w:cs="Times New Roman"/>
          <w:sz w:val="20"/>
          <w:szCs w:val="20"/>
          <w:lang w:val="fr-CA" w:eastAsia="en-CA"/>
        </w:rPr>
        <w:t>16.01.2014</w:t>
      </w:r>
    </w:p>
    <w:p w:rsidR="008D48A2" w:rsidRPr="008D48A2" w:rsidRDefault="008D48A2" w:rsidP="008D48A2">
      <w:pPr>
        <w:tabs>
          <w:tab w:val="left" w:pos="-1440"/>
          <w:tab w:val="left" w:pos="-720"/>
        </w:tabs>
        <w:jc w:val="both"/>
        <w:rPr>
          <w:rFonts w:eastAsia="Times New Roman" w:cs="Times New Roman"/>
          <w:sz w:val="20"/>
          <w:szCs w:val="20"/>
          <w:lang w:val="fr-CA" w:eastAsia="en-CA"/>
        </w:rPr>
      </w:pPr>
    </w:p>
    <w:p w:rsidR="008D48A2" w:rsidRPr="008D48A2" w:rsidRDefault="008D48A2" w:rsidP="008D48A2">
      <w:pPr>
        <w:jc w:val="both"/>
        <w:rPr>
          <w:rFonts w:eastAsia="Times New Roman" w:cs="Times New Roman"/>
          <w:sz w:val="20"/>
          <w:szCs w:val="20"/>
          <w:lang w:val="fr-CA" w:eastAsia="en-CA"/>
        </w:rPr>
      </w:pPr>
      <w:r w:rsidRPr="008D48A2">
        <w:rPr>
          <w:rFonts w:eastAsia="Times New Roman" w:cs="Times New Roman"/>
          <w:sz w:val="20"/>
          <w:szCs w:val="20"/>
          <w:lang w:val="fr-CA" w:eastAsia="en-CA"/>
        </w:rPr>
        <w:t>Before / Devant:   LEBEL J. / LE JUGE LEBEL</w:t>
      </w:r>
    </w:p>
    <w:p w:rsidR="008D48A2" w:rsidRPr="008D48A2" w:rsidRDefault="008D48A2" w:rsidP="008D48A2">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3060"/>
        <w:gridCol w:w="1080"/>
        <w:gridCol w:w="4327"/>
      </w:tblGrid>
      <w:tr w:rsidR="008D48A2" w:rsidRPr="008D48A2" w:rsidTr="008D48A2">
        <w:tc>
          <w:tcPr>
            <w:tcW w:w="4428" w:type="dxa"/>
            <w:gridSpan w:val="2"/>
          </w:tcPr>
          <w:p w:rsidR="008D48A2" w:rsidRPr="008D48A2" w:rsidRDefault="008D48A2" w:rsidP="008D48A2">
            <w:pPr>
              <w:rPr>
                <w:b/>
              </w:rPr>
            </w:pPr>
            <w:r w:rsidRPr="008D48A2">
              <w:rPr>
                <w:b/>
              </w:rPr>
              <w:t>Motions for leave to intervene</w:t>
            </w:r>
            <w:r w:rsidRPr="008D48A2">
              <w:rPr>
                <w:szCs w:val="24"/>
                <w:lang w:val="en-US"/>
              </w:rPr>
              <w:t xml:space="preserve"> </w:t>
            </w:r>
            <w:r w:rsidR="00FD4200" w:rsidRPr="008D48A2">
              <w:rPr>
                <w:szCs w:val="24"/>
                <w:lang w:val="en-US"/>
              </w:rPr>
              <w:fldChar w:fldCharType="begin"/>
            </w:r>
            <w:r w:rsidRPr="008D48A2">
              <w:rPr>
                <w:szCs w:val="24"/>
              </w:rPr>
              <w:instrText xml:space="preserve"> SEQ CHAPTER \h \r 1</w:instrText>
            </w:r>
            <w:r w:rsidR="00FD4200" w:rsidRPr="008D48A2">
              <w:rPr>
                <w:szCs w:val="24"/>
                <w:lang w:val="en-US"/>
              </w:rPr>
              <w:fldChar w:fldCharType="end"/>
            </w:r>
          </w:p>
        </w:tc>
        <w:tc>
          <w:tcPr>
            <w:tcW w:w="1080" w:type="dxa"/>
          </w:tcPr>
          <w:p w:rsidR="008D48A2" w:rsidRPr="008D48A2" w:rsidRDefault="008D48A2" w:rsidP="008D48A2"/>
          <w:p w:rsidR="008D48A2" w:rsidRPr="008D48A2" w:rsidRDefault="008D48A2" w:rsidP="008D48A2"/>
        </w:tc>
        <w:tc>
          <w:tcPr>
            <w:tcW w:w="4327" w:type="dxa"/>
          </w:tcPr>
          <w:p w:rsidR="008D48A2" w:rsidRPr="008D48A2" w:rsidRDefault="008D48A2" w:rsidP="008D48A2">
            <w:pPr>
              <w:rPr>
                <w:b/>
              </w:rPr>
            </w:pPr>
            <w:r w:rsidRPr="008D48A2">
              <w:rPr>
                <w:b/>
                <w:bCs/>
                <w:lang w:val="fr-CA"/>
              </w:rPr>
              <w:t>Requêtes en autorisation d’intervenir</w:t>
            </w:r>
            <w:r w:rsidRPr="008D48A2">
              <w:rPr>
                <w:szCs w:val="24"/>
                <w:lang w:val="en-US"/>
              </w:rPr>
              <w:t xml:space="preserve"> </w:t>
            </w:r>
            <w:r w:rsidR="00FD4200" w:rsidRPr="008D48A2">
              <w:rPr>
                <w:szCs w:val="24"/>
                <w:lang w:val="en-US"/>
              </w:rPr>
              <w:fldChar w:fldCharType="begin"/>
            </w:r>
            <w:r w:rsidRPr="008D48A2">
              <w:rPr>
                <w:szCs w:val="24"/>
              </w:rPr>
              <w:instrText xml:space="preserve"> SEQ CHAPTER \h \r 1</w:instrText>
            </w:r>
            <w:r w:rsidR="00FD4200" w:rsidRPr="008D48A2">
              <w:rPr>
                <w:szCs w:val="24"/>
                <w:lang w:val="en-US"/>
              </w:rPr>
              <w:fldChar w:fldCharType="end"/>
            </w:r>
          </w:p>
        </w:tc>
      </w:tr>
      <w:tr w:rsidR="008D48A2" w:rsidRPr="008D48A2" w:rsidTr="008D48A2">
        <w:tc>
          <w:tcPr>
            <w:tcW w:w="1368" w:type="dxa"/>
          </w:tcPr>
          <w:p w:rsidR="008D48A2" w:rsidRPr="008D48A2" w:rsidRDefault="008D48A2" w:rsidP="008D48A2">
            <w:r w:rsidRPr="008D48A2">
              <w:t>BY / PAR</w:t>
            </w:r>
          </w:p>
        </w:tc>
        <w:tc>
          <w:tcPr>
            <w:tcW w:w="3060" w:type="dxa"/>
          </w:tcPr>
          <w:p w:rsidR="008D48A2" w:rsidRPr="008D48A2" w:rsidRDefault="008D48A2" w:rsidP="008D48A2">
            <w:r w:rsidRPr="008D48A2">
              <w:rPr>
                <w:lang w:val="en-US"/>
              </w:rPr>
              <w:t>Canadian Council of Christian Charities</w:t>
            </w:r>
            <w:r w:rsidRPr="008D48A2">
              <w:t>;</w:t>
            </w:r>
          </w:p>
          <w:p w:rsidR="008D48A2" w:rsidRPr="008D48A2" w:rsidRDefault="008D48A2" w:rsidP="008D48A2"/>
        </w:tc>
        <w:tc>
          <w:tcPr>
            <w:tcW w:w="1080" w:type="dxa"/>
          </w:tcPr>
          <w:p w:rsidR="008D48A2" w:rsidRPr="008D48A2" w:rsidRDefault="008D48A2" w:rsidP="008D48A2"/>
        </w:tc>
        <w:tc>
          <w:tcPr>
            <w:tcW w:w="4327" w:type="dxa"/>
          </w:tcPr>
          <w:p w:rsidR="008D48A2" w:rsidRPr="008D48A2" w:rsidRDefault="008D48A2" w:rsidP="008D48A2"/>
        </w:tc>
      </w:tr>
      <w:tr w:rsidR="008D48A2" w:rsidRPr="008D48A2" w:rsidTr="008D48A2">
        <w:tc>
          <w:tcPr>
            <w:tcW w:w="1368" w:type="dxa"/>
          </w:tcPr>
          <w:p w:rsidR="008D48A2" w:rsidRPr="008D48A2" w:rsidRDefault="008D48A2" w:rsidP="008D48A2"/>
        </w:tc>
        <w:tc>
          <w:tcPr>
            <w:tcW w:w="3060" w:type="dxa"/>
          </w:tcPr>
          <w:p w:rsidR="008D48A2" w:rsidRPr="008D48A2" w:rsidRDefault="008D48A2" w:rsidP="008D48A2">
            <w:r w:rsidRPr="008D48A2">
              <w:rPr>
                <w:lang w:val="en-US"/>
              </w:rPr>
              <w:t>Evangelical Fellowship of Canada</w:t>
            </w:r>
            <w:r w:rsidRPr="008D48A2">
              <w:t>;</w:t>
            </w:r>
          </w:p>
          <w:p w:rsidR="008D48A2" w:rsidRPr="008D48A2" w:rsidRDefault="008D48A2" w:rsidP="008D48A2"/>
        </w:tc>
        <w:tc>
          <w:tcPr>
            <w:tcW w:w="1080" w:type="dxa"/>
          </w:tcPr>
          <w:p w:rsidR="008D48A2" w:rsidRPr="008D48A2" w:rsidRDefault="008D48A2" w:rsidP="008D48A2"/>
        </w:tc>
        <w:tc>
          <w:tcPr>
            <w:tcW w:w="4327" w:type="dxa"/>
          </w:tcPr>
          <w:p w:rsidR="008D48A2" w:rsidRPr="008D48A2" w:rsidRDefault="008D48A2" w:rsidP="008D48A2"/>
        </w:tc>
      </w:tr>
      <w:tr w:rsidR="008D48A2" w:rsidRPr="008D48A2" w:rsidTr="008D48A2">
        <w:tc>
          <w:tcPr>
            <w:tcW w:w="1368" w:type="dxa"/>
          </w:tcPr>
          <w:p w:rsidR="008D48A2" w:rsidRPr="008D48A2" w:rsidRDefault="008D48A2" w:rsidP="008D48A2"/>
        </w:tc>
        <w:tc>
          <w:tcPr>
            <w:tcW w:w="3060" w:type="dxa"/>
          </w:tcPr>
          <w:p w:rsidR="008D48A2" w:rsidRPr="008D48A2" w:rsidRDefault="008D48A2" w:rsidP="008D48A2">
            <w:r w:rsidRPr="008D48A2">
              <w:rPr>
                <w:lang w:val="en-US"/>
              </w:rPr>
              <w:t>Christian Legal Fellowship</w:t>
            </w:r>
            <w:r w:rsidRPr="008D48A2">
              <w:t>;</w:t>
            </w:r>
          </w:p>
          <w:p w:rsidR="008D48A2" w:rsidRPr="008D48A2" w:rsidRDefault="008D48A2" w:rsidP="008D48A2"/>
        </w:tc>
        <w:tc>
          <w:tcPr>
            <w:tcW w:w="1080" w:type="dxa"/>
          </w:tcPr>
          <w:p w:rsidR="008D48A2" w:rsidRPr="008D48A2" w:rsidRDefault="008D48A2" w:rsidP="008D48A2"/>
        </w:tc>
        <w:tc>
          <w:tcPr>
            <w:tcW w:w="4327" w:type="dxa"/>
          </w:tcPr>
          <w:p w:rsidR="008D48A2" w:rsidRPr="008D48A2" w:rsidRDefault="008D48A2" w:rsidP="008D48A2"/>
        </w:tc>
      </w:tr>
      <w:tr w:rsidR="008D48A2" w:rsidRPr="008D48A2" w:rsidTr="008D48A2">
        <w:tc>
          <w:tcPr>
            <w:tcW w:w="1368" w:type="dxa"/>
          </w:tcPr>
          <w:p w:rsidR="008D48A2" w:rsidRPr="008D48A2" w:rsidRDefault="008D48A2" w:rsidP="008D48A2"/>
        </w:tc>
        <w:tc>
          <w:tcPr>
            <w:tcW w:w="3060" w:type="dxa"/>
          </w:tcPr>
          <w:p w:rsidR="008D48A2" w:rsidRPr="008D48A2" w:rsidRDefault="008D48A2" w:rsidP="008D48A2">
            <w:r w:rsidRPr="008D48A2">
              <w:rPr>
                <w:lang w:val="en-US"/>
              </w:rPr>
              <w:t>World Sikh Organization of Canada</w:t>
            </w:r>
            <w:r w:rsidRPr="008D48A2">
              <w:t>;</w:t>
            </w:r>
          </w:p>
          <w:p w:rsidR="008D48A2" w:rsidRPr="008D48A2" w:rsidRDefault="008D48A2" w:rsidP="008D48A2"/>
        </w:tc>
        <w:tc>
          <w:tcPr>
            <w:tcW w:w="1080" w:type="dxa"/>
          </w:tcPr>
          <w:p w:rsidR="008D48A2" w:rsidRPr="008D48A2" w:rsidRDefault="008D48A2" w:rsidP="008D48A2"/>
        </w:tc>
        <w:tc>
          <w:tcPr>
            <w:tcW w:w="4327" w:type="dxa"/>
          </w:tcPr>
          <w:p w:rsidR="008D48A2" w:rsidRPr="008D48A2" w:rsidRDefault="008D48A2" w:rsidP="008D48A2"/>
        </w:tc>
      </w:tr>
      <w:tr w:rsidR="008D48A2" w:rsidRPr="008D48A2" w:rsidTr="008D48A2">
        <w:tc>
          <w:tcPr>
            <w:tcW w:w="1368" w:type="dxa"/>
          </w:tcPr>
          <w:p w:rsidR="008D48A2" w:rsidRPr="008D48A2" w:rsidRDefault="008D48A2" w:rsidP="008D48A2"/>
        </w:tc>
        <w:tc>
          <w:tcPr>
            <w:tcW w:w="3060" w:type="dxa"/>
          </w:tcPr>
          <w:p w:rsidR="008D48A2" w:rsidRPr="008D48A2" w:rsidRDefault="008D48A2" w:rsidP="008D48A2">
            <w:pPr>
              <w:rPr>
                <w:lang w:val="en-US"/>
              </w:rPr>
            </w:pPr>
            <w:r w:rsidRPr="008D48A2">
              <w:rPr>
                <w:lang w:val="en-US"/>
              </w:rPr>
              <w:t>Association of Christians Educators and Schools Canada;</w:t>
            </w:r>
          </w:p>
          <w:p w:rsidR="008D48A2" w:rsidRPr="008D48A2" w:rsidRDefault="008D48A2" w:rsidP="008D48A2">
            <w:pPr>
              <w:rPr>
                <w:lang w:val="en-US"/>
              </w:rPr>
            </w:pPr>
          </w:p>
        </w:tc>
        <w:tc>
          <w:tcPr>
            <w:tcW w:w="1080" w:type="dxa"/>
          </w:tcPr>
          <w:p w:rsidR="008D48A2" w:rsidRPr="008D48A2" w:rsidRDefault="008D48A2" w:rsidP="008D48A2"/>
        </w:tc>
        <w:tc>
          <w:tcPr>
            <w:tcW w:w="4327" w:type="dxa"/>
          </w:tcPr>
          <w:p w:rsidR="008D48A2" w:rsidRPr="008D48A2" w:rsidRDefault="008D48A2" w:rsidP="008D48A2"/>
        </w:tc>
      </w:tr>
      <w:tr w:rsidR="008D48A2" w:rsidRPr="008D48A2" w:rsidTr="008D48A2">
        <w:tc>
          <w:tcPr>
            <w:tcW w:w="1368" w:type="dxa"/>
          </w:tcPr>
          <w:p w:rsidR="008D48A2" w:rsidRPr="008D48A2" w:rsidRDefault="008D48A2" w:rsidP="008D48A2"/>
        </w:tc>
        <w:tc>
          <w:tcPr>
            <w:tcW w:w="3060" w:type="dxa"/>
          </w:tcPr>
          <w:p w:rsidR="008D48A2" w:rsidRPr="008D48A2" w:rsidRDefault="008D48A2" w:rsidP="008D48A2">
            <w:pPr>
              <w:rPr>
                <w:lang w:val="en-US"/>
              </w:rPr>
            </w:pPr>
            <w:r w:rsidRPr="008D48A2">
              <w:rPr>
                <w:lang w:val="en-US"/>
              </w:rPr>
              <w:t>Canadian Civil Liberties Association;</w:t>
            </w:r>
          </w:p>
          <w:p w:rsidR="008D48A2" w:rsidRPr="008D48A2" w:rsidRDefault="008D48A2" w:rsidP="008D48A2">
            <w:pPr>
              <w:rPr>
                <w:lang w:val="en-US"/>
              </w:rPr>
            </w:pPr>
          </w:p>
        </w:tc>
        <w:tc>
          <w:tcPr>
            <w:tcW w:w="1080" w:type="dxa"/>
          </w:tcPr>
          <w:p w:rsidR="008D48A2" w:rsidRPr="008D48A2" w:rsidRDefault="008D48A2" w:rsidP="008D48A2"/>
        </w:tc>
        <w:tc>
          <w:tcPr>
            <w:tcW w:w="4327" w:type="dxa"/>
          </w:tcPr>
          <w:p w:rsidR="008D48A2" w:rsidRPr="008D48A2" w:rsidRDefault="008D48A2" w:rsidP="008D48A2"/>
        </w:tc>
      </w:tr>
      <w:tr w:rsidR="008D48A2" w:rsidRPr="008D48A2" w:rsidTr="008D48A2">
        <w:tc>
          <w:tcPr>
            <w:tcW w:w="1368" w:type="dxa"/>
          </w:tcPr>
          <w:p w:rsidR="008D48A2" w:rsidRPr="008D48A2" w:rsidRDefault="008D48A2" w:rsidP="008D48A2"/>
        </w:tc>
        <w:tc>
          <w:tcPr>
            <w:tcW w:w="3060" w:type="dxa"/>
          </w:tcPr>
          <w:p w:rsidR="008D48A2" w:rsidRPr="008D48A2" w:rsidRDefault="008D48A2" w:rsidP="008D48A2">
            <w:pPr>
              <w:rPr>
                <w:lang w:val="en-US"/>
              </w:rPr>
            </w:pPr>
            <w:r w:rsidRPr="008D48A2">
              <w:rPr>
                <w:lang w:val="en-US"/>
              </w:rPr>
              <w:t>Catholic Civil Rights League, the Association des parents catholiques du Québec, the Faith and Freedom Alliance and the Association de la communauté copte orthodoxe du grand Montréal;</w:t>
            </w:r>
          </w:p>
          <w:p w:rsidR="008D48A2" w:rsidRPr="008D48A2" w:rsidRDefault="008D48A2" w:rsidP="008D48A2">
            <w:pPr>
              <w:rPr>
                <w:lang w:val="en-US"/>
              </w:rPr>
            </w:pPr>
          </w:p>
        </w:tc>
        <w:tc>
          <w:tcPr>
            <w:tcW w:w="1080" w:type="dxa"/>
          </w:tcPr>
          <w:p w:rsidR="008D48A2" w:rsidRPr="008D48A2" w:rsidRDefault="008D48A2" w:rsidP="008D48A2"/>
        </w:tc>
        <w:tc>
          <w:tcPr>
            <w:tcW w:w="4327" w:type="dxa"/>
          </w:tcPr>
          <w:p w:rsidR="008D48A2" w:rsidRPr="008D48A2" w:rsidRDefault="008D48A2" w:rsidP="008D48A2"/>
        </w:tc>
      </w:tr>
      <w:tr w:rsidR="008D48A2" w:rsidRPr="008D48A2" w:rsidTr="008D48A2">
        <w:tc>
          <w:tcPr>
            <w:tcW w:w="1368" w:type="dxa"/>
          </w:tcPr>
          <w:p w:rsidR="008D48A2" w:rsidRPr="008D48A2" w:rsidRDefault="008D48A2" w:rsidP="008D48A2"/>
        </w:tc>
        <w:tc>
          <w:tcPr>
            <w:tcW w:w="3060" w:type="dxa"/>
          </w:tcPr>
          <w:p w:rsidR="008D48A2" w:rsidRPr="008D48A2" w:rsidRDefault="008D48A2" w:rsidP="008D48A2">
            <w:pPr>
              <w:rPr>
                <w:lang w:val="en-US"/>
              </w:rPr>
            </w:pPr>
            <w:r w:rsidRPr="008D48A2">
              <w:rPr>
                <w:lang w:val="en-US"/>
              </w:rPr>
              <w:t>Faith, Fealty and Creed Society;</w:t>
            </w:r>
          </w:p>
          <w:p w:rsidR="008D48A2" w:rsidRPr="008D48A2" w:rsidRDefault="008D48A2" w:rsidP="008D48A2">
            <w:pPr>
              <w:rPr>
                <w:lang w:val="en-US"/>
              </w:rPr>
            </w:pPr>
          </w:p>
        </w:tc>
        <w:tc>
          <w:tcPr>
            <w:tcW w:w="1080" w:type="dxa"/>
          </w:tcPr>
          <w:p w:rsidR="008D48A2" w:rsidRPr="008D48A2" w:rsidRDefault="008D48A2" w:rsidP="008D48A2"/>
        </w:tc>
        <w:tc>
          <w:tcPr>
            <w:tcW w:w="4327" w:type="dxa"/>
          </w:tcPr>
          <w:p w:rsidR="008D48A2" w:rsidRPr="008D48A2" w:rsidRDefault="008D48A2" w:rsidP="008D48A2"/>
        </w:tc>
      </w:tr>
      <w:tr w:rsidR="008D48A2" w:rsidRPr="008D48A2" w:rsidTr="008D48A2">
        <w:tc>
          <w:tcPr>
            <w:tcW w:w="1368" w:type="dxa"/>
          </w:tcPr>
          <w:p w:rsidR="008D48A2" w:rsidRPr="008D48A2" w:rsidRDefault="008D48A2" w:rsidP="008D48A2"/>
        </w:tc>
        <w:tc>
          <w:tcPr>
            <w:tcW w:w="3060" w:type="dxa"/>
          </w:tcPr>
          <w:p w:rsidR="008D48A2" w:rsidRPr="008D48A2" w:rsidRDefault="008D48A2" w:rsidP="008D48A2">
            <w:pPr>
              <w:rPr>
                <w:lang w:val="en-US"/>
              </w:rPr>
            </w:pPr>
            <w:r w:rsidRPr="008D48A2">
              <w:rPr>
                <w:lang w:val="en-US"/>
              </w:rPr>
              <w:t>Home School Legal Defence Association of Canada;</w:t>
            </w:r>
          </w:p>
          <w:p w:rsidR="008D48A2" w:rsidRPr="008D48A2" w:rsidRDefault="008D48A2" w:rsidP="008D48A2">
            <w:pPr>
              <w:rPr>
                <w:lang w:val="en-US"/>
              </w:rPr>
            </w:pPr>
          </w:p>
        </w:tc>
        <w:tc>
          <w:tcPr>
            <w:tcW w:w="1080" w:type="dxa"/>
          </w:tcPr>
          <w:p w:rsidR="008D48A2" w:rsidRPr="008D48A2" w:rsidRDefault="008D48A2" w:rsidP="008D48A2"/>
        </w:tc>
        <w:tc>
          <w:tcPr>
            <w:tcW w:w="4327" w:type="dxa"/>
          </w:tcPr>
          <w:p w:rsidR="008D48A2" w:rsidRPr="008D48A2" w:rsidRDefault="008D48A2" w:rsidP="008D48A2"/>
        </w:tc>
      </w:tr>
      <w:tr w:rsidR="008D48A2" w:rsidRPr="008D48A2" w:rsidTr="008D48A2">
        <w:tc>
          <w:tcPr>
            <w:tcW w:w="1368" w:type="dxa"/>
          </w:tcPr>
          <w:p w:rsidR="008D48A2" w:rsidRPr="008D48A2" w:rsidRDefault="008D48A2" w:rsidP="008D48A2"/>
        </w:tc>
        <w:tc>
          <w:tcPr>
            <w:tcW w:w="3060" w:type="dxa"/>
          </w:tcPr>
          <w:p w:rsidR="008D48A2" w:rsidRPr="008D48A2" w:rsidRDefault="008D48A2" w:rsidP="008D48A2">
            <w:pPr>
              <w:rPr>
                <w:lang w:val="en-US"/>
              </w:rPr>
            </w:pPr>
            <w:r w:rsidRPr="008D48A2">
              <w:rPr>
                <w:lang w:val="en-US"/>
              </w:rPr>
              <w:t>Seventh-day Adventist Church in Canada and the Seventh-day Adventist Church - Quebec Conference;</w:t>
            </w:r>
          </w:p>
          <w:p w:rsidR="008D48A2" w:rsidRPr="008D48A2" w:rsidRDefault="008D48A2" w:rsidP="008D48A2">
            <w:pPr>
              <w:rPr>
                <w:lang w:val="en-US"/>
              </w:rPr>
            </w:pPr>
          </w:p>
        </w:tc>
        <w:tc>
          <w:tcPr>
            <w:tcW w:w="1080" w:type="dxa"/>
          </w:tcPr>
          <w:p w:rsidR="008D48A2" w:rsidRPr="008D48A2" w:rsidRDefault="008D48A2" w:rsidP="008D48A2"/>
        </w:tc>
        <w:tc>
          <w:tcPr>
            <w:tcW w:w="4327" w:type="dxa"/>
          </w:tcPr>
          <w:p w:rsidR="008D48A2" w:rsidRPr="008D48A2" w:rsidRDefault="008D48A2" w:rsidP="008D48A2"/>
        </w:tc>
      </w:tr>
      <w:tr w:rsidR="008D48A2" w:rsidRPr="007C5411" w:rsidTr="008D48A2">
        <w:tc>
          <w:tcPr>
            <w:tcW w:w="1368" w:type="dxa"/>
          </w:tcPr>
          <w:p w:rsidR="008D48A2" w:rsidRPr="008D48A2" w:rsidRDefault="008D48A2" w:rsidP="008D48A2"/>
        </w:tc>
        <w:tc>
          <w:tcPr>
            <w:tcW w:w="3060" w:type="dxa"/>
          </w:tcPr>
          <w:p w:rsidR="008D48A2" w:rsidRPr="008D48A2" w:rsidRDefault="008D48A2" w:rsidP="008D48A2">
            <w:pPr>
              <w:rPr>
                <w:lang w:val="fr-CA"/>
              </w:rPr>
            </w:pPr>
            <w:r w:rsidRPr="008D48A2">
              <w:rPr>
                <w:lang w:val="fr-CA"/>
              </w:rPr>
              <w:t>Corporation Archiépiscopale Catholique Romaine de Montréal and l’Archevêque Catholique Romain de Montréal</w:t>
            </w:r>
          </w:p>
        </w:tc>
        <w:tc>
          <w:tcPr>
            <w:tcW w:w="1080" w:type="dxa"/>
          </w:tcPr>
          <w:p w:rsidR="008D48A2" w:rsidRPr="008D48A2" w:rsidRDefault="008D48A2" w:rsidP="008D48A2">
            <w:pPr>
              <w:rPr>
                <w:lang w:val="fr-CA"/>
              </w:rPr>
            </w:pPr>
          </w:p>
        </w:tc>
        <w:tc>
          <w:tcPr>
            <w:tcW w:w="4327" w:type="dxa"/>
          </w:tcPr>
          <w:p w:rsidR="008D48A2" w:rsidRPr="008D48A2" w:rsidRDefault="008D48A2" w:rsidP="008D48A2">
            <w:pPr>
              <w:rPr>
                <w:lang w:val="fr-CA"/>
              </w:rPr>
            </w:pPr>
          </w:p>
        </w:tc>
      </w:tr>
      <w:tr w:rsidR="008D48A2" w:rsidRPr="007C5411" w:rsidTr="008D48A2">
        <w:tc>
          <w:tcPr>
            <w:tcW w:w="1368" w:type="dxa"/>
          </w:tcPr>
          <w:p w:rsidR="008D48A2" w:rsidRPr="008D48A2" w:rsidRDefault="008D48A2" w:rsidP="008D48A2">
            <w:pPr>
              <w:rPr>
                <w:lang w:val="fr-CA"/>
              </w:rPr>
            </w:pPr>
          </w:p>
        </w:tc>
        <w:tc>
          <w:tcPr>
            <w:tcW w:w="3060" w:type="dxa"/>
          </w:tcPr>
          <w:p w:rsidR="008D48A2" w:rsidRPr="008D48A2" w:rsidRDefault="008D48A2" w:rsidP="008D48A2">
            <w:pPr>
              <w:rPr>
                <w:lang w:val="fr-CA"/>
              </w:rPr>
            </w:pPr>
          </w:p>
        </w:tc>
        <w:tc>
          <w:tcPr>
            <w:tcW w:w="1080" w:type="dxa"/>
          </w:tcPr>
          <w:p w:rsidR="008D48A2" w:rsidRPr="008D48A2" w:rsidRDefault="008D48A2" w:rsidP="008D48A2">
            <w:pPr>
              <w:rPr>
                <w:lang w:val="fr-CA"/>
              </w:rPr>
            </w:pPr>
          </w:p>
        </w:tc>
        <w:tc>
          <w:tcPr>
            <w:tcW w:w="4327" w:type="dxa"/>
          </w:tcPr>
          <w:p w:rsidR="008D48A2" w:rsidRPr="008D48A2" w:rsidRDefault="008D48A2" w:rsidP="008D48A2">
            <w:pPr>
              <w:rPr>
                <w:lang w:val="fr-CA"/>
              </w:rPr>
            </w:pPr>
          </w:p>
        </w:tc>
      </w:tr>
      <w:tr w:rsidR="008D48A2" w:rsidRPr="008D48A2" w:rsidTr="009C454A">
        <w:trPr>
          <w:cantSplit/>
        </w:trPr>
        <w:tc>
          <w:tcPr>
            <w:tcW w:w="1368" w:type="dxa"/>
          </w:tcPr>
          <w:p w:rsidR="008D48A2" w:rsidRPr="008D48A2" w:rsidRDefault="008D48A2" w:rsidP="008D48A2">
            <w:r w:rsidRPr="008D48A2">
              <w:lastRenderedPageBreak/>
              <w:t>IN / DANS :</w:t>
            </w:r>
          </w:p>
        </w:tc>
        <w:tc>
          <w:tcPr>
            <w:tcW w:w="3060" w:type="dxa"/>
          </w:tcPr>
          <w:p w:rsidR="008D48A2" w:rsidRPr="008D48A2" w:rsidRDefault="008D48A2" w:rsidP="008D48A2">
            <w:r w:rsidRPr="008D48A2">
              <w:t xml:space="preserve">Loyola High School et al. </w:t>
            </w:r>
          </w:p>
          <w:p w:rsidR="008D48A2" w:rsidRPr="008D48A2" w:rsidRDefault="008D48A2" w:rsidP="008D48A2"/>
          <w:p w:rsidR="008D48A2" w:rsidRPr="008D48A2" w:rsidRDefault="008D48A2" w:rsidP="008D48A2">
            <w:r w:rsidRPr="008D48A2">
              <w:tab/>
              <w:t>v. (35201)</w:t>
            </w:r>
          </w:p>
          <w:p w:rsidR="008D48A2" w:rsidRPr="008D48A2" w:rsidRDefault="008D48A2" w:rsidP="008D48A2"/>
          <w:p w:rsidR="008D48A2" w:rsidRPr="008D48A2" w:rsidRDefault="008D48A2" w:rsidP="008D48A2">
            <w:r w:rsidRPr="008D48A2">
              <w:t>Attorney General of Quebec (Que.)</w:t>
            </w:r>
          </w:p>
        </w:tc>
        <w:tc>
          <w:tcPr>
            <w:tcW w:w="1080" w:type="dxa"/>
          </w:tcPr>
          <w:p w:rsidR="008D48A2" w:rsidRPr="008D48A2" w:rsidRDefault="008D48A2" w:rsidP="008D48A2"/>
        </w:tc>
        <w:tc>
          <w:tcPr>
            <w:tcW w:w="4327" w:type="dxa"/>
          </w:tcPr>
          <w:p w:rsidR="008D48A2" w:rsidRPr="008D48A2" w:rsidRDefault="008D48A2" w:rsidP="008D48A2"/>
        </w:tc>
      </w:tr>
    </w:tbl>
    <w:p w:rsidR="008D48A2" w:rsidRPr="008D48A2" w:rsidRDefault="008D48A2" w:rsidP="008D48A2">
      <w:pPr>
        <w:jc w:val="both"/>
        <w:rPr>
          <w:rFonts w:eastAsia="Times New Roman" w:cs="Times New Roman"/>
          <w:sz w:val="20"/>
          <w:szCs w:val="20"/>
          <w:lang w:eastAsia="en-CA"/>
        </w:rPr>
      </w:pPr>
    </w:p>
    <w:p w:rsidR="008D48A2" w:rsidRPr="008D48A2" w:rsidRDefault="008D48A2" w:rsidP="008D48A2">
      <w:pPr>
        <w:tabs>
          <w:tab w:val="left" w:pos="-1440"/>
          <w:tab w:val="left" w:pos="-720"/>
        </w:tabs>
        <w:jc w:val="both"/>
        <w:rPr>
          <w:rFonts w:eastAsia="Times New Roman" w:cs="Times New Roman"/>
          <w:sz w:val="20"/>
          <w:szCs w:val="20"/>
          <w:lang w:eastAsia="en-CA"/>
        </w:rPr>
      </w:pPr>
      <w:r w:rsidRPr="008D48A2">
        <w:rPr>
          <w:rFonts w:eastAsia="Times New Roman" w:cs="Times New Roman"/>
          <w:b/>
          <w:sz w:val="20"/>
          <w:szCs w:val="20"/>
          <w:lang w:eastAsia="en-CA"/>
        </w:rPr>
        <w:t>GRANTED / ACCORDÉES</w:t>
      </w:r>
    </w:p>
    <w:p w:rsidR="008D48A2" w:rsidRPr="008D48A2" w:rsidRDefault="008D48A2" w:rsidP="008D48A2">
      <w:pPr>
        <w:tabs>
          <w:tab w:val="left" w:pos="-1440"/>
          <w:tab w:val="left" w:pos="-720"/>
        </w:tabs>
        <w:jc w:val="both"/>
        <w:rPr>
          <w:rFonts w:eastAsia="Times New Roman" w:cs="Times New Roman"/>
          <w:sz w:val="20"/>
          <w:szCs w:val="20"/>
          <w:lang w:eastAsia="en-CA"/>
        </w:rPr>
      </w:pPr>
    </w:p>
    <w:p w:rsidR="008D48A2" w:rsidRPr="008D48A2" w:rsidRDefault="008D48A2" w:rsidP="008D48A2">
      <w:pPr>
        <w:spacing w:line="233" w:lineRule="auto"/>
        <w:jc w:val="both"/>
        <w:rPr>
          <w:rFonts w:eastAsia="Times New Roman" w:cs="Times New Roman"/>
          <w:sz w:val="20"/>
          <w:szCs w:val="20"/>
          <w:lang w:val="en-US" w:eastAsia="en-CA"/>
        </w:rPr>
      </w:pPr>
      <w:r w:rsidRPr="008D48A2">
        <w:rPr>
          <w:rFonts w:eastAsia="Times New Roman" w:cs="Times New Roman"/>
          <w:b/>
          <w:bCs/>
          <w:sz w:val="20"/>
          <w:szCs w:val="20"/>
          <w:lang w:val="en-US" w:eastAsia="en-CA"/>
        </w:rPr>
        <w:t xml:space="preserve">UPON APPLICATION </w:t>
      </w:r>
      <w:r w:rsidRPr="008D48A2">
        <w:rPr>
          <w:rFonts w:eastAsia="Times New Roman" w:cs="Times New Roman"/>
          <w:sz w:val="20"/>
          <w:szCs w:val="20"/>
          <w:lang w:val="en-US" w:eastAsia="en-CA"/>
        </w:rPr>
        <w:t xml:space="preserve">by </w:t>
      </w:r>
      <w:r w:rsidRPr="008D48A2">
        <w:rPr>
          <w:rFonts w:eastAsia="Times New Roman" w:cs="Times New Roman"/>
          <w:sz w:val="20"/>
          <w:szCs w:val="20"/>
          <w:lang w:eastAsia="en-CA"/>
        </w:rPr>
        <w:t>the</w:t>
      </w:r>
      <w:r w:rsidRPr="008D48A2">
        <w:rPr>
          <w:rFonts w:eastAsia="Times New Roman" w:cs="Times New Roman"/>
          <w:sz w:val="20"/>
          <w:szCs w:val="20"/>
          <w:lang w:val="en-US" w:eastAsia="en-CA"/>
        </w:rPr>
        <w:t xml:space="preserve"> Canadian Council of Christian Charities, the Evangelical Fellowship of Canada, the Christian Legal Fellowship, the World Sikh Organization of Canada, the Association of Christians Educators and Schools Canada, the Canadian Civil Liberties Association, the Catholic Civil Rights League, the Association des parents catholiques du Québec, the Faith and Freedom Alliance and the Association de la communauté copte orthodoxe du grand Montréal, the Faith, Fealty and Creed Society, the Home School Legal Defence Association of Canada, the Seventh-day Adventist Church in Canada and the Seventh-day Adventist Church - Quebec Conference and the Corporation Archiépiscopale Catholique Romaine de Montréal and l’Archevêque Catholique Romain de Montréal for leave to intervene in the above appeal;</w:t>
      </w:r>
    </w:p>
    <w:p w:rsidR="008D48A2" w:rsidRPr="008D48A2" w:rsidRDefault="008D48A2" w:rsidP="008D48A2">
      <w:pPr>
        <w:spacing w:line="233" w:lineRule="auto"/>
        <w:jc w:val="both"/>
        <w:rPr>
          <w:rFonts w:eastAsia="Times New Roman" w:cs="Times New Roman"/>
          <w:sz w:val="20"/>
          <w:szCs w:val="20"/>
          <w:lang w:val="en-US" w:eastAsia="en-CA"/>
        </w:rPr>
      </w:pPr>
    </w:p>
    <w:p w:rsidR="008D48A2" w:rsidRPr="008D48A2" w:rsidRDefault="008D48A2" w:rsidP="008D48A2">
      <w:pPr>
        <w:spacing w:line="233" w:lineRule="auto"/>
        <w:jc w:val="both"/>
        <w:rPr>
          <w:rFonts w:eastAsia="Times New Roman" w:cs="Times New Roman"/>
          <w:sz w:val="20"/>
          <w:szCs w:val="20"/>
          <w:lang w:val="en-US" w:eastAsia="en-CA"/>
        </w:rPr>
      </w:pPr>
      <w:r w:rsidRPr="008D48A2">
        <w:rPr>
          <w:rFonts w:eastAsia="Times New Roman" w:cs="Times New Roman"/>
          <w:b/>
          <w:bCs/>
          <w:sz w:val="20"/>
          <w:szCs w:val="20"/>
          <w:lang w:val="en-US" w:eastAsia="en-CA"/>
        </w:rPr>
        <w:t>AND THE MATERIAL FILED</w:t>
      </w:r>
      <w:r w:rsidRPr="008D48A2">
        <w:rPr>
          <w:rFonts w:eastAsia="Times New Roman" w:cs="Times New Roman"/>
          <w:sz w:val="20"/>
          <w:szCs w:val="20"/>
          <w:lang w:val="en-US" w:eastAsia="en-CA"/>
        </w:rPr>
        <w:t xml:space="preserve"> having been read;</w:t>
      </w:r>
    </w:p>
    <w:p w:rsidR="008D48A2" w:rsidRPr="008D48A2" w:rsidRDefault="008D48A2" w:rsidP="008D48A2">
      <w:pPr>
        <w:spacing w:line="233" w:lineRule="auto"/>
        <w:jc w:val="both"/>
        <w:rPr>
          <w:rFonts w:eastAsia="Times New Roman" w:cs="Times New Roman"/>
          <w:sz w:val="20"/>
          <w:szCs w:val="20"/>
          <w:lang w:val="en-US" w:eastAsia="en-CA"/>
        </w:rPr>
      </w:pPr>
    </w:p>
    <w:p w:rsidR="008D48A2" w:rsidRPr="008D48A2" w:rsidRDefault="008D48A2" w:rsidP="008D48A2">
      <w:pPr>
        <w:spacing w:line="233" w:lineRule="auto"/>
        <w:jc w:val="both"/>
        <w:rPr>
          <w:rFonts w:eastAsia="Times New Roman" w:cs="Times New Roman"/>
          <w:sz w:val="20"/>
          <w:szCs w:val="20"/>
          <w:lang w:val="en-US" w:eastAsia="en-CA"/>
        </w:rPr>
      </w:pPr>
      <w:r w:rsidRPr="008D48A2">
        <w:rPr>
          <w:rFonts w:eastAsia="Times New Roman" w:cs="Times New Roman"/>
          <w:b/>
          <w:bCs/>
          <w:sz w:val="20"/>
          <w:szCs w:val="20"/>
          <w:lang w:val="en-US" w:eastAsia="en-CA"/>
        </w:rPr>
        <w:t>IT IS HEREBY ORDERED THAT:</w:t>
      </w:r>
    </w:p>
    <w:p w:rsidR="008D48A2" w:rsidRPr="008D48A2" w:rsidRDefault="008D48A2" w:rsidP="008D48A2">
      <w:pPr>
        <w:spacing w:line="233" w:lineRule="auto"/>
        <w:jc w:val="both"/>
        <w:rPr>
          <w:rFonts w:eastAsia="Times New Roman" w:cs="Times New Roman"/>
          <w:sz w:val="20"/>
          <w:szCs w:val="20"/>
          <w:lang w:val="en-US" w:eastAsia="en-CA"/>
        </w:rPr>
      </w:pPr>
    </w:p>
    <w:p w:rsidR="008D48A2" w:rsidRPr="008D48A2" w:rsidRDefault="008D48A2" w:rsidP="008D48A2">
      <w:pPr>
        <w:spacing w:line="233" w:lineRule="auto"/>
        <w:jc w:val="both"/>
        <w:rPr>
          <w:rFonts w:eastAsia="Times New Roman" w:cs="Times New Roman"/>
          <w:sz w:val="20"/>
          <w:szCs w:val="20"/>
          <w:lang w:val="en-US" w:eastAsia="en-CA"/>
        </w:rPr>
      </w:pPr>
      <w:r w:rsidRPr="008D48A2">
        <w:rPr>
          <w:rFonts w:eastAsia="Times New Roman" w:cs="Times New Roman"/>
          <w:sz w:val="20"/>
          <w:szCs w:val="20"/>
          <w:lang w:val="en-US" w:eastAsia="en-CA"/>
        </w:rPr>
        <w:t xml:space="preserve">The motions for leave to intervene of </w:t>
      </w:r>
      <w:r w:rsidRPr="008D48A2">
        <w:rPr>
          <w:rFonts w:eastAsia="Times New Roman" w:cs="Times New Roman"/>
          <w:sz w:val="20"/>
          <w:szCs w:val="20"/>
          <w:lang w:eastAsia="en-CA"/>
        </w:rPr>
        <w:t xml:space="preserve">the </w:t>
      </w:r>
      <w:r w:rsidRPr="008D48A2">
        <w:rPr>
          <w:rFonts w:eastAsia="Times New Roman" w:cs="Times New Roman"/>
          <w:sz w:val="20"/>
          <w:szCs w:val="20"/>
          <w:lang w:val="en-US" w:eastAsia="en-CA"/>
        </w:rPr>
        <w:t>Canadian Council of Christian Charities, the Evangelical Fellowship of Canada, the Christian Legal Fellowship, the World Sikh Organization of Canada, the Association of Christians Educators and Schools Canada, the Canadian Civil Liberties Association, the Catholic Civil Rights League, the Association des parents catholiques du Québec, the Faith and Freedom Alliance and the Association de la communauté copte orthodoxe du grand Montréal, the Faith, Fealty and Creed Society, the Home School Legal Defence Association of Canada, the Seventh-day Adventist Church in Canada and the Seventh-day Adventist Church - Quebec Conference and the Corporation Archiépiscopale Catholique Romaine de Montréal and l</w:t>
      </w:r>
      <w:r w:rsidR="0077490A">
        <w:rPr>
          <w:rFonts w:eastAsia="Times New Roman" w:cs="Times New Roman"/>
          <w:sz w:val="20"/>
          <w:szCs w:val="20"/>
          <w:lang w:val="en-US" w:eastAsia="en-CA"/>
        </w:rPr>
        <w:t>’</w:t>
      </w:r>
      <w:r w:rsidRPr="008D48A2">
        <w:rPr>
          <w:rFonts w:eastAsia="Times New Roman" w:cs="Times New Roman"/>
          <w:sz w:val="20"/>
          <w:szCs w:val="20"/>
          <w:lang w:val="en-US" w:eastAsia="en-CA"/>
        </w:rPr>
        <w:t xml:space="preserve">Archevêque Catholique Romain de Montréal </w:t>
      </w:r>
      <w:r w:rsidRPr="008D48A2">
        <w:rPr>
          <w:rFonts w:eastAsia="Times New Roman" w:cs="Times New Roman"/>
          <w:sz w:val="20"/>
          <w:szCs w:val="20"/>
          <w:lang w:eastAsia="en-CA"/>
        </w:rPr>
        <w:t xml:space="preserve">are </w:t>
      </w:r>
      <w:r w:rsidRPr="008D48A2">
        <w:rPr>
          <w:rFonts w:eastAsia="Times New Roman" w:cs="Times New Roman"/>
          <w:sz w:val="20"/>
          <w:szCs w:val="20"/>
          <w:lang w:val="en-US" w:eastAsia="en-CA"/>
        </w:rPr>
        <w:t>granted and the said eleven groups of interveners shall each be entitled to serve and file a factum not to exceed 10 pages in length on or before March 10, 2014.</w:t>
      </w:r>
    </w:p>
    <w:p w:rsidR="008D48A2" w:rsidRPr="008D48A2" w:rsidRDefault="008D48A2" w:rsidP="008D48A2">
      <w:pPr>
        <w:spacing w:line="233" w:lineRule="auto"/>
        <w:jc w:val="both"/>
        <w:rPr>
          <w:rFonts w:eastAsia="Times New Roman" w:cs="Times New Roman"/>
          <w:sz w:val="20"/>
          <w:szCs w:val="20"/>
          <w:lang w:val="en-US" w:eastAsia="en-CA"/>
        </w:rPr>
      </w:pPr>
    </w:p>
    <w:p w:rsidR="008D48A2" w:rsidRPr="008D48A2" w:rsidRDefault="008D48A2" w:rsidP="008D48A2">
      <w:pPr>
        <w:spacing w:line="233" w:lineRule="auto"/>
        <w:jc w:val="both"/>
        <w:rPr>
          <w:rFonts w:eastAsia="Times New Roman" w:cs="Times New Roman"/>
          <w:sz w:val="20"/>
          <w:szCs w:val="20"/>
          <w:lang w:val="en-US" w:eastAsia="en-CA"/>
        </w:rPr>
      </w:pPr>
      <w:r w:rsidRPr="008D48A2">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8D48A2" w:rsidRPr="008D48A2" w:rsidRDefault="008D48A2" w:rsidP="008D48A2">
      <w:pPr>
        <w:spacing w:line="233" w:lineRule="auto"/>
        <w:jc w:val="both"/>
        <w:rPr>
          <w:rFonts w:eastAsia="Times New Roman" w:cs="Times New Roman"/>
          <w:sz w:val="20"/>
          <w:szCs w:val="20"/>
          <w:lang w:val="en-US" w:eastAsia="en-CA"/>
        </w:rPr>
      </w:pPr>
    </w:p>
    <w:p w:rsidR="008D48A2" w:rsidRPr="008D48A2" w:rsidRDefault="008D48A2" w:rsidP="008D48A2">
      <w:pPr>
        <w:spacing w:line="233" w:lineRule="auto"/>
        <w:jc w:val="both"/>
        <w:rPr>
          <w:rFonts w:eastAsia="Times New Roman" w:cs="Times New Roman"/>
          <w:sz w:val="20"/>
          <w:szCs w:val="20"/>
          <w:lang w:val="en-US" w:eastAsia="en-CA"/>
        </w:rPr>
      </w:pPr>
      <w:r w:rsidRPr="008D48A2">
        <w:rPr>
          <w:rFonts w:eastAsia="Times New Roman" w:cs="Times New Roman"/>
          <w:sz w:val="20"/>
          <w:szCs w:val="20"/>
          <w:lang w:val="en-US" w:eastAsia="en-CA"/>
        </w:rPr>
        <w:t>The interveners are not entitled to raise new issues or to adduce further evidence or otherwise to supplement the record of the parties.</w:t>
      </w:r>
    </w:p>
    <w:p w:rsidR="008D48A2" w:rsidRPr="008D48A2" w:rsidRDefault="008D48A2" w:rsidP="008D48A2">
      <w:pPr>
        <w:spacing w:line="233" w:lineRule="auto"/>
        <w:jc w:val="both"/>
        <w:rPr>
          <w:rFonts w:eastAsia="Times New Roman" w:cs="Times New Roman"/>
          <w:sz w:val="20"/>
          <w:szCs w:val="20"/>
          <w:lang w:val="en-US" w:eastAsia="en-CA"/>
        </w:rPr>
      </w:pPr>
    </w:p>
    <w:p w:rsidR="008D48A2" w:rsidRPr="008D48A2" w:rsidRDefault="008D48A2" w:rsidP="008D48A2">
      <w:pPr>
        <w:spacing w:line="233" w:lineRule="auto"/>
        <w:jc w:val="both"/>
        <w:rPr>
          <w:rFonts w:eastAsia="Times New Roman" w:cs="Times New Roman"/>
          <w:sz w:val="20"/>
          <w:szCs w:val="20"/>
          <w:lang w:val="en-US" w:eastAsia="en-CA"/>
        </w:rPr>
      </w:pPr>
      <w:r w:rsidRPr="008D48A2">
        <w:rPr>
          <w:rFonts w:eastAsia="Times New Roman" w:cs="Times New Roman"/>
          <w:sz w:val="20"/>
          <w:szCs w:val="20"/>
          <w:lang w:val="en-US" w:eastAsia="en-CA"/>
        </w:rPr>
        <w:t>Pursuant to Rule 59(1)(</w:t>
      </w:r>
      <w:r w:rsidRPr="008D48A2">
        <w:rPr>
          <w:rFonts w:eastAsia="Times New Roman" w:cs="Times New Roman"/>
          <w:i/>
          <w:iCs/>
          <w:sz w:val="20"/>
          <w:szCs w:val="20"/>
          <w:lang w:val="en-US" w:eastAsia="en-CA"/>
        </w:rPr>
        <w:t>a</w:t>
      </w:r>
      <w:r w:rsidRPr="008D48A2">
        <w:rPr>
          <w:rFonts w:eastAsia="Times New Roman" w:cs="Times New Roman"/>
          <w:sz w:val="20"/>
          <w:szCs w:val="20"/>
          <w:lang w:val="en-US" w:eastAsia="en-CA"/>
        </w:rPr>
        <w:t xml:space="preserve">) of the </w:t>
      </w:r>
      <w:r w:rsidRPr="008D48A2">
        <w:rPr>
          <w:rFonts w:eastAsia="Times New Roman" w:cs="Times New Roman"/>
          <w:i/>
          <w:iCs/>
          <w:sz w:val="20"/>
          <w:szCs w:val="20"/>
          <w:lang w:val="en-US" w:eastAsia="en-CA"/>
        </w:rPr>
        <w:t>Rules of the Supreme Court of Canada</w:t>
      </w:r>
      <w:r w:rsidRPr="008D48A2">
        <w:rPr>
          <w:rFonts w:eastAsia="Times New Roman" w:cs="Times New Roman"/>
          <w:sz w:val="20"/>
          <w:szCs w:val="20"/>
          <w:lang w:val="en-US" w:eastAsia="en-CA"/>
        </w:rPr>
        <w:t xml:space="preserve">, the interveners shall pay to the appellants and respondent any additional disbursements occasioned to the appellants and respondent by their interventions. </w:t>
      </w:r>
    </w:p>
    <w:p w:rsidR="008D48A2" w:rsidRPr="008D48A2" w:rsidRDefault="008D48A2" w:rsidP="008D48A2">
      <w:pPr>
        <w:spacing w:line="233" w:lineRule="auto"/>
        <w:jc w:val="both"/>
        <w:rPr>
          <w:rFonts w:eastAsia="Times New Roman" w:cs="Times New Roman"/>
          <w:b/>
          <w:sz w:val="20"/>
          <w:szCs w:val="20"/>
          <w:lang w:val="en-US" w:eastAsia="en-CA"/>
        </w:rPr>
      </w:pPr>
    </w:p>
    <w:p w:rsidR="008D48A2" w:rsidRPr="008D48A2" w:rsidRDefault="008D48A2" w:rsidP="008D48A2">
      <w:pPr>
        <w:spacing w:line="233" w:lineRule="auto"/>
        <w:jc w:val="both"/>
        <w:rPr>
          <w:rFonts w:eastAsia="Times New Roman" w:cs="Times New Roman"/>
          <w:b/>
          <w:sz w:val="20"/>
          <w:szCs w:val="20"/>
          <w:lang w:val="en-US" w:eastAsia="en-CA"/>
        </w:rPr>
      </w:pPr>
    </w:p>
    <w:p w:rsidR="008D48A2" w:rsidRPr="008D48A2" w:rsidRDefault="008D48A2" w:rsidP="008D48A2">
      <w:pPr>
        <w:spacing w:line="233" w:lineRule="auto"/>
        <w:jc w:val="both"/>
        <w:rPr>
          <w:rFonts w:eastAsia="Times New Roman" w:cs="Times New Roman"/>
          <w:b/>
          <w:sz w:val="20"/>
          <w:szCs w:val="20"/>
          <w:lang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b/>
          <w:sz w:val="20"/>
          <w:szCs w:val="20"/>
          <w:lang w:val="fr-CA" w:eastAsia="en-CA"/>
        </w:rPr>
        <w:t>À LA SUITE DES DEMANDES</w:t>
      </w:r>
      <w:r w:rsidRPr="008D48A2">
        <w:rPr>
          <w:rFonts w:eastAsia="Times New Roman" w:cs="Times New Roman"/>
          <w:sz w:val="20"/>
          <w:szCs w:val="20"/>
          <w:lang w:val="fr-CA" w:eastAsia="en-CA"/>
        </w:rPr>
        <w:t xml:space="preserve"> présentées par le Conseil canadien des œuvres de charité chrétiennes, l’Alliance évangélique du Canada, l’Alliance des chrétiens en droit, la World Sikh Organization of Canada, l’Association of Christians Educators and Schools Canada, l’Association canadienne des libertés civiles, la Ligue Catholique des Droits de l'Homme, l’Association des parents catholiques du Québec, la Faith and Freedom Alliance et l’Association de la communauté copte orthodoxe du grand Montréal, la Faith, Fealty and Creed Society, la Home School Legal Defence Association of Canada, l’Église adventiste du septième jour au Canada et l’Église adventiste du septième jour-fédération du Québec, la Corporation archiépiscopale catholique romaine de Montréal et l’Archevêque catholique romain de Montréal en vue d’intervenir dans l’appel;</w:t>
      </w:r>
    </w:p>
    <w:p w:rsidR="008D48A2" w:rsidRPr="008D48A2" w:rsidRDefault="008D48A2" w:rsidP="008D48A2">
      <w:pPr>
        <w:spacing w:line="233" w:lineRule="auto"/>
        <w:jc w:val="both"/>
        <w:rPr>
          <w:rFonts w:eastAsia="Times New Roman" w:cs="Times New Roman"/>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b/>
          <w:sz w:val="20"/>
          <w:szCs w:val="20"/>
          <w:lang w:val="fr-CA" w:eastAsia="en-CA"/>
        </w:rPr>
        <w:t>ET APRÈS EXAMEN</w:t>
      </w:r>
      <w:r w:rsidRPr="008D48A2">
        <w:rPr>
          <w:rFonts w:eastAsia="Times New Roman" w:cs="Times New Roman"/>
          <w:sz w:val="20"/>
          <w:szCs w:val="20"/>
          <w:lang w:val="fr-CA" w:eastAsia="en-CA"/>
        </w:rPr>
        <w:t xml:space="preserve"> des documents déposés; </w:t>
      </w:r>
    </w:p>
    <w:p w:rsidR="008D48A2" w:rsidRPr="008D48A2" w:rsidRDefault="008D48A2" w:rsidP="008D48A2">
      <w:pPr>
        <w:spacing w:line="233" w:lineRule="auto"/>
        <w:jc w:val="both"/>
        <w:rPr>
          <w:rFonts w:eastAsia="Times New Roman" w:cs="Times New Roman"/>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b/>
          <w:sz w:val="20"/>
          <w:szCs w:val="20"/>
          <w:lang w:val="fr-CA" w:eastAsia="en-CA"/>
        </w:rPr>
        <w:t>IL EST ORDONNÉ CE QUI SUIT </w:t>
      </w:r>
      <w:r w:rsidRPr="008D48A2">
        <w:rPr>
          <w:rFonts w:eastAsia="Times New Roman" w:cs="Times New Roman"/>
          <w:sz w:val="20"/>
          <w:szCs w:val="20"/>
          <w:lang w:val="fr-CA" w:eastAsia="en-CA"/>
        </w:rPr>
        <w:t xml:space="preserve">: </w:t>
      </w:r>
    </w:p>
    <w:p w:rsidR="008D48A2" w:rsidRPr="008D48A2" w:rsidRDefault="008D48A2" w:rsidP="008D48A2">
      <w:pPr>
        <w:spacing w:line="233" w:lineRule="auto"/>
        <w:jc w:val="both"/>
        <w:rPr>
          <w:rFonts w:eastAsia="Times New Roman" w:cs="Times New Roman"/>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sz w:val="20"/>
          <w:szCs w:val="20"/>
          <w:lang w:val="fr-CA" w:eastAsia="en-CA"/>
        </w:rPr>
        <w:t xml:space="preserve">Les requêtes en autorisation d’intervenir du Conseil canadien des œuvres de charité chrétiennes, l’Alliance évangélique du Canada, de l’Alliance des chrétiens en droit, de la World Sikh Organization of Canada, de l’Association of </w:t>
      </w:r>
      <w:r w:rsidRPr="008D48A2">
        <w:rPr>
          <w:rFonts w:eastAsia="Times New Roman" w:cs="Times New Roman"/>
          <w:sz w:val="20"/>
          <w:szCs w:val="20"/>
          <w:lang w:val="fr-CA" w:eastAsia="en-CA"/>
        </w:rPr>
        <w:lastRenderedPageBreak/>
        <w:t>Christians Educators and Schools Canada, de l’Association canadienne des libertés civiles, de la Ligue Catholique des Droits de l'Homme, de l’Association des parents catholiques du Québec, de la Faith and Freedom Alliance et de l’Association de la communauté copte orthodoxe du grand Montréal, de la Faith, Fealty and Creed Society, de la Home School Legal Defence Association of Canada, de l’Église adventiste du septième jour au Canada et de l’Église adventiste du septième jour-fédération du Québec, de la Corporation archiépiscopale catholique romaine de Montréal et de l’Archevêque catholique romain de Montréal sont accueillies et les onze groupes d’intervenants pourront chacun signifier et déposer un mémoire d’au plus 10 pages au plus tard le 10 mars 2014.</w:t>
      </w:r>
    </w:p>
    <w:p w:rsidR="008D48A2" w:rsidRPr="008D48A2" w:rsidRDefault="008D48A2" w:rsidP="008D48A2">
      <w:pPr>
        <w:spacing w:line="233" w:lineRule="auto"/>
        <w:jc w:val="both"/>
        <w:rPr>
          <w:rFonts w:eastAsia="Times New Roman" w:cs="Times New Roman"/>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sz w:val="20"/>
          <w:szCs w:val="20"/>
          <w:lang w:val="fr-CA" w:eastAsia="en-CA"/>
        </w:rPr>
        <w:t>Dans la mesure où leurs intérêts sont similaires, les intervenants se consulteront pour éviter toute répétition.</w:t>
      </w:r>
    </w:p>
    <w:p w:rsidR="008D48A2" w:rsidRPr="008D48A2" w:rsidRDefault="008D48A2" w:rsidP="008D48A2">
      <w:pPr>
        <w:spacing w:line="233" w:lineRule="auto"/>
        <w:jc w:val="both"/>
        <w:rPr>
          <w:rFonts w:eastAsia="Times New Roman" w:cs="Times New Roman"/>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sz w:val="20"/>
          <w:szCs w:val="20"/>
          <w:lang w:val="fr-CA" w:eastAsia="en-CA"/>
        </w:rPr>
        <w:t xml:space="preserve">La décision sur la demande en vue de présenter une plaidoirie orale sera rendue après réception et examen des arguments écrits des parties et des intervenants. </w:t>
      </w:r>
    </w:p>
    <w:p w:rsidR="008D48A2" w:rsidRPr="008D48A2" w:rsidRDefault="008D48A2" w:rsidP="008D48A2">
      <w:pPr>
        <w:spacing w:line="233" w:lineRule="auto"/>
        <w:jc w:val="both"/>
        <w:rPr>
          <w:rFonts w:eastAsia="Times New Roman" w:cs="Times New Roman"/>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8D48A2" w:rsidRPr="008D48A2" w:rsidRDefault="008D48A2" w:rsidP="008D48A2">
      <w:pPr>
        <w:spacing w:line="233" w:lineRule="auto"/>
        <w:jc w:val="both"/>
        <w:rPr>
          <w:rFonts w:eastAsia="Times New Roman" w:cs="Times New Roman"/>
          <w:sz w:val="20"/>
          <w:szCs w:val="20"/>
          <w:lang w:val="fr-CA" w:eastAsia="en-CA"/>
        </w:rPr>
      </w:pPr>
    </w:p>
    <w:p w:rsidR="008D48A2" w:rsidRPr="008D48A2" w:rsidRDefault="008D48A2" w:rsidP="008D48A2">
      <w:pPr>
        <w:spacing w:line="233" w:lineRule="auto"/>
        <w:jc w:val="both"/>
        <w:rPr>
          <w:rFonts w:eastAsia="Times New Roman" w:cs="Times New Roman"/>
          <w:sz w:val="20"/>
          <w:szCs w:val="20"/>
          <w:lang w:val="fr-CA" w:eastAsia="en-CA"/>
        </w:rPr>
      </w:pPr>
      <w:r w:rsidRPr="008D48A2">
        <w:rPr>
          <w:rFonts w:eastAsia="Times New Roman" w:cs="Times New Roman"/>
          <w:sz w:val="20"/>
          <w:szCs w:val="20"/>
          <w:lang w:val="fr-CA" w:eastAsia="en-CA"/>
        </w:rPr>
        <w:t xml:space="preserve">Conformément à l'alinéa 59(1)(a) des </w:t>
      </w:r>
      <w:r w:rsidRPr="008D48A2">
        <w:rPr>
          <w:rFonts w:eastAsia="Times New Roman" w:cs="Times New Roman"/>
          <w:i/>
          <w:sz w:val="20"/>
          <w:szCs w:val="20"/>
          <w:lang w:val="fr-CA" w:eastAsia="en-CA"/>
        </w:rPr>
        <w:t>Règles de la Cour suprême du Canada</w:t>
      </w:r>
      <w:r w:rsidRPr="008D48A2">
        <w:rPr>
          <w:rFonts w:eastAsia="Times New Roman" w:cs="Times New Roman"/>
          <w:sz w:val="20"/>
          <w:szCs w:val="20"/>
          <w:lang w:val="fr-CA" w:eastAsia="en-CA"/>
        </w:rPr>
        <w:t>, les intervenants paieront à l’appelante et à l’intimée tous débours supplémentaires résultant de leur intervention.</w:t>
      </w:r>
    </w:p>
    <w:p w:rsidR="008D48A2" w:rsidRPr="008D48A2" w:rsidRDefault="008D48A2" w:rsidP="008D48A2">
      <w:pPr>
        <w:spacing w:line="233" w:lineRule="auto"/>
        <w:jc w:val="both"/>
        <w:rPr>
          <w:rFonts w:eastAsia="Times New Roman" w:cs="Times New Roman"/>
          <w:sz w:val="20"/>
          <w:szCs w:val="20"/>
          <w:lang w:val="fr-CA" w:eastAsia="en-CA"/>
        </w:rPr>
      </w:pPr>
    </w:p>
    <w:p w:rsidR="008D48A2" w:rsidRPr="008D48A2" w:rsidRDefault="007C5411" w:rsidP="008D48A2">
      <w:pPr>
        <w:spacing w:line="233" w:lineRule="auto"/>
        <w:jc w:val="both"/>
        <w:rPr>
          <w:rFonts w:eastAsia="Times New Roman" w:cs="Times New Roman"/>
          <w:sz w:val="20"/>
          <w:szCs w:val="20"/>
          <w:lang w:eastAsia="en-CA"/>
        </w:rPr>
      </w:pPr>
      <w:r>
        <w:rPr>
          <w:rFonts w:eastAsia="Times New Roman" w:cs="Times New Roman"/>
          <w:sz w:val="20"/>
          <w:szCs w:val="20"/>
          <w:lang w:val="fr-CA" w:eastAsia="en-CA"/>
        </w:rPr>
        <w:pict>
          <v:rect id="_x0000_i1068" style="width:2in;height:1pt" o:hrpct="0" o:hralign="center" o:hrstd="t" o:hrnoshade="t" o:hr="t" fillcolor="black [3213]" stroked="f"/>
        </w:pict>
      </w:r>
    </w:p>
    <w:p w:rsidR="008D48A2" w:rsidRPr="008D48A2" w:rsidRDefault="008D48A2" w:rsidP="008D48A2">
      <w:pPr>
        <w:spacing w:line="233" w:lineRule="auto"/>
        <w:jc w:val="both"/>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31CA9" w:rsidRPr="002D72EB" w:rsidTr="00BA6468">
        <w:tc>
          <w:tcPr>
            <w:tcW w:w="4200" w:type="dxa"/>
            <w:shd w:val="clear" w:color="auto" w:fill="auto"/>
            <w:tcMar>
              <w:left w:w="0" w:type="dxa"/>
              <w:right w:w="0" w:type="dxa"/>
            </w:tcMar>
          </w:tcPr>
          <w:p w:rsidR="00831CA9" w:rsidRPr="002D72EB" w:rsidRDefault="00831CA9" w:rsidP="003B3FAA">
            <w:pPr>
              <w:keepNext/>
              <w:keepLines/>
              <w:jc w:val="both"/>
              <w:rPr>
                <w:szCs w:val="24"/>
              </w:rPr>
            </w:pPr>
            <w:r w:rsidRPr="002D72EB">
              <w:rPr>
                <w:b/>
                <w:szCs w:val="24"/>
              </w:rPr>
              <w:lastRenderedPageBreak/>
              <w:t>A</w:t>
            </w:r>
            <w:r w:rsidR="003B3FAA">
              <w:rPr>
                <w:b/>
                <w:szCs w:val="24"/>
              </w:rPr>
              <w:t>MENDED JUDGEMEN</w:t>
            </w:r>
            <w:r w:rsidRPr="002D72EB">
              <w:rPr>
                <w:b/>
                <w:szCs w:val="24"/>
              </w:rPr>
              <w:t>T</w:t>
            </w:r>
          </w:p>
        </w:tc>
        <w:tc>
          <w:tcPr>
            <w:tcW w:w="1200" w:type="dxa"/>
            <w:shd w:val="clear" w:color="auto" w:fill="auto"/>
            <w:tcMar>
              <w:left w:w="0" w:type="dxa"/>
              <w:right w:w="0" w:type="dxa"/>
            </w:tcMar>
          </w:tcPr>
          <w:p w:rsidR="00831CA9" w:rsidRPr="002D72EB" w:rsidRDefault="00831CA9" w:rsidP="00831CA9">
            <w:pPr>
              <w:keepNext/>
              <w:keepLines/>
              <w:jc w:val="center"/>
              <w:rPr>
                <w:szCs w:val="24"/>
              </w:rPr>
            </w:pPr>
          </w:p>
          <w:p w:rsidR="00831CA9" w:rsidRPr="002D72EB" w:rsidRDefault="00831CA9" w:rsidP="00831CA9">
            <w:pPr>
              <w:keepNext/>
              <w:keepLines/>
              <w:jc w:val="center"/>
              <w:rPr>
                <w:szCs w:val="24"/>
              </w:rPr>
            </w:pPr>
          </w:p>
        </w:tc>
        <w:tc>
          <w:tcPr>
            <w:tcW w:w="4230" w:type="dxa"/>
            <w:shd w:val="clear" w:color="auto" w:fill="auto"/>
            <w:tcMar>
              <w:left w:w="0" w:type="dxa"/>
              <w:right w:w="0" w:type="dxa"/>
            </w:tcMar>
          </w:tcPr>
          <w:p w:rsidR="00831CA9" w:rsidRPr="00BA6468" w:rsidRDefault="003B3FAA" w:rsidP="003B3FAA">
            <w:pPr>
              <w:keepNext/>
              <w:keepLines/>
              <w:rPr>
                <w:szCs w:val="24"/>
                <w:lang w:val="fr-CA"/>
              </w:rPr>
            </w:pPr>
            <w:r>
              <w:rPr>
                <w:b/>
                <w:szCs w:val="24"/>
                <w:lang w:val="fr-CA"/>
              </w:rPr>
              <w:t>JUGEMEN</w:t>
            </w:r>
            <w:r w:rsidR="00831CA9" w:rsidRPr="00BA6468">
              <w:rPr>
                <w:b/>
                <w:szCs w:val="24"/>
                <w:lang w:val="fr-CA"/>
              </w:rPr>
              <w:t>T</w:t>
            </w:r>
            <w:r>
              <w:rPr>
                <w:b/>
                <w:szCs w:val="24"/>
                <w:lang w:val="fr-CA"/>
              </w:rPr>
              <w:t xml:space="preserve"> M</w:t>
            </w:r>
            <w:r w:rsidR="00831CA9" w:rsidRPr="00BA6468">
              <w:rPr>
                <w:b/>
                <w:szCs w:val="24"/>
                <w:lang w:val="fr-CA"/>
              </w:rPr>
              <w:t>OD</w:t>
            </w:r>
            <w:r>
              <w:rPr>
                <w:b/>
                <w:szCs w:val="24"/>
                <w:lang w:val="fr-CA"/>
              </w:rPr>
              <w:t>IFI</w:t>
            </w:r>
            <w:r w:rsidR="00831CA9" w:rsidRPr="00BA6468">
              <w:rPr>
                <w:b/>
                <w:szCs w:val="24"/>
                <w:lang w:val="fr-CA"/>
              </w:rPr>
              <w:t>É</w:t>
            </w:r>
          </w:p>
        </w:tc>
      </w:tr>
    </w:tbl>
    <w:p w:rsidR="00831CA9" w:rsidRPr="00C50A5C" w:rsidRDefault="00831CA9" w:rsidP="00831CA9">
      <w:pPr>
        <w:tabs>
          <w:tab w:val="left" w:pos="-1440"/>
          <w:tab w:val="left" w:pos="-720"/>
        </w:tabs>
        <w:jc w:val="both"/>
        <w:rPr>
          <w:sz w:val="20"/>
          <w:szCs w:val="20"/>
        </w:rPr>
      </w:pPr>
    </w:p>
    <w:p w:rsidR="003B3FAA" w:rsidRDefault="003B3FAA" w:rsidP="003B3FAA">
      <w:pPr>
        <w:rPr>
          <w:b/>
          <w:sz w:val="20"/>
          <w:szCs w:val="20"/>
        </w:rPr>
      </w:pPr>
      <w:r>
        <w:rPr>
          <w:b/>
          <w:sz w:val="20"/>
          <w:szCs w:val="20"/>
        </w:rPr>
        <w:t>JANUARY 17, 2014 / LE 17 JANVIER 2014</w:t>
      </w:r>
    </w:p>
    <w:p w:rsidR="003B3FAA" w:rsidRDefault="003B3FAA" w:rsidP="003B3FAA">
      <w:pPr>
        <w:rPr>
          <w:b/>
          <w:sz w:val="20"/>
          <w:szCs w:val="20"/>
        </w:rPr>
      </w:pPr>
    </w:p>
    <w:p w:rsidR="003B3FAA" w:rsidRPr="00402A8F" w:rsidRDefault="00FD4200" w:rsidP="003B3FAA">
      <w:pPr>
        <w:ind w:left="1440" w:hanging="1440"/>
        <w:jc w:val="both"/>
        <w:rPr>
          <w:sz w:val="20"/>
          <w:szCs w:val="20"/>
        </w:rPr>
      </w:pPr>
      <w:r w:rsidRPr="00402A8F">
        <w:rPr>
          <w:b/>
          <w:sz w:val="20"/>
          <w:szCs w:val="20"/>
        </w:rPr>
        <w:fldChar w:fldCharType="begin"/>
      </w:r>
      <w:r w:rsidR="003B3FAA" w:rsidRPr="00402A8F">
        <w:rPr>
          <w:b/>
          <w:sz w:val="20"/>
          <w:szCs w:val="20"/>
        </w:rPr>
        <w:instrText xml:space="preserve"> SEQ CHAPTER \h \r 1</w:instrText>
      </w:r>
      <w:r w:rsidRPr="00402A8F">
        <w:rPr>
          <w:b/>
          <w:sz w:val="20"/>
          <w:szCs w:val="20"/>
        </w:rPr>
        <w:fldChar w:fldCharType="end"/>
      </w:r>
      <w:r w:rsidR="003B3FAA" w:rsidRPr="00402A8F">
        <w:rPr>
          <w:b/>
          <w:sz w:val="20"/>
          <w:szCs w:val="20"/>
        </w:rPr>
        <w:t>34788</w:t>
      </w:r>
      <w:r w:rsidR="003B3FAA" w:rsidRPr="00402A8F">
        <w:rPr>
          <w:sz w:val="20"/>
          <w:szCs w:val="20"/>
        </w:rPr>
        <w:tab/>
      </w:r>
      <w:r w:rsidR="003B3FAA" w:rsidRPr="00402A8F">
        <w:rPr>
          <w:b/>
          <w:sz w:val="20"/>
          <w:szCs w:val="20"/>
          <w:u w:val="single"/>
        </w:rPr>
        <w:t>Attorney General of Canada v. Terri Jean Bedford, Amy Lebovitch and Valerie Scott – AND BETWEEN – Attorney General of Ontario v. Terri Jean Bedford, Amy Lebovitch and Valerie Scott – and – Attorney General of Quebec, Pivot Legal Society, Downtown Eastside Sex Workers United Against Violence Society, PACE Society, Secretariat of the Joint United Nations Programme on HIV/AIDS, British Columbia Civil Liberties Association, Evangelical Fellowship of Canada, Canadian HIV/AIDS Legal Network, British Columbia Centre for Excellence in HIV/AIDS, HIV &amp; AIDS Legal Clinic Ontario, Canadian Association of Sexual Assault Centres, Native Women's Association of Canada, Canadian Association of Elizabeth Fry Societies,  Action ontarienne contre la violence faite aux femmes, Concertation des luttes contre l'exploitation sexuelle, Regroupement québécois des Centres d'aide et de lutte contre les agressions à caractère sexuel, Vancouver Rape Relief Society, Christian Legal Fellowship, Catholic Civil Rights League, REAL Women of Canada, David Asper Centre for Constitutional Rights,  Simone de Beauvoir Institute, AWCEP Asian Women for Equality Society, operating as Asian Women Coalition Ending Prostitution and Aboriginal Legal Services of Toronto Inc.</w:t>
      </w:r>
      <w:r w:rsidR="003B3FAA" w:rsidRPr="00402A8F">
        <w:rPr>
          <w:b/>
          <w:sz w:val="20"/>
          <w:szCs w:val="20"/>
        </w:rPr>
        <w:t xml:space="preserve"> </w:t>
      </w:r>
      <w:r w:rsidR="003B3FAA" w:rsidRPr="00402A8F">
        <w:rPr>
          <w:iCs/>
          <w:sz w:val="20"/>
          <w:szCs w:val="20"/>
        </w:rPr>
        <w:t>(Ont.)</w:t>
      </w:r>
    </w:p>
    <w:p w:rsidR="003B3FAA" w:rsidRPr="00402A8F" w:rsidRDefault="003B3FAA" w:rsidP="003B3FAA">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402A8F">
        <w:rPr>
          <w:b/>
          <w:sz w:val="20"/>
          <w:szCs w:val="20"/>
        </w:rPr>
        <w:t>2013 SCC 72 / 2013 CSC 72</w:t>
      </w:r>
    </w:p>
    <w:p w:rsidR="003B3FAA" w:rsidRPr="00402A8F" w:rsidRDefault="003B3FAA" w:rsidP="003B3FA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3B3FAA" w:rsidRPr="00402A8F" w:rsidRDefault="003B3FAA" w:rsidP="003B3FAA">
      <w:pPr>
        <w:ind w:left="1440" w:hanging="1440"/>
        <w:rPr>
          <w:sz w:val="20"/>
          <w:szCs w:val="20"/>
          <w:u w:val="single"/>
        </w:rPr>
      </w:pPr>
      <w:r w:rsidRPr="00402A8F">
        <w:rPr>
          <w:sz w:val="20"/>
          <w:szCs w:val="20"/>
        </w:rPr>
        <w:t>Coram:</w:t>
      </w:r>
      <w:r w:rsidRPr="00402A8F">
        <w:rPr>
          <w:sz w:val="20"/>
          <w:szCs w:val="20"/>
        </w:rPr>
        <w:tab/>
      </w:r>
      <w:r w:rsidRPr="00402A8F">
        <w:rPr>
          <w:sz w:val="20"/>
          <w:szCs w:val="20"/>
          <w:u w:val="single"/>
        </w:rPr>
        <w:t>McLachlin C.J. and LeBel, Fish, Abella, Rothstein, Cromwell, Moldaver, Karakatsanis and Wagner JJ.</w:t>
      </w:r>
    </w:p>
    <w:p w:rsidR="003B3FAA" w:rsidRDefault="003B3FAA" w:rsidP="003B3FAA">
      <w:pPr>
        <w:ind w:left="1440" w:hanging="1440"/>
        <w:rPr>
          <w:sz w:val="20"/>
          <w:szCs w:val="20"/>
          <w:u w:val="single"/>
        </w:rPr>
      </w:pPr>
    </w:p>
    <w:p w:rsidR="003B3FAA" w:rsidRPr="00FD7C9E" w:rsidRDefault="003B3FAA" w:rsidP="003B3FAA">
      <w:pPr>
        <w:rPr>
          <w:sz w:val="20"/>
          <w:szCs w:val="20"/>
        </w:rPr>
      </w:pPr>
      <w:r w:rsidRPr="00FD7C9E">
        <w:rPr>
          <w:sz w:val="20"/>
          <w:szCs w:val="20"/>
        </w:rPr>
        <w:t xml:space="preserve">The judgment rendered on December 20, 2013, is amended as follows: </w:t>
      </w:r>
    </w:p>
    <w:p w:rsidR="003B3FAA" w:rsidRPr="00402A8F" w:rsidRDefault="003B3FAA" w:rsidP="003B3FAA">
      <w:pPr>
        <w:ind w:left="1440" w:hanging="1440"/>
        <w:rPr>
          <w:sz w:val="20"/>
          <w:szCs w:val="20"/>
          <w:u w:val="single"/>
        </w:rPr>
      </w:pPr>
    </w:p>
    <w:p w:rsidR="003B3FAA" w:rsidRPr="00FD7C9E" w:rsidRDefault="003B3FAA" w:rsidP="003B3FAA">
      <w:pPr>
        <w:jc w:val="both"/>
        <w:rPr>
          <w:rFonts w:eastAsia="Calibri"/>
          <w:sz w:val="20"/>
          <w:szCs w:val="20"/>
        </w:rPr>
      </w:pPr>
      <w:r w:rsidRPr="00402A8F">
        <w:rPr>
          <w:rFonts w:eastAsia="Calibri"/>
          <w:sz w:val="20"/>
          <w:szCs w:val="20"/>
        </w:rPr>
        <w:t xml:space="preserve">The appeals from the judgment of the Court of Appeal for Ontario, Numbers C52799 and C52814, 2012 ONCA 186, dated March 26, 2012, heard on June 13, 2013, are dismissed and the cross-appeal is allowed. Sections 210, </w:t>
      </w:r>
      <w:r>
        <w:rPr>
          <w:rFonts w:eastAsia="Calibri"/>
          <w:sz w:val="20"/>
          <w:szCs w:val="20"/>
        </w:rPr>
        <w:t xml:space="preserve">as it relates to prostitution, and sections </w:t>
      </w:r>
      <w:r w:rsidRPr="00402A8F">
        <w:rPr>
          <w:rFonts w:eastAsia="Calibri"/>
          <w:sz w:val="20"/>
          <w:szCs w:val="20"/>
        </w:rPr>
        <w:t>212(1)(</w:t>
      </w:r>
      <w:r w:rsidRPr="00402A8F">
        <w:rPr>
          <w:rFonts w:eastAsia="Calibri"/>
          <w:i/>
          <w:sz w:val="20"/>
          <w:szCs w:val="20"/>
        </w:rPr>
        <w:t>j</w:t>
      </w:r>
      <w:r w:rsidRPr="00402A8F">
        <w:rPr>
          <w:rFonts w:eastAsia="Calibri"/>
          <w:sz w:val="20"/>
          <w:szCs w:val="20"/>
        </w:rPr>
        <w:t>) and 213(1)(</w:t>
      </w:r>
      <w:r w:rsidRPr="00402A8F">
        <w:rPr>
          <w:rFonts w:eastAsia="Calibri"/>
          <w:i/>
          <w:sz w:val="20"/>
          <w:szCs w:val="20"/>
        </w:rPr>
        <w:t>c</w:t>
      </w:r>
      <w:r w:rsidRPr="00402A8F">
        <w:rPr>
          <w:rFonts w:eastAsia="Calibri"/>
          <w:sz w:val="20"/>
          <w:szCs w:val="20"/>
        </w:rPr>
        <w:t xml:space="preserve">) of the </w:t>
      </w:r>
      <w:r w:rsidRPr="00402A8F">
        <w:rPr>
          <w:rFonts w:eastAsia="Calibri"/>
          <w:i/>
          <w:sz w:val="20"/>
          <w:szCs w:val="20"/>
        </w:rPr>
        <w:t>Criminal Code</w:t>
      </w:r>
      <w:r w:rsidRPr="00402A8F">
        <w:rPr>
          <w:rFonts w:eastAsia="Calibri"/>
          <w:sz w:val="20"/>
          <w:szCs w:val="20"/>
        </w:rPr>
        <w:t xml:space="preserve">, R.S.C. 1985, c. C-46, are declared to be inconsistent with the </w:t>
      </w:r>
      <w:r w:rsidRPr="00402A8F">
        <w:rPr>
          <w:rFonts w:eastAsia="Calibri"/>
          <w:i/>
          <w:sz w:val="20"/>
          <w:szCs w:val="20"/>
        </w:rPr>
        <w:t>Canadian Charter of Rights and Freedoms</w:t>
      </w:r>
      <w:r w:rsidRPr="00402A8F">
        <w:rPr>
          <w:rFonts w:eastAsia="Calibri"/>
          <w:sz w:val="20"/>
          <w:szCs w:val="20"/>
        </w:rPr>
        <w:t xml:space="preserve"> and are void. </w:t>
      </w:r>
      <w:r>
        <w:rPr>
          <w:rFonts w:eastAsia="Calibri"/>
          <w:sz w:val="20"/>
          <w:szCs w:val="20"/>
        </w:rPr>
        <w:t xml:space="preserve"> The word</w:t>
      </w:r>
      <w:r w:rsidRPr="00402A8F">
        <w:rPr>
          <w:rFonts w:eastAsia="Calibri"/>
          <w:sz w:val="20"/>
          <w:szCs w:val="20"/>
        </w:rPr>
        <w:t xml:space="preserve"> </w:t>
      </w:r>
      <w:r>
        <w:rPr>
          <w:rFonts w:eastAsia="Calibri"/>
          <w:sz w:val="20"/>
          <w:szCs w:val="20"/>
        </w:rPr>
        <w:t xml:space="preserve">“prostitution” is struck from the definition of “common bawdy house” in section 197(1) of the </w:t>
      </w:r>
      <w:r w:rsidRPr="00BB3F26">
        <w:rPr>
          <w:rFonts w:eastAsia="Calibri"/>
          <w:i/>
          <w:sz w:val="20"/>
          <w:szCs w:val="20"/>
        </w:rPr>
        <w:t>Criminal Code</w:t>
      </w:r>
      <w:r>
        <w:rPr>
          <w:rFonts w:eastAsia="Calibri"/>
          <w:sz w:val="20"/>
          <w:szCs w:val="20"/>
        </w:rPr>
        <w:t xml:space="preserve"> as it applies to section 210 only.  </w:t>
      </w:r>
      <w:r w:rsidRPr="00FD7C9E">
        <w:rPr>
          <w:rFonts w:eastAsia="Calibri"/>
          <w:sz w:val="20"/>
          <w:szCs w:val="20"/>
        </w:rPr>
        <w:t>The declaration of invalidity is suspended for one year</w:t>
      </w:r>
      <w:r>
        <w:rPr>
          <w:rFonts w:eastAsia="Calibri"/>
          <w:sz w:val="20"/>
          <w:szCs w:val="20"/>
        </w:rPr>
        <w:t>, effective December 20, 2013</w:t>
      </w:r>
      <w:r w:rsidRPr="00FD7C9E">
        <w:rPr>
          <w:rFonts w:eastAsia="Calibri"/>
          <w:sz w:val="20"/>
          <w:szCs w:val="20"/>
        </w:rPr>
        <w:t>.</w:t>
      </w:r>
    </w:p>
    <w:p w:rsidR="003B3FAA" w:rsidRPr="00FD7C9E" w:rsidRDefault="003B3FAA" w:rsidP="003B3FAA">
      <w:pPr>
        <w:jc w:val="both"/>
        <w:rPr>
          <w:rFonts w:eastAsia="Calibri"/>
          <w:sz w:val="20"/>
          <w:szCs w:val="20"/>
        </w:rPr>
      </w:pPr>
    </w:p>
    <w:p w:rsidR="003B3FAA" w:rsidRPr="00FD7C9E" w:rsidRDefault="003B3FAA" w:rsidP="003B3FAA">
      <w:pPr>
        <w:jc w:val="both"/>
        <w:rPr>
          <w:rFonts w:eastAsia="Calibri"/>
          <w:sz w:val="20"/>
          <w:szCs w:val="20"/>
        </w:rPr>
      </w:pPr>
      <w:r w:rsidRPr="00FD7C9E">
        <w:rPr>
          <w:rFonts w:eastAsia="Calibri"/>
          <w:sz w:val="20"/>
          <w:szCs w:val="20"/>
        </w:rPr>
        <w:t>The reasons for judgment are amended accordingly.</w:t>
      </w:r>
    </w:p>
    <w:p w:rsidR="003B3FAA" w:rsidRDefault="003B3FAA" w:rsidP="003B3FAA">
      <w:pPr>
        <w:jc w:val="both"/>
        <w:rPr>
          <w:rFonts w:eastAsia="Calibri"/>
          <w:sz w:val="20"/>
          <w:szCs w:val="20"/>
        </w:rPr>
      </w:pPr>
    </w:p>
    <w:p w:rsidR="003B3FAA" w:rsidRPr="00FD7C9E" w:rsidRDefault="003B3FAA" w:rsidP="003B3FAA">
      <w:pPr>
        <w:jc w:val="both"/>
        <w:rPr>
          <w:rFonts w:eastAsia="Calibri"/>
          <w:sz w:val="20"/>
          <w:szCs w:val="20"/>
        </w:rPr>
      </w:pPr>
    </w:p>
    <w:p w:rsidR="003B3FAA" w:rsidRPr="00FD7C9E" w:rsidRDefault="003B3FAA" w:rsidP="003B3FAA">
      <w:pPr>
        <w:jc w:val="both"/>
        <w:rPr>
          <w:rFonts w:eastAsia="Calibri"/>
          <w:sz w:val="20"/>
          <w:szCs w:val="20"/>
        </w:rPr>
      </w:pPr>
    </w:p>
    <w:p w:rsidR="003B3FAA" w:rsidRPr="00FD7C9E" w:rsidRDefault="003B3FAA" w:rsidP="003B3FAA">
      <w:pPr>
        <w:rPr>
          <w:sz w:val="20"/>
          <w:szCs w:val="20"/>
          <w:lang w:val="fr-CA"/>
        </w:rPr>
      </w:pPr>
      <w:r w:rsidRPr="00FD7C9E">
        <w:rPr>
          <w:sz w:val="20"/>
          <w:szCs w:val="20"/>
          <w:lang w:val="fr-CA"/>
        </w:rPr>
        <w:t>Le jugement rendu le 20 décembre 2013 est modifié comme suit :</w:t>
      </w:r>
    </w:p>
    <w:p w:rsidR="003B3FAA" w:rsidRPr="00402A8F" w:rsidRDefault="003B3FAA" w:rsidP="003B3FAA">
      <w:pPr>
        <w:jc w:val="both"/>
        <w:rPr>
          <w:rFonts w:eastAsia="Calibri"/>
          <w:sz w:val="20"/>
          <w:szCs w:val="20"/>
          <w:lang w:val="fr-CA"/>
        </w:rPr>
      </w:pPr>
    </w:p>
    <w:p w:rsidR="003B3FAA" w:rsidRPr="00402A8F" w:rsidRDefault="003B3FAA" w:rsidP="003B3FAA">
      <w:pPr>
        <w:jc w:val="both"/>
        <w:rPr>
          <w:rFonts w:eastAsia="Calibri"/>
          <w:sz w:val="20"/>
          <w:szCs w:val="20"/>
          <w:lang w:val="fr-CA"/>
        </w:rPr>
      </w:pPr>
      <w:r w:rsidRPr="00402A8F">
        <w:rPr>
          <w:rFonts w:eastAsia="Calibri"/>
          <w:sz w:val="20"/>
          <w:szCs w:val="20"/>
          <w:lang w:val="fr-CA"/>
        </w:rPr>
        <w:t>Les pourvois interjetés contre l’arrêt de la Cour d’appel de l’Ontario, numéros  C52799 et C52814, 2012 ONCA 186, en date du 26 mars 2012, entendus le 13 juin 2013, sont rejetés, et le pourvoi incident est accueilli.  L’article 210</w:t>
      </w:r>
      <w:r>
        <w:rPr>
          <w:rFonts w:eastAsia="Calibri"/>
          <w:sz w:val="20"/>
          <w:szCs w:val="20"/>
          <w:lang w:val="fr-CA"/>
        </w:rPr>
        <w:t xml:space="preserve">, en ce qui concerne la prostitution, </w:t>
      </w:r>
      <w:r w:rsidRPr="00402A8F">
        <w:rPr>
          <w:rFonts w:eastAsia="Calibri"/>
          <w:sz w:val="20"/>
          <w:szCs w:val="20"/>
          <w:lang w:val="fr-CA"/>
        </w:rPr>
        <w:t>et les al. 212(1)</w:t>
      </w:r>
      <w:r w:rsidRPr="00402A8F">
        <w:rPr>
          <w:rFonts w:eastAsia="Calibri"/>
          <w:i/>
          <w:sz w:val="20"/>
          <w:szCs w:val="20"/>
          <w:lang w:val="fr-CA"/>
        </w:rPr>
        <w:t>j</w:t>
      </w:r>
      <w:r w:rsidRPr="00402A8F">
        <w:rPr>
          <w:rFonts w:eastAsia="Calibri"/>
          <w:sz w:val="20"/>
          <w:szCs w:val="20"/>
          <w:lang w:val="fr-CA"/>
        </w:rPr>
        <w:t>) et 213(1)</w:t>
      </w:r>
      <w:r w:rsidRPr="00402A8F">
        <w:rPr>
          <w:rFonts w:eastAsia="Calibri"/>
          <w:i/>
          <w:sz w:val="20"/>
          <w:szCs w:val="20"/>
          <w:lang w:val="fr-CA"/>
        </w:rPr>
        <w:t>c</w:t>
      </w:r>
      <w:r w:rsidRPr="00402A8F">
        <w:rPr>
          <w:rFonts w:eastAsia="Calibri"/>
          <w:sz w:val="20"/>
          <w:szCs w:val="20"/>
          <w:lang w:val="fr-CA"/>
        </w:rPr>
        <w:t xml:space="preserve">) du </w:t>
      </w:r>
      <w:r w:rsidRPr="00402A8F">
        <w:rPr>
          <w:rFonts w:eastAsia="Calibri"/>
          <w:i/>
          <w:sz w:val="20"/>
          <w:szCs w:val="20"/>
          <w:lang w:val="fr-CA"/>
        </w:rPr>
        <w:t>Code criminel</w:t>
      </w:r>
      <w:r w:rsidRPr="00402A8F">
        <w:rPr>
          <w:rFonts w:eastAsia="Calibri"/>
          <w:sz w:val="20"/>
          <w:szCs w:val="20"/>
          <w:lang w:val="fr-CA"/>
        </w:rPr>
        <w:t xml:space="preserve">, L.R.C. 1985, ch. C-46, sont incompatibles avec la </w:t>
      </w:r>
      <w:r w:rsidRPr="00402A8F">
        <w:rPr>
          <w:rFonts w:eastAsia="Calibri"/>
          <w:i/>
          <w:sz w:val="20"/>
          <w:szCs w:val="20"/>
          <w:lang w:val="fr-CA"/>
        </w:rPr>
        <w:t xml:space="preserve">Charte canadienne des droits et libertés </w:t>
      </w:r>
      <w:r w:rsidRPr="00402A8F">
        <w:rPr>
          <w:rFonts w:eastAsia="Calibri"/>
          <w:sz w:val="20"/>
          <w:szCs w:val="20"/>
          <w:lang w:val="fr-CA"/>
        </w:rPr>
        <w:t>et sont par conséquent invalidés.</w:t>
      </w:r>
      <w:r>
        <w:rPr>
          <w:rFonts w:eastAsia="Calibri"/>
          <w:sz w:val="20"/>
          <w:szCs w:val="20"/>
          <w:lang w:val="fr-CA"/>
        </w:rPr>
        <w:t xml:space="preserve">  Le mot « prostitution » est supprimé de la définition de « maison de débauche » figurant au par. 197(1) du </w:t>
      </w:r>
      <w:r>
        <w:rPr>
          <w:rFonts w:eastAsia="Calibri"/>
          <w:i/>
          <w:sz w:val="20"/>
          <w:szCs w:val="20"/>
          <w:lang w:val="fr-CA"/>
        </w:rPr>
        <w:t>Code criminel</w:t>
      </w:r>
      <w:r>
        <w:rPr>
          <w:rFonts w:eastAsia="Calibri"/>
          <w:sz w:val="20"/>
          <w:szCs w:val="20"/>
          <w:lang w:val="fr-CA"/>
        </w:rPr>
        <w:t xml:space="preserve"> pour les besoins de l’art. 210 uniquement.</w:t>
      </w:r>
      <w:r w:rsidRPr="00402A8F">
        <w:rPr>
          <w:rFonts w:eastAsia="Calibri"/>
          <w:sz w:val="20"/>
          <w:szCs w:val="20"/>
          <w:lang w:val="fr-CA"/>
        </w:rPr>
        <w:t xml:space="preserve">  L’effet de la déclaration d’invalidité est suspendu pendant un an</w:t>
      </w:r>
      <w:r>
        <w:rPr>
          <w:rFonts w:eastAsia="Calibri"/>
          <w:sz w:val="20"/>
          <w:szCs w:val="20"/>
          <w:lang w:val="fr-CA"/>
        </w:rPr>
        <w:t>, à partir du 20 décembre 2013</w:t>
      </w:r>
      <w:r w:rsidRPr="00402A8F">
        <w:rPr>
          <w:rFonts w:eastAsia="Calibri"/>
          <w:sz w:val="20"/>
          <w:szCs w:val="20"/>
          <w:lang w:val="fr-CA"/>
        </w:rPr>
        <w:t>.</w:t>
      </w:r>
    </w:p>
    <w:p w:rsidR="003B3FAA" w:rsidRDefault="003B3FAA" w:rsidP="003B3FAA">
      <w:pPr>
        <w:spacing w:line="0" w:lineRule="atLeast"/>
        <w:rPr>
          <w:rFonts w:cs="Times New Roman"/>
          <w:sz w:val="20"/>
          <w:szCs w:val="20"/>
          <w:lang w:val="fr-CA"/>
        </w:rPr>
      </w:pPr>
    </w:p>
    <w:p w:rsidR="003B3FAA" w:rsidRDefault="003B3FAA" w:rsidP="003B3FAA">
      <w:pPr>
        <w:spacing w:line="0" w:lineRule="atLeast"/>
        <w:rPr>
          <w:rFonts w:cs="Times New Roman"/>
          <w:sz w:val="20"/>
          <w:szCs w:val="20"/>
          <w:lang w:val="fr-CA"/>
        </w:rPr>
      </w:pPr>
      <w:r>
        <w:rPr>
          <w:rFonts w:cs="Times New Roman"/>
          <w:sz w:val="20"/>
          <w:szCs w:val="20"/>
          <w:lang w:val="fr-CA"/>
        </w:rPr>
        <w:t>Les motifs de jugement sont modifiés en conséquence.</w:t>
      </w:r>
    </w:p>
    <w:p w:rsidR="003B3FAA" w:rsidRPr="006C5F7A" w:rsidRDefault="003B3FAA" w:rsidP="003B3FAA">
      <w:pPr>
        <w:spacing w:line="0" w:lineRule="atLeast"/>
        <w:rPr>
          <w:rFonts w:cs="Times New Roman"/>
          <w:sz w:val="20"/>
          <w:szCs w:val="20"/>
          <w:lang w:val="fr-CA"/>
        </w:rPr>
      </w:pPr>
    </w:p>
    <w:p w:rsidR="003B3FAA" w:rsidRPr="006C5F7A" w:rsidRDefault="007C5411" w:rsidP="003B3FAA">
      <w:pPr>
        <w:spacing w:line="0" w:lineRule="atLeast"/>
        <w:rPr>
          <w:rFonts w:cs="Times New Roman"/>
          <w:b/>
          <w:sz w:val="20"/>
          <w:szCs w:val="20"/>
        </w:rPr>
      </w:pPr>
      <w:r>
        <w:rPr>
          <w:rFonts w:cs="Times New Roman"/>
          <w:b/>
          <w:sz w:val="20"/>
          <w:szCs w:val="20"/>
        </w:rPr>
        <w:pict>
          <v:rect id="_x0000_i1071" style="width:144.3pt;height:1pt" o:hrpct="300" o:hralign="center" o:hrstd="t" o:hrnoshade="t" o:hr="t" fillcolor="black [3213]" stroked="f"/>
        </w:pict>
      </w:r>
    </w:p>
    <w:p w:rsidR="003B3FAA" w:rsidRDefault="003B3FAA" w:rsidP="003B3FAA">
      <w:pPr>
        <w:spacing w:line="0" w:lineRule="atLeast"/>
        <w:rPr>
          <w:rFonts w:cs="Times New Roman"/>
          <w:b/>
          <w:sz w:val="20"/>
          <w:szCs w:val="20"/>
        </w:rPr>
      </w:pPr>
    </w:p>
    <w:p w:rsidR="00831CA9" w:rsidRDefault="00831CA9" w:rsidP="00831CA9">
      <w:pPr>
        <w:jc w:val="both"/>
        <w:rPr>
          <w:sz w:val="20"/>
          <w:szCs w:val="20"/>
          <w:lang w:val="fr-CA"/>
        </w:rPr>
      </w:pPr>
    </w:p>
    <w:p w:rsidR="00D004FC" w:rsidRPr="00C50A5C" w:rsidRDefault="00D004FC" w:rsidP="00831CA9">
      <w:pPr>
        <w:jc w:val="both"/>
        <w:rPr>
          <w:sz w:val="20"/>
          <w:szCs w:val="20"/>
          <w:lang w:val="fr-CA"/>
        </w:rPr>
      </w:pPr>
    </w:p>
    <w:p w:rsidR="00831CA9" w:rsidRPr="00C50A5C" w:rsidRDefault="00831CA9" w:rsidP="00831CA9">
      <w:pPr>
        <w:tabs>
          <w:tab w:val="left" w:pos="-1440"/>
          <w:tab w:val="left" w:pos="-720"/>
        </w:tabs>
        <w:spacing w:line="0" w:lineRule="atLeast"/>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7C5411"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0D740B" w:rsidP="003B3977">
            <w:pPr>
              <w:rPr>
                <w:sz w:val="20"/>
                <w:szCs w:val="20"/>
              </w:rPr>
            </w:pPr>
            <w:r>
              <w:rPr>
                <w:sz w:val="20"/>
                <w:szCs w:val="20"/>
              </w:rPr>
              <w:t>14</w:t>
            </w:r>
            <w:r w:rsidR="0010587F" w:rsidRPr="003B3977">
              <w:rPr>
                <w:sz w:val="20"/>
                <w:szCs w:val="20"/>
              </w:rPr>
              <w:t>.0</w:t>
            </w:r>
            <w:r>
              <w:rPr>
                <w:sz w:val="20"/>
                <w:szCs w:val="20"/>
              </w:rPr>
              <w:t>1</w:t>
            </w:r>
            <w:r w:rsidR="0010587F" w:rsidRPr="003B3977">
              <w:rPr>
                <w:sz w:val="20"/>
                <w:szCs w:val="20"/>
              </w:rPr>
              <w:t>.201</w:t>
            </w:r>
            <w:r>
              <w:rPr>
                <w:sz w:val="20"/>
                <w:szCs w:val="20"/>
              </w:rPr>
              <w:t>4</w:t>
            </w:r>
          </w:p>
          <w:p w:rsidR="0010587F" w:rsidRPr="003B3977" w:rsidRDefault="0010587F" w:rsidP="003B3977">
            <w:pPr>
              <w:rPr>
                <w:sz w:val="20"/>
                <w:szCs w:val="20"/>
              </w:rPr>
            </w:pPr>
          </w:p>
          <w:p w:rsidR="0010587F" w:rsidRPr="003B3977" w:rsidRDefault="000D740B" w:rsidP="003B3977">
            <w:pPr>
              <w:rPr>
                <w:b/>
                <w:sz w:val="20"/>
                <w:szCs w:val="20"/>
              </w:rPr>
            </w:pPr>
            <w:r w:rsidRPr="003B3977">
              <w:rPr>
                <w:b/>
                <w:sz w:val="20"/>
                <w:szCs w:val="20"/>
              </w:rPr>
              <w:t>Her Majesty the Queen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0D740B">
              <w:rPr>
                <w:b/>
                <w:sz w:val="20"/>
                <w:szCs w:val="20"/>
              </w:rPr>
              <w:t>56</w:t>
            </w:r>
            <w:r w:rsidRPr="003B3977">
              <w:rPr>
                <w:b/>
                <w:sz w:val="20"/>
                <w:szCs w:val="20"/>
              </w:rPr>
              <w:t>9</w:t>
            </w:r>
            <w:r w:rsidR="000D740B">
              <w:rPr>
                <w:b/>
                <w:sz w:val="20"/>
                <w:szCs w:val="20"/>
              </w:rPr>
              <w:t>0</w:t>
            </w:r>
            <w:r w:rsidRPr="003B3977">
              <w:rPr>
                <w:b/>
                <w:sz w:val="20"/>
                <w:szCs w:val="20"/>
              </w:rPr>
              <w:t>)</w:t>
            </w:r>
          </w:p>
          <w:p w:rsidR="0010587F" w:rsidRPr="003B3977" w:rsidRDefault="0010587F" w:rsidP="003B3977">
            <w:pPr>
              <w:rPr>
                <w:b/>
                <w:sz w:val="20"/>
                <w:szCs w:val="20"/>
              </w:rPr>
            </w:pPr>
          </w:p>
          <w:p w:rsidR="0010587F" w:rsidRPr="003B3977" w:rsidRDefault="000D740B" w:rsidP="003B3977">
            <w:pPr>
              <w:rPr>
                <w:b/>
                <w:sz w:val="20"/>
                <w:szCs w:val="20"/>
              </w:rPr>
            </w:pPr>
            <w:r>
              <w:rPr>
                <w:b/>
                <w:sz w:val="20"/>
                <w:szCs w:val="20"/>
              </w:rPr>
              <w:t>Sebastien Bouchard</w:t>
            </w:r>
            <w:r w:rsidR="0010587F" w:rsidRPr="003B3977">
              <w:rPr>
                <w:b/>
                <w:sz w:val="20"/>
                <w:szCs w:val="20"/>
              </w:rPr>
              <w:t xml:space="preserve"> (</w:t>
            </w:r>
            <w:r>
              <w:rPr>
                <w:b/>
                <w:sz w:val="20"/>
                <w:szCs w:val="20"/>
              </w:rPr>
              <w:t>On</w:t>
            </w:r>
            <w:r w:rsidR="0010587F" w:rsidRPr="003B3977">
              <w:rPr>
                <w:b/>
                <w:sz w:val="20"/>
                <w:szCs w:val="20"/>
              </w:rPr>
              <w:t>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7C5411" w:rsidP="003B3977">
            <w:pPr>
              <w:rPr>
                <w:sz w:val="20"/>
                <w:szCs w:val="20"/>
                <w:lang w:val="fr-CA"/>
              </w:rPr>
            </w:pPr>
            <w:r>
              <w:rPr>
                <w:sz w:val="20"/>
                <w:szCs w:val="20"/>
                <w:lang w:val="fr-CA"/>
              </w:rPr>
              <w:pict>
                <v:rect id="_x0000_i1074"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0D740B" w:rsidRDefault="000D740B" w:rsidP="003B3977">
            <w:pPr>
              <w:rPr>
                <w:sz w:val="20"/>
                <w:szCs w:val="20"/>
                <w:lang w:val="fr-CA"/>
              </w:rPr>
            </w:pPr>
            <w:r w:rsidRPr="000D740B">
              <w:rPr>
                <w:sz w:val="20"/>
                <w:szCs w:val="20"/>
                <w:lang w:val="fr-CA"/>
              </w:rPr>
              <w:t>1</w:t>
            </w:r>
            <w:r w:rsidR="0010587F" w:rsidRPr="000D740B">
              <w:rPr>
                <w:sz w:val="20"/>
                <w:szCs w:val="20"/>
                <w:lang w:val="fr-CA"/>
              </w:rPr>
              <w:t>6.0</w:t>
            </w:r>
            <w:r w:rsidRPr="000D740B">
              <w:rPr>
                <w:sz w:val="20"/>
                <w:szCs w:val="20"/>
                <w:lang w:val="fr-CA"/>
              </w:rPr>
              <w:t>1</w:t>
            </w:r>
            <w:r w:rsidR="0010587F" w:rsidRPr="000D740B">
              <w:rPr>
                <w:sz w:val="20"/>
                <w:szCs w:val="20"/>
                <w:lang w:val="fr-CA"/>
              </w:rPr>
              <w:t>.201</w:t>
            </w:r>
            <w:r w:rsidRPr="000D740B">
              <w:rPr>
                <w:sz w:val="20"/>
                <w:szCs w:val="20"/>
                <w:lang w:val="fr-CA"/>
              </w:rPr>
              <w:t>4</w:t>
            </w:r>
          </w:p>
          <w:p w:rsidR="0010587F" w:rsidRPr="000D740B" w:rsidRDefault="0010587F" w:rsidP="003B3977">
            <w:pPr>
              <w:rPr>
                <w:sz w:val="20"/>
                <w:szCs w:val="20"/>
                <w:lang w:val="fr-CA"/>
              </w:rPr>
            </w:pPr>
          </w:p>
          <w:p w:rsidR="0010587F" w:rsidRDefault="000D740B" w:rsidP="003B3977">
            <w:pPr>
              <w:rPr>
                <w:b/>
                <w:sz w:val="20"/>
                <w:szCs w:val="20"/>
                <w:lang w:val="fr-CA"/>
              </w:rPr>
            </w:pPr>
            <w:r w:rsidRPr="000D740B">
              <w:rPr>
                <w:b/>
                <w:sz w:val="20"/>
                <w:szCs w:val="20"/>
                <w:lang w:val="fr-CA"/>
              </w:rPr>
              <w:t>Société en commandite Place Mullins 139612 Canada inc.</w:t>
            </w:r>
          </w:p>
          <w:p w:rsidR="000D740B" w:rsidRPr="000D740B" w:rsidRDefault="000D740B" w:rsidP="003B3977">
            <w:pPr>
              <w:rPr>
                <w:b/>
                <w:sz w:val="20"/>
                <w:szCs w:val="20"/>
                <w:lang w:val="fr-CA"/>
              </w:rPr>
            </w:pPr>
          </w:p>
          <w:p w:rsidR="0010587F" w:rsidRPr="000D740B" w:rsidRDefault="0010587F" w:rsidP="003B3977">
            <w:pPr>
              <w:rPr>
                <w:b/>
                <w:sz w:val="20"/>
                <w:szCs w:val="20"/>
                <w:lang w:val="fr-CA"/>
              </w:rPr>
            </w:pPr>
            <w:r w:rsidRPr="000D740B">
              <w:rPr>
                <w:b/>
                <w:sz w:val="20"/>
                <w:szCs w:val="20"/>
                <w:lang w:val="fr-CA"/>
              </w:rPr>
              <w:tab/>
            </w:r>
            <w:r w:rsidR="000D740B" w:rsidRPr="000D740B">
              <w:rPr>
                <w:b/>
                <w:sz w:val="20"/>
                <w:szCs w:val="20"/>
                <w:lang w:val="fr-CA"/>
              </w:rPr>
              <w:t>c</w:t>
            </w:r>
            <w:r w:rsidRPr="000D740B">
              <w:rPr>
                <w:b/>
                <w:sz w:val="20"/>
                <w:szCs w:val="20"/>
                <w:lang w:val="fr-CA"/>
              </w:rPr>
              <w:t>. (3</w:t>
            </w:r>
            <w:r w:rsidR="000D740B" w:rsidRPr="000D740B">
              <w:rPr>
                <w:b/>
                <w:sz w:val="20"/>
                <w:szCs w:val="20"/>
                <w:lang w:val="fr-CA"/>
              </w:rPr>
              <w:t>546</w:t>
            </w:r>
            <w:r w:rsidRPr="000D740B">
              <w:rPr>
                <w:b/>
                <w:sz w:val="20"/>
                <w:szCs w:val="20"/>
                <w:lang w:val="fr-CA"/>
              </w:rPr>
              <w:t>1)</w:t>
            </w:r>
          </w:p>
          <w:p w:rsidR="0010587F" w:rsidRPr="000D740B" w:rsidRDefault="0010587F" w:rsidP="003B3977">
            <w:pPr>
              <w:rPr>
                <w:b/>
                <w:sz w:val="20"/>
                <w:szCs w:val="20"/>
                <w:lang w:val="fr-CA"/>
              </w:rPr>
            </w:pPr>
          </w:p>
          <w:p w:rsidR="0010587F" w:rsidRPr="003B3977" w:rsidRDefault="000D740B" w:rsidP="003B3977">
            <w:pPr>
              <w:rPr>
                <w:b/>
                <w:sz w:val="20"/>
                <w:szCs w:val="20"/>
                <w:lang w:val="fr-CA"/>
              </w:rPr>
            </w:pPr>
            <w:r>
              <w:rPr>
                <w:b/>
                <w:sz w:val="20"/>
                <w:szCs w:val="20"/>
                <w:lang w:val="fr-CA"/>
              </w:rPr>
              <w:t>Services Imm</w:t>
            </w:r>
            <w:r w:rsidR="0010587F" w:rsidRPr="003B3977">
              <w:rPr>
                <w:b/>
                <w:sz w:val="20"/>
                <w:szCs w:val="20"/>
                <w:lang w:val="fr-CA"/>
              </w:rPr>
              <w:t>ob</w:t>
            </w:r>
            <w:r>
              <w:rPr>
                <w:b/>
                <w:sz w:val="20"/>
                <w:szCs w:val="20"/>
                <w:lang w:val="fr-CA"/>
              </w:rPr>
              <w:t>ili</w:t>
            </w:r>
            <w:r w:rsidR="0010587F" w:rsidRPr="003B3977">
              <w:rPr>
                <w:b/>
                <w:sz w:val="20"/>
                <w:szCs w:val="20"/>
                <w:lang w:val="fr-CA"/>
              </w:rPr>
              <w:t>er</w:t>
            </w:r>
            <w:r>
              <w:rPr>
                <w:b/>
                <w:sz w:val="20"/>
                <w:szCs w:val="20"/>
                <w:lang w:val="fr-CA"/>
              </w:rPr>
              <w:t>s Di</w:t>
            </w:r>
            <w:r w:rsidR="0010587F" w:rsidRPr="003B3977">
              <w:rPr>
                <w:b/>
                <w:sz w:val="20"/>
                <w:szCs w:val="20"/>
                <w:lang w:val="fr-CA"/>
              </w:rPr>
              <w:t>ane</w:t>
            </w:r>
            <w:r>
              <w:rPr>
                <w:b/>
                <w:sz w:val="20"/>
                <w:szCs w:val="20"/>
                <w:lang w:val="fr-CA"/>
              </w:rPr>
              <w:t xml:space="preserve"> Bisson inc.</w:t>
            </w:r>
            <w:r w:rsidR="0010587F" w:rsidRPr="003B3977">
              <w:rPr>
                <w:b/>
                <w:sz w:val="20"/>
                <w:szCs w:val="20"/>
                <w:lang w:val="fr-CA"/>
              </w:rPr>
              <w:t xml:space="preserve"> (</w:t>
            </w:r>
            <w:r>
              <w:rPr>
                <w:b/>
                <w:sz w:val="20"/>
                <w:szCs w:val="20"/>
                <w:lang w:val="fr-CA"/>
              </w:rPr>
              <w:t>Qc</w:t>
            </w:r>
            <w:r w:rsidR="0010587F" w:rsidRPr="003B3977">
              <w:rPr>
                <w:b/>
                <w:sz w:val="20"/>
                <w:szCs w:val="20"/>
                <w:lang w:val="fr-CA"/>
              </w:rPr>
              <w:t>)</w:t>
            </w:r>
          </w:p>
          <w:p w:rsidR="0010587F" w:rsidRPr="003B3977" w:rsidRDefault="0010587F" w:rsidP="003B3977">
            <w:pPr>
              <w:rPr>
                <w:sz w:val="20"/>
                <w:szCs w:val="20"/>
                <w:lang w:val="fr-CA"/>
              </w:rPr>
            </w:pPr>
          </w:p>
          <w:p w:rsidR="0010587F" w:rsidRPr="000D740B" w:rsidRDefault="0010587F" w:rsidP="003B3977">
            <w:pPr>
              <w:rPr>
                <w:sz w:val="20"/>
                <w:szCs w:val="20"/>
                <w:lang w:val="fr-CA"/>
              </w:rPr>
            </w:pPr>
            <w:r w:rsidRPr="000D740B">
              <w:rPr>
                <w:sz w:val="20"/>
                <w:szCs w:val="20"/>
                <w:lang w:val="fr-CA"/>
              </w:rPr>
              <w:t>(A</w:t>
            </w:r>
            <w:r w:rsidR="000D740B" w:rsidRPr="000D740B">
              <w:rPr>
                <w:sz w:val="20"/>
                <w:szCs w:val="20"/>
                <w:lang w:val="fr-CA"/>
              </w:rPr>
              <w:t>utori</w:t>
            </w:r>
            <w:r w:rsidRPr="000D740B">
              <w:rPr>
                <w:sz w:val="20"/>
                <w:szCs w:val="20"/>
                <w:lang w:val="fr-CA"/>
              </w:rPr>
              <w:t>s</w:t>
            </w:r>
            <w:r w:rsidR="000D740B" w:rsidRPr="000D740B">
              <w:rPr>
                <w:sz w:val="20"/>
                <w:szCs w:val="20"/>
                <w:lang w:val="fr-CA"/>
              </w:rPr>
              <w:t>at</w:t>
            </w:r>
            <w:r w:rsidRPr="000D740B">
              <w:rPr>
                <w:sz w:val="20"/>
                <w:szCs w:val="20"/>
                <w:lang w:val="fr-CA"/>
              </w:rPr>
              <w:t>i</w:t>
            </w:r>
            <w:r w:rsidR="000D740B" w:rsidRPr="000D740B">
              <w:rPr>
                <w:sz w:val="20"/>
                <w:szCs w:val="20"/>
                <w:lang w:val="fr-CA"/>
              </w:rPr>
              <w:t>on</w:t>
            </w:r>
            <w:r w:rsidRPr="000D740B">
              <w:rPr>
                <w:sz w:val="20"/>
                <w:szCs w:val="20"/>
                <w:lang w:val="fr-CA"/>
              </w:rPr>
              <w:t>)</w:t>
            </w:r>
          </w:p>
          <w:p w:rsidR="0010587F" w:rsidRPr="000D740B" w:rsidRDefault="0010587F" w:rsidP="003B3977">
            <w:pPr>
              <w:rPr>
                <w:sz w:val="20"/>
                <w:szCs w:val="20"/>
                <w:lang w:val="fr-CA"/>
              </w:rPr>
            </w:pPr>
          </w:p>
          <w:p w:rsidR="0010587F" w:rsidRPr="003B3977" w:rsidRDefault="007C5411" w:rsidP="003B3977">
            <w:pPr>
              <w:rPr>
                <w:sz w:val="20"/>
                <w:szCs w:val="20"/>
              </w:rPr>
            </w:pPr>
            <w:r>
              <w:rPr>
                <w:sz w:val="20"/>
                <w:szCs w:val="20"/>
                <w:lang w:val="fr-CA"/>
              </w:rPr>
              <w:pict>
                <v:rect id="_x0000_i1075"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7C5411"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027083" w:rsidRPr="00C50A5C" w:rsidRDefault="00027083" w:rsidP="00027083">
      <w:pPr>
        <w:widowControl w:val="0"/>
        <w:rPr>
          <w:sz w:val="20"/>
          <w:szCs w:val="20"/>
        </w:rPr>
      </w:pPr>
      <w:r>
        <w:rPr>
          <w:sz w:val="20"/>
          <w:szCs w:val="20"/>
        </w:rPr>
        <w:t>16</w:t>
      </w:r>
      <w:r w:rsidRPr="00C50A5C">
        <w:rPr>
          <w:sz w:val="20"/>
          <w:szCs w:val="20"/>
        </w:rPr>
        <w:t>.0</w:t>
      </w:r>
      <w:r>
        <w:rPr>
          <w:sz w:val="20"/>
          <w:szCs w:val="20"/>
        </w:rPr>
        <w:t>1</w:t>
      </w:r>
      <w:r w:rsidRPr="00C50A5C">
        <w:rPr>
          <w:sz w:val="20"/>
          <w:szCs w:val="20"/>
        </w:rPr>
        <w:t>.201</w:t>
      </w:r>
      <w:r>
        <w:rPr>
          <w:sz w:val="20"/>
          <w:szCs w:val="20"/>
        </w:rPr>
        <w:t>4</w:t>
      </w:r>
    </w:p>
    <w:p w:rsidR="00027083" w:rsidRPr="00C50A5C" w:rsidRDefault="00027083" w:rsidP="00027083">
      <w:pPr>
        <w:widowControl w:val="0"/>
        <w:rPr>
          <w:sz w:val="20"/>
          <w:szCs w:val="20"/>
        </w:rPr>
      </w:pPr>
    </w:p>
    <w:p w:rsidR="00027083" w:rsidRPr="00C50A5C" w:rsidRDefault="00027083" w:rsidP="00027083">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McLachlin C.J. and LeBel, Abella, Rothstein</w:t>
      </w:r>
      <w:r>
        <w:rPr>
          <w:sz w:val="20"/>
          <w:szCs w:val="20"/>
          <w:u w:val="single"/>
        </w:rPr>
        <w:t xml:space="preserve">, </w:t>
      </w:r>
      <w:r w:rsidRPr="00C50A5C">
        <w:rPr>
          <w:sz w:val="20"/>
          <w:szCs w:val="20"/>
          <w:u w:val="single"/>
        </w:rPr>
        <w:t>Cromwell</w:t>
      </w:r>
      <w:r>
        <w:rPr>
          <w:sz w:val="20"/>
          <w:szCs w:val="20"/>
          <w:u w:val="single"/>
        </w:rPr>
        <w:t>, Moldaver and</w:t>
      </w:r>
      <w:r w:rsidRPr="00C50A5C">
        <w:rPr>
          <w:sz w:val="20"/>
          <w:szCs w:val="20"/>
          <w:u w:val="single"/>
        </w:rPr>
        <w:t xml:space="preserve"> </w:t>
      </w:r>
      <w:r>
        <w:rPr>
          <w:sz w:val="20"/>
          <w:szCs w:val="20"/>
          <w:u w:val="single"/>
        </w:rPr>
        <w:t xml:space="preserve">Wagner </w:t>
      </w:r>
      <w:r w:rsidRPr="00C50A5C">
        <w:rPr>
          <w:sz w:val="20"/>
          <w:szCs w:val="20"/>
          <w:u w:val="single"/>
        </w:rPr>
        <w:t>JJ.</w:t>
      </w:r>
      <w:r w:rsidRPr="00C50A5C">
        <w:rPr>
          <w:sz w:val="20"/>
          <w:szCs w:val="20"/>
        </w:rPr>
        <w:t xml:space="preserve"> </w:t>
      </w:r>
    </w:p>
    <w:p w:rsidR="00027083" w:rsidRPr="00C50A5C" w:rsidRDefault="00027083" w:rsidP="00027083">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027083" w:rsidRPr="00C50A5C" w:rsidTr="00A32E34">
        <w:tc>
          <w:tcPr>
            <w:tcW w:w="4380" w:type="dxa"/>
            <w:tcMar>
              <w:left w:w="0" w:type="dxa"/>
              <w:right w:w="0" w:type="dxa"/>
            </w:tcMar>
          </w:tcPr>
          <w:p w:rsidR="00027083" w:rsidRPr="00C50A5C" w:rsidRDefault="00027083" w:rsidP="00A32E34">
            <w:pPr>
              <w:widowControl w:val="0"/>
              <w:jc w:val="both"/>
              <w:rPr>
                <w:b/>
                <w:sz w:val="20"/>
                <w:szCs w:val="20"/>
              </w:rPr>
            </w:pPr>
            <w:r>
              <w:rPr>
                <w:b/>
                <w:sz w:val="20"/>
                <w:szCs w:val="20"/>
              </w:rPr>
              <w:t>W.E.B.</w:t>
            </w:r>
          </w:p>
          <w:p w:rsidR="00027083" w:rsidRPr="00C50A5C" w:rsidRDefault="00027083" w:rsidP="00A32E34">
            <w:pPr>
              <w:widowControl w:val="0"/>
              <w:jc w:val="both"/>
              <w:rPr>
                <w:b/>
                <w:sz w:val="20"/>
                <w:szCs w:val="20"/>
              </w:rPr>
            </w:pPr>
          </w:p>
          <w:p w:rsidR="00027083" w:rsidRPr="00C50A5C" w:rsidRDefault="00027083" w:rsidP="00A32E34">
            <w:pPr>
              <w:widowControl w:val="0"/>
              <w:tabs>
                <w:tab w:val="left" w:pos="736"/>
              </w:tabs>
              <w:jc w:val="both"/>
              <w:rPr>
                <w:b/>
                <w:sz w:val="20"/>
                <w:szCs w:val="20"/>
              </w:rPr>
            </w:pPr>
            <w:r w:rsidRPr="00C50A5C">
              <w:rPr>
                <w:b/>
                <w:sz w:val="20"/>
                <w:szCs w:val="20"/>
              </w:rPr>
              <w:tab/>
              <w:t xml:space="preserve">v. </w:t>
            </w:r>
            <w:r w:rsidRPr="00771CE4">
              <w:rPr>
                <w:iCs/>
                <w:sz w:val="20"/>
                <w:szCs w:val="20"/>
              </w:rPr>
              <w:t>(</w:t>
            </w:r>
            <w:hyperlink r:id="rId81" w:history="1">
              <w:r w:rsidRPr="00771CE4">
                <w:rPr>
                  <w:rStyle w:val="Hyperlink"/>
                  <w:iCs/>
                  <w:sz w:val="20"/>
                  <w:szCs w:val="20"/>
                </w:rPr>
                <w:t>35089</w:t>
              </w:r>
            </w:hyperlink>
            <w:r w:rsidRPr="00771CE4">
              <w:rPr>
                <w:iCs/>
                <w:sz w:val="20"/>
                <w:szCs w:val="20"/>
              </w:rPr>
              <w:t>)</w:t>
            </w:r>
          </w:p>
          <w:p w:rsidR="00027083" w:rsidRPr="00C50A5C" w:rsidRDefault="00027083" w:rsidP="00A32E34">
            <w:pPr>
              <w:widowControl w:val="0"/>
              <w:jc w:val="both"/>
              <w:rPr>
                <w:b/>
                <w:sz w:val="20"/>
                <w:szCs w:val="20"/>
              </w:rPr>
            </w:pPr>
          </w:p>
          <w:p w:rsidR="00027083" w:rsidRPr="004909C5" w:rsidRDefault="00027083" w:rsidP="00A32E34">
            <w:pPr>
              <w:widowControl w:val="0"/>
              <w:jc w:val="both"/>
              <w:rPr>
                <w:sz w:val="20"/>
                <w:szCs w:val="20"/>
              </w:rPr>
            </w:pPr>
            <w:r>
              <w:rPr>
                <w:b/>
                <w:sz w:val="20"/>
                <w:szCs w:val="20"/>
              </w:rPr>
              <w:t>Her Majesty the Qu</w:t>
            </w:r>
            <w:r w:rsidRPr="00C50A5C">
              <w:rPr>
                <w:b/>
                <w:sz w:val="20"/>
                <w:szCs w:val="20"/>
              </w:rPr>
              <w:t>een</w:t>
            </w:r>
            <w:r>
              <w:rPr>
                <w:b/>
                <w:sz w:val="20"/>
                <w:szCs w:val="20"/>
              </w:rPr>
              <w:t xml:space="preserve"> </w:t>
            </w:r>
            <w:r w:rsidRPr="00C50A5C">
              <w:rPr>
                <w:b/>
                <w:sz w:val="20"/>
                <w:szCs w:val="20"/>
              </w:rPr>
              <w:t>(</w:t>
            </w:r>
            <w:r>
              <w:rPr>
                <w:b/>
                <w:sz w:val="20"/>
                <w:szCs w:val="20"/>
              </w:rPr>
              <w:t>Ont</w:t>
            </w:r>
            <w:r w:rsidRPr="00C50A5C">
              <w:rPr>
                <w:b/>
                <w:sz w:val="20"/>
                <w:szCs w:val="20"/>
              </w:rPr>
              <w:t>.) (C</w:t>
            </w:r>
            <w:r>
              <w:rPr>
                <w:b/>
                <w:sz w:val="20"/>
                <w:szCs w:val="20"/>
              </w:rPr>
              <w:t>r</w:t>
            </w:r>
            <w:r w:rsidRPr="00C50A5C">
              <w:rPr>
                <w:b/>
                <w:sz w:val="20"/>
                <w:szCs w:val="20"/>
              </w:rPr>
              <w:t>i</w:t>
            </w:r>
            <w:r>
              <w:rPr>
                <w:b/>
                <w:sz w:val="20"/>
                <w:szCs w:val="20"/>
              </w:rPr>
              <w:t>m</w:t>
            </w:r>
            <w:r w:rsidRPr="00C50A5C">
              <w:rPr>
                <w:b/>
                <w:sz w:val="20"/>
                <w:szCs w:val="20"/>
              </w:rPr>
              <w:t>i</w:t>
            </w:r>
            <w:r>
              <w:rPr>
                <w:b/>
                <w:sz w:val="20"/>
                <w:szCs w:val="20"/>
              </w:rPr>
              <w:t>na</w:t>
            </w:r>
            <w:r w:rsidRPr="00C50A5C">
              <w:rPr>
                <w:b/>
                <w:sz w:val="20"/>
                <w:szCs w:val="20"/>
              </w:rPr>
              <w:t>l) (By</w:t>
            </w:r>
            <w:r>
              <w:rPr>
                <w:b/>
                <w:sz w:val="20"/>
                <w:szCs w:val="20"/>
              </w:rPr>
              <w:t> </w:t>
            </w:r>
            <w:r w:rsidRPr="00C50A5C">
              <w:rPr>
                <w:b/>
                <w:sz w:val="20"/>
                <w:szCs w:val="20"/>
              </w:rPr>
              <w:t>Leave)</w:t>
            </w:r>
          </w:p>
        </w:tc>
        <w:tc>
          <w:tcPr>
            <w:tcW w:w="720" w:type="dxa"/>
            <w:tcMar>
              <w:left w:w="0" w:type="dxa"/>
              <w:right w:w="0" w:type="dxa"/>
            </w:tcMar>
          </w:tcPr>
          <w:p w:rsidR="00027083" w:rsidRPr="004909C5" w:rsidRDefault="00027083" w:rsidP="00A32E34">
            <w:pPr>
              <w:widowControl w:val="0"/>
              <w:jc w:val="center"/>
              <w:rPr>
                <w:sz w:val="20"/>
                <w:szCs w:val="20"/>
              </w:rPr>
            </w:pPr>
          </w:p>
        </w:tc>
        <w:tc>
          <w:tcPr>
            <w:tcW w:w="4380" w:type="dxa"/>
            <w:tcMar>
              <w:left w:w="0" w:type="dxa"/>
              <w:right w:w="0" w:type="dxa"/>
            </w:tcMar>
          </w:tcPr>
          <w:p w:rsidR="00027083" w:rsidRPr="00493739" w:rsidRDefault="00027083" w:rsidP="00A32E34">
            <w:pPr>
              <w:tabs>
                <w:tab w:val="left" w:pos="-2970"/>
              </w:tabs>
              <w:jc w:val="both"/>
              <w:rPr>
                <w:sz w:val="20"/>
                <w:szCs w:val="20"/>
                <w:lang w:val="en-US"/>
              </w:rPr>
            </w:pPr>
            <w:r w:rsidRPr="00493739">
              <w:rPr>
                <w:sz w:val="20"/>
                <w:szCs w:val="20"/>
                <w:lang w:val="en-US"/>
              </w:rPr>
              <w:t>Michael A. Crystal</w:t>
            </w:r>
            <w:r>
              <w:rPr>
                <w:sz w:val="20"/>
                <w:szCs w:val="20"/>
                <w:lang w:val="en-US"/>
              </w:rPr>
              <w:t xml:space="preserve"> and </w:t>
            </w:r>
            <w:r w:rsidRPr="00493739">
              <w:rPr>
                <w:sz w:val="20"/>
                <w:szCs w:val="20"/>
                <w:lang w:val="en-US"/>
              </w:rPr>
              <w:t>Heather Cross</w:t>
            </w:r>
            <w:r>
              <w:rPr>
                <w:sz w:val="20"/>
                <w:szCs w:val="20"/>
                <w:lang w:val="en-US"/>
              </w:rPr>
              <w:t xml:space="preserve"> f</w:t>
            </w:r>
            <w:r w:rsidRPr="00493739">
              <w:rPr>
                <w:sz w:val="20"/>
                <w:szCs w:val="20"/>
                <w:lang w:val="en-US"/>
              </w:rPr>
              <w:t xml:space="preserve">or the </w:t>
            </w:r>
            <w:r>
              <w:rPr>
                <w:sz w:val="20"/>
                <w:szCs w:val="20"/>
                <w:lang w:val="en-US"/>
              </w:rPr>
              <w:t>a</w:t>
            </w:r>
            <w:r w:rsidRPr="00493739">
              <w:rPr>
                <w:sz w:val="20"/>
                <w:szCs w:val="20"/>
                <w:lang w:val="en-US"/>
              </w:rPr>
              <w:t>ppellant.</w:t>
            </w:r>
          </w:p>
          <w:p w:rsidR="00027083" w:rsidRPr="00493739" w:rsidRDefault="00027083" w:rsidP="00A32E34">
            <w:pPr>
              <w:tabs>
                <w:tab w:val="left" w:pos="-2970"/>
              </w:tabs>
              <w:jc w:val="both"/>
              <w:rPr>
                <w:sz w:val="20"/>
                <w:szCs w:val="20"/>
                <w:lang w:val="en-US"/>
              </w:rPr>
            </w:pPr>
          </w:p>
          <w:p w:rsidR="00027083" w:rsidRPr="00C50A5C" w:rsidRDefault="00027083" w:rsidP="00A32E34">
            <w:pPr>
              <w:widowControl w:val="0"/>
              <w:jc w:val="both"/>
              <w:rPr>
                <w:sz w:val="20"/>
                <w:szCs w:val="20"/>
              </w:rPr>
            </w:pPr>
            <w:r w:rsidRPr="00493739">
              <w:rPr>
                <w:sz w:val="20"/>
                <w:szCs w:val="20"/>
                <w:lang w:val="en-US"/>
              </w:rPr>
              <w:t xml:space="preserve">Holly Loubert </w:t>
            </w:r>
            <w:r>
              <w:rPr>
                <w:sz w:val="20"/>
                <w:szCs w:val="20"/>
                <w:lang w:val="en-US"/>
              </w:rPr>
              <w:t>f</w:t>
            </w:r>
            <w:r w:rsidRPr="00493739">
              <w:rPr>
                <w:sz w:val="20"/>
                <w:szCs w:val="20"/>
                <w:lang w:val="en-US"/>
              </w:rPr>
              <w:t xml:space="preserve">or the </w:t>
            </w:r>
            <w:r>
              <w:rPr>
                <w:sz w:val="20"/>
                <w:szCs w:val="20"/>
                <w:lang w:val="en-US"/>
              </w:rPr>
              <w:t>r</w:t>
            </w:r>
            <w:r w:rsidRPr="00493739">
              <w:rPr>
                <w:sz w:val="20"/>
                <w:szCs w:val="20"/>
                <w:lang w:val="en-US"/>
              </w:rPr>
              <w:t>espondent.</w:t>
            </w:r>
          </w:p>
        </w:tc>
      </w:tr>
    </w:tbl>
    <w:p w:rsidR="00027083" w:rsidRDefault="00027083" w:rsidP="00027083">
      <w:pPr>
        <w:widowControl w:val="0"/>
      </w:pPr>
    </w:p>
    <w:p w:rsidR="00027083" w:rsidRPr="00BC05EA" w:rsidRDefault="00027083" w:rsidP="00027083">
      <w:pPr>
        <w:widowControl w:val="0"/>
        <w:rPr>
          <w:sz w:val="20"/>
          <w:szCs w:val="20"/>
          <w:lang w:val="fr-CA"/>
        </w:rPr>
      </w:pPr>
      <w:r w:rsidRPr="00BC05EA">
        <w:rPr>
          <w:b/>
          <w:sz w:val="20"/>
          <w:szCs w:val="20"/>
          <w:lang w:val="fr-CA"/>
        </w:rPr>
        <w:t>DISMISSED / REJETÉ</w:t>
      </w:r>
    </w:p>
    <w:p w:rsidR="00027083" w:rsidRPr="00BC05EA" w:rsidRDefault="00027083" w:rsidP="00027083">
      <w:pPr>
        <w:rPr>
          <w:lang w:val="fr-CA"/>
        </w:rPr>
      </w:pPr>
    </w:p>
    <w:p w:rsidR="00A32E34" w:rsidRPr="00771CE4" w:rsidRDefault="00A32E34" w:rsidP="00A32E34">
      <w:pPr>
        <w:widowControl w:val="0"/>
        <w:rPr>
          <w:sz w:val="20"/>
          <w:szCs w:val="20"/>
        </w:rPr>
      </w:pPr>
      <w:r w:rsidRPr="00771CE4">
        <w:rPr>
          <w:b/>
          <w:sz w:val="20"/>
          <w:szCs w:val="20"/>
        </w:rPr>
        <w:t>2014 SCC 2 / 2014 CSC 2</w:t>
      </w:r>
    </w:p>
    <w:p w:rsidR="00027083" w:rsidRDefault="00027083" w:rsidP="00027083">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A59D0" w:rsidRPr="007C5411" w:rsidTr="00A32E34">
        <w:tc>
          <w:tcPr>
            <w:tcW w:w="4380" w:type="dxa"/>
            <w:tcMar>
              <w:left w:w="0" w:type="dxa"/>
              <w:right w:w="0" w:type="dxa"/>
            </w:tcMar>
          </w:tcPr>
          <w:p w:rsidR="008A59D0" w:rsidRPr="00CC4D84" w:rsidRDefault="008A59D0" w:rsidP="00A32E34">
            <w:pPr>
              <w:widowControl w:val="0"/>
              <w:jc w:val="both"/>
              <w:rPr>
                <w:b/>
                <w:sz w:val="20"/>
                <w:szCs w:val="20"/>
                <w:u w:val="single"/>
              </w:rPr>
            </w:pPr>
            <w:r>
              <w:rPr>
                <w:b/>
                <w:sz w:val="20"/>
                <w:szCs w:val="20"/>
                <w:u w:val="single"/>
              </w:rPr>
              <w:t>JUDGMENT</w:t>
            </w:r>
            <w:r w:rsidRPr="00CC4D84">
              <w:rPr>
                <w:b/>
                <w:sz w:val="20"/>
                <w:szCs w:val="20"/>
                <w:u w:val="single"/>
              </w:rPr>
              <w:t>:</w:t>
            </w:r>
          </w:p>
          <w:p w:rsidR="008A59D0" w:rsidRPr="001A663B" w:rsidRDefault="008A59D0" w:rsidP="00A32E34">
            <w:pPr>
              <w:widowControl w:val="0"/>
              <w:jc w:val="both"/>
              <w:rPr>
                <w:b/>
                <w:sz w:val="20"/>
                <w:szCs w:val="20"/>
              </w:rPr>
            </w:pPr>
          </w:p>
          <w:p w:rsidR="008A59D0" w:rsidRDefault="008A59D0" w:rsidP="008A59D0">
            <w:pPr>
              <w:jc w:val="both"/>
              <w:rPr>
                <w:sz w:val="20"/>
                <w:szCs w:val="20"/>
              </w:rPr>
            </w:pPr>
            <w:r w:rsidRPr="0071248C">
              <w:rPr>
                <w:sz w:val="20"/>
                <w:szCs w:val="20"/>
              </w:rPr>
              <w:t xml:space="preserve">The appeal from the judgment of the Court of Appeal for Ontario, Number C53146, 2012 ONCA 776, dated November 14, 2012, was heard on January 16, 2014, and the Court on that day delivered the following judgment orally: </w:t>
            </w:r>
          </w:p>
          <w:p w:rsidR="008A59D0" w:rsidRPr="0071248C" w:rsidRDefault="008A59D0" w:rsidP="008A59D0">
            <w:pPr>
              <w:jc w:val="both"/>
              <w:rPr>
                <w:sz w:val="20"/>
                <w:szCs w:val="20"/>
              </w:rPr>
            </w:pPr>
          </w:p>
          <w:p w:rsidR="008A59D0" w:rsidRDefault="008A59D0" w:rsidP="008A59D0">
            <w:pPr>
              <w:pStyle w:val="ParaNoNdepar-AltN"/>
              <w:numPr>
                <w:ilvl w:val="0"/>
                <w:numId w:val="0"/>
              </w:numPr>
              <w:spacing w:before="0" w:after="0" w:line="240" w:lineRule="auto"/>
              <w:rPr>
                <w:smallCaps/>
                <w:sz w:val="20"/>
                <w:szCs w:val="20"/>
                <w:lang w:val="en-US"/>
              </w:rPr>
            </w:pPr>
          </w:p>
          <w:p w:rsidR="008A59D0" w:rsidRDefault="008A59D0" w:rsidP="008A59D0">
            <w:pPr>
              <w:pStyle w:val="ParaNoNdepar-AltN"/>
              <w:numPr>
                <w:ilvl w:val="0"/>
                <w:numId w:val="0"/>
              </w:numPr>
              <w:spacing w:before="0" w:after="0" w:line="240" w:lineRule="auto"/>
              <w:rPr>
                <w:sz w:val="20"/>
                <w:szCs w:val="20"/>
                <w:lang w:val="en-CA"/>
              </w:rPr>
            </w:pPr>
            <w:r w:rsidRPr="0071248C">
              <w:rPr>
                <w:smallCaps/>
                <w:sz w:val="20"/>
                <w:szCs w:val="20"/>
                <w:lang w:val="en-US"/>
              </w:rPr>
              <w:t xml:space="preserve">Moldaver J. </w:t>
            </w:r>
            <w:r w:rsidRPr="0071248C">
              <w:rPr>
                <w:rFonts w:cs="Times New Roman"/>
                <w:smallCaps/>
                <w:sz w:val="20"/>
                <w:szCs w:val="20"/>
                <w:lang w:val="en-US"/>
              </w:rPr>
              <w:t>—</w:t>
            </w:r>
            <w:r w:rsidRPr="0071248C">
              <w:rPr>
                <w:smallCaps/>
                <w:sz w:val="20"/>
                <w:szCs w:val="20"/>
                <w:lang w:val="en-US"/>
              </w:rPr>
              <w:t xml:space="preserve"> </w:t>
            </w:r>
            <w:r w:rsidRPr="008A59D0">
              <w:rPr>
                <w:sz w:val="20"/>
                <w:szCs w:val="20"/>
                <w:lang w:val="en-CA"/>
              </w:rPr>
              <w:t>The sole issue in this appeal is whether the appellant’s trial counsel provided him with ineffective assistance, thereby resulting in a miscarriage of justice.  The appellant challenges the competence of his trial counsel on a number of grounds, the most serious being that she prevented him from testifying at trial.</w:t>
            </w:r>
          </w:p>
          <w:p w:rsidR="008A59D0" w:rsidRPr="008A59D0" w:rsidRDefault="008A59D0" w:rsidP="008A59D0">
            <w:pPr>
              <w:pStyle w:val="ParaNoNdepar-AltN"/>
              <w:numPr>
                <w:ilvl w:val="0"/>
                <w:numId w:val="0"/>
              </w:numPr>
              <w:spacing w:before="0" w:after="0" w:line="240" w:lineRule="auto"/>
              <w:rPr>
                <w:sz w:val="20"/>
                <w:szCs w:val="20"/>
                <w:lang w:val="en-CA"/>
              </w:rPr>
            </w:pPr>
          </w:p>
          <w:p w:rsidR="008A59D0" w:rsidRDefault="008A59D0" w:rsidP="008A59D0">
            <w:pPr>
              <w:pStyle w:val="ParaNoNdepar-AltN"/>
              <w:numPr>
                <w:ilvl w:val="0"/>
                <w:numId w:val="0"/>
              </w:numPr>
              <w:spacing w:before="0" w:after="0" w:line="240" w:lineRule="auto"/>
              <w:rPr>
                <w:sz w:val="20"/>
                <w:szCs w:val="20"/>
                <w:lang w:val="en-CA"/>
              </w:rPr>
            </w:pPr>
          </w:p>
          <w:p w:rsidR="008A59D0" w:rsidRDefault="008A59D0" w:rsidP="008A59D0">
            <w:pPr>
              <w:pStyle w:val="ParaNoNdepar-AltN"/>
              <w:numPr>
                <w:ilvl w:val="0"/>
                <w:numId w:val="0"/>
              </w:numPr>
              <w:spacing w:before="0" w:after="0" w:line="240" w:lineRule="auto"/>
              <w:rPr>
                <w:sz w:val="20"/>
                <w:szCs w:val="20"/>
                <w:lang w:val="en-CA"/>
              </w:rPr>
            </w:pPr>
            <w:r w:rsidRPr="008A59D0">
              <w:rPr>
                <w:sz w:val="20"/>
                <w:szCs w:val="20"/>
                <w:lang w:val="en-CA"/>
              </w:rPr>
              <w:t>The Court of Appeal rejected the appellant’s submissions (2012 ONCA 776 (CanLII)).  While the court did not specifically address all of</w:t>
            </w:r>
            <w:r w:rsidR="008F0639">
              <w:rPr>
                <w:sz w:val="20"/>
                <w:szCs w:val="20"/>
                <w:lang w:val="en-CA"/>
              </w:rPr>
              <w:t xml:space="preserve"> </w:t>
            </w:r>
            <w:r w:rsidRPr="008A59D0">
              <w:rPr>
                <w:sz w:val="20"/>
                <w:szCs w:val="20"/>
                <w:lang w:val="en-CA"/>
              </w:rPr>
              <w:t xml:space="preserve">the appellant’s many, and continually growing list of ineffective assistance claims, it found that they either lacked an evidentiary foundation or did not result in prejudice.  In so concluding, the court carefully considered the record at trial, along with the fresh evidence filed on the appeal, and applied the correct legal principles.  It made findings of fact based on this record.  In making these findings, the Court of Appeal acted as a court of first instance.  Its findings, like those of a trial judge, are entitled to deference (see </w:t>
            </w:r>
            <w:r w:rsidRPr="008A59D0">
              <w:rPr>
                <w:i/>
                <w:sz w:val="20"/>
                <w:szCs w:val="20"/>
                <w:lang w:val="en-CA"/>
              </w:rPr>
              <w:t>R. v. Yumnu</w:t>
            </w:r>
            <w:r w:rsidRPr="008A59D0">
              <w:rPr>
                <w:sz w:val="20"/>
                <w:szCs w:val="20"/>
                <w:lang w:val="en-CA"/>
              </w:rPr>
              <w:t xml:space="preserve">, 2012 SCC 73, </w:t>
            </w:r>
            <w:r w:rsidRPr="0071248C">
              <w:rPr>
                <w:sz w:val="20"/>
                <w:szCs w:val="20"/>
                <w:lang w:val="en-US"/>
              </w:rPr>
              <w:t>[</w:t>
            </w:r>
            <w:r w:rsidRPr="008A59D0">
              <w:rPr>
                <w:sz w:val="20"/>
                <w:szCs w:val="20"/>
                <w:lang w:val="en-CA"/>
              </w:rPr>
              <w:t>2012] 3 S.C.R. 777, at para. 17).</w:t>
            </w:r>
          </w:p>
          <w:p w:rsidR="008A59D0" w:rsidRDefault="008A59D0" w:rsidP="008A59D0">
            <w:pPr>
              <w:pStyle w:val="ParaNoNdepar-AltN"/>
              <w:numPr>
                <w:ilvl w:val="0"/>
                <w:numId w:val="0"/>
              </w:numPr>
              <w:spacing w:before="0" w:after="0" w:line="240" w:lineRule="auto"/>
              <w:rPr>
                <w:sz w:val="20"/>
                <w:szCs w:val="20"/>
                <w:lang w:val="en-CA"/>
              </w:rPr>
            </w:pPr>
          </w:p>
          <w:p w:rsidR="008A59D0" w:rsidRDefault="008A59D0" w:rsidP="008A59D0">
            <w:pPr>
              <w:pStyle w:val="ParaNoNdepar-AltN"/>
              <w:numPr>
                <w:ilvl w:val="0"/>
                <w:numId w:val="0"/>
              </w:numPr>
              <w:spacing w:before="0" w:after="0" w:line="240" w:lineRule="auto"/>
              <w:rPr>
                <w:sz w:val="20"/>
                <w:szCs w:val="20"/>
                <w:lang w:val="en-CA"/>
              </w:rPr>
            </w:pPr>
          </w:p>
          <w:p w:rsidR="008A59D0" w:rsidRDefault="008A59D0" w:rsidP="008A59D0">
            <w:pPr>
              <w:pStyle w:val="ParaNoNdepar-AltN"/>
              <w:numPr>
                <w:ilvl w:val="0"/>
                <w:numId w:val="0"/>
              </w:numPr>
              <w:spacing w:before="0" w:after="0" w:line="240" w:lineRule="auto"/>
              <w:rPr>
                <w:sz w:val="20"/>
                <w:szCs w:val="20"/>
                <w:lang w:val="en-CA"/>
              </w:rPr>
            </w:pPr>
          </w:p>
          <w:p w:rsidR="008A59D0" w:rsidRDefault="008A59D0" w:rsidP="008A59D0">
            <w:pPr>
              <w:pStyle w:val="ParaNoNdepar-AltN"/>
              <w:numPr>
                <w:ilvl w:val="0"/>
                <w:numId w:val="0"/>
              </w:numPr>
              <w:spacing w:before="0" w:after="0" w:line="240" w:lineRule="auto"/>
              <w:rPr>
                <w:sz w:val="20"/>
                <w:szCs w:val="20"/>
                <w:lang w:val="en-CA"/>
              </w:rPr>
            </w:pPr>
          </w:p>
          <w:p w:rsidR="008A59D0" w:rsidRPr="008A59D0" w:rsidRDefault="008A59D0" w:rsidP="008A59D0">
            <w:pPr>
              <w:pStyle w:val="ParaNoNdepar-AltN"/>
              <w:numPr>
                <w:ilvl w:val="0"/>
                <w:numId w:val="0"/>
              </w:numPr>
              <w:spacing w:before="0" w:after="0" w:line="240" w:lineRule="auto"/>
              <w:rPr>
                <w:sz w:val="20"/>
                <w:szCs w:val="20"/>
                <w:lang w:val="en-CA"/>
              </w:rPr>
            </w:pPr>
          </w:p>
          <w:p w:rsidR="008A59D0" w:rsidRDefault="008A59D0" w:rsidP="008A59D0">
            <w:pPr>
              <w:pStyle w:val="ParaNoNdepar-AltN"/>
              <w:numPr>
                <w:ilvl w:val="0"/>
                <w:numId w:val="0"/>
              </w:numPr>
              <w:spacing w:before="0" w:after="0" w:line="240" w:lineRule="auto"/>
              <w:rPr>
                <w:sz w:val="20"/>
                <w:szCs w:val="20"/>
                <w:lang w:val="en-CA"/>
              </w:rPr>
            </w:pPr>
            <w:r w:rsidRPr="008A59D0">
              <w:rPr>
                <w:sz w:val="20"/>
                <w:szCs w:val="20"/>
                <w:lang w:val="en-CA"/>
              </w:rPr>
              <w:t>The Court of Appeal’s findings are supported by the record.  Contrary to the appellant’s submissions, the court found that he had agreed with counsel that he would not testify.  The court also rejected the appellant’s argument that trial counsel had acted incompetently by failing to prepare him to testify.  The court noted that the appellant could have been granted an adjournment had there been any suggestion he wanted to testify, and that extensive preparation was unnecessary.  Moreover, the court found that trial counsel had not acted ineffectively in failing to call the father of one of the complainants as a witness because there was no evidence before the court, other than the appellant’s assertion, indicating what this witness would say or how he could be located.  Finally, the Court of Appeal found that while counsel’s cross-examination of one of the complainants was “perhaps not stellar” (at para. 24), it did not fall outside the realm of reasonable professional assistance.</w:t>
            </w:r>
          </w:p>
          <w:p w:rsidR="008A59D0" w:rsidRPr="00A32E34" w:rsidRDefault="008A59D0" w:rsidP="008A59D0">
            <w:pPr>
              <w:pStyle w:val="ParaNoNdepar-AltN"/>
              <w:numPr>
                <w:ilvl w:val="0"/>
                <w:numId w:val="0"/>
              </w:numPr>
              <w:spacing w:before="0" w:after="0" w:line="240" w:lineRule="auto"/>
              <w:rPr>
                <w:sz w:val="20"/>
                <w:szCs w:val="20"/>
                <w:lang w:val="en-CA"/>
              </w:rPr>
            </w:pPr>
          </w:p>
          <w:p w:rsidR="008A59D0" w:rsidRPr="00A32E34" w:rsidRDefault="008A59D0" w:rsidP="008A59D0">
            <w:pPr>
              <w:pStyle w:val="ParaNoNdepar-AltN"/>
              <w:numPr>
                <w:ilvl w:val="0"/>
                <w:numId w:val="0"/>
              </w:numPr>
              <w:spacing w:before="0" w:after="0" w:line="240" w:lineRule="auto"/>
              <w:rPr>
                <w:sz w:val="20"/>
                <w:szCs w:val="20"/>
                <w:lang w:val="en-CA"/>
              </w:rPr>
            </w:pPr>
          </w:p>
          <w:p w:rsidR="008A59D0" w:rsidRPr="00A32E34" w:rsidRDefault="008A59D0" w:rsidP="008A59D0">
            <w:pPr>
              <w:pStyle w:val="ParaNoNdepar-AltN"/>
              <w:numPr>
                <w:ilvl w:val="0"/>
                <w:numId w:val="0"/>
              </w:numPr>
              <w:spacing w:before="0" w:after="0" w:line="240" w:lineRule="auto"/>
              <w:rPr>
                <w:sz w:val="20"/>
                <w:szCs w:val="20"/>
                <w:lang w:val="en-CA"/>
              </w:rPr>
            </w:pPr>
          </w:p>
          <w:p w:rsidR="008A59D0" w:rsidRPr="00A32E34" w:rsidRDefault="008A59D0" w:rsidP="008A59D0">
            <w:pPr>
              <w:pStyle w:val="ParaNoNdepar-AltN"/>
              <w:numPr>
                <w:ilvl w:val="0"/>
                <w:numId w:val="0"/>
              </w:numPr>
              <w:spacing w:before="0" w:after="0" w:line="240" w:lineRule="auto"/>
              <w:rPr>
                <w:sz w:val="20"/>
                <w:szCs w:val="20"/>
                <w:lang w:val="en-CA"/>
              </w:rPr>
            </w:pPr>
          </w:p>
          <w:p w:rsidR="008A59D0" w:rsidRPr="00C1697B" w:rsidRDefault="008A59D0" w:rsidP="00E6551C">
            <w:pPr>
              <w:jc w:val="both"/>
              <w:rPr>
                <w:b/>
                <w:sz w:val="20"/>
                <w:szCs w:val="20"/>
              </w:rPr>
            </w:pPr>
            <w:r w:rsidRPr="0071248C">
              <w:rPr>
                <w:sz w:val="20"/>
                <w:szCs w:val="20"/>
              </w:rPr>
              <w:t>In sum, we see no error in the Court of Appeal’s analysis or conclusion.  For these reasons, we would dismiss the appeal.</w:t>
            </w:r>
          </w:p>
        </w:tc>
        <w:tc>
          <w:tcPr>
            <w:tcW w:w="720" w:type="dxa"/>
            <w:tcMar>
              <w:left w:w="0" w:type="dxa"/>
              <w:right w:w="0" w:type="dxa"/>
            </w:tcMar>
          </w:tcPr>
          <w:p w:rsidR="008A59D0" w:rsidRPr="00C1697B" w:rsidRDefault="008A59D0" w:rsidP="00A32E34">
            <w:pPr>
              <w:widowControl w:val="0"/>
              <w:jc w:val="center"/>
              <w:rPr>
                <w:sz w:val="20"/>
                <w:szCs w:val="20"/>
              </w:rPr>
            </w:pPr>
          </w:p>
        </w:tc>
        <w:tc>
          <w:tcPr>
            <w:tcW w:w="4380" w:type="dxa"/>
            <w:tcMar>
              <w:left w:w="0" w:type="dxa"/>
              <w:right w:w="0" w:type="dxa"/>
            </w:tcMar>
          </w:tcPr>
          <w:p w:rsidR="008A59D0" w:rsidRPr="00CC4D84" w:rsidRDefault="008A59D0" w:rsidP="00A32E34">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8A59D0" w:rsidRPr="00C1697B" w:rsidRDefault="008A59D0" w:rsidP="00A32E34">
            <w:pPr>
              <w:widowControl w:val="0"/>
              <w:jc w:val="both"/>
              <w:rPr>
                <w:sz w:val="20"/>
                <w:szCs w:val="20"/>
                <w:lang w:val="fr-CA"/>
              </w:rPr>
            </w:pPr>
          </w:p>
          <w:p w:rsidR="008A59D0" w:rsidRPr="0071248C" w:rsidRDefault="008A59D0" w:rsidP="008A59D0">
            <w:pPr>
              <w:jc w:val="both"/>
              <w:rPr>
                <w:sz w:val="20"/>
                <w:szCs w:val="20"/>
                <w:lang w:val="fr-CA"/>
              </w:rPr>
            </w:pPr>
            <w:r w:rsidRPr="0071248C">
              <w:rPr>
                <w:sz w:val="20"/>
                <w:szCs w:val="20"/>
                <w:lang w:val="fr-CA"/>
              </w:rPr>
              <w:t>L’appel interjeté contre l’arrêt de la Cour d’appel de l’Ontario, numéro C53146, 2012 ONCA 776, en date du 14 novembre 2012, a été entendu le 16 janvier 2014, et la Cour a prononcé oralement le même jour le jugement suivant:</w:t>
            </w:r>
          </w:p>
          <w:p w:rsidR="008A59D0" w:rsidRPr="0071248C" w:rsidRDefault="008A59D0" w:rsidP="008A59D0">
            <w:pPr>
              <w:jc w:val="both"/>
              <w:rPr>
                <w:sz w:val="20"/>
                <w:szCs w:val="20"/>
                <w:lang w:val="fr-CA"/>
              </w:rPr>
            </w:pPr>
          </w:p>
          <w:p w:rsidR="008A59D0" w:rsidRPr="0071248C" w:rsidRDefault="008A59D0" w:rsidP="008A59D0">
            <w:pPr>
              <w:jc w:val="both"/>
              <w:rPr>
                <w:sz w:val="20"/>
                <w:szCs w:val="20"/>
                <w:lang w:val="fr-CA"/>
              </w:rPr>
            </w:pPr>
            <w:r w:rsidRPr="0071248C">
              <w:rPr>
                <w:sz w:val="20"/>
                <w:szCs w:val="20"/>
                <w:lang w:val="fr-CA"/>
              </w:rPr>
              <w:t>[</w:t>
            </w:r>
            <w:r w:rsidRPr="0071248C">
              <w:rPr>
                <w:smallCaps/>
                <w:sz w:val="20"/>
                <w:szCs w:val="20"/>
                <w:lang w:val="fr-CA"/>
              </w:rPr>
              <w:t>traduction</w:t>
            </w:r>
            <w:r w:rsidRPr="0071248C">
              <w:rPr>
                <w:sz w:val="20"/>
                <w:szCs w:val="20"/>
                <w:lang w:val="fr-CA"/>
              </w:rPr>
              <w:t>]</w:t>
            </w:r>
          </w:p>
          <w:p w:rsidR="008A59D0" w:rsidRDefault="008A59D0" w:rsidP="008A59D0">
            <w:pPr>
              <w:jc w:val="both"/>
              <w:rPr>
                <w:sz w:val="20"/>
                <w:szCs w:val="20"/>
                <w:lang w:val="fr-CA"/>
              </w:rPr>
            </w:pPr>
            <w:r w:rsidRPr="0071248C">
              <w:rPr>
                <w:sz w:val="20"/>
                <w:szCs w:val="20"/>
                <w:lang w:val="fr-CA"/>
              </w:rPr>
              <w:t>L</w:t>
            </w:r>
            <w:r w:rsidRPr="0071248C">
              <w:rPr>
                <w:smallCaps/>
                <w:sz w:val="20"/>
                <w:szCs w:val="20"/>
                <w:lang w:val="fr-CA"/>
              </w:rPr>
              <w:t>e</w:t>
            </w:r>
            <w:r w:rsidRPr="0071248C">
              <w:rPr>
                <w:sz w:val="20"/>
                <w:szCs w:val="20"/>
                <w:lang w:val="fr-CA"/>
              </w:rPr>
              <w:t xml:space="preserve"> </w:t>
            </w:r>
            <w:r w:rsidRPr="0071248C">
              <w:rPr>
                <w:smallCaps/>
                <w:sz w:val="20"/>
                <w:szCs w:val="20"/>
                <w:lang w:val="fr-CA"/>
              </w:rPr>
              <w:t xml:space="preserve">juge Moldaver </w:t>
            </w:r>
            <w:r w:rsidRPr="0071248C">
              <w:rPr>
                <w:rFonts w:cs="Times New Roman"/>
                <w:smallCaps/>
                <w:sz w:val="20"/>
                <w:szCs w:val="20"/>
                <w:lang w:val="fr-CA"/>
              </w:rPr>
              <w:t xml:space="preserve">— </w:t>
            </w:r>
            <w:r w:rsidRPr="0071248C">
              <w:rPr>
                <w:rFonts w:cs="Times New Roman"/>
                <w:sz w:val="20"/>
                <w:szCs w:val="20"/>
                <w:lang w:val="fr-CA"/>
              </w:rPr>
              <w:t>La seule question en litige dans le présent pourvoi est de savoir si l’avocate de l’appelant au procès lui a fourni une assistance ineffective et s’il en a résulté une erreur judiciaire.  L’appelant met en doute la compétence de l’avocate qui l’a représenté au procès, et ce, pour différentes raisons, la plus grave étant qu’elle l’a empêché de témoigner au procès</w:t>
            </w:r>
            <w:r w:rsidRPr="0071248C">
              <w:rPr>
                <w:sz w:val="20"/>
                <w:szCs w:val="20"/>
                <w:lang w:val="fr-CA"/>
              </w:rPr>
              <w:t>.</w:t>
            </w:r>
          </w:p>
          <w:p w:rsidR="008A59D0" w:rsidRPr="0071248C" w:rsidRDefault="008A59D0" w:rsidP="008A59D0">
            <w:pPr>
              <w:jc w:val="both"/>
              <w:rPr>
                <w:sz w:val="20"/>
                <w:szCs w:val="20"/>
                <w:lang w:val="fr-CA"/>
              </w:rPr>
            </w:pPr>
          </w:p>
          <w:p w:rsidR="008A59D0" w:rsidRPr="0071248C" w:rsidRDefault="008A59D0" w:rsidP="008A59D0">
            <w:pPr>
              <w:spacing w:after="240"/>
              <w:jc w:val="both"/>
              <w:rPr>
                <w:sz w:val="20"/>
                <w:szCs w:val="20"/>
                <w:lang w:val="fr-CA"/>
              </w:rPr>
            </w:pPr>
            <w:r w:rsidRPr="0071248C">
              <w:rPr>
                <w:sz w:val="20"/>
                <w:szCs w:val="20"/>
                <w:lang w:val="fr-CA"/>
              </w:rPr>
              <w:t xml:space="preserve">La Cour d’appel a rejeté les prétentions de l’appelant (2012 ONCA 776 (CanLII)).  Bien qu’elle n’ait pas traité expressément de toutes les nombreuses allégations d’assistance ineffective – dont la liste n’a cessé de s’allonger – invoquées par l’appelant, la Cour d’appel a conclu que ces allégations n’étaient appuyées par aucun élément de preuve ou encore qu’elles n’avaient pas causé de préjudice.   Pour arriver à cette conclusion, la Cour d’appel a soigneusement examiné le dossier de première instance ainsi que la nouvelle preuve produite en appel, et appliqué les bons principes juridiques.  Elle a tiré des conclusions de fait basées sur ce dossier. En tirant ces conclusions, elle a agi comme un tribunal de première instance.  Ses conclusions, à l’instar de celles d’un juge de première instance, commandent la déférence (voir </w:t>
            </w:r>
            <w:r w:rsidRPr="0071248C">
              <w:rPr>
                <w:i/>
                <w:sz w:val="20"/>
                <w:szCs w:val="20"/>
                <w:lang w:val="fr-CA"/>
              </w:rPr>
              <w:t>R. c. Yumnu</w:t>
            </w:r>
            <w:r w:rsidRPr="0071248C">
              <w:rPr>
                <w:sz w:val="20"/>
                <w:szCs w:val="20"/>
                <w:lang w:val="fr-CA"/>
              </w:rPr>
              <w:t xml:space="preserve">, 2012 CSC 73, [2012] 3 </w:t>
            </w:r>
            <w:r w:rsidRPr="0071248C">
              <w:rPr>
                <w:sz w:val="20"/>
                <w:szCs w:val="20"/>
                <w:lang w:val="fr-CA"/>
              </w:rPr>
              <w:lastRenderedPageBreak/>
              <w:t>R.C.S. 777, par. 17).</w:t>
            </w:r>
          </w:p>
          <w:p w:rsidR="008A59D0" w:rsidRPr="0071248C" w:rsidRDefault="008A59D0" w:rsidP="008A59D0">
            <w:pPr>
              <w:jc w:val="both"/>
              <w:rPr>
                <w:sz w:val="20"/>
                <w:szCs w:val="20"/>
                <w:lang w:val="fr-CA"/>
              </w:rPr>
            </w:pPr>
            <w:r w:rsidRPr="0071248C">
              <w:rPr>
                <w:sz w:val="20"/>
                <w:szCs w:val="20"/>
                <w:lang w:val="fr-CA"/>
              </w:rPr>
              <w:t>Les conclusions de la Cour d’appel sont étayées par le dossier.  Contrairement aux allégations de l’appelant, la Cour d’appel a jugé que ce dernier avait été d’accord avec son avocate à propos de la décision de ne pas témoigner.  Elle a aussi rejeté l’argument de l’appelant selon lequel son avocate au procès avait fait preuve d’incompétence en ne le préparant pas à témoigner.  La Cour d’appel a souligné d’une part que l’appelant aurait pu obtenir un ajournement s’il y avait eu quelque suggestion qu’il voulait témoigner, et d’autre part qu’une longue préparation n’aurait pas été nécessaire.  En outre, la Cour d’appel a statué que l’avocate n’avait pas agi de manière ineffective en n’appelant pas comme témoin le père d’une des plaignantes, car, exception faite des assertions de l’appelant, il n’y avait devant la cour aucun élément de preuve indiquant ce que dirait ce témoin ou comment il pourrait être retrouvé.  Enfin, la Cour d’appel a jugé que, même si le contre-interrogatoire de l’une des plaignantes par l’avocate n’avait [</w:t>
            </w:r>
            <w:r w:rsidRPr="0071248C">
              <w:rPr>
                <w:smallCaps/>
                <w:sz w:val="20"/>
                <w:szCs w:val="20"/>
                <w:lang w:val="fr-CA"/>
              </w:rPr>
              <w:t>traduction</w:t>
            </w:r>
            <w:r w:rsidRPr="0071248C">
              <w:rPr>
                <w:sz w:val="20"/>
                <w:szCs w:val="20"/>
                <w:lang w:val="fr-CA"/>
              </w:rPr>
              <w:t>] « peut-être pas été exceptionnel » (par. 24), il était demeuré à l’intérieur des limites de l’assistance professionnelle raisonnable.</w:t>
            </w:r>
          </w:p>
          <w:p w:rsidR="008A59D0" w:rsidRPr="0071248C" w:rsidRDefault="008A59D0" w:rsidP="008A59D0">
            <w:pPr>
              <w:jc w:val="both"/>
              <w:rPr>
                <w:sz w:val="20"/>
                <w:szCs w:val="20"/>
                <w:lang w:val="fr-CA"/>
              </w:rPr>
            </w:pPr>
          </w:p>
          <w:p w:rsidR="008A59D0" w:rsidRPr="00C1697B" w:rsidRDefault="008A59D0" w:rsidP="008A59D0">
            <w:pPr>
              <w:jc w:val="both"/>
              <w:rPr>
                <w:sz w:val="20"/>
                <w:szCs w:val="20"/>
                <w:lang w:val="fr-CA"/>
              </w:rPr>
            </w:pPr>
            <w:r w:rsidRPr="0071248C">
              <w:rPr>
                <w:sz w:val="20"/>
                <w:szCs w:val="20"/>
                <w:lang w:val="fr-CA"/>
              </w:rPr>
              <w:t>En résumé, nous ne relevons aucune erreur dans l’analyse ou la conclusion de la Cour d’appel.  Pour ces motifs, nous sommes d’avis de rejeter le pourvoi.</w:t>
            </w:r>
          </w:p>
        </w:tc>
      </w:tr>
    </w:tbl>
    <w:p w:rsidR="008A59D0" w:rsidRDefault="008A59D0" w:rsidP="00027083">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32E34" w:rsidRPr="007C5411" w:rsidTr="00A32E34">
        <w:tc>
          <w:tcPr>
            <w:tcW w:w="4380" w:type="dxa"/>
            <w:tcMar>
              <w:left w:w="0" w:type="dxa"/>
              <w:right w:w="0" w:type="dxa"/>
            </w:tcMar>
          </w:tcPr>
          <w:p w:rsidR="00A32E34" w:rsidRPr="00CC4D84" w:rsidRDefault="00A32E34" w:rsidP="00A32E34">
            <w:pPr>
              <w:widowControl w:val="0"/>
              <w:jc w:val="both"/>
              <w:rPr>
                <w:b/>
                <w:sz w:val="20"/>
                <w:szCs w:val="20"/>
                <w:u w:val="single"/>
              </w:rPr>
            </w:pPr>
            <w:r w:rsidRPr="00CC4D84">
              <w:rPr>
                <w:b/>
                <w:sz w:val="20"/>
                <w:szCs w:val="20"/>
                <w:u w:val="single"/>
              </w:rPr>
              <w:t>Nature of the case:</w:t>
            </w:r>
          </w:p>
          <w:p w:rsidR="00A32E34" w:rsidRPr="00C1697B" w:rsidRDefault="00A32E34" w:rsidP="00A32E34">
            <w:pPr>
              <w:widowControl w:val="0"/>
              <w:jc w:val="both"/>
              <w:rPr>
                <w:b/>
                <w:sz w:val="20"/>
                <w:szCs w:val="20"/>
              </w:rPr>
            </w:pPr>
          </w:p>
          <w:p w:rsidR="00A32E34" w:rsidRPr="00A6121B" w:rsidRDefault="00A32E34" w:rsidP="00A32E34">
            <w:pPr>
              <w:widowControl w:val="0"/>
              <w:jc w:val="both"/>
              <w:rPr>
                <w:sz w:val="20"/>
                <w:szCs w:val="20"/>
              </w:rPr>
            </w:pPr>
            <w:r w:rsidRPr="00A6121B">
              <w:rPr>
                <w:sz w:val="20"/>
                <w:szCs w:val="20"/>
              </w:rPr>
              <w:t>(</w:t>
            </w:r>
            <w:r w:rsidRPr="00A6121B">
              <w:rPr>
                <w:smallCaps/>
                <w:sz w:val="20"/>
                <w:szCs w:val="20"/>
              </w:rPr>
              <w:t>Publication Ban in Case</w:t>
            </w:r>
            <w:r w:rsidRPr="00A6121B">
              <w:rPr>
                <w:sz w:val="20"/>
                <w:szCs w:val="20"/>
              </w:rPr>
              <w:t xml:space="preserve">) </w:t>
            </w:r>
          </w:p>
          <w:p w:rsidR="00A32E34" w:rsidRPr="00A6121B" w:rsidRDefault="00A32E34" w:rsidP="00A32E34">
            <w:pPr>
              <w:jc w:val="both"/>
              <w:rPr>
                <w:sz w:val="20"/>
                <w:szCs w:val="20"/>
              </w:rPr>
            </w:pPr>
          </w:p>
          <w:p w:rsidR="00A32E34" w:rsidRDefault="00A32E34" w:rsidP="00A32E34">
            <w:pPr>
              <w:widowControl w:val="0"/>
              <w:jc w:val="both"/>
              <w:rPr>
                <w:sz w:val="20"/>
                <w:szCs w:val="20"/>
              </w:rPr>
            </w:pPr>
          </w:p>
          <w:p w:rsidR="00A32E34" w:rsidRPr="00C1697B" w:rsidRDefault="00A32E34" w:rsidP="00A32E34">
            <w:pPr>
              <w:widowControl w:val="0"/>
              <w:jc w:val="both"/>
              <w:rPr>
                <w:b/>
                <w:sz w:val="20"/>
                <w:szCs w:val="20"/>
              </w:rPr>
            </w:pPr>
            <w:r w:rsidRPr="00A6121B">
              <w:rPr>
                <w:sz w:val="20"/>
                <w:szCs w:val="20"/>
              </w:rPr>
              <w:t>Criminal law - Trial - Ineffective assistance of counsel - Accused not testifying at trial - Whether a miscarriage of justice occurred because the accused did not give informed consent to trial counsel’s decision to refrain from calling him as a witness in his own defence - Whether the Court of Appeal erred in ascribing any weight to the accused’s “agreement” not to testify - Whether the Court of Appeal erred in finding that the accused’s acquiescence in trial counsel’s decision to refrain from calling him to testify constituted informed consent.</w:t>
            </w:r>
          </w:p>
        </w:tc>
        <w:tc>
          <w:tcPr>
            <w:tcW w:w="720" w:type="dxa"/>
            <w:tcMar>
              <w:left w:w="0" w:type="dxa"/>
              <w:right w:w="0" w:type="dxa"/>
            </w:tcMar>
          </w:tcPr>
          <w:p w:rsidR="00A32E34" w:rsidRPr="00C1697B" w:rsidRDefault="00A32E34" w:rsidP="00A32E34">
            <w:pPr>
              <w:widowControl w:val="0"/>
              <w:jc w:val="center"/>
              <w:rPr>
                <w:sz w:val="20"/>
                <w:szCs w:val="20"/>
              </w:rPr>
            </w:pPr>
          </w:p>
        </w:tc>
        <w:tc>
          <w:tcPr>
            <w:tcW w:w="4380" w:type="dxa"/>
            <w:tcMar>
              <w:left w:w="0" w:type="dxa"/>
              <w:right w:w="0" w:type="dxa"/>
            </w:tcMar>
          </w:tcPr>
          <w:p w:rsidR="00A32E34" w:rsidRPr="00CC4D84" w:rsidRDefault="00A32E34" w:rsidP="00A32E34">
            <w:pPr>
              <w:widowControl w:val="0"/>
              <w:jc w:val="both"/>
              <w:rPr>
                <w:b/>
                <w:sz w:val="20"/>
                <w:szCs w:val="20"/>
                <w:u w:val="single"/>
                <w:lang w:val="fr-CA"/>
              </w:rPr>
            </w:pPr>
            <w:r w:rsidRPr="00CC4D84">
              <w:rPr>
                <w:b/>
                <w:sz w:val="20"/>
                <w:szCs w:val="20"/>
                <w:u w:val="single"/>
                <w:lang w:val="fr-CA"/>
              </w:rPr>
              <w:t>Nature de la cause :</w:t>
            </w:r>
          </w:p>
          <w:p w:rsidR="00A32E34" w:rsidRPr="00C1697B" w:rsidRDefault="00A32E34" w:rsidP="00A32E34">
            <w:pPr>
              <w:widowControl w:val="0"/>
              <w:jc w:val="both"/>
              <w:rPr>
                <w:sz w:val="20"/>
                <w:szCs w:val="20"/>
                <w:lang w:val="fr-CA"/>
              </w:rPr>
            </w:pPr>
          </w:p>
          <w:p w:rsidR="00A32E34" w:rsidRPr="008B366D" w:rsidRDefault="00A32E34" w:rsidP="00A32E34">
            <w:pPr>
              <w:widowControl w:val="0"/>
              <w:jc w:val="both"/>
              <w:rPr>
                <w:sz w:val="20"/>
                <w:szCs w:val="20"/>
                <w:lang w:val="fr-CA"/>
              </w:rPr>
            </w:pPr>
            <w:r w:rsidRPr="008B366D">
              <w:rPr>
                <w:sz w:val="20"/>
                <w:szCs w:val="20"/>
                <w:lang w:val="fr-CA"/>
              </w:rPr>
              <w:t>(</w:t>
            </w:r>
            <w:r w:rsidRPr="008B366D">
              <w:rPr>
                <w:smallCaps/>
                <w:sz w:val="20"/>
                <w:szCs w:val="20"/>
                <w:lang w:val="fr-CA"/>
              </w:rPr>
              <w:t>Ordonnance de non-publication dans le dossier</w:t>
            </w:r>
            <w:r w:rsidRPr="008B366D">
              <w:rPr>
                <w:sz w:val="20"/>
                <w:szCs w:val="20"/>
                <w:lang w:val="fr-CA"/>
              </w:rPr>
              <w:t xml:space="preserve">) </w:t>
            </w:r>
          </w:p>
          <w:p w:rsidR="00A32E34" w:rsidRPr="008B366D" w:rsidRDefault="00A32E34" w:rsidP="00A32E34">
            <w:pPr>
              <w:jc w:val="both"/>
              <w:rPr>
                <w:sz w:val="20"/>
                <w:szCs w:val="20"/>
                <w:lang w:val="fr-CA"/>
              </w:rPr>
            </w:pPr>
          </w:p>
          <w:p w:rsidR="00A32E34" w:rsidRPr="00C1697B" w:rsidRDefault="00A32E34" w:rsidP="00A32E34">
            <w:pPr>
              <w:jc w:val="both"/>
              <w:rPr>
                <w:sz w:val="20"/>
                <w:szCs w:val="20"/>
                <w:lang w:val="fr-CA"/>
              </w:rPr>
            </w:pPr>
            <w:r w:rsidRPr="008B366D">
              <w:rPr>
                <w:sz w:val="20"/>
                <w:szCs w:val="20"/>
                <w:lang w:val="fr-CA"/>
              </w:rPr>
              <w:t>Droit criminel - Procès - Assistance inefficace de l’avocat - L’accusé n’a pas témoigné au procès - Y a-t-il eu erreur judiciaire du fait que l’accusé n’avait pas donné son consentement éclairé à la décision de son avocate au procès de ne pas l’avoir cité comme témoin pour sa propre défense? - La Cour d’appel a-t-elle eu tort d’avoir accordé de l’importance au fait que l’accusé avait « accepté » de ne pas témoigner? - La Cour d’appel a-t-elle eu tort de conclure que l’acquiescement de l’accusé à la décision de l’avocate au procès de ne pas l’avoir appelé à témoigner constituait un consentement éclairé?</w:t>
            </w:r>
          </w:p>
        </w:tc>
      </w:tr>
    </w:tbl>
    <w:p w:rsidR="00A32E34" w:rsidRDefault="00A32E34" w:rsidP="00027083">
      <w:pPr>
        <w:widowControl w:val="0"/>
        <w:rPr>
          <w:sz w:val="20"/>
          <w:szCs w:val="20"/>
          <w:lang w:val="fr-CA"/>
        </w:rPr>
      </w:pPr>
    </w:p>
    <w:p w:rsidR="00027083" w:rsidRDefault="007C5411" w:rsidP="00027083">
      <w:pPr>
        <w:widowControl w:val="0"/>
        <w:rPr>
          <w:sz w:val="20"/>
          <w:szCs w:val="20"/>
        </w:rPr>
      </w:pPr>
      <w:r>
        <w:rPr>
          <w:sz w:val="20"/>
          <w:szCs w:val="20"/>
          <w:lang w:val="fr-CA"/>
        </w:rPr>
        <w:pict>
          <v:rect id="_x0000_i1078" style="width:2in;height:1pt" o:hrpct="0" o:hralign="center" o:hrstd="t" o:hrnoshade="t" o:hr="t" fillcolor="black [3213]" stroked="f"/>
        </w:pict>
      </w:r>
    </w:p>
    <w:p w:rsidR="00027083" w:rsidRDefault="00027083" w:rsidP="00027083">
      <w:pPr>
        <w:widowControl w:val="0"/>
        <w:rPr>
          <w:sz w:val="20"/>
          <w:szCs w:val="20"/>
        </w:rPr>
      </w:pPr>
    </w:p>
    <w:p w:rsidR="00027083" w:rsidRPr="00C50A5C" w:rsidRDefault="00027083" w:rsidP="00027083">
      <w:pPr>
        <w:widowControl w:val="0"/>
        <w:rPr>
          <w:sz w:val="20"/>
          <w:szCs w:val="20"/>
        </w:rPr>
      </w:pPr>
      <w:r>
        <w:rPr>
          <w:sz w:val="20"/>
          <w:szCs w:val="20"/>
        </w:rPr>
        <w:t>17</w:t>
      </w:r>
      <w:r w:rsidRPr="00C50A5C">
        <w:rPr>
          <w:sz w:val="20"/>
          <w:szCs w:val="20"/>
        </w:rPr>
        <w:t>.0</w:t>
      </w:r>
      <w:r>
        <w:rPr>
          <w:sz w:val="20"/>
          <w:szCs w:val="20"/>
        </w:rPr>
        <w:t>1</w:t>
      </w:r>
      <w:r w:rsidRPr="00C50A5C">
        <w:rPr>
          <w:sz w:val="20"/>
          <w:szCs w:val="20"/>
        </w:rPr>
        <w:t>.201</w:t>
      </w:r>
      <w:r>
        <w:rPr>
          <w:sz w:val="20"/>
          <w:szCs w:val="20"/>
        </w:rPr>
        <w:t>4</w:t>
      </w:r>
    </w:p>
    <w:p w:rsidR="00027083" w:rsidRPr="00C50A5C" w:rsidRDefault="00027083" w:rsidP="00027083">
      <w:pPr>
        <w:widowControl w:val="0"/>
        <w:rPr>
          <w:sz w:val="20"/>
          <w:szCs w:val="20"/>
        </w:rPr>
      </w:pPr>
    </w:p>
    <w:p w:rsidR="00027083" w:rsidRDefault="00027083" w:rsidP="00027083">
      <w:pPr>
        <w:widowControl w:val="0"/>
        <w:ind w:left="720" w:hanging="720"/>
        <w:rPr>
          <w:sz w:val="20"/>
          <w:szCs w:val="20"/>
        </w:rPr>
      </w:pPr>
      <w:r w:rsidRPr="00C50A5C">
        <w:rPr>
          <w:sz w:val="20"/>
          <w:szCs w:val="20"/>
        </w:rPr>
        <w:t xml:space="preserve">Coram: </w:t>
      </w:r>
      <w:r w:rsidRPr="00C50A5C">
        <w:rPr>
          <w:sz w:val="20"/>
          <w:szCs w:val="20"/>
        </w:rPr>
        <w:tab/>
      </w:r>
      <w:r w:rsidRPr="00C50A5C">
        <w:rPr>
          <w:sz w:val="20"/>
          <w:szCs w:val="20"/>
          <w:u w:val="single"/>
        </w:rPr>
        <w:t>LeBel, Rothstein</w:t>
      </w:r>
      <w:r>
        <w:rPr>
          <w:sz w:val="20"/>
          <w:szCs w:val="20"/>
          <w:u w:val="single"/>
        </w:rPr>
        <w:t>, Moldaver, Karakatsanis and</w:t>
      </w:r>
      <w:r w:rsidRPr="00C50A5C">
        <w:rPr>
          <w:sz w:val="20"/>
          <w:szCs w:val="20"/>
          <w:u w:val="single"/>
        </w:rPr>
        <w:t xml:space="preserve"> </w:t>
      </w:r>
      <w:r>
        <w:rPr>
          <w:sz w:val="20"/>
          <w:szCs w:val="20"/>
          <w:u w:val="single"/>
        </w:rPr>
        <w:t xml:space="preserve">Wagner </w:t>
      </w:r>
      <w:r w:rsidRPr="00C50A5C">
        <w:rPr>
          <w:sz w:val="20"/>
          <w:szCs w:val="20"/>
          <w:u w:val="single"/>
        </w:rPr>
        <w:t>JJ.</w:t>
      </w:r>
      <w:r w:rsidRPr="00C50A5C">
        <w:rPr>
          <w:sz w:val="20"/>
          <w:szCs w:val="20"/>
        </w:rPr>
        <w:t xml:space="preserve"> </w:t>
      </w:r>
    </w:p>
    <w:p w:rsidR="00E6551C" w:rsidRPr="00C50A5C" w:rsidRDefault="00E6551C" w:rsidP="00027083">
      <w:pPr>
        <w:widowControl w:val="0"/>
        <w:ind w:left="720" w:hanging="720"/>
        <w:rPr>
          <w:b/>
          <w:sz w:val="20"/>
          <w:szCs w:val="20"/>
        </w:rPr>
      </w:pPr>
    </w:p>
    <w:p w:rsidR="00E6551C" w:rsidRDefault="00E6551C">
      <w:pPr>
        <w:rPr>
          <w:b/>
          <w:sz w:val="20"/>
          <w:szCs w:val="20"/>
        </w:rPr>
      </w:pPr>
      <w:r>
        <w:rPr>
          <w:b/>
          <w:sz w:val="20"/>
          <w:szCs w:val="20"/>
        </w:rPr>
        <w:lastRenderedPageBreak/>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027083" w:rsidRPr="00C50A5C" w:rsidTr="00A32E34">
        <w:tc>
          <w:tcPr>
            <w:tcW w:w="4380" w:type="dxa"/>
            <w:tcMar>
              <w:left w:w="0" w:type="dxa"/>
              <w:right w:w="0" w:type="dxa"/>
            </w:tcMar>
          </w:tcPr>
          <w:p w:rsidR="00E6551C" w:rsidRDefault="00E6551C" w:rsidP="00E6551C">
            <w:pPr>
              <w:widowControl w:val="0"/>
              <w:tabs>
                <w:tab w:val="left" w:pos="720"/>
                <w:tab w:val="left" w:pos="1440"/>
                <w:tab w:val="left" w:pos="2851"/>
                <w:tab w:val="left" w:pos="4320"/>
                <w:tab w:val="left" w:pos="10224"/>
                <w:tab w:val="left" w:pos="11376"/>
              </w:tabs>
              <w:rPr>
                <w:b/>
                <w:iCs/>
                <w:sz w:val="20"/>
                <w:szCs w:val="20"/>
              </w:rPr>
            </w:pPr>
            <w:r w:rsidRPr="00B27001">
              <w:rPr>
                <w:b/>
                <w:iCs/>
                <w:sz w:val="20"/>
                <w:szCs w:val="20"/>
              </w:rPr>
              <w:lastRenderedPageBreak/>
              <w:t xml:space="preserve">Percy Walter Davis </w:t>
            </w:r>
          </w:p>
          <w:p w:rsidR="00E6551C" w:rsidRDefault="00E6551C" w:rsidP="00E6551C">
            <w:pPr>
              <w:widowControl w:val="0"/>
              <w:tabs>
                <w:tab w:val="left" w:pos="720"/>
                <w:tab w:val="left" w:pos="1440"/>
                <w:tab w:val="left" w:pos="2851"/>
                <w:tab w:val="left" w:pos="4320"/>
                <w:tab w:val="left" w:pos="10224"/>
                <w:tab w:val="left" w:pos="11376"/>
              </w:tabs>
              <w:rPr>
                <w:b/>
                <w:iCs/>
                <w:sz w:val="20"/>
                <w:szCs w:val="20"/>
              </w:rPr>
            </w:pPr>
          </w:p>
          <w:p w:rsidR="00E6551C" w:rsidRDefault="00E6551C" w:rsidP="00E6551C">
            <w:pPr>
              <w:widowControl w:val="0"/>
              <w:tabs>
                <w:tab w:val="left" w:pos="720"/>
                <w:tab w:val="left" w:pos="1440"/>
                <w:tab w:val="left" w:pos="2851"/>
                <w:tab w:val="left" w:pos="4320"/>
                <w:tab w:val="left" w:pos="10224"/>
                <w:tab w:val="left" w:pos="11376"/>
              </w:tabs>
              <w:rPr>
                <w:b/>
                <w:iCs/>
                <w:sz w:val="20"/>
                <w:szCs w:val="20"/>
              </w:rPr>
            </w:pPr>
            <w:r>
              <w:rPr>
                <w:b/>
                <w:iCs/>
                <w:sz w:val="20"/>
                <w:szCs w:val="20"/>
              </w:rPr>
              <w:tab/>
            </w:r>
            <w:r w:rsidRPr="00B27001">
              <w:rPr>
                <w:b/>
                <w:iCs/>
                <w:sz w:val="20"/>
                <w:szCs w:val="20"/>
              </w:rPr>
              <w:t xml:space="preserve">v. </w:t>
            </w:r>
            <w:r w:rsidRPr="00B27001">
              <w:rPr>
                <w:iCs/>
                <w:sz w:val="20"/>
                <w:szCs w:val="20"/>
              </w:rPr>
              <w:t>(</w:t>
            </w:r>
            <w:hyperlink r:id="rId82" w:history="1">
              <w:r w:rsidRPr="00B27001">
                <w:rPr>
                  <w:rStyle w:val="Hyperlink"/>
                  <w:iCs/>
                  <w:sz w:val="20"/>
                  <w:szCs w:val="20"/>
                </w:rPr>
                <w:t>35327</w:t>
              </w:r>
            </w:hyperlink>
            <w:r w:rsidRPr="00B27001">
              <w:rPr>
                <w:iCs/>
                <w:sz w:val="20"/>
                <w:szCs w:val="20"/>
              </w:rPr>
              <w:t>)</w:t>
            </w:r>
          </w:p>
          <w:p w:rsidR="00E6551C" w:rsidRDefault="00E6551C" w:rsidP="00E6551C">
            <w:pPr>
              <w:widowControl w:val="0"/>
              <w:tabs>
                <w:tab w:val="left" w:pos="720"/>
                <w:tab w:val="left" w:pos="1440"/>
                <w:tab w:val="left" w:pos="2851"/>
                <w:tab w:val="left" w:pos="4320"/>
                <w:tab w:val="left" w:pos="10224"/>
                <w:tab w:val="left" w:pos="11376"/>
              </w:tabs>
              <w:rPr>
                <w:b/>
                <w:iCs/>
                <w:sz w:val="20"/>
                <w:szCs w:val="20"/>
              </w:rPr>
            </w:pPr>
          </w:p>
          <w:p w:rsidR="00027083" w:rsidRPr="004909C5" w:rsidRDefault="00E6551C" w:rsidP="00E6551C">
            <w:pPr>
              <w:widowControl w:val="0"/>
              <w:tabs>
                <w:tab w:val="left" w:pos="720"/>
                <w:tab w:val="left" w:pos="1440"/>
                <w:tab w:val="left" w:pos="2851"/>
                <w:tab w:val="left" w:pos="4320"/>
                <w:tab w:val="left" w:pos="10224"/>
                <w:tab w:val="left" w:pos="11376"/>
              </w:tabs>
              <w:rPr>
                <w:sz w:val="20"/>
                <w:szCs w:val="20"/>
              </w:rPr>
            </w:pPr>
            <w:r w:rsidRPr="00E6551C">
              <w:rPr>
                <w:b/>
                <w:iCs/>
                <w:sz w:val="20"/>
                <w:szCs w:val="20"/>
              </w:rPr>
              <w:t>Her Majesty the Queen (Alta.) (Criminal) (As of Right)</w:t>
            </w:r>
            <w:r w:rsidRPr="004909C5">
              <w:rPr>
                <w:sz w:val="20"/>
                <w:szCs w:val="20"/>
              </w:rPr>
              <w:t xml:space="preserve"> </w:t>
            </w:r>
          </w:p>
        </w:tc>
        <w:tc>
          <w:tcPr>
            <w:tcW w:w="720" w:type="dxa"/>
            <w:tcMar>
              <w:left w:w="0" w:type="dxa"/>
              <w:right w:w="0" w:type="dxa"/>
            </w:tcMar>
          </w:tcPr>
          <w:p w:rsidR="00027083" w:rsidRPr="004909C5" w:rsidRDefault="00027083" w:rsidP="00A32E34">
            <w:pPr>
              <w:widowControl w:val="0"/>
              <w:jc w:val="center"/>
              <w:rPr>
                <w:sz w:val="20"/>
                <w:szCs w:val="20"/>
              </w:rPr>
            </w:pPr>
          </w:p>
        </w:tc>
        <w:tc>
          <w:tcPr>
            <w:tcW w:w="4380" w:type="dxa"/>
            <w:tcMar>
              <w:left w:w="0" w:type="dxa"/>
              <w:right w:w="0" w:type="dxa"/>
            </w:tcMar>
          </w:tcPr>
          <w:p w:rsidR="00E25410" w:rsidRPr="00375429" w:rsidRDefault="00E25410" w:rsidP="00E25410">
            <w:pPr>
              <w:tabs>
                <w:tab w:val="left" w:pos="-2970"/>
              </w:tabs>
              <w:jc w:val="both"/>
              <w:rPr>
                <w:sz w:val="20"/>
                <w:szCs w:val="20"/>
                <w:lang w:val="en-US"/>
              </w:rPr>
            </w:pPr>
            <w:r w:rsidRPr="00375429">
              <w:rPr>
                <w:sz w:val="20"/>
                <w:szCs w:val="20"/>
                <w:lang w:val="en-US"/>
              </w:rPr>
              <w:t>Peter J. Royal, Q.C.</w:t>
            </w:r>
            <w:r>
              <w:rPr>
                <w:sz w:val="20"/>
                <w:szCs w:val="20"/>
                <w:lang w:val="en-US"/>
              </w:rPr>
              <w:t xml:space="preserve"> and </w:t>
            </w:r>
            <w:r w:rsidRPr="00375429">
              <w:rPr>
                <w:sz w:val="20"/>
                <w:szCs w:val="20"/>
                <w:lang w:val="en-US"/>
              </w:rPr>
              <w:t>Kathryn A. Quinlan</w:t>
            </w:r>
            <w:r>
              <w:rPr>
                <w:sz w:val="20"/>
                <w:szCs w:val="20"/>
                <w:lang w:val="en-US"/>
              </w:rPr>
              <w:t xml:space="preserve"> f</w:t>
            </w:r>
            <w:r w:rsidRPr="00375429">
              <w:rPr>
                <w:sz w:val="20"/>
                <w:szCs w:val="20"/>
                <w:lang w:val="en-US"/>
              </w:rPr>
              <w:t xml:space="preserve">or the </w:t>
            </w:r>
            <w:r>
              <w:rPr>
                <w:sz w:val="20"/>
                <w:szCs w:val="20"/>
                <w:lang w:val="en-US"/>
              </w:rPr>
              <w:t>a</w:t>
            </w:r>
            <w:r w:rsidRPr="00375429">
              <w:rPr>
                <w:sz w:val="20"/>
                <w:szCs w:val="20"/>
                <w:lang w:val="en-US"/>
              </w:rPr>
              <w:t>ppellant.</w:t>
            </w:r>
          </w:p>
          <w:p w:rsidR="00E25410" w:rsidRPr="00375429" w:rsidRDefault="00E25410" w:rsidP="00E25410">
            <w:pPr>
              <w:tabs>
                <w:tab w:val="left" w:pos="-2970"/>
              </w:tabs>
              <w:jc w:val="both"/>
              <w:rPr>
                <w:sz w:val="20"/>
                <w:szCs w:val="20"/>
                <w:lang w:val="en-US"/>
              </w:rPr>
            </w:pPr>
          </w:p>
          <w:p w:rsidR="00027083" w:rsidRPr="00C50A5C" w:rsidRDefault="00E25410" w:rsidP="00E25410">
            <w:pPr>
              <w:widowControl w:val="0"/>
              <w:jc w:val="both"/>
              <w:rPr>
                <w:sz w:val="20"/>
                <w:szCs w:val="20"/>
              </w:rPr>
            </w:pPr>
            <w:r w:rsidRPr="00375429">
              <w:rPr>
                <w:sz w:val="20"/>
                <w:szCs w:val="20"/>
                <w:lang w:val="en-US"/>
              </w:rPr>
              <w:t>Troy L. Couillard</w:t>
            </w:r>
            <w:r>
              <w:rPr>
                <w:sz w:val="20"/>
                <w:szCs w:val="20"/>
                <w:lang w:val="en-US"/>
              </w:rPr>
              <w:t xml:space="preserve"> f</w:t>
            </w:r>
            <w:r w:rsidRPr="00375429">
              <w:rPr>
                <w:sz w:val="20"/>
                <w:szCs w:val="20"/>
                <w:lang w:val="en-US"/>
              </w:rPr>
              <w:t xml:space="preserve">or the </w:t>
            </w:r>
            <w:r>
              <w:rPr>
                <w:sz w:val="20"/>
                <w:szCs w:val="20"/>
                <w:lang w:val="en-US"/>
              </w:rPr>
              <w:t>r</w:t>
            </w:r>
            <w:r w:rsidRPr="00375429">
              <w:rPr>
                <w:sz w:val="20"/>
                <w:szCs w:val="20"/>
                <w:lang w:val="en-US"/>
              </w:rPr>
              <w:t>espondent.</w:t>
            </w:r>
          </w:p>
        </w:tc>
      </w:tr>
    </w:tbl>
    <w:p w:rsidR="00027083" w:rsidRDefault="00027083" w:rsidP="00027083">
      <w:pPr>
        <w:widowControl w:val="0"/>
      </w:pPr>
    </w:p>
    <w:p w:rsidR="00027083" w:rsidRPr="00BC05EA" w:rsidRDefault="00027083" w:rsidP="00027083">
      <w:pPr>
        <w:widowControl w:val="0"/>
        <w:rPr>
          <w:sz w:val="20"/>
          <w:szCs w:val="20"/>
          <w:lang w:val="fr-CA"/>
        </w:rPr>
      </w:pPr>
      <w:r>
        <w:rPr>
          <w:b/>
          <w:sz w:val="20"/>
          <w:szCs w:val="20"/>
          <w:lang w:val="fr-CA"/>
        </w:rPr>
        <w:t>ALLOW</w:t>
      </w:r>
      <w:r w:rsidRPr="00BC05EA">
        <w:rPr>
          <w:b/>
          <w:sz w:val="20"/>
          <w:szCs w:val="20"/>
          <w:lang w:val="fr-CA"/>
        </w:rPr>
        <w:t xml:space="preserve">ED / </w:t>
      </w:r>
      <w:r>
        <w:rPr>
          <w:b/>
          <w:sz w:val="20"/>
          <w:szCs w:val="20"/>
          <w:lang w:val="fr-CA"/>
        </w:rPr>
        <w:t>ACCUEILLI</w:t>
      </w:r>
    </w:p>
    <w:p w:rsidR="00027083" w:rsidRDefault="00027083" w:rsidP="00027083">
      <w:pPr>
        <w:rPr>
          <w:lang w:val="fr-CA"/>
        </w:rPr>
      </w:pPr>
    </w:p>
    <w:p w:rsidR="00E6551C" w:rsidRPr="00771CE4" w:rsidRDefault="00E6551C" w:rsidP="00E6551C">
      <w:pPr>
        <w:widowControl w:val="0"/>
        <w:rPr>
          <w:sz w:val="20"/>
          <w:szCs w:val="20"/>
        </w:rPr>
      </w:pPr>
      <w:r w:rsidRPr="00771CE4">
        <w:rPr>
          <w:b/>
          <w:sz w:val="20"/>
          <w:szCs w:val="20"/>
        </w:rPr>
        <w:t xml:space="preserve">2014 SCC </w:t>
      </w:r>
      <w:r>
        <w:rPr>
          <w:b/>
          <w:sz w:val="20"/>
          <w:szCs w:val="20"/>
        </w:rPr>
        <w:t>4</w:t>
      </w:r>
      <w:r w:rsidRPr="00771CE4">
        <w:rPr>
          <w:b/>
          <w:sz w:val="20"/>
          <w:szCs w:val="20"/>
        </w:rPr>
        <w:t xml:space="preserve"> / 2014 CSC </w:t>
      </w:r>
      <w:r>
        <w:rPr>
          <w:b/>
          <w:sz w:val="20"/>
          <w:szCs w:val="20"/>
        </w:rPr>
        <w:t>4</w:t>
      </w:r>
    </w:p>
    <w:p w:rsidR="00E6551C" w:rsidRDefault="00E6551C" w:rsidP="00027083">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6551C" w:rsidRPr="007C5411" w:rsidTr="00E6551C">
        <w:tc>
          <w:tcPr>
            <w:tcW w:w="4380" w:type="dxa"/>
            <w:tcMar>
              <w:left w:w="0" w:type="dxa"/>
              <w:right w:w="0" w:type="dxa"/>
            </w:tcMar>
          </w:tcPr>
          <w:p w:rsidR="00E6551C" w:rsidRPr="00CC4D84" w:rsidRDefault="00E6551C" w:rsidP="00E6551C">
            <w:pPr>
              <w:widowControl w:val="0"/>
              <w:jc w:val="both"/>
              <w:rPr>
                <w:b/>
                <w:sz w:val="20"/>
                <w:szCs w:val="20"/>
                <w:u w:val="single"/>
              </w:rPr>
            </w:pPr>
            <w:r>
              <w:rPr>
                <w:b/>
                <w:sz w:val="20"/>
                <w:szCs w:val="20"/>
                <w:u w:val="single"/>
              </w:rPr>
              <w:t>JUDGMENT</w:t>
            </w:r>
            <w:r w:rsidRPr="00CC4D84">
              <w:rPr>
                <w:b/>
                <w:sz w:val="20"/>
                <w:szCs w:val="20"/>
                <w:u w:val="single"/>
              </w:rPr>
              <w:t>:</w:t>
            </w:r>
          </w:p>
          <w:p w:rsidR="00E6551C" w:rsidRPr="001A663B" w:rsidRDefault="00E6551C" w:rsidP="00E6551C">
            <w:pPr>
              <w:widowControl w:val="0"/>
              <w:jc w:val="both"/>
              <w:rPr>
                <w:b/>
                <w:sz w:val="20"/>
                <w:szCs w:val="20"/>
              </w:rPr>
            </w:pPr>
          </w:p>
          <w:p w:rsidR="007D4AFC" w:rsidRPr="00A3775F" w:rsidRDefault="007D4AFC" w:rsidP="007D4AFC">
            <w:pPr>
              <w:jc w:val="both"/>
              <w:rPr>
                <w:sz w:val="20"/>
                <w:szCs w:val="20"/>
              </w:rPr>
            </w:pPr>
            <w:r w:rsidRPr="00A3775F">
              <w:rPr>
                <w:sz w:val="20"/>
                <w:szCs w:val="20"/>
              </w:rPr>
              <w:t>The appeal from the judgment of the Court of Appeal for Alberta (Edmonton), Number 1103-0114-A, 2013 ABCA 15, dated January 24, 2013, was heard on January 17, 2014, and the Court on that day delivered the following judgment orally:</w:t>
            </w:r>
          </w:p>
          <w:p w:rsidR="007D4AFC" w:rsidRDefault="007D4AFC" w:rsidP="007D4AFC">
            <w:pPr>
              <w:jc w:val="both"/>
              <w:rPr>
                <w:sz w:val="20"/>
                <w:szCs w:val="20"/>
              </w:rPr>
            </w:pPr>
          </w:p>
          <w:p w:rsidR="007D4AFC" w:rsidRPr="00A3775F" w:rsidRDefault="007D4AFC" w:rsidP="007D4AFC">
            <w:pPr>
              <w:jc w:val="both"/>
              <w:rPr>
                <w:sz w:val="20"/>
                <w:szCs w:val="20"/>
              </w:rPr>
            </w:pPr>
          </w:p>
          <w:p w:rsidR="00E6551C" w:rsidRPr="00C1697B" w:rsidRDefault="007D4AFC" w:rsidP="00A20039">
            <w:pPr>
              <w:jc w:val="both"/>
              <w:rPr>
                <w:b/>
                <w:sz w:val="20"/>
                <w:szCs w:val="20"/>
              </w:rPr>
            </w:pPr>
            <w:r w:rsidRPr="00A3775F">
              <w:rPr>
                <w:smallCaps/>
                <w:sz w:val="20"/>
                <w:szCs w:val="20"/>
              </w:rPr>
              <w:t>LeBel</w:t>
            </w:r>
            <w:r w:rsidRPr="00A3775F">
              <w:rPr>
                <w:sz w:val="20"/>
                <w:szCs w:val="20"/>
              </w:rPr>
              <w:t xml:space="preserve"> J. — The Crown has conceded and we agree with the Alberta Court of Appeal that the trial judge made an error in allocating the burden of proof. But we agree with Chief Justice Fraser, in dissent, that this error may have tainted the evaluation of the evidence as to whether excessive force had been used by a police officer. In the circumstances of this case, the proviso of s. 686(1)(</w:t>
            </w:r>
            <w:r w:rsidRPr="00A3775F">
              <w:rPr>
                <w:i/>
                <w:sz w:val="20"/>
                <w:szCs w:val="20"/>
              </w:rPr>
              <w:t>b</w:t>
            </w:r>
            <w:r w:rsidRPr="00A3775F">
              <w:rPr>
                <w:sz w:val="20"/>
                <w:szCs w:val="20"/>
              </w:rPr>
              <w:t xml:space="preserve">)(iii) of the </w:t>
            </w:r>
            <w:r w:rsidRPr="00A3775F">
              <w:rPr>
                <w:i/>
                <w:sz w:val="20"/>
                <w:szCs w:val="20"/>
              </w:rPr>
              <w:t>Criminal Code</w:t>
            </w:r>
            <w:r w:rsidRPr="00A3775F">
              <w:rPr>
                <w:sz w:val="20"/>
                <w:szCs w:val="20"/>
              </w:rPr>
              <w:t xml:space="preserve"> could not apply. For these reasons, the appeal is allowed and the appellant’s conviction is quashed. As the parties have requested in such an event, a new trial is ordered on the same charges.</w:t>
            </w:r>
          </w:p>
        </w:tc>
        <w:tc>
          <w:tcPr>
            <w:tcW w:w="720" w:type="dxa"/>
            <w:tcMar>
              <w:left w:w="0" w:type="dxa"/>
              <w:right w:w="0" w:type="dxa"/>
            </w:tcMar>
          </w:tcPr>
          <w:p w:rsidR="00E6551C" w:rsidRPr="00C1697B" w:rsidRDefault="00E6551C" w:rsidP="00E6551C">
            <w:pPr>
              <w:widowControl w:val="0"/>
              <w:jc w:val="center"/>
              <w:rPr>
                <w:sz w:val="20"/>
                <w:szCs w:val="20"/>
              </w:rPr>
            </w:pPr>
          </w:p>
        </w:tc>
        <w:tc>
          <w:tcPr>
            <w:tcW w:w="4380" w:type="dxa"/>
            <w:tcMar>
              <w:left w:w="0" w:type="dxa"/>
              <w:right w:w="0" w:type="dxa"/>
            </w:tcMar>
          </w:tcPr>
          <w:p w:rsidR="00E6551C" w:rsidRPr="00CC4D84" w:rsidRDefault="00E6551C" w:rsidP="00E6551C">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E6551C" w:rsidRPr="00C1697B" w:rsidRDefault="00E6551C" w:rsidP="00E6551C">
            <w:pPr>
              <w:widowControl w:val="0"/>
              <w:jc w:val="both"/>
              <w:rPr>
                <w:sz w:val="20"/>
                <w:szCs w:val="20"/>
                <w:lang w:val="fr-CA"/>
              </w:rPr>
            </w:pPr>
          </w:p>
          <w:p w:rsidR="007D4AFC" w:rsidRPr="00A3775F" w:rsidRDefault="007D4AFC" w:rsidP="007D4AFC">
            <w:pPr>
              <w:jc w:val="both"/>
              <w:rPr>
                <w:sz w:val="20"/>
                <w:szCs w:val="20"/>
                <w:lang w:val="fr-CA"/>
              </w:rPr>
            </w:pPr>
            <w:r w:rsidRPr="00A3775F">
              <w:rPr>
                <w:sz w:val="20"/>
                <w:szCs w:val="20"/>
                <w:lang w:val="fr-CA"/>
              </w:rPr>
              <w:t>L’appel interjeté contre l’arrêt de la Cour d’appel de l’Alberta (Edmonton), numéro 1103-0114-A, 2013 ABCA 15, en date du 24 janvier 2013, a été entendu le 17 janvier 2014, et la Cour a prononcé oralement le même jour le jugement suivant:</w:t>
            </w:r>
          </w:p>
          <w:p w:rsidR="007D4AFC" w:rsidRPr="00A3775F" w:rsidRDefault="007D4AFC" w:rsidP="007D4AFC">
            <w:pPr>
              <w:jc w:val="both"/>
              <w:rPr>
                <w:sz w:val="20"/>
                <w:szCs w:val="20"/>
                <w:lang w:val="fr-CA"/>
              </w:rPr>
            </w:pPr>
          </w:p>
          <w:p w:rsidR="007D4AFC" w:rsidRPr="00A3775F" w:rsidRDefault="007D4AFC" w:rsidP="007D4AFC">
            <w:pPr>
              <w:jc w:val="both"/>
              <w:rPr>
                <w:sz w:val="20"/>
                <w:szCs w:val="20"/>
                <w:lang w:val="fr-CA"/>
              </w:rPr>
            </w:pPr>
            <w:r w:rsidRPr="00A3775F">
              <w:rPr>
                <w:sz w:val="20"/>
                <w:szCs w:val="20"/>
                <w:lang w:val="fr-CA"/>
              </w:rPr>
              <w:t>[</w:t>
            </w:r>
            <w:r w:rsidRPr="00A3775F">
              <w:rPr>
                <w:smallCaps/>
                <w:sz w:val="20"/>
                <w:szCs w:val="20"/>
                <w:lang w:val="fr-CA"/>
              </w:rPr>
              <w:t>traduction</w:t>
            </w:r>
            <w:r w:rsidRPr="00A3775F">
              <w:rPr>
                <w:sz w:val="20"/>
                <w:szCs w:val="20"/>
                <w:lang w:val="fr-CA"/>
              </w:rPr>
              <w:t>]</w:t>
            </w:r>
          </w:p>
          <w:p w:rsidR="00E6551C" w:rsidRPr="00C1697B" w:rsidRDefault="007D4AFC" w:rsidP="007D4AFC">
            <w:pPr>
              <w:jc w:val="both"/>
              <w:rPr>
                <w:sz w:val="20"/>
                <w:szCs w:val="20"/>
                <w:lang w:val="fr-CA"/>
              </w:rPr>
            </w:pPr>
            <w:r w:rsidRPr="00A3775F">
              <w:rPr>
                <w:smallCaps/>
                <w:sz w:val="20"/>
                <w:szCs w:val="20"/>
                <w:lang w:val="fr-CA"/>
              </w:rPr>
              <w:t>Le juge LeBel</w:t>
            </w:r>
            <w:r w:rsidRPr="00A3775F">
              <w:rPr>
                <w:sz w:val="20"/>
                <w:szCs w:val="20"/>
                <w:lang w:val="fr-CA"/>
              </w:rPr>
              <w:t xml:space="preserve"> —Le ministère public reconnaît, et nous convenons avec la Cour d’appel de l’Alberta, que la juge du procès a commis une erreur dans l’attribution du fardeau de la preuve.  Nous partageons cependant l’avis de la juge en chef Fraser, dissidente, selon lequel l’erreur a pu jouer dans l’appréciation de la preuve quant à savoir si un agent de police avait eu recours ou non à une force excessive.  Dans les circonstances de l’espèce, la disposition correspondant au sous</w:t>
            </w:r>
            <w:r w:rsidRPr="00A3775F">
              <w:rPr>
                <w:sz w:val="20"/>
                <w:szCs w:val="20"/>
                <w:lang w:val="fr-CA"/>
              </w:rPr>
              <w:noBreakHyphen/>
              <w:t>al. 686(1)</w:t>
            </w:r>
            <w:r w:rsidRPr="00A3775F">
              <w:rPr>
                <w:i/>
                <w:sz w:val="20"/>
                <w:szCs w:val="20"/>
                <w:lang w:val="fr-CA"/>
              </w:rPr>
              <w:t>b)</w:t>
            </w:r>
            <w:r w:rsidRPr="00A3775F">
              <w:rPr>
                <w:sz w:val="20"/>
                <w:szCs w:val="20"/>
                <w:lang w:val="fr-CA"/>
              </w:rPr>
              <w:t xml:space="preserve">(iii) du </w:t>
            </w:r>
            <w:r w:rsidRPr="00A3775F">
              <w:rPr>
                <w:i/>
                <w:sz w:val="20"/>
                <w:szCs w:val="20"/>
                <w:lang w:val="fr-CA"/>
              </w:rPr>
              <w:t>Code criminel</w:t>
            </w:r>
            <w:r w:rsidRPr="00A3775F">
              <w:rPr>
                <w:sz w:val="20"/>
                <w:szCs w:val="20"/>
                <w:lang w:val="fr-CA"/>
              </w:rPr>
              <w:t xml:space="preserve"> ne pouvait s’appliquer.  Le pourvoi est donc accueilli, et la déclaration de culpabilité de l’appelant est annulée.  Comme les parties l’ont demandé advenant pareil dénouement, un nouveau procès est ordonné pour les mêmes accusations.</w:t>
            </w:r>
          </w:p>
        </w:tc>
      </w:tr>
    </w:tbl>
    <w:p w:rsidR="00E6551C" w:rsidRPr="00BC05EA" w:rsidRDefault="00E6551C" w:rsidP="00027083">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027083" w:rsidRPr="00A77E9C" w:rsidTr="00A32E34">
        <w:tc>
          <w:tcPr>
            <w:tcW w:w="4380" w:type="dxa"/>
            <w:tcMar>
              <w:left w:w="0" w:type="dxa"/>
              <w:right w:w="0" w:type="dxa"/>
            </w:tcMar>
          </w:tcPr>
          <w:p w:rsidR="00027083" w:rsidRPr="00CC4D84" w:rsidRDefault="00027083" w:rsidP="00A32E34">
            <w:pPr>
              <w:widowControl w:val="0"/>
              <w:jc w:val="both"/>
              <w:rPr>
                <w:b/>
                <w:sz w:val="20"/>
                <w:szCs w:val="20"/>
                <w:u w:val="single"/>
              </w:rPr>
            </w:pPr>
            <w:r w:rsidRPr="00CC4D84">
              <w:rPr>
                <w:b/>
                <w:sz w:val="20"/>
                <w:szCs w:val="20"/>
                <w:u w:val="single"/>
              </w:rPr>
              <w:t>Nature of the case:</w:t>
            </w:r>
          </w:p>
          <w:p w:rsidR="00027083" w:rsidRPr="00C1697B" w:rsidRDefault="00027083" w:rsidP="00A32E34">
            <w:pPr>
              <w:widowControl w:val="0"/>
              <w:jc w:val="both"/>
              <w:rPr>
                <w:b/>
                <w:sz w:val="20"/>
                <w:szCs w:val="20"/>
              </w:rPr>
            </w:pPr>
          </w:p>
          <w:p w:rsidR="00027083" w:rsidRPr="00C1697B" w:rsidRDefault="007D4AFC" w:rsidP="00A32E34">
            <w:pPr>
              <w:widowControl w:val="0"/>
              <w:jc w:val="both"/>
              <w:rPr>
                <w:b/>
                <w:sz w:val="20"/>
                <w:szCs w:val="20"/>
              </w:rPr>
            </w:pPr>
            <w:r w:rsidRPr="0087021D">
              <w:rPr>
                <w:i/>
                <w:sz w:val="20"/>
                <w:szCs w:val="20"/>
              </w:rPr>
              <w:t>Charter of rights</w:t>
            </w:r>
            <w:r w:rsidRPr="0087021D">
              <w:rPr>
                <w:sz w:val="20"/>
                <w:szCs w:val="20"/>
              </w:rPr>
              <w:t xml:space="preserve"> - Criminal law - Right to security of person - Cruel and unusual treatment or punishment - Protection of persons acting under authority - Excessive force in effecting arrest - Whether the majority of the Court of Appeal erred in dismissing the appeal notwithstanding its conclusion that the trial judge erred in law in finding that the appellant bore the burden of establishing that the use of deadly force was not justified under s. 25 of the </w:t>
            </w:r>
            <w:r w:rsidRPr="0087021D">
              <w:rPr>
                <w:i/>
                <w:sz w:val="20"/>
                <w:szCs w:val="20"/>
              </w:rPr>
              <w:t>Criminal Code</w:t>
            </w:r>
            <w:r w:rsidRPr="0087021D">
              <w:rPr>
                <w:sz w:val="20"/>
                <w:szCs w:val="20"/>
              </w:rPr>
              <w:t xml:space="preserve">, R.S.C. 1985, c. C-46 - </w:t>
            </w:r>
            <w:r w:rsidRPr="0087021D">
              <w:rPr>
                <w:i/>
                <w:sz w:val="20"/>
                <w:szCs w:val="20"/>
              </w:rPr>
              <w:t>Canadian Charter of Rights and Freedoms</w:t>
            </w:r>
            <w:r w:rsidRPr="0087021D">
              <w:rPr>
                <w:sz w:val="20"/>
                <w:szCs w:val="20"/>
              </w:rPr>
              <w:t>, ss. 7 and 12.</w:t>
            </w:r>
          </w:p>
        </w:tc>
        <w:tc>
          <w:tcPr>
            <w:tcW w:w="720" w:type="dxa"/>
            <w:tcMar>
              <w:left w:w="0" w:type="dxa"/>
              <w:right w:w="0" w:type="dxa"/>
            </w:tcMar>
          </w:tcPr>
          <w:p w:rsidR="00027083" w:rsidRPr="00C1697B" w:rsidRDefault="00027083" w:rsidP="00A32E34">
            <w:pPr>
              <w:widowControl w:val="0"/>
              <w:jc w:val="center"/>
              <w:rPr>
                <w:sz w:val="20"/>
                <w:szCs w:val="20"/>
              </w:rPr>
            </w:pPr>
          </w:p>
        </w:tc>
        <w:tc>
          <w:tcPr>
            <w:tcW w:w="4380" w:type="dxa"/>
            <w:tcMar>
              <w:left w:w="0" w:type="dxa"/>
              <w:right w:w="0" w:type="dxa"/>
            </w:tcMar>
          </w:tcPr>
          <w:p w:rsidR="00027083" w:rsidRPr="00CC4D84" w:rsidRDefault="00027083" w:rsidP="00A32E34">
            <w:pPr>
              <w:widowControl w:val="0"/>
              <w:jc w:val="both"/>
              <w:rPr>
                <w:b/>
                <w:sz w:val="20"/>
                <w:szCs w:val="20"/>
                <w:u w:val="single"/>
                <w:lang w:val="fr-CA"/>
              </w:rPr>
            </w:pPr>
            <w:r w:rsidRPr="00CC4D84">
              <w:rPr>
                <w:b/>
                <w:sz w:val="20"/>
                <w:szCs w:val="20"/>
                <w:u w:val="single"/>
                <w:lang w:val="fr-CA"/>
              </w:rPr>
              <w:t>Nature de la cause :</w:t>
            </w:r>
          </w:p>
          <w:p w:rsidR="00027083" w:rsidRPr="00C1697B" w:rsidRDefault="00027083" w:rsidP="00A32E34">
            <w:pPr>
              <w:widowControl w:val="0"/>
              <w:jc w:val="both"/>
              <w:rPr>
                <w:sz w:val="20"/>
                <w:szCs w:val="20"/>
                <w:lang w:val="fr-CA"/>
              </w:rPr>
            </w:pPr>
          </w:p>
          <w:p w:rsidR="00027083" w:rsidRPr="00C1697B" w:rsidRDefault="007D4AFC" w:rsidP="00A32E34">
            <w:pPr>
              <w:jc w:val="both"/>
              <w:rPr>
                <w:sz w:val="20"/>
                <w:szCs w:val="20"/>
                <w:lang w:val="fr-CA"/>
              </w:rPr>
            </w:pPr>
            <w:r w:rsidRPr="00EA3B7B">
              <w:rPr>
                <w:i/>
                <w:sz w:val="20"/>
                <w:szCs w:val="20"/>
                <w:lang w:val="fr-CA"/>
              </w:rPr>
              <w:t xml:space="preserve">Charte des droits </w:t>
            </w:r>
            <w:r w:rsidRPr="00EA3B7B">
              <w:rPr>
                <w:sz w:val="20"/>
                <w:szCs w:val="20"/>
                <w:lang w:val="fr-CA"/>
              </w:rPr>
              <w:t>- Droit criminel - Droit à la sécurité de la personne - Traitements ou peines cruels et inusités - Protection des personnes autorisées - Force excessive en effectuant une arrestation - Les juges majoritaires de la Cour d’appel ont-ils eu tort de rejeter l’appel malgré leur conclusion selon laquelle la juge du procès avait commis une erreur de droit en concluant que l’appelant avait le fardeau d’établir que l’usage d’une force meurtrière n’était pas justifié au regard de l’art. 25 du</w:t>
            </w:r>
            <w:r w:rsidRPr="00EA3B7B">
              <w:rPr>
                <w:i/>
                <w:sz w:val="20"/>
                <w:szCs w:val="20"/>
                <w:lang w:val="fr-CA"/>
              </w:rPr>
              <w:t xml:space="preserve"> Code criminel</w:t>
            </w:r>
            <w:r w:rsidRPr="00EA3B7B">
              <w:rPr>
                <w:sz w:val="20"/>
                <w:szCs w:val="20"/>
                <w:lang w:val="fr-CA"/>
              </w:rPr>
              <w:t>, L.R.C. 1985, ch. C-46? -</w:t>
            </w:r>
            <w:r w:rsidRPr="00EA3B7B">
              <w:rPr>
                <w:i/>
                <w:sz w:val="20"/>
                <w:szCs w:val="20"/>
                <w:lang w:val="fr-CA"/>
              </w:rPr>
              <w:t xml:space="preserve"> Charte canadienne des droits et libertés</w:t>
            </w:r>
            <w:r w:rsidRPr="00EA3B7B">
              <w:rPr>
                <w:sz w:val="20"/>
                <w:szCs w:val="20"/>
                <w:lang w:val="fr-CA"/>
              </w:rPr>
              <w:t xml:space="preserve">, art. 7 et 12.  </w:t>
            </w:r>
          </w:p>
        </w:tc>
      </w:tr>
    </w:tbl>
    <w:p w:rsidR="00027083" w:rsidRDefault="00027083" w:rsidP="00027083">
      <w:pPr>
        <w:widowControl w:val="0"/>
        <w:rPr>
          <w:sz w:val="20"/>
          <w:szCs w:val="20"/>
          <w:lang w:val="fr-CA"/>
        </w:rPr>
      </w:pPr>
    </w:p>
    <w:p w:rsidR="00027083" w:rsidRDefault="007C5411" w:rsidP="00027083">
      <w:pPr>
        <w:widowControl w:val="0"/>
        <w:rPr>
          <w:sz w:val="20"/>
          <w:szCs w:val="20"/>
        </w:rPr>
      </w:pPr>
      <w:r>
        <w:rPr>
          <w:sz w:val="20"/>
          <w:szCs w:val="20"/>
          <w:lang w:val="fr-CA"/>
        </w:rPr>
        <w:lastRenderedPageBreak/>
        <w:pict>
          <v:rect id="_x0000_i1079" style="width:2in;height:1pt" o:hrpct="0" o:hralign="center" o:hrstd="t" o:hrnoshade="t" o:hr="t" fillcolor="black [3213]" stroked="f"/>
        </w:pict>
      </w:r>
    </w:p>
    <w:p w:rsidR="00027083" w:rsidRDefault="00027083" w:rsidP="00027083">
      <w:pPr>
        <w:widowControl w:val="0"/>
        <w:rPr>
          <w:sz w:val="20"/>
          <w:szCs w:val="20"/>
        </w:rPr>
      </w:pPr>
    </w:p>
    <w:p w:rsidR="000B0674" w:rsidRDefault="000B0674">
      <w:pPr>
        <w:rPr>
          <w:sz w:val="20"/>
          <w:szCs w:val="20"/>
        </w:rPr>
      </w:pPr>
      <w:r>
        <w:rPr>
          <w:sz w:val="20"/>
          <w:szCs w:val="20"/>
        </w:rPr>
        <w:br w:type="page"/>
      </w:r>
    </w:p>
    <w:p w:rsidR="00E6551C" w:rsidRPr="00C50A5C" w:rsidRDefault="00E6551C" w:rsidP="00E6551C">
      <w:pPr>
        <w:widowControl w:val="0"/>
        <w:rPr>
          <w:sz w:val="20"/>
          <w:szCs w:val="20"/>
        </w:rPr>
      </w:pPr>
      <w:r>
        <w:rPr>
          <w:sz w:val="20"/>
          <w:szCs w:val="20"/>
        </w:rPr>
        <w:lastRenderedPageBreak/>
        <w:t>17</w:t>
      </w:r>
      <w:r w:rsidRPr="00C50A5C">
        <w:rPr>
          <w:sz w:val="20"/>
          <w:szCs w:val="20"/>
        </w:rPr>
        <w:t>.0</w:t>
      </w:r>
      <w:r>
        <w:rPr>
          <w:sz w:val="20"/>
          <w:szCs w:val="20"/>
        </w:rPr>
        <w:t>1</w:t>
      </w:r>
      <w:r w:rsidRPr="00C50A5C">
        <w:rPr>
          <w:sz w:val="20"/>
          <w:szCs w:val="20"/>
        </w:rPr>
        <w:t>.201</w:t>
      </w:r>
      <w:r>
        <w:rPr>
          <w:sz w:val="20"/>
          <w:szCs w:val="20"/>
        </w:rPr>
        <w:t>4</w:t>
      </w:r>
    </w:p>
    <w:p w:rsidR="00E6551C" w:rsidRPr="00C50A5C" w:rsidRDefault="00E6551C" w:rsidP="00E6551C">
      <w:pPr>
        <w:widowControl w:val="0"/>
        <w:rPr>
          <w:sz w:val="20"/>
          <w:szCs w:val="20"/>
        </w:rPr>
      </w:pPr>
    </w:p>
    <w:p w:rsidR="00E6551C" w:rsidRPr="00C50A5C" w:rsidRDefault="00E6551C" w:rsidP="00E6551C">
      <w:pPr>
        <w:widowControl w:val="0"/>
        <w:ind w:left="720" w:hanging="720"/>
        <w:rPr>
          <w:b/>
          <w:sz w:val="20"/>
          <w:szCs w:val="20"/>
        </w:rPr>
      </w:pPr>
      <w:r w:rsidRPr="00C50A5C">
        <w:rPr>
          <w:sz w:val="20"/>
          <w:szCs w:val="20"/>
        </w:rPr>
        <w:t xml:space="preserve">Coram: </w:t>
      </w:r>
      <w:r w:rsidRPr="00C50A5C">
        <w:rPr>
          <w:sz w:val="20"/>
          <w:szCs w:val="20"/>
        </w:rPr>
        <w:tab/>
      </w:r>
      <w:r w:rsidRPr="00C50A5C">
        <w:rPr>
          <w:sz w:val="20"/>
          <w:szCs w:val="20"/>
          <w:u w:val="single"/>
        </w:rPr>
        <w:t>LeBel, Rothstein</w:t>
      </w:r>
      <w:r>
        <w:rPr>
          <w:sz w:val="20"/>
          <w:szCs w:val="20"/>
          <w:u w:val="single"/>
        </w:rPr>
        <w:t>, Moldaver, Karakatsanis and</w:t>
      </w:r>
      <w:r w:rsidRPr="00C50A5C">
        <w:rPr>
          <w:sz w:val="20"/>
          <w:szCs w:val="20"/>
          <w:u w:val="single"/>
        </w:rPr>
        <w:t xml:space="preserve"> </w:t>
      </w:r>
      <w:r>
        <w:rPr>
          <w:sz w:val="20"/>
          <w:szCs w:val="20"/>
          <w:u w:val="single"/>
        </w:rPr>
        <w:t xml:space="preserve">Wagner </w:t>
      </w:r>
      <w:r w:rsidRPr="00C50A5C">
        <w:rPr>
          <w:sz w:val="20"/>
          <w:szCs w:val="20"/>
          <w:u w:val="single"/>
        </w:rPr>
        <w:t>JJ.</w:t>
      </w:r>
      <w:r w:rsidRPr="00C50A5C">
        <w:rPr>
          <w:sz w:val="20"/>
          <w:szCs w:val="20"/>
        </w:rPr>
        <w:t xml:space="preserve"> </w:t>
      </w:r>
    </w:p>
    <w:p w:rsidR="00E6551C" w:rsidRPr="00C50A5C" w:rsidRDefault="00E6551C" w:rsidP="00E6551C">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6551C" w:rsidRPr="00C50A5C" w:rsidTr="00E6551C">
        <w:tc>
          <w:tcPr>
            <w:tcW w:w="4380" w:type="dxa"/>
            <w:tcMar>
              <w:left w:w="0" w:type="dxa"/>
              <w:right w:w="0" w:type="dxa"/>
            </w:tcMar>
          </w:tcPr>
          <w:p w:rsidR="00E6551C" w:rsidRDefault="00E6551C" w:rsidP="00E6551C">
            <w:pPr>
              <w:widowControl w:val="0"/>
              <w:jc w:val="both"/>
              <w:rPr>
                <w:b/>
                <w:iCs/>
                <w:sz w:val="20"/>
                <w:szCs w:val="20"/>
              </w:rPr>
            </w:pPr>
            <w:r w:rsidRPr="00E6551C">
              <w:rPr>
                <w:b/>
                <w:iCs/>
                <w:sz w:val="20"/>
                <w:szCs w:val="20"/>
              </w:rPr>
              <w:t xml:space="preserve">Garry Howard James </w:t>
            </w:r>
          </w:p>
          <w:p w:rsidR="00E6551C" w:rsidRDefault="00E6551C" w:rsidP="00E6551C">
            <w:pPr>
              <w:widowControl w:val="0"/>
              <w:jc w:val="both"/>
              <w:rPr>
                <w:b/>
                <w:iCs/>
                <w:sz w:val="20"/>
                <w:szCs w:val="20"/>
              </w:rPr>
            </w:pPr>
          </w:p>
          <w:p w:rsidR="00E6551C" w:rsidRDefault="00E6551C" w:rsidP="00E6551C">
            <w:pPr>
              <w:widowControl w:val="0"/>
              <w:jc w:val="both"/>
              <w:rPr>
                <w:b/>
                <w:iCs/>
                <w:sz w:val="20"/>
                <w:szCs w:val="20"/>
              </w:rPr>
            </w:pPr>
            <w:r>
              <w:rPr>
                <w:b/>
                <w:iCs/>
                <w:sz w:val="20"/>
                <w:szCs w:val="20"/>
              </w:rPr>
              <w:tab/>
            </w:r>
            <w:r w:rsidRPr="00E6551C">
              <w:rPr>
                <w:b/>
                <w:iCs/>
                <w:sz w:val="20"/>
                <w:szCs w:val="20"/>
              </w:rPr>
              <w:t xml:space="preserve">v. </w:t>
            </w:r>
            <w:r w:rsidRPr="00B27001">
              <w:rPr>
                <w:iCs/>
                <w:sz w:val="20"/>
                <w:szCs w:val="20"/>
              </w:rPr>
              <w:t>(</w:t>
            </w:r>
            <w:hyperlink r:id="rId83" w:history="1">
              <w:r w:rsidRPr="00B27001">
                <w:rPr>
                  <w:rStyle w:val="Hyperlink"/>
                  <w:iCs/>
                  <w:sz w:val="20"/>
                  <w:szCs w:val="20"/>
                </w:rPr>
                <w:t>35373</w:t>
              </w:r>
            </w:hyperlink>
            <w:r w:rsidRPr="00B27001">
              <w:rPr>
                <w:iCs/>
                <w:sz w:val="20"/>
                <w:szCs w:val="20"/>
              </w:rPr>
              <w:t>)</w:t>
            </w:r>
          </w:p>
          <w:p w:rsidR="00E6551C" w:rsidRDefault="00E6551C" w:rsidP="00E6551C">
            <w:pPr>
              <w:widowControl w:val="0"/>
              <w:jc w:val="both"/>
              <w:rPr>
                <w:b/>
                <w:iCs/>
                <w:sz w:val="20"/>
                <w:szCs w:val="20"/>
              </w:rPr>
            </w:pPr>
          </w:p>
          <w:p w:rsidR="00E6551C" w:rsidRPr="004909C5" w:rsidRDefault="00E6551C" w:rsidP="00E6551C">
            <w:pPr>
              <w:widowControl w:val="0"/>
              <w:jc w:val="both"/>
              <w:rPr>
                <w:sz w:val="20"/>
                <w:szCs w:val="20"/>
              </w:rPr>
            </w:pPr>
            <w:r w:rsidRPr="00E6551C">
              <w:rPr>
                <w:b/>
                <w:iCs/>
                <w:sz w:val="20"/>
                <w:szCs w:val="20"/>
              </w:rPr>
              <w:t>Her Majesty the Queen (B.C.) (Criminal) (As of Right)</w:t>
            </w:r>
          </w:p>
        </w:tc>
        <w:tc>
          <w:tcPr>
            <w:tcW w:w="720" w:type="dxa"/>
            <w:tcMar>
              <w:left w:w="0" w:type="dxa"/>
              <w:right w:w="0" w:type="dxa"/>
            </w:tcMar>
          </w:tcPr>
          <w:p w:rsidR="00E6551C" w:rsidRPr="004909C5" w:rsidRDefault="00E6551C" w:rsidP="00E6551C">
            <w:pPr>
              <w:widowControl w:val="0"/>
              <w:jc w:val="center"/>
              <w:rPr>
                <w:sz w:val="20"/>
                <w:szCs w:val="20"/>
              </w:rPr>
            </w:pPr>
          </w:p>
        </w:tc>
        <w:tc>
          <w:tcPr>
            <w:tcW w:w="4380" w:type="dxa"/>
            <w:tcMar>
              <w:left w:w="0" w:type="dxa"/>
              <w:right w:w="0" w:type="dxa"/>
            </w:tcMar>
          </w:tcPr>
          <w:p w:rsidR="00E25410" w:rsidRPr="00250EF5" w:rsidRDefault="00E25410" w:rsidP="00E25410">
            <w:pPr>
              <w:tabs>
                <w:tab w:val="left" w:pos="-2970"/>
              </w:tabs>
              <w:jc w:val="both"/>
              <w:rPr>
                <w:sz w:val="20"/>
                <w:szCs w:val="20"/>
                <w:lang w:val="en-US"/>
              </w:rPr>
            </w:pPr>
            <w:r w:rsidRPr="00250EF5">
              <w:rPr>
                <w:sz w:val="20"/>
                <w:szCs w:val="20"/>
                <w:lang w:val="en-US"/>
              </w:rPr>
              <w:t>Christopher Darnay</w:t>
            </w:r>
            <w:r>
              <w:rPr>
                <w:sz w:val="20"/>
                <w:szCs w:val="20"/>
                <w:lang w:val="en-US"/>
              </w:rPr>
              <w:t xml:space="preserve"> and </w:t>
            </w:r>
            <w:r w:rsidRPr="00250EF5">
              <w:rPr>
                <w:sz w:val="20"/>
                <w:szCs w:val="20"/>
                <w:lang w:val="en-US"/>
              </w:rPr>
              <w:t>Michelle Poulsen</w:t>
            </w:r>
            <w:r>
              <w:rPr>
                <w:sz w:val="20"/>
                <w:szCs w:val="20"/>
                <w:lang w:val="en-US"/>
              </w:rPr>
              <w:t xml:space="preserve"> f</w:t>
            </w:r>
            <w:r w:rsidRPr="00250EF5">
              <w:rPr>
                <w:sz w:val="20"/>
                <w:szCs w:val="20"/>
                <w:lang w:val="en-US"/>
              </w:rPr>
              <w:t xml:space="preserve">or the </w:t>
            </w:r>
            <w:r>
              <w:rPr>
                <w:sz w:val="20"/>
                <w:szCs w:val="20"/>
                <w:lang w:val="en-US"/>
              </w:rPr>
              <w:t>a</w:t>
            </w:r>
            <w:r w:rsidRPr="00250EF5">
              <w:rPr>
                <w:sz w:val="20"/>
                <w:szCs w:val="20"/>
                <w:lang w:val="en-US"/>
              </w:rPr>
              <w:t>ppellant.</w:t>
            </w:r>
          </w:p>
          <w:p w:rsidR="00E25410" w:rsidRPr="00250EF5" w:rsidRDefault="00E25410" w:rsidP="00E25410">
            <w:pPr>
              <w:tabs>
                <w:tab w:val="left" w:pos="-2970"/>
              </w:tabs>
              <w:jc w:val="both"/>
              <w:rPr>
                <w:sz w:val="20"/>
                <w:szCs w:val="20"/>
                <w:lang w:val="en-US"/>
              </w:rPr>
            </w:pPr>
          </w:p>
          <w:p w:rsidR="00E6551C" w:rsidRPr="00C50A5C" w:rsidRDefault="00E25410" w:rsidP="00E25410">
            <w:pPr>
              <w:widowControl w:val="0"/>
              <w:jc w:val="both"/>
              <w:rPr>
                <w:sz w:val="20"/>
                <w:szCs w:val="20"/>
              </w:rPr>
            </w:pPr>
            <w:r w:rsidRPr="00250EF5">
              <w:rPr>
                <w:sz w:val="20"/>
                <w:szCs w:val="20"/>
                <w:lang w:val="en-US"/>
              </w:rPr>
              <w:t>Margaret A. Mereigh</w:t>
            </w:r>
            <w:r>
              <w:rPr>
                <w:sz w:val="20"/>
                <w:szCs w:val="20"/>
                <w:lang w:val="en-US"/>
              </w:rPr>
              <w:t xml:space="preserve"> f</w:t>
            </w:r>
            <w:r w:rsidRPr="00250EF5">
              <w:rPr>
                <w:sz w:val="20"/>
                <w:szCs w:val="20"/>
                <w:lang w:val="en-US"/>
              </w:rPr>
              <w:t xml:space="preserve">or the </w:t>
            </w:r>
            <w:r>
              <w:rPr>
                <w:sz w:val="20"/>
                <w:szCs w:val="20"/>
                <w:lang w:val="en-US"/>
              </w:rPr>
              <w:t>r</w:t>
            </w:r>
            <w:r w:rsidRPr="00250EF5">
              <w:rPr>
                <w:sz w:val="20"/>
                <w:szCs w:val="20"/>
                <w:lang w:val="en-US"/>
              </w:rPr>
              <w:t>espondent.</w:t>
            </w:r>
          </w:p>
        </w:tc>
      </w:tr>
    </w:tbl>
    <w:p w:rsidR="00E6551C" w:rsidRPr="00E6551C" w:rsidRDefault="00E6551C" w:rsidP="00E6551C">
      <w:pPr>
        <w:widowControl w:val="0"/>
        <w:rPr>
          <w:sz w:val="20"/>
          <w:szCs w:val="20"/>
        </w:rPr>
      </w:pPr>
    </w:p>
    <w:p w:rsidR="00E6551C" w:rsidRDefault="00E6551C" w:rsidP="00E6551C">
      <w:pPr>
        <w:rPr>
          <w:b/>
          <w:sz w:val="20"/>
          <w:szCs w:val="20"/>
        </w:rPr>
      </w:pPr>
      <w:r w:rsidRPr="00B27001">
        <w:rPr>
          <w:b/>
          <w:sz w:val="20"/>
          <w:szCs w:val="20"/>
        </w:rPr>
        <w:t>DISMISSED / REJETÉ</w:t>
      </w:r>
    </w:p>
    <w:p w:rsidR="00E6551C" w:rsidRPr="00E6551C" w:rsidRDefault="00E6551C" w:rsidP="00E6551C">
      <w:pPr>
        <w:rPr>
          <w:sz w:val="20"/>
          <w:szCs w:val="20"/>
          <w:lang w:val="fr-CA"/>
        </w:rPr>
      </w:pPr>
    </w:p>
    <w:p w:rsidR="00E6551C" w:rsidRPr="00771CE4" w:rsidRDefault="00E6551C" w:rsidP="00E6551C">
      <w:pPr>
        <w:widowControl w:val="0"/>
        <w:rPr>
          <w:sz w:val="20"/>
          <w:szCs w:val="20"/>
        </w:rPr>
      </w:pPr>
      <w:r w:rsidRPr="00771CE4">
        <w:rPr>
          <w:b/>
          <w:sz w:val="20"/>
          <w:szCs w:val="20"/>
        </w:rPr>
        <w:t xml:space="preserve">2014 SCC </w:t>
      </w:r>
      <w:r>
        <w:rPr>
          <w:b/>
          <w:sz w:val="20"/>
          <w:szCs w:val="20"/>
        </w:rPr>
        <w:t>5</w:t>
      </w:r>
      <w:r w:rsidRPr="00771CE4">
        <w:rPr>
          <w:b/>
          <w:sz w:val="20"/>
          <w:szCs w:val="20"/>
        </w:rPr>
        <w:t xml:space="preserve"> / 2014 CSC </w:t>
      </w:r>
      <w:r>
        <w:rPr>
          <w:b/>
          <w:sz w:val="20"/>
          <w:szCs w:val="20"/>
        </w:rPr>
        <w:t>5</w:t>
      </w:r>
    </w:p>
    <w:p w:rsidR="00E6551C" w:rsidRPr="00E6551C" w:rsidRDefault="00E6551C" w:rsidP="00E6551C">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6551C" w:rsidRPr="00E6551C" w:rsidTr="00E6551C">
        <w:tc>
          <w:tcPr>
            <w:tcW w:w="4380" w:type="dxa"/>
            <w:tcMar>
              <w:left w:w="0" w:type="dxa"/>
              <w:right w:w="0" w:type="dxa"/>
            </w:tcMar>
          </w:tcPr>
          <w:p w:rsidR="00E6551C" w:rsidRPr="00CC4D84" w:rsidRDefault="00E6551C" w:rsidP="00E6551C">
            <w:pPr>
              <w:widowControl w:val="0"/>
              <w:jc w:val="both"/>
              <w:rPr>
                <w:b/>
                <w:sz w:val="20"/>
                <w:szCs w:val="20"/>
                <w:u w:val="single"/>
              </w:rPr>
            </w:pPr>
            <w:r>
              <w:rPr>
                <w:b/>
                <w:sz w:val="20"/>
                <w:szCs w:val="20"/>
                <w:u w:val="single"/>
              </w:rPr>
              <w:t>JUDGMENT</w:t>
            </w:r>
            <w:r w:rsidRPr="00CC4D84">
              <w:rPr>
                <w:b/>
                <w:sz w:val="20"/>
                <w:szCs w:val="20"/>
                <w:u w:val="single"/>
              </w:rPr>
              <w:t>:</w:t>
            </w:r>
          </w:p>
          <w:p w:rsidR="00E6551C" w:rsidRPr="001A663B" w:rsidRDefault="00E6551C" w:rsidP="00E6551C">
            <w:pPr>
              <w:widowControl w:val="0"/>
              <w:jc w:val="both"/>
              <w:rPr>
                <w:b/>
                <w:sz w:val="20"/>
                <w:szCs w:val="20"/>
              </w:rPr>
            </w:pPr>
          </w:p>
          <w:p w:rsidR="00FD66C4" w:rsidRPr="00C16602" w:rsidRDefault="00FD66C4" w:rsidP="00FD66C4">
            <w:pPr>
              <w:jc w:val="both"/>
              <w:rPr>
                <w:sz w:val="20"/>
                <w:szCs w:val="20"/>
              </w:rPr>
            </w:pPr>
            <w:r w:rsidRPr="00C16602">
              <w:rPr>
                <w:sz w:val="20"/>
                <w:szCs w:val="20"/>
              </w:rPr>
              <w:t xml:space="preserve">The appeal from the judgment of the Court of Appeal for British Columbia (Vancouver), Number CA039078, 2013 BCCA 159, dated April 9, 2013, was heard on January 17, 2014, and the Court on that day delivered the following judgment orally: </w:t>
            </w:r>
          </w:p>
          <w:p w:rsidR="00FD66C4" w:rsidRPr="00C16602" w:rsidRDefault="00FD66C4" w:rsidP="00FD66C4">
            <w:pPr>
              <w:jc w:val="both"/>
              <w:rPr>
                <w:sz w:val="20"/>
                <w:szCs w:val="20"/>
              </w:rPr>
            </w:pPr>
          </w:p>
          <w:p w:rsidR="00FD66C4" w:rsidRPr="00C16602" w:rsidRDefault="00FD66C4" w:rsidP="00FD66C4">
            <w:pPr>
              <w:jc w:val="both"/>
              <w:rPr>
                <w:sz w:val="20"/>
                <w:szCs w:val="20"/>
              </w:rPr>
            </w:pPr>
          </w:p>
          <w:p w:rsidR="00FD66C4" w:rsidRPr="00C16602" w:rsidRDefault="00FD66C4" w:rsidP="00FD66C4">
            <w:pPr>
              <w:jc w:val="both"/>
              <w:rPr>
                <w:sz w:val="20"/>
                <w:szCs w:val="20"/>
              </w:rPr>
            </w:pPr>
            <w:r w:rsidRPr="00C16602">
              <w:rPr>
                <w:smallCaps/>
                <w:sz w:val="20"/>
                <w:szCs w:val="20"/>
              </w:rPr>
              <w:t xml:space="preserve">Moldaver J. </w:t>
            </w:r>
            <w:r w:rsidRPr="00C16602">
              <w:rPr>
                <w:rFonts w:cs="Times New Roman"/>
                <w:smallCaps/>
                <w:sz w:val="20"/>
                <w:szCs w:val="20"/>
              </w:rPr>
              <w:t xml:space="preserve">— </w:t>
            </w:r>
            <w:r w:rsidRPr="00C16602">
              <w:rPr>
                <w:sz w:val="20"/>
                <w:szCs w:val="20"/>
              </w:rPr>
              <w:t xml:space="preserve">We agree with the majority of the British Columbia Court of Appeal that there must be a new trial in this matter. </w:t>
            </w:r>
          </w:p>
          <w:p w:rsidR="00FD66C4" w:rsidRPr="00C16602" w:rsidRDefault="00FD66C4" w:rsidP="00FD66C4">
            <w:pPr>
              <w:tabs>
                <w:tab w:val="left" w:pos="1260"/>
              </w:tabs>
              <w:jc w:val="both"/>
              <w:rPr>
                <w:sz w:val="20"/>
                <w:szCs w:val="20"/>
              </w:rPr>
            </w:pPr>
          </w:p>
          <w:p w:rsidR="00FD66C4" w:rsidRPr="00C16602" w:rsidRDefault="00FD66C4" w:rsidP="00FD66C4">
            <w:pPr>
              <w:tabs>
                <w:tab w:val="left" w:pos="1260"/>
              </w:tabs>
              <w:jc w:val="both"/>
              <w:rPr>
                <w:sz w:val="20"/>
                <w:szCs w:val="20"/>
              </w:rPr>
            </w:pPr>
          </w:p>
          <w:p w:rsidR="00FD66C4" w:rsidRPr="00C16602" w:rsidRDefault="00FD66C4" w:rsidP="00FD66C4">
            <w:pPr>
              <w:tabs>
                <w:tab w:val="left" w:pos="1260"/>
              </w:tabs>
              <w:jc w:val="both"/>
              <w:rPr>
                <w:sz w:val="20"/>
                <w:szCs w:val="20"/>
              </w:rPr>
            </w:pPr>
            <w:r w:rsidRPr="00C16602">
              <w:rPr>
                <w:sz w:val="20"/>
                <w:szCs w:val="20"/>
              </w:rPr>
              <w:t>In assessing the crucial issue of consent, the trial judge found that the complainant was suffering from some sort of memory loss at the time the appellant claims</w:t>
            </w:r>
            <w:r w:rsidRPr="00C16602">
              <w:rPr>
                <w:i/>
                <w:sz w:val="20"/>
                <w:szCs w:val="20"/>
              </w:rPr>
              <w:t xml:space="preserve"> </w:t>
            </w:r>
            <w:r w:rsidRPr="00C16602">
              <w:rPr>
                <w:sz w:val="20"/>
                <w:szCs w:val="20"/>
              </w:rPr>
              <w:t>that “she gave him her consent for sexual relations” (2011 BCSC 612, 86 C.R. (6th) 107, at para. 45).</w:t>
            </w:r>
          </w:p>
          <w:p w:rsidR="00FD66C4" w:rsidRPr="00C16602" w:rsidRDefault="00FD66C4" w:rsidP="00FD66C4">
            <w:pPr>
              <w:tabs>
                <w:tab w:val="left" w:pos="1260"/>
              </w:tabs>
              <w:jc w:val="both"/>
              <w:rPr>
                <w:sz w:val="20"/>
                <w:szCs w:val="20"/>
              </w:rPr>
            </w:pPr>
          </w:p>
          <w:p w:rsidR="00FD66C4" w:rsidRPr="00C16602" w:rsidRDefault="00FD66C4" w:rsidP="00FD66C4">
            <w:pPr>
              <w:tabs>
                <w:tab w:val="left" w:pos="1260"/>
              </w:tabs>
              <w:jc w:val="both"/>
              <w:rPr>
                <w:sz w:val="20"/>
                <w:szCs w:val="20"/>
              </w:rPr>
            </w:pPr>
            <w:r w:rsidRPr="00C16602">
              <w:rPr>
                <w:sz w:val="20"/>
                <w:szCs w:val="20"/>
              </w:rPr>
              <w:t xml:space="preserve">With respect, the appellant gave no such evidence of consent.  Only in his statement to the police did he claim that the complainant consented.  But that statement was not admitted into evidence and formed no part of the record.  At trial, the appellant maintained that he had virtually no recollection of the events on that evening due to alcohol and drug consumption.  He did not testify that the complainant consented to sexual relations. </w:t>
            </w:r>
          </w:p>
          <w:p w:rsidR="00FD66C4" w:rsidRPr="00C16602" w:rsidRDefault="00FD66C4" w:rsidP="00FD66C4">
            <w:pPr>
              <w:tabs>
                <w:tab w:val="left" w:pos="1260"/>
              </w:tabs>
              <w:jc w:val="both"/>
              <w:rPr>
                <w:sz w:val="20"/>
                <w:szCs w:val="20"/>
              </w:rPr>
            </w:pPr>
          </w:p>
          <w:p w:rsidR="00FD66C4" w:rsidRPr="00C16602" w:rsidRDefault="00FD66C4" w:rsidP="00FD66C4">
            <w:pPr>
              <w:tabs>
                <w:tab w:val="left" w:pos="1260"/>
              </w:tabs>
              <w:jc w:val="both"/>
              <w:rPr>
                <w:sz w:val="20"/>
                <w:szCs w:val="20"/>
              </w:rPr>
            </w:pPr>
          </w:p>
          <w:p w:rsidR="00FD66C4" w:rsidRPr="00C16602" w:rsidRDefault="00FD66C4" w:rsidP="00FD66C4">
            <w:pPr>
              <w:tabs>
                <w:tab w:val="left" w:pos="1260"/>
              </w:tabs>
              <w:jc w:val="both"/>
              <w:rPr>
                <w:sz w:val="20"/>
                <w:szCs w:val="20"/>
              </w:rPr>
            </w:pPr>
            <w:r w:rsidRPr="00C16602">
              <w:rPr>
                <w:sz w:val="20"/>
                <w:szCs w:val="20"/>
              </w:rPr>
              <w:t xml:space="preserve">In our view, the trial judge’s reliance on evidence that did not form part of the record may have coloured his thinking on the issue of consent, particularly in assessing whether the complainant may have consented to sexual relations but forgot that she had </w:t>
            </w:r>
            <w:r w:rsidRPr="00C16602">
              <w:rPr>
                <w:sz w:val="20"/>
                <w:szCs w:val="20"/>
              </w:rPr>
              <w:lastRenderedPageBreak/>
              <w:t>done so due to memory blackout, or, as she claimed, that she was unconscious at all material times and never consented to sexual relations.</w:t>
            </w:r>
          </w:p>
          <w:p w:rsidR="00FD66C4" w:rsidRPr="00C16602" w:rsidRDefault="00FD66C4" w:rsidP="00FD66C4">
            <w:pPr>
              <w:tabs>
                <w:tab w:val="left" w:pos="1260"/>
              </w:tabs>
              <w:jc w:val="both"/>
              <w:rPr>
                <w:sz w:val="20"/>
                <w:szCs w:val="20"/>
              </w:rPr>
            </w:pPr>
          </w:p>
          <w:p w:rsidR="00FD66C4" w:rsidRPr="00C16602" w:rsidRDefault="00FD66C4" w:rsidP="00FD66C4">
            <w:pPr>
              <w:tabs>
                <w:tab w:val="left" w:pos="1260"/>
              </w:tabs>
              <w:jc w:val="both"/>
              <w:rPr>
                <w:sz w:val="20"/>
                <w:szCs w:val="20"/>
              </w:rPr>
            </w:pPr>
          </w:p>
          <w:p w:rsidR="00FD66C4" w:rsidRPr="00C16602" w:rsidRDefault="00FD66C4" w:rsidP="00FD66C4">
            <w:pPr>
              <w:tabs>
                <w:tab w:val="left" w:pos="1260"/>
              </w:tabs>
              <w:jc w:val="both"/>
              <w:rPr>
                <w:sz w:val="20"/>
                <w:szCs w:val="20"/>
              </w:rPr>
            </w:pPr>
          </w:p>
          <w:p w:rsidR="00FD66C4" w:rsidRPr="00C16602" w:rsidRDefault="00FD66C4" w:rsidP="00FD66C4">
            <w:pPr>
              <w:tabs>
                <w:tab w:val="left" w:pos="1260"/>
              </w:tabs>
              <w:jc w:val="both"/>
              <w:rPr>
                <w:sz w:val="20"/>
                <w:szCs w:val="20"/>
              </w:rPr>
            </w:pPr>
            <w:r w:rsidRPr="00C16602">
              <w:rPr>
                <w:sz w:val="20"/>
                <w:szCs w:val="20"/>
              </w:rPr>
              <w:t>In addition to this error, in assessing the issue of consent, the trial judge failed to take into account the several occasions throughout the evening when the complainant made it known to the appellant that she was not interested in having sexual relations with him.  Her evidence in this regard was confirmed in part by an independent witness found by the trial judge to be credible.  Similarly, the trial judge failed to consider the complainant’s distraught condition a short time after the event when she reported the alleged sexual assault to the police.</w:t>
            </w:r>
          </w:p>
          <w:p w:rsidR="00FD66C4" w:rsidRPr="00C16602" w:rsidRDefault="00FD66C4" w:rsidP="00FD66C4">
            <w:pPr>
              <w:tabs>
                <w:tab w:val="left" w:pos="1260"/>
              </w:tabs>
              <w:jc w:val="both"/>
              <w:rPr>
                <w:sz w:val="20"/>
                <w:szCs w:val="20"/>
              </w:rPr>
            </w:pPr>
          </w:p>
          <w:p w:rsidR="00FD66C4" w:rsidRPr="00C16602" w:rsidRDefault="00FD66C4" w:rsidP="00FD66C4">
            <w:pPr>
              <w:tabs>
                <w:tab w:val="left" w:pos="1260"/>
              </w:tabs>
              <w:jc w:val="both"/>
              <w:rPr>
                <w:sz w:val="20"/>
                <w:szCs w:val="20"/>
              </w:rPr>
            </w:pPr>
            <w:r w:rsidRPr="00C16602">
              <w:rPr>
                <w:sz w:val="20"/>
                <w:szCs w:val="20"/>
              </w:rPr>
              <w:t>For these reasons, we agree with the majority of the Court of Appeal that a new trial must be ordered.  Accordingly, we would dismiss the appeal.</w:t>
            </w:r>
          </w:p>
          <w:p w:rsidR="00E6551C" w:rsidRPr="00C1697B" w:rsidRDefault="00E6551C" w:rsidP="00E6551C">
            <w:pPr>
              <w:jc w:val="both"/>
              <w:rPr>
                <w:b/>
                <w:sz w:val="20"/>
                <w:szCs w:val="20"/>
              </w:rPr>
            </w:pPr>
          </w:p>
        </w:tc>
        <w:tc>
          <w:tcPr>
            <w:tcW w:w="720" w:type="dxa"/>
            <w:tcMar>
              <w:left w:w="0" w:type="dxa"/>
              <w:right w:w="0" w:type="dxa"/>
            </w:tcMar>
          </w:tcPr>
          <w:p w:rsidR="00E6551C" w:rsidRPr="00C1697B" w:rsidRDefault="00E6551C" w:rsidP="00E6551C">
            <w:pPr>
              <w:widowControl w:val="0"/>
              <w:jc w:val="center"/>
              <w:rPr>
                <w:sz w:val="20"/>
                <w:szCs w:val="20"/>
              </w:rPr>
            </w:pPr>
          </w:p>
        </w:tc>
        <w:tc>
          <w:tcPr>
            <w:tcW w:w="4380" w:type="dxa"/>
            <w:tcMar>
              <w:left w:w="0" w:type="dxa"/>
              <w:right w:w="0" w:type="dxa"/>
            </w:tcMar>
          </w:tcPr>
          <w:p w:rsidR="00E6551C" w:rsidRPr="00CC4D84" w:rsidRDefault="00E6551C" w:rsidP="00E6551C">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E6551C" w:rsidRPr="00C1697B" w:rsidRDefault="00E6551C" w:rsidP="00E6551C">
            <w:pPr>
              <w:widowControl w:val="0"/>
              <w:jc w:val="both"/>
              <w:rPr>
                <w:sz w:val="20"/>
                <w:szCs w:val="20"/>
                <w:lang w:val="fr-CA"/>
              </w:rPr>
            </w:pPr>
          </w:p>
          <w:p w:rsidR="00FD66C4" w:rsidRPr="00C16602" w:rsidRDefault="00FD66C4" w:rsidP="00FD66C4">
            <w:pPr>
              <w:jc w:val="both"/>
              <w:rPr>
                <w:sz w:val="20"/>
                <w:szCs w:val="20"/>
                <w:lang w:val="fr-CA"/>
              </w:rPr>
            </w:pPr>
            <w:r w:rsidRPr="00C16602">
              <w:rPr>
                <w:sz w:val="20"/>
                <w:szCs w:val="20"/>
                <w:lang w:val="fr-CA"/>
              </w:rPr>
              <w:t>L’appel interjeté contre l’arrêt de la Cour d’appel de la Colombie-Britannique (Vancouver), numéro CA039078, 2013 BCCA 159, en date du 9 avril 2013, a été entendu le 17 janvier 2014, et la Cour a prononcé oralement le même jour le jugement suivant:</w:t>
            </w:r>
          </w:p>
          <w:p w:rsidR="00FD66C4" w:rsidRPr="00C16602" w:rsidRDefault="00FD66C4" w:rsidP="00FD66C4">
            <w:pPr>
              <w:jc w:val="both"/>
              <w:rPr>
                <w:sz w:val="20"/>
                <w:szCs w:val="20"/>
                <w:lang w:val="fr-CA"/>
              </w:rPr>
            </w:pPr>
          </w:p>
          <w:p w:rsidR="00FD66C4" w:rsidRPr="00C16602" w:rsidRDefault="00FD66C4" w:rsidP="00FD66C4">
            <w:pPr>
              <w:jc w:val="both"/>
              <w:rPr>
                <w:smallCaps/>
                <w:sz w:val="20"/>
                <w:szCs w:val="20"/>
                <w:lang w:val="fr-CA"/>
              </w:rPr>
            </w:pPr>
            <w:r w:rsidRPr="00C16602">
              <w:rPr>
                <w:smallCaps/>
                <w:sz w:val="20"/>
                <w:szCs w:val="20"/>
                <w:lang w:val="fr-CA"/>
              </w:rPr>
              <w:t>[traduction]</w:t>
            </w:r>
          </w:p>
          <w:p w:rsidR="00FD66C4" w:rsidRPr="00C16602" w:rsidRDefault="00FD66C4" w:rsidP="00FD66C4">
            <w:pPr>
              <w:jc w:val="both"/>
              <w:rPr>
                <w:sz w:val="20"/>
                <w:szCs w:val="20"/>
                <w:lang w:val="fr-CA"/>
              </w:rPr>
            </w:pPr>
            <w:r w:rsidRPr="00C16602">
              <w:rPr>
                <w:smallCaps/>
                <w:sz w:val="20"/>
                <w:szCs w:val="20"/>
                <w:lang w:val="fr-CA"/>
              </w:rPr>
              <w:t xml:space="preserve">le juge Moldaver </w:t>
            </w:r>
            <w:r w:rsidRPr="00C16602">
              <w:rPr>
                <w:rFonts w:cs="Times New Roman"/>
                <w:smallCaps/>
                <w:sz w:val="20"/>
                <w:szCs w:val="20"/>
                <w:lang w:val="fr-CA"/>
              </w:rPr>
              <w:t xml:space="preserve">— </w:t>
            </w:r>
            <w:r w:rsidRPr="00C16602">
              <w:rPr>
                <w:rFonts w:cs="Times New Roman"/>
                <w:sz w:val="20"/>
                <w:szCs w:val="20"/>
                <w:lang w:val="fr-CA"/>
              </w:rPr>
              <w:t>Nous sommes d’accord avec les juges majoritaires de la Cour d’appel de la Colombie-Britannique pour conclure que la tenue d’un nouveau procès s’impose en l’espèce</w:t>
            </w:r>
            <w:r w:rsidRPr="00C16602">
              <w:rPr>
                <w:sz w:val="20"/>
                <w:szCs w:val="20"/>
                <w:lang w:val="fr-CA"/>
              </w:rPr>
              <w:t>.</w:t>
            </w:r>
          </w:p>
          <w:p w:rsidR="00FD66C4" w:rsidRPr="00C16602" w:rsidRDefault="00FD66C4" w:rsidP="00FD66C4">
            <w:pPr>
              <w:jc w:val="both"/>
              <w:rPr>
                <w:sz w:val="20"/>
                <w:szCs w:val="20"/>
                <w:lang w:val="fr-CA"/>
              </w:rPr>
            </w:pPr>
          </w:p>
          <w:p w:rsidR="00FD66C4" w:rsidRPr="00C16602" w:rsidRDefault="00FD66C4" w:rsidP="00FD66C4">
            <w:pPr>
              <w:jc w:val="both"/>
              <w:rPr>
                <w:sz w:val="20"/>
                <w:szCs w:val="20"/>
                <w:lang w:val="fr-CA"/>
              </w:rPr>
            </w:pPr>
            <w:r w:rsidRPr="00C16602">
              <w:rPr>
                <w:sz w:val="20"/>
                <w:szCs w:val="20"/>
                <w:lang w:val="fr-CA"/>
              </w:rPr>
              <w:t>Lorsqu’il a examiné la question cruciale du consentement, le juge du procès a conclu que la plaignante souffrait d’une sorte d’amnésie au moment où, prétend l’appelant, [</w:t>
            </w:r>
            <w:r w:rsidRPr="00C16602">
              <w:rPr>
                <w:smallCaps/>
                <w:sz w:val="20"/>
                <w:szCs w:val="20"/>
                <w:lang w:val="fr-CA"/>
              </w:rPr>
              <w:t>traduction</w:t>
            </w:r>
            <w:r w:rsidRPr="00C16602">
              <w:rPr>
                <w:sz w:val="20"/>
                <w:szCs w:val="20"/>
                <w:lang w:val="fr-CA"/>
              </w:rPr>
              <w:t>] « elle avait consenti à avoir des rapports sexuels avec lui » (2011 BCSC 612, 86 C.R. (6th) 107, par. 45).</w:t>
            </w:r>
          </w:p>
          <w:p w:rsidR="00FD66C4" w:rsidRPr="00C16602" w:rsidRDefault="00FD66C4" w:rsidP="00FD66C4">
            <w:pPr>
              <w:jc w:val="both"/>
              <w:rPr>
                <w:sz w:val="20"/>
                <w:szCs w:val="20"/>
                <w:lang w:val="fr-CA"/>
              </w:rPr>
            </w:pPr>
          </w:p>
          <w:p w:rsidR="00FD66C4" w:rsidRPr="00C16602" w:rsidRDefault="00FD66C4" w:rsidP="00FD66C4">
            <w:pPr>
              <w:tabs>
                <w:tab w:val="left" w:pos="1260"/>
              </w:tabs>
              <w:jc w:val="both"/>
              <w:rPr>
                <w:sz w:val="20"/>
                <w:szCs w:val="20"/>
                <w:lang w:val="fr-CA"/>
              </w:rPr>
            </w:pPr>
            <w:r w:rsidRPr="00C16602">
              <w:rPr>
                <w:sz w:val="20"/>
                <w:szCs w:val="20"/>
                <w:lang w:val="fr-CA"/>
              </w:rPr>
              <w:t xml:space="preserve">En toute déférence, l’appelant n’a fourni aucune preuve du consentement.  C’est uniquement dans sa déclaration à la police qu’il a prétendu que la plaignante avait consenti.  Mais cette déclaration n’a pas été admise en preuve et elle ne faisait aucunement partie du dossier.  Au procès, l’appelant a soutenu n’avoir pratiquement aucun souvenir des faits survenus ce soir-là, parce qu’il avait consommé de l’alcool et de la drogue.  Il n’a pas témoigné que la plaignante avait consenti à des rapports sexuels.  </w:t>
            </w:r>
          </w:p>
          <w:p w:rsidR="00FD66C4" w:rsidRPr="00C16602" w:rsidRDefault="00FD66C4" w:rsidP="00FD66C4">
            <w:pPr>
              <w:tabs>
                <w:tab w:val="left" w:pos="1260"/>
              </w:tabs>
              <w:jc w:val="both"/>
              <w:rPr>
                <w:sz w:val="20"/>
                <w:szCs w:val="20"/>
                <w:lang w:val="fr-CA"/>
              </w:rPr>
            </w:pPr>
          </w:p>
          <w:p w:rsidR="00FD66C4" w:rsidRPr="00C16602" w:rsidRDefault="00FD66C4" w:rsidP="00FD66C4">
            <w:pPr>
              <w:tabs>
                <w:tab w:val="left" w:pos="1260"/>
              </w:tabs>
              <w:jc w:val="both"/>
              <w:rPr>
                <w:sz w:val="20"/>
                <w:szCs w:val="20"/>
                <w:lang w:val="fr-CA"/>
              </w:rPr>
            </w:pPr>
            <w:r w:rsidRPr="00C16602">
              <w:rPr>
                <w:sz w:val="20"/>
                <w:szCs w:val="20"/>
                <w:lang w:val="fr-CA"/>
              </w:rPr>
              <w:t xml:space="preserve">À notre avis, le fait que le juge du procès se soit appuyé sur une preuve qui ne faisait pas partie du dossier a peut-être influencé son raisonnement sur la question du consentement, tout particulièrement lorsqu’il s’est demandé si la plaignante avait peut-être </w:t>
            </w:r>
            <w:r w:rsidRPr="00C16602">
              <w:rPr>
                <w:sz w:val="20"/>
                <w:szCs w:val="20"/>
                <w:lang w:val="fr-CA"/>
              </w:rPr>
              <w:lastRenderedPageBreak/>
              <w:t xml:space="preserve">consenti aux rapports sexuels mais avait oublié l’avoir fait à cause d’un trou de mémoire, ou si, comme la plaignante l’a prétendu, elle était inconsciente durant toute la période pertinente et n’avait jamais consenti à de tels rapports. </w:t>
            </w:r>
          </w:p>
          <w:p w:rsidR="00FD66C4" w:rsidRPr="00C16602" w:rsidRDefault="00FD66C4" w:rsidP="00FD66C4">
            <w:pPr>
              <w:tabs>
                <w:tab w:val="left" w:pos="1260"/>
              </w:tabs>
              <w:jc w:val="both"/>
              <w:rPr>
                <w:sz w:val="20"/>
                <w:szCs w:val="20"/>
                <w:lang w:val="fr-CA"/>
              </w:rPr>
            </w:pPr>
          </w:p>
          <w:p w:rsidR="00FD66C4" w:rsidRPr="00C16602" w:rsidRDefault="00FD66C4" w:rsidP="00FD66C4">
            <w:pPr>
              <w:tabs>
                <w:tab w:val="left" w:pos="1260"/>
              </w:tabs>
              <w:jc w:val="both"/>
              <w:rPr>
                <w:sz w:val="20"/>
                <w:szCs w:val="20"/>
                <w:lang w:val="fr-CA"/>
              </w:rPr>
            </w:pPr>
            <w:r w:rsidRPr="00C16602">
              <w:rPr>
                <w:sz w:val="20"/>
                <w:szCs w:val="20"/>
                <w:lang w:val="fr-CA"/>
              </w:rPr>
              <w:t>Outre cette erreur, lorsqu’il a examiné la question du consentement, le juge du procès a omis de tenir compte des diverses occasions o</w:t>
            </w:r>
            <w:r w:rsidRPr="00C16602">
              <w:rPr>
                <w:rFonts w:cs="Times New Roman"/>
                <w:sz w:val="20"/>
                <w:szCs w:val="20"/>
                <w:lang w:val="fr-CA"/>
              </w:rPr>
              <w:t>ù</w:t>
            </w:r>
            <w:r w:rsidRPr="00C16602">
              <w:rPr>
                <w:sz w:val="20"/>
                <w:szCs w:val="20"/>
                <w:lang w:val="fr-CA"/>
              </w:rPr>
              <w:t xml:space="preserve"> la plaignante avait indiqué à l’appelant, tout au long de la soirée, qu’elle ne voulait pas avoir de rapports sexuels avec lui.  Le témoignage de la plaignante à ce sujet a été confirmé en partie par un témoin indépendant que la juge du procès avait trouvé crédible.  De même, le juge du procès n’a pas tenu compte du désarroi dans lequel se trouvait la plaignante peu après le fait, lorsqu’elle a signalé l’agression sexuelle alléguée à la police.</w:t>
            </w:r>
          </w:p>
          <w:p w:rsidR="00FD66C4" w:rsidRPr="00C16602" w:rsidRDefault="00FD66C4" w:rsidP="00FD66C4">
            <w:pPr>
              <w:jc w:val="both"/>
              <w:rPr>
                <w:sz w:val="20"/>
                <w:szCs w:val="20"/>
                <w:lang w:val="fr-CA"/>
              </w:rPr>
            </w:pPr>
          </w:p>
          <w:p w:rsidR="00E6551C" w:rsidRPr="00C1697B" w:rsidRDefault="00FD66C4" w:rsidP="00FD66C4">
            <w:pPr>
              <w:jc w:val="both"/>
              <w:rPr>
                <w:sz w:val="20"/>
                <w:szCs w:val="20"/>
                <w:lang w:val="fr-CA"/>
              </w:rPr>
            </w:pPr>
            <w:r w:rsidRPr="00C16602">
              <w:rPr>
                <w:sz w:val="20"/>
                <w:szCs w:val="20"/>
                <w:lang w:val="fr-CA"/>
              </w:rPr>
              <w:t>Pour ces motifs, à l’instar des juges majoritaires de la Cour d’appel, nous estimons qu’il faut ordonner un nouveau procès.  Nous sommes donc d’avis de rejeter le pourvoi.</w:t>
            </w:r>
          </w:p>
        </w:tc>
      </w:tr>
    </w:tbl>
    <w:p w:rsidR="00E6551C" w:rsidRPr="00BC05EA" w:rsidRDefault="00E6551C" w:rsidP="00E6551C">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6551C" w:rsidRPr="00A77E9C" w:rsidTr="00E6551C">
        <w:tc>
          <w:tcPr>
            <w:tcW w:w="4380" w:type="dxa"/>
            <w:tcMar>
              <w:left w:w="0" w:type="dxa"/>
              <w:right w:w="0" w:type="dxa"/>
            </w:tcMar>
          </w:tcPr>
          <w:p w:rsidR="00E6551C" w:rsidRPr="00CC4D84" w:rsidRDefault="00E6551C" w:rsidP="00E6551C">
            <w:pPr>
              <w:widowControl w:val="0"/>
              <w:jc w:val="both"/>
              <w:rPr>
                <w:b/>
                <w:sz w:val="20"/>
                <w:szCs w:val="20"/>
                <w:u w:val="single"/>
              </w:rPr>
            </w:pPr>
            <w:r w:rsidRPr="00CC4D84">
              <w:rPr>
                <w:b/>
                <w:sz w:val="20"/>
                <w:szCs w:val="20"/>
                <w:u w:val="single"/>
              </w:rPr>
              <w:t>Nature of the case:</w:t>
            </w:r>
          </w:p>
          <w:p w:rsidR="00E6551C" w:rsidRPr="00C1697B" w:rsidRDefault="00E6551C" w:rsidP="00E6551C">
            <w:pPr>
              <w:widowControl w:val="0"/>
              <w:jc w:val="both"/>
              <w:rPr>
                <w:b/>
                <w:sz w:val="20"/>
                <w:szCs w:val="20"/>
              </w:rPr>
            </w:pPr>
          </w:p>
          <w:p w:rsidR="00E6551C" w:rsidRPr="00C1697B" w:rsidRDefault="00BD38F2" w:rsidP="00E6551C">
            <w:pPr>
              <w:widowControl w:val="0"/>
              <w:jc w:val="both"/>
              <w:rPr>
                <w:b/>
                <w:sz w:val="20"/>
                <w:szCs w:val="20"/>
              </w:rPr>
            </w:pPr>
            <w:r w:rsidRPr="005D7FE2">
              <w:rPr>
                <w:sz w:val="20"/>
                <w:szCs w:val="20"/>
              </w:rPr>
              <w:t xml:space="preserve">Criminal law - Sexual assault - Elements of the offence - Consent - Whether the trial judge erred in law in his assessment of the evidence based on a wrong legal principle - Whether the Crown proved beyond a reasonable doubt that the complainant did not consent to the sexual activity in question - </w:t>
            </w:r>
            <w:r w:rsidRPr="005D7FE2">
              <w:rPr>
                <w:i/>
                <w:sz w:val="20"/>
                <w:szCs w:val="20"/>
              </w:rPr>
              <w:t>Criminal Code</w:t>
            </w:r>
            <w:r w:rsidRPr="005D7FE2">
              <w:rPr>
                <w:sz w:val="20"/>
                <w:szCs w:val="20"/>
              </w:rPr>
              <w:t>, R.S.C. 1985, c. C-46, s. 271.</w:t>
            </w:r>
          </w:p>
        </w:tc>
        <w:tc>
          <w:tcPr>
            <w:tcW w:w="720" w:type="dxa"/>
            <w:tcMar>
              <w:left w:w="0" w:type="dxa"/>
              <w:right w:w="0" w:type="dxa"/>
            </w:tcMar>
          </w:tcPr>
          <w:p w:rsidR="00E6551C" w:rsidRPr="00C1697B" w:rsidRDefault="00E6551C" w:rsidP="00E6551C">
            <w:pPr>
              <w:widowControl w:val="0"/>
              <w:jc w:val="center"/>
              <w:rPr>
                <w:sz w:val="20"/>
                <w:szCs w:val="20"/>
              </w:rPr>
            </w:pPr>
          </w:p>
        </w:tc>
        <w:tc>
          <w:tcPr>
            <w:tcW w:w="4380" w:type="dxa"/>
            <w:tcMar>
              <w:left w:w="0" w:type="dxa"/>
              <w:right w:w="0" w:type="dxa"/>
            </w:tcMar>
          </w:tcPr>
          <w:p w:rsidR="00E6551C" w:rsidRPr="00CC4D84" w:rsidRDefault="00E6551C" w:rsidP="00E6551C">
            <w:pPr>
              <w:widowControl w:val="0"/>
              <w:jc w:val="both"/>
              <w:rPr>
                <w:b/>
                <w:sz w:val="20"/>
                <w:szCs w:val="20"/>
                <w:u w:val="single"/>
                <w:lang w:val="fr-CA"/>
              </w:rPr>
            </w:pPr>
            <w:r w:rsidRPr="00CC4D84">
              <w:rPr>
                <w:b/>
                <w:sz w:val="20"/>
                <w:szCs w:val="20"/>
                <w:u w:val="single"/>
                <w:lang w:val="fr-CA"/>
              </w:rPr>
              <w:t>Nature de la cause :</w:t>
            </w:r>
          </w:p>
          <w:p w:rsidR="00E6551C" w:rsidRPr="00C1697B" w:rsidRDefault="00E6551C" w:rsidP="00E6551C">
            <w:pPr>
              <w:widowControl w:val="0"/>
              <w:jc w:val="both"/>
              <w:rPr>
                <w:sz w:val="20"/>
                <w:szCs w:val="20"/>
                <w:lang w:val="fr-CA"/>
              </w:rPr>
            </w:pPr>
          </w:p>
          <w:p w:rsidR="00E6551C" w:rsidRPr="00C1697B" w:rsidRDefault="00BD38F2" w:rsidP="00E6551C">
            <w:pPr>
              <w:jc w:val="both"/>
              <w:rPr>
                <w:sz w:val="20"/>
                <w:szCs w:val="20"/>
                <w:lang w:val="fr-CA"/>
              </w:rPr>
            </w:pPr>
            <w:r w:rsidRPr="00277D46">
              <w:rPr>
                <w:sz w:val="20"/>
                <w:szCs w:val="20"/>
                <w:lang w:val="fr-CA"/>
              </w:rPr>
              <w:t xml:space="preserve">Droit criminel - Agression sexuelle - Éléments de l’infraction - Consentement - Le juge du procès a-t-il commis une erreur de droit dans son appréciation de la preuve en se fondant sur un mauvais principe juridique? - Le ministère public a-t-il prouvé hors de tout doute raisonnable que la plaignante n’avait pas consenti à l’activité sexuelle en cause? - </w:t>
            </w:r>
            <w:r w:rsidRPr="00277D46">
              <w:rPr>
                <w:i/>
                <w:sz w:val="20"/>
                <w:szCs w:val="20"/>
                <w:lang w:val="fr-CA"/>
              </w:rPr>
              <w:t>Code criminel</w:t>
            </w:r>
            <w:r w:rsidRPr="00277D46">
              <w:rPr>
                <w:sz w:val="20"/>
                <w:szCs w:val="20"/>
                <w:lang w:val="fr-CA"/>
              </w:rPr>
              <w:t>, L.R.C. 1985, ch. C-46, art. 271.</w:t>
            </w:r>
          </w:p>
        </w:tc>
      </w:tr>
    </w:tbl>
    <w:p w:rsidR="00E6551C" w:rsidRDefault="00E6551C" w:rsidP="00E6551C">
      <w:pPr>
        <w:widowControl w:val="0"/>
        <w:rPr>
          <w:sz w:val="20"/>
          <w:szCs w:val="20"/>
          <w:lang w:val="fr-CA"/>
        </w:rPr>
      </w:pPr>
    </w:p>
    <w:p w:rsidR="00E6551C" w:rsidRDefault="007C5411" w:rsidP="00E6551C">
      <w:pPr>
        <w:widowControl w:val="0"/>
        <w:rPr>
          <w:sz w:val="20"/>
          <w:szCs w:val="20"/>
        </w:rPr>
      </w:pPr>
      <w:r>
        <w:rPr>
          <w:sz w:val="20"/>
          <w:szCs w:val="20"/>
          <w:lang w:val="fr-CA"/>
        </w:rPr>
        <w:pict>
          <v:rect id="_x0000_i1080" style="width:2in;height:1pt" o:hrpct="0" o:hralign="center" o:hrstd="t" o:hrnoshade="t" o:hr="t" fillcolor="black [3213]" stroked="f"/>
        </w:pict>
      </w:r>
    </w:p>
    <w:p w:rsidR="00E6551C" w:rsidRDefault="00E6551C" w:rsidP="00E6551C">
      <w:pPr>
        <w:widowControl w:val="0"/>
        <w:rPr>
          <w:sz w:val="20"/>
          <w:szCs w:val="20"/>
        </w:rPr>
      </w:pPr>
    </w:p>
    <w:p w:rsidR="00732DB7" w:rsidRPr="00864614" w:rsidRDefault="007D4AFC" w:rsidP="00732DB7">
      <w:pPr>
        <w:widowControl w:val="0"/>
        <w:rPr>
          <w:sz w:val="20"/>
          <w:szCs w:val="20"/>
          <w:lang w:val="fr-CA"/>
        </w:rPr>
      </w:pPr>
      <w:r w:rsidRPr="00864614">
        <w:rPr>
          <w:sz w:val="20"/>
          <w:szCs w:val="20"/>
          <w:lang w:val="fr-CA"/>
        </w:rPr>
        <w:t>20</w:t>
      </w:r>
      <w:r w:rsidR="00732DB7" w:rsidRPr="00864614">
        <w:rPr>
          <w:sz w:val="20"/>
          <w:szCs w:val="20"/>
          <w:lang w:val="fr-CA"/>
        </w:rPr>
        <w:t>.0</w:t>
      </w:r>
      <w:r w:rsidRPr="00864614">
        <w:rPr>
          <w:sz w:val="20"/>
          <w:szCs w:val="20"/>
          <w:lang w:val="fr-CA"/>
        </w:rPr>
        <w:t>1</w:t>
      </w:r>
      <w:r w:rsidR="00732DB7" w:rsidRPr="00864614">
        <w:rPr>
          <w:sz w:val="20"/>
          <w:szCs w:val="20"/>
          <w:lang w:val="fr-CA"/>
        </w:rPr>
        <w:t>.201</w:t>
      </w:r>
      <w:r w:rsidRPr="00864614">
        <w:rPr>
          <w:sz w:val="20"/>
          <w:szCs w:val="20"/>
          <w:lang w:val="fr-CA"/>
        </w:rPr>
        <w:t>4</w:t>
      </w:r>
    </w:p>
    <w:p w:rsidR="00732DB7" w:rsidRPr="00864614" w:rsidRDefault="00732DB7" w:rsidP="00732DB7">
      <w:pPr>
        <w:widowControl w:val="0"/>
        <w:rPr>
          <w:sz w:val="20"/>
          <w:szCs w:val="20"/>
          <w:lang w:val="fr-CA"/>
        </w:rPr>
      </w:pPr>
    </w:p>
    <w:p w:rsidR="007D4AFC" w:rsidRPr="007D4AFC" w:rsidRDefault="007D4AFC" w:rsidP="00732DB7">
      <w:pPr>
        <w:widowControl w:val="0"/>
        <w:rPr>
          <w:sz w:val="20"/>
          <w:szCs w:val="20"/>
          <w:lang w:val="fr-CA"/>
        </w:rPr>
      </w:pPr>
      <w:r w:rsidRPr="003D2D02">
        <w:rPr>
          <w:sz w:val="20"/>
          <w:szCs w:val="20"/>
          <w:lang w:val="fr-CA"/>
        </w:rPr>
        <w:t xml:space="preserve">Coram: </w:t>
      </w:r>
      <w:r w:rsidRPr="003D2D02">
        <w:rPr>
          <w:sz w:val="20"/>
          <w:szCs w:val="20"/>
          <w:lang w:val="fr-CA"/>
        </w:rPr>
        <w:tab/>
      </w:r>
      <w:r w:rsidRPr="003D2D02">
        <w:rPr>
          <w:sz w:val="20"/>
          <w:szCs w:val="20"/>
          <w:u w:val="single"/>
          <w:lang w:val="fr-CA"/>
        </w:rPr>
        <w:t>La juge en chef McLachlin et les juges LeBel, Abella, Rothstein, Moldaver, Karakatsanis et Wagner</w:t>
      </w:r>
    </w:p>
    <w:p w:rsidR="00732DB7" w:rsidRPr="00864614" w:rsidRDefault="00732DB7" w:rsidP="00732DB7">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32DB7" w:rsidRPr="007C5411" w:rsidTr="00697C62">
        <w:tc>
          <w:tcPr>
            <w:tcW w:w="4380" w:type="dxa"/>
            <w:tcMar>
              <w:left w:w="0" w:type="dxa"/>
              <w:right w:w="0" w:type="dxa"/>
            </w:tcMar>
          </w:tcPr>
          <w:p w:rsidR="007D4AFC" w:rsidRDefault="007D4AFC" w:rsidP="007D4AFC">
            <w:pPr>
              <w:widowControl w:val="0"/>
              <w:tabs>
                <w:tab w:val="left" w:pos="720"/>
                <w:tab w:val="left" w:pos="1440"/>
                <w:tab w:val="left" w:pos="2851"/>
                <w:tab w:val="left" w:pos="4320"/>
                <w:tab w:val="left" w:pos="10224"/>
                <w:tab w:val="left" w:pos="11376"/>
              </w:tabs>
              <w:rPr>
                <w:b/>
                <w:iCs/>
                <w:sz w:val="20"/>
                <w:szCs w:val="20"/>
                <w:lang w:val="fr-CA"/>
              </w:rPr>
            </w:pPr>
            <w:r w:rsidRPr="003D2D02">
              <w:rPr>
                <w:b/>
                <w:iCs/>
                <w:sz w:val="20"/>
                <w:szCs w:val="20"/>
                <w:lang w:val="fr-CA"/>
              </w:rPr>
              <w:t xml:space="preserve">Procureur général du Canada </w:t>
            </w:r>
          </w:p>
          <w:p w:rsidR="007D4AFC" w:rsidRDefault="007D4AFC" w:rsidP="007D4AFC">
            <w:pPr>
              <w:widowControl w:val="0"/>
              <w:tabs>
                <w:tab w:val="left" w:pos="720"/>
                <w:tab w:val="left" w:pos="1440"/>
                <w:tab w:val="left" w:pos="2851"/>
                <w:tab w:val="left" w:pos="4320"/>
                <w:tab w:val="left" w:pos="10224"/>
                <w:tab w:val="left" w:pos="11376"/>
              </w:tabs>
              <w:rPr>
                <w:b/>
                <w:iCs/>
                <w:sz w:val="20"/>
                <w:szCs w:val="20"/>
                <w:lang w:val="fr-CA"/>
              </w:rPr>
            </w:pPr>
          </w:p>
          <w:p w:rsidR="007D4AFC" w:rsidRDefault="007D4AFC" w:rsidP="007D4AFC">
            <w:pPr>
              <w:widowControl w:val="0"/>
              <w:tabs>
                <w:tab w:val="left" w:pos="720"/>
                <w:tab w:val="left" w:pos="1440"/>
                <w:tab w:val="left" w:pos="2851"/>
                <w:tab w:val="left" w:pos="4320"/>
                <w:tab w:val="left" w:pos="10224"/>
                <w:tab w:val="left" w:pos="11376"/>
              </w:tabs>
              <w:rPr>
                <w:b/>
                <w:iCs/>
                <w:sz w:val="20"/>
                <w:szCs w:val="20"/>
                <w:lang w:val="fr-CA"/>
              </w:rPr>
            </w:pPr>
            <w:r>
              <w:rPr>
                <w:b/>
                <w:iCs/>
                <w:sz w:val="20"/>
                <w:szCs w:val="20"/>
                <w:lang w:val="fr-CA"/>
              </w:rPr>
              <w:tab/>
            </w:r>
            <w:r w:rsidRPr="003D2D02">
              <w:rPr>
                <w:b/>
                <w:iCs/>
                <w:sz w:val="20"/>
                <w:szCs w:val="20"/>
                <w:lang w:val="fr-CA"/>
              </w:rPr>
              <w:t xml:space="preserve">c. </w:t>
            </w:r>
            <w:r w:rsidRPr="003D2D02">
              <w:rPr>
                <w:sz w:val="20"/>
                <w:szCs w:val="20"/>
                <w:lang w:val="fr-CA"/>
              </w:rPr>
              <w:t>(</w:t>
            </w:r>
            <w:hyperlink r:id="rId84" w:history="1">
              <w:r w:rsidRPr="003D2D02">
                <w:rPr>
                  <w:rStyle w:val="Hyperlink"/>
                  <w:sz w:val="20"/>
                  <w:szCs w:val="20"/>
                  <w:lang w:val="fr-CA"/>
                </w:rPr>
                <w:t>35124</w:t>
              </w:r>
            </w:hyperlink>
            <w:r w:rsidRPr="003D2D02">
              <w:rPr>
                <w:sz w:val="20"/>
                <w:szCs w:val="20"/>
                <w:lang w:val="fr-CA"/>
              </w:rPr>
              <w:t>)</w:t>
            </w:r>
          </w:p>
          <w:p w:rsidR="007D4AFC" w:rsidRDefault="007D4AFC" w:rsidP="007D4AFC">
            <w:pPr>
              <w:widowControl w:val="0"/>
              <w:tabs>
                <w:tab w:val="left" w:pos="720"/>
                <w:tab w:val="left" w:pos="1440"/>
                <w:tab w:val="left" w:pos="2851"/>
                <w:tab w:val="left" w:pos="4320"/>
                <w:tab w:val="left" w:pos="10224"/>
                <w:tab w:val="left" w:pos="11376"/>
              </w:tabs>
              <w:rPr>
                <w:b/>
                <w:iCs/>
                <w:sz w:val="20"/>
                <w:szCs w:val="20"/>
                <w:lang w:val="fr-CA"/>
              </w:rPr>
            </w:pPr>
          </w:p>
          <w:p w:rsidR="00732DB7" w:rsidRPr="00C50A5C" w:rsidRDefault="007D4AFC" w:rsidP="007D4AFC">
            <w:pPr>
              <w:widowControl w:val="0"/>
              <w:tabs>
                <w:tab w:val="left" w:pos="720"/>
                <w:tab w:val="left" w:pos="1440"/>
                <w:tab w:val="left" w:pos="2851"/>
                <w:tab w:val="left" w:pos="4320"/>
                <w:tab w:val="left" w:pos="10224"/>
                <w:tab w:val="left" w:pos="11376"/>
              </w:tabs>
              <w:rPr>
                <w:sz w:val="20"/>
                <w:szCs w:val="20"/>
                <w:lang w:val="fr-CA"/>
              </w:rPr>
            </w:pPr>
            <w:r w:rsidRPr="003D2D02">
              <w:rPr>
                <w:b/>
                <w:iCs/>
                <w:sz w:val="20"/>
                <w:szCs w:val="20"/>
                <w:lang w:val="fr-CA"/>
              </w:rPr>
              <w:t>Confédération des syndicats nationaux et autre</w:t>
            </w:r>
            <w:r w:rsidRPr="003D2D02">
              <w:rPr>
                <w:b/>
                <w:sz w:val="20"/>
                <w:szCs w:val="20"/>
                <w:lang w:val="fr-CA"/>
              </w:rPr>
              <w:t xml:space="preserve"> (Qc) (Civile) (Autorisation)</w:t>
            </w:r>
          </w:p>
        </w:tc>
        <w:tc>
          <w:tcPr>
            <w:tcW w:w="720" w:type="dxa"/>
            <w:tcMar>
              <w:left w:w="0" w:type="dxa"/>
              <w:right w:w="0" w:type="dxa"/>
            </w:tcMar>
          </w:tcPr>
          <w:p w:rsidR="00732DB7" w:rsidRPr="00C50A5C" w:rsidRDefault="00732DB7" w:rsidP="00732DB7">
            <w:pPr>
              <w:widowControl w:val="0"/>
              <w:jc w:val="center"/>
              <w:rPr>
                <w:sz w:val="20"/>
                <w:szCs w:val="20"/>
                <w:lang w:val="fr-CA"/>
              </w:rPr>
            </w:pPr>
          </w:p>
        </w:tc>
        <w:tc>
          <w:tcPr>
            <w:tcW w:w="4380" w:type="dxa"/>
            <w:tcMar>
              <w:left w:w="0" w:type="dxa"/>
              <w:right w:w="0" w:type="dxa"/>
            </w:tcMar>
          </w:tcPr>
          <w:p w:rsidR="00E25410" w:rsidRPr="00AC632B" w:rsidRDefault="00E25410" w:rsidP="00E25410">
            <w:pPr>
              <w:jc w:val="both"/>
              <w:rPr>
                <w:sz w:val="20"/>
                <w:szCs w:val="20"/>
                <w:lang w:val="fr-CA"/>
              </w:rPr>
            </w:pPr>
            <w:r w:rsidRPr="00AC632B">
              <w:rPr>
                <w:sz w:val="20"/>
                <w:szCs w:val="20"/>
                <w:lang w:val="fr-CA"/>
              </w:rPr>
              <w:t>René LeBlanc</w:t>
            </w:r>
            <w:r>
              <w:rPr>
                <w:sz w:val="20"/>
                <w:szCs w:val="20"/>
                <w:lang w:val="fr-CA"/>
              </w:rPr>
              <w:t xml:space="preserve"> et </w:t>
            </w:r>
            <w:r w:rsidRPr="00AC632B">
              <w:rPr>
                <w:sz w:val="20"/>
                <w:szCs w:val="20"/>
                <w:lang w:val="fr-CA"/>
              </w:rPr>
              <w:t>Pierre Salois</w:t>
            </w:r>
            <w:r>
              <w:rPr>
                <w:sz w:val="20"/>
                <w:szCs w:val="20"/>
                <w:lang w:val="fr-CA"/>
              </w:rPr>
              <w:t xml:space="preserve"> p</w:t>
            </w:r>
            <w:r w:rsidRPr="00AC632B">
              <w:rPr>
                <w:sz w:val="20"/>
                <w:szCs w:val="20"/>
                <w:lang w:val="fr-CA"/>
              </w:rPr>
              <w:t>our l’appelant.</w:t>
            </w:r>
          </w:p>
          <w:p w:rsidR="00E25410" w:rsidRPr="00AC632B" w:rsidRDefault="00E25410" w:rsidP="00E25410">
            <w:pPr>
              <w:jc w:val="both"/>
              <w:rPr>
                <w:sz w:val="20"/>
                <w:szCs w:val="20"/>
                <w:lang w:val="fr-CA"/>
              </w:rPr>
            </w:pPr>
          </w:p>
          <w:p w:rsidR="00E25410" w:rsidRPr="00AC632B" w:rsidRDefault="00E25410" w:rsidP="00E25410">
            <w:pPr>
              <w:jc w:val="both"/>
              <w:rPr>
                <w:sz w:val="20"/>
                <w:szCs w:val="20"/>
                <w:lang w:val="fr-CA"/>
              </w:rPr>
            </w:pPr>
            <w:r w:rsidRPr="00AC632B">
              <w:rPr>
                <w:sz w:val="20"/>
                <w:szCs w:val="20"/>
                <w:lang w:val="fr-CA"/>
              </w:rPr>
              <w:t>Guy Martin</w:t>
            </w:r>
            <w:r>
              <w:rPr>
                <w:sz w:val="20"/>
                <w:szCs w:val="20"/>
                <w:lang w:val="fr-CA"/>
              </w:rPr>
              <w:t xml:space="preserve"> p</w:t>
            </w:r>
            <w:r w:rsidRPr="00AC632B">
              <w:rPr>
                <w:sz w:val="20"/>
                <w:szCs w:val="20"/>
                <w:lang w:val="fr-CA"/>
              </w:rPr>
              <w:t>our l’intimée</w:t>
            </w:r>
            <w:r>
              <w:rPr>
                <w:sz w:val="20"/>
                <w:szCs w:val="20"/>
                <w:lang w:val="fr-CA"/>
              </w:rPr>
              <w:t xml:space="preserve"> </w:t>
            </w:r>
            <w:r w:rsidRPr="00AC632B">
              <w:rPr>
                <w:sz w:val="20"/>
                <w:szCs w:val="20"/>
                <w:lang w:val="fr-CA"/>
              </w:rPr>
              <w:t>Confédération des</w:t>
            </w:r>
            <w:r>
              <w:rPr>
                <w:sz w:val="20"/>
                <w:szCs w:val="20"/>
                <w:lang w:val="fr-CA"/>
              </w:rPr>
              <w:t xml:space="preserve"> s</w:t>
            </w:r>
            <w:r w:rsidRPr="00AC632B">
              <w:rPr>
                <w:sz w:val="20"/>
                <w:szCs w:val="20"/>
                <w:lang w:val="fr-CA"/>
              </w:rPr>
              <w:t>yndicats nationaux</w:t>
            </w:r>
            <w:r>
              <w:rPr>
                <w:sz w:val="20"/>
                <w:szCs w:val="20"/>
                <w:lang w:val="fr-CA"/>
              </w:rPr>
              <w:t>.</w:t>
            </w:r>
          </w:p>
          <w:p w:rsidR="00E25410" w:rsidRPr="00AC632B" w:rsidRDefault="00E25410" w:rsidP="00E25410">
            <w:pPr>
              <w:jc w:val="both"/>
              <w:rPr>
                <w:sz w:val="20"/>
                <w:szCs w:val="20"/>
                <w:lang w:val="fr-CA"/>
              </w:rPr>
            </w:pPr>
          </w:p>
          <w:p w:rsidR="00732DB7" w:rsidRPr="00E25410" w:rsidRDefault="00E25410" w:rsidP="00E25410">
            <w:pPr>
              <w:widowControl w:val="0"/>
              <w:jc w:val="both"/>
              <w:rPr>
                <w:sz w:val="20"/>
                <w:szCs w:val="20"/>
                <w:lang w:val="fr-CA"/>
              </w:rPr>
            </w:pPr>
            <w:r w:rsidRPr="00AC632B">
              <w:rPr>
                <w:sz w:val="20"/>
                <w:szCs w:val="20"/>
                <w:lang w:val="fr-CA"/>
              </w:rPr>
              <w:t>Jean-Guy Ouellet</w:t>
            </w:r>
            <w:r>
              <w:rPr>
                <w:sz w:val="20"/>
                <w:szCs w:val="20"/>
                <w:lang w:val="fr-CA"/>
              </w:rPr>
              <w:t xml:space="preserve"> p</w:t>
            </w:r>
            <w:r w:rsidRPr="00AC632B">
              <w:rPr>
                <w:sz w:val="20"/>
                <w:szCs w:val="20"/>
                <w:lang w:val="fr-CA"/>
              </w:rPr>
              <w:t>our l’intimée</w:t>
            </w:r>
            <w:r>
              <w:rPr>
                <w:sz w:val="20"/>
                <w:szCs w:val="20"/>
                <w:lang w:val="fr-CA"/>
              </w:rPr>
              <w:t xml:space="preserve"> </w:t>
            </w:r>
            <w:r w:rsidRPr="00AC632B">
              <w:rPr>
                <w:sz w:val="20"/>
                <w:szCs w:val="20"/>
                <w:lang w:val="fr-CA"/>
              </w:rPr>
              <w:t xml:space="preserve">Fédération des travailleurs et </w:t>
            </w:r>
            <w:r>
              <w:rPr>
                <w:sz w:val="20"/>
                <w:szCs w:val="20"/>
                <w:lang w:val="fr-CA"/>
              </w:rPr>
              <w:t>t</w:t>
            </w:r>
            <w:r w:rsidRPr="00AC632B">
              <w:rPr>
                <w:sz w:val="20"/>
                <w:szCs w:val="20"/>
                <w:lang w:val="fr-CA"/>
              </w:rPr>
              <w:t>ravailleuses du Québec</w:t>
            </w:r>
            <w:r>
              <w:rPr>
                <w:sz w:val="20"/>
                <w:szCs w:val="20"/>
                <w:lang w:val="fr-CA"/>
              </w:rPr>
              <w:t>.</w:t>
            </w:r>
          </w:p>
        </w:tc>
      </w:tr>
    </w:tbl>
    <w:p w:rsidR="00C1697B" w:rsidRPr="00E25410" w:rsidRDefault="00C1697B" w:rsidP="00C1697B">
      <w:pPr>
        <w:widowControl w:val="0"/>
        <w:rPr>
          <w:lang w:val="fr-CA"/>
        </w:rPr>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1697B" w:rsidRPr="007C5411"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F323D4" w:rsidP="00C1697B">
            <w:pPr>
              <w:widowControl w:val="0"/>
              <w:jc w:val="both"/>
              <w:rPr>
                <w:b/>
                <w:sz w:val="20"/>
                <w:szCs w:val="20"/>
              </w:rPr>
            </w:pPr>
            <w:r w:rsidRPr="001D5560">
              <w:rPr>
                <w:sz w:val="20"/>
                <w:szCs w:val="20"/>
              </w:rPr>
              <w:lastRenderedPageBreak/>
              <w:t xml:space="preserve">Courts - </w:t>
            </w:r>
            <w:r w:rsidRPr="001D5560">
              <w:rPr>
                <w:i/>
                <w:sz w:val="20"/>
                <w:szCs w:val="20"/>
              </w:rPr>
              <w:t>Res judicata</w:t>
            </w:r>
            <w:r w:rsidRPr="001D5560">
              <w:rPr>
                <w:sz w:val="20"/>
                <w:szCs w:val="20"/>
              </w:rPr>
              <w:t xml:space="preserve"> - Final judgment in 2008 concerning use of employment insurance system premiums and surpluses - 2010 legislative amendment having effect of erasing balance in account - Constitutionality of erasing system reserve through accounting procedure challenged - Whether unions’ declaratory action had to be dismissed on ground of </w:t>
            </w:r>
            <w:r w:rsidRPr="001D5560">
              <w:rPr>
                <w:i/>
                <w:sz w:val="20"/>
                <w:szCs w:val="20"/>
              </w:rPr>
              <w:t>res judicata</w:t>
            </w:r>
            <w:r w:rsidRPr="001D5560">
              <w:rPr>
                <w:sz w:val="20"/>
                <w:szCs w:val="20"/>
              </w:rPr>
              <w:t xml:space="preserve"> - </w:t>
            </w:r>
            <w:r w:rsidRPr="001D5560">
              <w:rPr>
                <w:i/>
                <w:sz w:val="20"/>
                <w:szCs w:val="20"/>
              </w:rPr>
              <w:t>Jobs and Economic Growth Act</w:t>
            </w:r>
            <w:r w:rsidRPr="001D5560">
              <w:rPr>
                <w:sz w:val="20"/>
                <w:szCs w:val="20"/>
              </w:rPr>
              <w:t xml:space="preserve">, S.C. 2010, c. 12, ss. 2195, 2196 - </w:t>
            </w:r>
            <w:r w:rsidRPr="001D5560">
              <w:rPr>
                <w:i/>
                <w:sz w:val="20"/>
                <w:szCs w:val="20"/>
              </w:rPr>
              <w:t>CSN et al. v. A.G. Canada</w:t>
            </w:r>
            <w:r w:rsidRPr="001D5560">
              <w:rPr>
                <w:sz w:val="20"/>
                <w:szCs w:val="20"/>
              </w:rPr>
              <w:t>, 2008 SCC 68.</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F323D4" w:rsidRDefault="00F323D4" w:rsidP="00C1697B">
            <w:pPr>
              <w:widowControl w:val="0"/>
              <w:jc w:val="both"/>
              <w:rPr>
                <w:sz w:val="20"/>
                <w:szCs w:val="20"/>
                <w:lang w:val="fr-CA"/>
              </w:rPr>
            </w:pPr>
            <w:r w:rsidRPr="0067381F">
              <w:rPr>
                <w:sz w:val="20"/>
                <w:szCs w:val="20"/>
                <w:lang w:val="fr-CA"/>
              </w:rPr>
              <w:lastRenderedPageBreak/>
              <w:t xml:space="preserve">Tribunaux - Chose jugée - Jugement final de 2008 sur l’utilisation des cotisations et surplus du régime d’assurance-emploi - Modification législative de 2010 à l’effet d’effacer le solde créditeur du compte - Contestation de la constitutionnalité de l’effacement comptable de la réserve du régime - L’action déclaratoire des syndicats est-elle irrecevable au motif de chose jugée? - </w:t>
            </w:r>
            <w:r w:rsidRPr="0067381F">
              <w:rPr>
                <w:i/>
                <w:sz w:val="20"/>
                <w:szCs w:val="20"/>
                <w:lang w:val="fr-CA"/>
              </w:rPr>
              <w:t>Loi sur l’emploi et la croissance économique</w:t>
            </w:r>
            <w:r w:rsidRPr="0067381F">
              <w:rPr>
                <w:sz w:val="20"/>
                <w:szCs w:val="20"/>
                <w:lang w:val="fr-CA"/>
              </w:rPr>
              <w:t xml:space="preserve">, L.C. 2010, ch. 12, art. 2195, 2196 - </w:t>
            </w:r>
            <w:r w:rsidRPr="0067381F">
              <w:rPr>
                <w:i/>
                <w:sz w:val="20"/>
                <w:szCs w:val="20"/>
                <w:lang w:val="fr-CA"/>
              </w:rPr>
              <w:t>CSN et al. c. P. g. Canada</w:t>
            </w:r>
            <w:r w:rsidRPr="0067381F">
              <w:rPr>
                <w:sz w:val="20"/>
                <w:szCs w:val="20"/>
                <w:lang w:val="fr-CA"/>
              </w:rPr>
              <w:t>, 2008 CSC 68.</w:t>
            </w:r>
          </w:p>
        </w:tc>
      </w:tr>
    </w:tbl>
    <w:p w:rsidR="00732DB7" w:rsidRPr="00F323D4" w:rsidRDefault="00732DB7" w:rsidP="00732DB7">
      <w:pPr>
        <w:widowControl w:val="0"/>
        <w:rPr>
          <w:sz w:val="20"/>
          <w:szCs w:val="20"/>
          <w:lang w:val="fr-CA"/>
        </w:rPr>
      </w:pPr>
    </w:p>
    <w:p w:rsidR="002A27D1" w:rsidRDefault="007C5411" w:rsidP="002A27D1">
      <w:pPr>
        <w:widowControl w:val="0"/>
        <w:rPr>
          <w:sz w:val="20"/>
          <w:szCs w:val="20"/>
        </w:rPr>
      </w:pPr>
      <w:r>
        <w:rPr>
          <w:sz w:val="20"/>
          <w:szCs w:val="20"/>
          <w:lang w:val="fr-CA"/>
        </w:rPr>
        <w:pict>
          <v:rect id="_x0000_i1081" style="width:2in;height:1pt" o:hrpct="0" o:hralign="center" o:hrstd="t" o:hrnoshade="t" o:hr="t" fillcolor="black [3213]" stroked="f"/>
        </w:pict>
      </w:r>
    </w:p>
    <w:p w:rsidR="002A27D1" w:rsidRDefault="002A27D1" w:rsidP="002A27D1">
      <w:pPr>
        <w:widowControl w:val="0"/>
        <w:rPr>
          <w:sz w:val="20"/>
          <w:szCs w:val="20"/>
        </w:rPr>
      </w:pPr>
    </w:p>
    <w:p w:rsidR="007D4AFC" w:rsidRPr="007D4AFC" w:rsidRDefault="007D4AFC" w:rsidP="007D4AFC">
      <w:pPr>
        <w:widowControl w:val="0"/>
        <w:rPr>
          <w:sz w:val="20"/>
          <w:szCs w:val="20"/>
          <w:lang w:val="fr-CA"/>
        </w:rPr>
      </w:pPr>
      <w:r w:rsidRPr="007D4AFC">
        <w:rPr>
          <w:sz w:val="20"/>
          <w:szCs w:val="20"/>
          <w:lang w:val="fr-CA"/>
        </w:rPr>
        <w:t>2</w:t>
      </w:r>
      <w:r>
        <w:rPr>
          <w:sz w:val="20"/>
          <w:szCs w:val="20"/>
          <w:lang w:val="fr-CA"/>
        </w:rPr>
        <w:t>1</w:t>
      </w:r>
      <w:r w:rsidRPr="007D4AFC">
        <w:rPr>
          <w:sz w:val="20"/>
          <w:szCs w:val="20"/>
          <w:lang w:val="fr-CA"/>
        </w:rPr>
        <w:t>.01.2014</w:t>
      </w:r>
    </w:p>
    <w:p w:rsidR="007D4AFC" w:rsidRDefault="007D4AFC" w:rsidP="007D4AFC">
      <w:pPr>
        <w:widowControl w:val="0"/>
        <w:rPr>
          <w:sz w:val="20"/>
          <w:szCs w:val="20"/>
          <w:lang w:val="fr-CA"/>
        </w:rPr>
      </w:pPr>
    </w:p>
    <w:p w:rsidR="009A4354" w:rsidRPr="00FE7223" w:rsidRDefault="009A4354" w:rsidP="009A4354">
      <w:pPr>
        <w:widowControl w:val="0"/>
        <w:ind w:left="720" w:hanging="720"/>
        <w:rPr>
          <w:sz w:val="20"/>
          <w:szCs w:val="20"/>
          <w:u w:val="single"/>
          <w:lang w:val="fr-CA"/>
        </w:rPr>
      </w:pPr>
      <w:r w:rsidRPr="00FE7223">
        <w:rPr>
          <w:sz w:val="20"/>
          <w:szCs w:val="20"/>
          <w:lang w:val="fr-CA"/>
        </w:rPr>
        <w:t xml:space="preserve">Coram: </w:t>
      </w:r>
      <w:r w:rsidRPr="00FE7223">
        <w:rPr>
          <w:sz w:val="20"/>
          <w:szCs w:val="20"/>
          <w:lang w:val="fr-CA"/>
        </w:rPr>
        <w:tab/>
      </w:r>
      <w:r w:rsidRPr="00FE7223">
        <w:rPr>
          <w:sz w:val="20"/>
          <w:szCs w:val="20"/>
          <w:u w:val="single"/>
          <w:lang w:val="fr-CA"/>
        </w:rPr>
        <w:t xml:space="preserve">La juge en chef McLachlin et les juges LeBel, Abella, Rothstein, Cromwell, Moldaver et Karakatsanis </w:t>
      </w:r>
    </w:p>
    <w:p w:rsidR="007D4AFC" w:rsidRPr="007D4AFC" w:rsidRDefault="007D4AFC" w:rsidP="007D4AFC">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D4AFC" w:rsidRPr="007C5411" w:rsidTr="007D4AFC">
        <w:tc>
          <w:tcPr>
            <w:tcW w:w="4380" w:type="dxa"/>
            <w:tcMar>
              <w:left w:w="0" w:type="dxa"/>
              <w:right w:w="0" w:type="dxa"/>
            </w:tcMar>
          </w:tcPr>
          <w:p w:rsidR="007D4AFC" w:rsidRDefault="009A4354" w:rsidP="009A4354">
            <w:pPr>
              <w:widowControl w:val="0"/>
              <w:rPr>
                <w:b/>
                <w:iCs/>
                <w:sz w:val="20"/>
                <w:szCs w:val="20"/>
                <w:lang w:val="fr-CA"/>
              </w:rPr>
            </w:pPr>
            <w:r w:rsidRPr="00FE7223">
              <w:rPr>
                <w:b/>
                <w:iCs/>
                <w:sz w:val="20"/>
                <w:szCs w:val="20"/>
                <w:lang w:val="fr-CA"/>
              </w:rPr>
              <w:t>Sa Majesté la Reine</w:t>
            </w:r>
          </w:p>
          <w:p w:rsidR="007D4AFC" w:rsidRDefault="007D4AFC" w:rsidP="009A4354">
            <w:pPr>
              <w:widowControl w:val="0"/>
              <w:rPr>
                <w:b/>
                <w:iCs/>
                <w:sz w:val="20"/>
                <w:szCs w:val="20"/>
                <w:lang w:val="fr-CA"/>
              </w:rPr>
            </w:pPr>
          </w:p>
          <w:p w:rsidR="007D4AFC" w:rsidRDefault="007D4AFC" w:rsidP="009A4354">
            <w:pPr>
              <w:widowControl w:val="0"/>
              <w:rPr>
                <w:b/>
                <w:iCs/>
                <w:sz w:val="20"/>
                <w:szCs w:val="20"/>
                <w:lang w:val="fr-CA"/>
              </w:rPr>
            </w:pPr>
            <w:r>
              <w:rPr>
                <w:b/>
                <w:iCs/>
                <w:sz w:val="20"/>
                <w:szCs w:val="20"/>
                <w:lang w:val="fr-CA"/>
              </w:rPr>
              <w:tab/>
            </w:r>
            <w:r w:rsidRPr="003D2D02">
              <w:rPr>
                <w:b/>
                <w:iCs/>
                <w:sz w:val="20"/>
                <w:szCs w:val="20"/>
                <w:lang w:val="fr-CA"/>
              </w:rPr>
              <w:t>c.</w:t>
            </w:r>
            <w:r w:rsidR="00F323D4">
              <w:rPr>
                <w:b/>
                <w:iCs/>
                <w:sz w:val="20"/>
                <w:szCs w:val="20"/>
                <w:lang w:val="fr-CA"/>
              </w:rPr>
              <w:t xml:space="preserve"> </w:t>
            </w:r>
            <w:r w:rsidR="009A4354" w:rsidRPr="00FE7223">
              <w:rPr>
                <w:sz w:val="20"/>
                <w:szCs w:val="20"/>
                <w:lang w:val="fr-CA"/>
              </w:rPr>
              <w:t>(</w:t>
            </w:r>
            <w:hyperlink r:id="rId85" w:history="1">
              <w:r w:rsidR="009A4354" w:rsidRPr="00FE7223">
                <w:rPr>
                  <w:color w:val="0000FF"/>
                  <w:sz w:val="20"/>
                  <w:szCs w:val="20"/>
                  <w:u w:val="single"/>
                  <w:lang w:val="fr-CA"/>
                </w:rPr>
                <w:t>35372</w:t>
              </w:r>
            </w:hyperlink>
            <w:r w:rsidR="009A4354" w:rsidRPr="00FE7223">
              <w:rPr>
                <w:sz w:val="20"/>
                <w:szCs w:val="20"/>
                <w:lang w:val="fr-CA"/>
              </w:rPr>
              <w:t>)</w:t>
            </w:r>
          </w:p>
          <w:p w:rsidR="007D4AFC" w:rsidRDefault="007D4AFC" w:rsidP="009A4354">
            <w:pPr>
              <w:widowControl w:val="0"/>
              <w:rPr>
                <w:b/>
                <w:iCs/>
                <w:sz w:val="20"/>
                <w:szCs w:val="20"/>
                <w:lang w:val="fr-CA"/>
              </w:rPr>
            </w:pPr>
          </w:p>
          <w:p w:rsidR="007D4AFC" w:rsidRPr="00C50A5C" w:rsidRDefault="009A4354" w:rsidP="009A4354">
            <w:pPr>
              <w:widowControl w:val="0"/>
              <w:rPr>
                <w:sz w:val="20"/>
                <w:szCs w:val="20"/>
                <w:lang w:val="fr-CA"/>
              </w:rPr>
            </w:pPr>
            <w:r w:rsidRPr="00FE7223">
              <w:rPr>
                <w:b/>
                <w:iCs/>
                <w:sz w:val="20"/>
                <w:szCs w:val="20"/>
                <w:lang w:val="fr-CA"/>
              </w:rPr>
              <w:t>Guy Auclair et autres</w:t>
            </w:r>
            <w:r w:rsidRPr="00FE7223">
              <w:rPr>
                <w:b/>
                <w:sz w:val="20"/>
                <w:szCs w:val="20"/>
                <w:lang w:val="fr-CA"/>
              </w:rPr>
              <w:t xml:space="preserve"> (Qc) (Criminelle) (De plein droit)</w:t>
            </w:r>
          </w:p>
        </w:tc>
        <w:tc>
          <w:tcPr>
            <w:tcW w:w="720" w:type="dxa"/>
            <w:tcMar>
              <w:left w:w="0" w:type="dxa"/>
              <w:right w:w="0" w:type="dxa"/>
            </w:tcMar>
          </w:tcPr>
          <w:p w:rsidR="007D4AFC" w:rsidRPr="00C50A5C" w:rsidRDefault="007D4AFC" w:rsidP="007D4AFC">
            <w:pPr>
              <w:widowControl w:val="0"/>
              <w:jc w:val="center"/>
              <w:rPr>
                <w:sz w:val="20"/>
                <w:szCs w:val="20"/>
                <w:lang w:val="fr-CA"/>
              </w:rPr>
            </w:pPr>
          </w:p>
        </w:tc>
        <w:tc>
          <w:tcPr>
            <w:tcW w:w="4380" w:type="dxa"/>
            <w:tcMar>
              <w:left w:w="0" w:type="dxa"/>
              <w:right w:w="0" w:type="dxa"/>
            </w:tcMar>
          </w:tcPr>
          <w:p w:rsidR="000B0674" w:rsidRPr="00A87C95" w:rsidRDefault="000B0674" w:rsidP="000B0674">
            <w:pPr>
              <w:jc w:val="both"/>
              <w:rPr>
                <w:sz w:val="20"/>
                <w:szCs w:val="20"/>
                <w:lang w:val="fr-CA"/>
              </w:rPr>
            </w:pPr>
            <w:r w:rsidRPr="00A87C95">
              <w:rPr>
                <w:sz w:val="20"/>
                <w:szCs w:val="20"/>
                <w:lang w:val="fr-CA"/>
              </w:rPr>
              <w:t>Marc Cigana</w:t>
            </w:r>
            <w:r>
              <w:rPr>
                <w:sz w:val="20"/>
                <w:szCs w:val="20"/>
                <w:lang w:val="fr-CA"/>
              </w:rPr>
              <w:t xml:space="preserve"> and </w:t>
            </w:r>
            <w:r w:rsidRPr="00A87C95">
              <w:rPr>
                <w:sz w:val="20"/>
                <w:szCs w:val="20"/>
                <w:lang w:val="fr-CA"/>
              </w:rPr>
              <w:t>Andrée Vézina</w:t>
            </w:r>
            <w:r>
              <w:rPr>
                <w:sz w:val="20"/>
                <w:szCs w:val="20"/>
                <w:lang w:val="fr-CA"/>
              </w:rPr>
              <w:t xml:space="preserve"> p</w:t>
            </w:r>
            <w:r w:rsidRPr="00A87C95">
              <w:rPr>
                <w:sz w:val="20"/>
                <w:szCs w:val="20"/>
                <w:lang w:val="fr-CA"/>
              </w:rPr>
              <w:t>our l’appelante.</w:t>
            </w:r>
          </w:p>
          <w:p w:rsidR="000B0674" w:rsidRPr="00A87C95" w:rsidRDefault="000B0674" w:rsidP="000B0674">
            <w:pPr>
              <w:jc w:val="both"/>
              <w:rPr>
                <w:sz w:val="20"/>
                <w:szCs w:val="20"/>
                <w:lang w:val="fr-CA"/>
              </w:rPr>
            </w:pPr>
          </w:p>
          <w:p w:rsidR="000B0674" w:rsidRPr="00A87C95" w:rsidRDefault="000B0674" w:rsidP="000B0674">
            <w:pPr>
              <w:jc w:val="both"/>
              <w:rPr>
                <w:sz w:val="20"/>
                <w:szCs w:val="20"/>
                <w:lang w:val="fr-CA"/>
              </w:rPr>
            </w:pPr>
            <w:r w:rsidRPr="00A87C95">
              <w:rPr>
                <w:sz w:val="20"/>
                <w:szCs w:val="20"/>
                <w:lang w:val="fr-CA"/>
              </w:rPr>
              <w:t>Jolaine Antonio</w:t>
            </w:r>
            <w:r>
              <w:rPr>
                <w:sz w:val="20"/>
                <w:szCs w:val="20"/>
                <w:lang w:val="fr-CA"/>
              </w:rPr>
              <w:t xml:space="preserve"> p</w:t>
            </w:r>
            <w:r w:rsidRPr="00A87C95">
              <w:rPr>
                <w:sz w:val="20"/>
                <w:szCs w:val="20"/>
                <w:lang w:val="fr-CA"/>
              </w:rPr>
              <w:t>our l’intervenant</w:t>
            </w:r>
            <w:r>
              <w:rPr>
                <w:sz w:val="20"/>
                <w:szCs w:val="20"/>
                <w:lang w:val="fr-CA"/>
              </w:rPr>
              <w:t>.</w:t>
            </w:r>
          </w:p>
          <w:p w:rsidR="000B0674" w:rsidRPr="00A87C95" w:rsidRDefault="000B0674" w:rsidP="000B0674">
            <w:pPr>
              <w:jc w:val="both"/>
              <w:rPr>
                <w:sz w:val="20"/>
                <w:szCs w:val="20"/>
                <w:lang w:val="fr-CA"/>
              </w:rPr>
            </w:pPr>
          </w:p>
          <w:p w:rsidR="007D4AFC" w:rsidRPr="007D4AFC" w:rsidRDefault="000B0674" w:rsidP="000B0674">
            <w:pPr>
              <w:widowControl w:val="0"/>
              <w:jc w:val="both"/>
              <w:rPr>
                <w:sz w:val="20"/>
                <w:szCs w:val="20"/>
                <w:lang w:val="fr-CA"/>
              </w:rPr>
            </w:pPr>
            <w:r w:rsidRPr="00A87C95">
              <w:rPr>
                <w:sz w:val="20"/>
                <w:szCs w:val="20"/>
                <w:lang w:val="fr-CA"/>
              </w:rPr>
              <w:t>Louis Belleau</w:t>
            </w:r>
            <w:r>
              <w:rPr>
                <w:sz w:val="20"/>
                <w:szCs w:val="20"/>
                <w:lang w:val="fr-CA"/>
              </w:rPr>
              <w:t xml:space="preserve">, </w:t>
            </w:r>
            <w:r w:rsidRPr="00A87C95">
              <w:rPr>
                <w:sz w:val="20"/>
                <w:szCs w:val="20"/>
                <w:lang w:val="fr-CA"/>
              </w:rPr>
              <w:t>Christian Desrosiers</w:t>
            </w:r>
            <w:r>
              <w:rPr>
                <w:sz w:val="20"/>
                <w:szCs w:val="20"/>
                <w:lang w:val="fr-CA"/>
              </w:rPr>
              <w:t xml:space="preserve">, </w:t>
            </w:r>
            <w:r w:rsidRPr="00A87C95">
              <w:rPr>
                <w:sz w:val="20"/>
                <w:szCs w:val="20"/>
                <w:lang w:val="fr-CA"/>
              </w:rPr>
              <w:t>Lida Nouraie</w:t>
            </w:r>
            <w:r>
              <w:rPr>
                <w:sz w:val="20"/>
                <w:szCs w:val="20"/>
                <w:lang w:val="fr-CA"/>
              </w:rPr>
              <w:t xml:space="preserve"> et </w:t>
            </w:r>
            <w:r w:rsidRPr="00A87C95">
              <w:rPr>
                <w:sz w:val="20"/>
                <w:szCs w:val="20"/>
                <w:lang w:val="fr-CA"/>
              </w:rPr>
              <w:t>Annie Lahaise</w:t>
            </w:r>
            <w:r>
              <w:rPr>
                <w:sz w:val="20"/>
                <w:szCs w:val="20"/>
                <w:lang w:val="fr-CA"/>
              </w:rPr>
              <w:t xml:space="preserve"> p</w:t>
            </w:r>
            <w:r w:rsidRPr="00A87C95">
              <w:rPr>
                <w:sz w:val="20"/>
                <w:szCs w:val="20"/>
                <w:lang w:val="fr-CA"/>
              </w:rPr>
              <w:t>our les intimés.</w:t>
            </w:r>
          </w:p>
        </w:tc>
      </w:tr>
    </w:tbl>
    <w:p w:rsidR="007D4AFC" w:rsidRPr="007D4AFC" w:rsidRDefault="007D4AFC" w:rsidP="007D4AFC">
      <w:pPr>
        <w:widowControl w:val="0"/>
        <w:rPr>
          <w:lang w:val="fr-CA"/>
        </w:rPr>
      </w:pPr>
    </w:p>
    <w:p w:rsidR="009A4354" w:rsidRDefault="009A4354" w:rsidP="009A4354">
      <w:pPr>
        <w:rPr>
          <w:b/>
          <w:sz w:val="20"/>
          <w:szCs w:val="20"/>
        </w:rPr>
      </w:pPr>
      <w:r w:rsidRPr="00B27001">
        <w:rPr>
          <w:b/>
          <w:sz w:val="20"/>
          <w:szCs w:val="20"/>
        </w:rPr>
        <w:t>DISMISSED / REJETÉ</w:t>
      </w:r>
    </w:p>
    <w:p w:rsidR="009A4354" w:rsidRPr="00E6551C" w:rsidRDefault="009A4354" w:rsidP="009A4354">
      <w:pPr>
        <w:rPr>
          <w:sz w:val="20"/>
          <w:szCs w:val="20"/>
          <w:lang w:val="fr-CA"/>
        </w:rPr>
      </w:pPr>
    </w:p>
    <w:p w:rsidR="009A4354" w:rsidRPr="00771CE4" w:rsidRDefault="009A4354" w:rsidP="009A4354">
      <w:pPr>
        <w:widowControl w:val="0"/>
        <w:rPr>
          <w:sz w:val="20"/>
          <w:szCs w:val="20"/>
        </w:rPr>
      </w:pPr>
      <w:r w:rsidRPr="00771CE4">
        <w:rPr>
          <w:b/>
          <w:sz w:val="20"/>
          <w:szCs w:val="20"/>
        </w:rPr>
        <w:t xml:space="preserve">2014 SCC </w:t>
      </w:r>
      <w:r>
        <w:rPr>
          <w:b/>
          <w:sz w:val="20"/>
          <w:szCs w:val="20"/>
        </w:rPr>
        <w:t>6</w:t>
      </w:r>
      <w:r w:rsidRPr="00771CE4">
        <w:rPr>
          <w:b/>
          <w:sz w:val="20"/>
          <w:szCs w:val="20"/>
        </w:rPr>
        <w:t xml:space="preserve"> / 2014 CSC </w:t>
      </w:r>
      <w:r>
        <w:rPr>
          <w:b/>
          <w:sz w:val="20"/>
          <w:szCs w:val="20"/>
        </w:rPr>
        <w:t>6</w:t>
      </w:r>
    </w:p>
    <w:p w:rsidR="007D4AFC" w:rsidRDefault="007D4AFC" w:rsidP="007D4AFC"/>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9A4354" w:rsidRPr="007C5411" w:rsidTr="009A4354">
        <w:tc>
          <w:tcPr>
            <w:tcW w:w="4380" w:type="dxa"/>
            <w:tcMar>
              <w:left w:w="0" w:type="dxa"/>
              <w:right w:w="0" w:type="dxa"/>
            </w:tcMar>
          </w:tcPr>
          <w:p w:rsidR="009A4354" w:rsidRPr="00CC4D84" w:rsidRDefault="009A4354" w:rsidP="009A4354">
            <w:pPr>
              <w:widowControl w:val="0"/>
              <w:jc w:val="both"/>
              <w:rPr>
                <w:b/>
                <w:sz w:val="20"/>
                <w:szCs w:val="20"/>
                <w:u w:val="single"/>
              </w:rPr>
            </w:pPr>
            <w:r>
              <w:rPr>
                <w:b/>
                <w:sz w:val="20"/>
                <w:szCs w:val="20"/>
                <w:u w:val="single"/>
              </w:rPr>
              <w:t>JUDGMENT</w:t>
            </w:r>
            <w:r w:rsidRPr="00CC4D84">
              <w:rPr>
                <w:b/>
                <w:sz w:val="20"/>
                <w:szCs w:val="20"/>
                <w:u w:val="single"/>
              </w:rPr>
              <w:t>:</w:t>
            </w:r>
          </w:p>
          <w:p w:rsidR="009A4354" w:rsidRDefault="009A4354" w:rsidP="009A4354">
            <w:pPr>
              <w:widowControl w:val="0"/>
              <w:jc w:val="both"/>
              <w:rPr>
                <w:b/>
                <w:sz w:val="20"/>
                <w:szCs w:val="20"/>
              </w:rPr>
            </w:pPr>
          </w:p>
          <w:p w:rsidR="000B0674" w:rsidRPr="00E93E1D" w:rsidRDefault="000B0674" w:rsidP="000B0674">
            <w:pPr>
              <w:jc w:val="both"/>
              <w:rPr>
                <w:sz w:val="20"/>
                <w:szCs w:val="20"/>
              </w:rPr>
            </w:pPr>
            <w:r w:rsidRPr="00E93E1D">
              <w:rPr>
                <w:sz w:val="20"/>
                <w:szCs w:val="20"/>
              </w:rPr>
              <w:t>The appeal from the judgment of the Court of Appeal of Quebec (Montréal), Number 500-10-004943-112, 2013 QCCA 671, dated April 11, 2013, was heard on January 21, 2014, and the Court on that day delivered the following judgment orally:</w:t>
            </w:r>
          </w:p>
          <w:p w:rsidR="000B0674" w:rsidRPr="00E93E1D" w:rsidRDefault="000B0674" w:rsidP="000B0674">
            <w:pPr>
              <w:jc w:val="center"/>
              <w:rPr>
                <w:sz w:val="20"/>
                <w:szCs w:val="20"/>
              </w:rPr>
            </w:pPr>
          </w:p>
          <w:p w:rsidR="000B0674" w:rsidRPr="00E93E1D" w:rsidRDefault="000B0674" w:rsidP="000B0674">
            <w:pPr>
              <w:jc w:val="both"/>
              <w:rPr>
                <w:smallCaps/>
                <w:sz w:val="20"/>
                <w:szCs w:val="20"/>
              </w:rPr>
            </w:pPr>
            <w:r w:rsidRPr="00E93E1D">
              <w:rPr>
                <w:sz w:val="20"/>
                <w:szCs w:val="20"/>
              </w:rPr>
              <w:t>[</w:t>
            </w:r>
            <w:r w:rsidRPr="00E93E1D">
              <w:rPr>
                <w:smallCaps/>
                <w:sz w:val="20"/>
                <w:szCs w:val="20"/>
              </w:rPr>
              <w:t>translation]</w:t>
            </w:r>
          </w:p>
          <w:p w:rsidR="000B0674" w:rsidRPr="00E93E1D" w:rsidRDefault="000B0674" w:rsidP="000B0674">
            <w:pPr>
              <w:jc w:val="both"/>
              <w:rPr>
                <w:sz w:val="20"/>
                <w:szCs w:val="20"/>
              </w:rPr>
            </w:pPr>
            <w:r w:rsidRPr="00E93E1D">
              <w:rPr>
                <w:smallCaps/>
                <w:sz w:val="20"/>
                <w:szCs w:val="20"/>
              </w:rPr>
              <w:t>The Chief Justice</w:t>
            </w:r>
            <w:r w:rsidRPr="00E93E1D">
              <w:rPr>
                <w:sz w:val="20"/>
                <w:szCs w:val="20"/>
              </w:rPr>
              <w:t xml:space="preserve"> </w:t>
            </w:r>
            <w:r w:rsidRPr="00E93E1D">
              <w:rPr>
                <w:rFonts w:cs="Times New Roman"/>
                <w:sz w:val="20"/>
                <w:szCs w:val="20"/>
              </w:rPr>
              <w:t>—</w:t>
            </w:r>
            <w:r w:rsidRPr="00E93E1D">
              <w:rPr>
                <w:sz w:val="20"/>
                <w:szCs w:val="20"/>
              </w:rPr>
              <w:t xml:space="preserve"> We all agree, essentially for the reasons given by Doyon J.A. of the Quebec Court of Appeal, that this appeal should be dismissed.  However, we would also like to stress the extraordinary and unique nature of the circumstances faced by Brunton J. of the Superior Court as a result of the proceedings brought against the accused by the Crown. </w:t>
            </w:r>
          </w:p>
          <w:p w:rsidR="000B0674" w:rsidRPr="00E93E1D" w:rsidRDefault="000B0674" w:rsidP="000B0674">
            <w:pPr>
              <w:jc w:val="both"/>
              <w:rPr>
                <w:sz w:val="20"/>
                <w:szCs w:val="20"/>
              </w:rPr>
            </w:pPr>
          </w:p>
          <w:p w:rsidR="000B0674" w:rsidRPr="00E93E1D" w:rsidRDefault="000B0674" w:rsidP="000B0674">
            <w:pPr>
              <w:jc w:val="both"/>
              <w:rPr>
                <w:sz w:val="20"/>
                <w:szCs w:val="20"/>
              </w:rPr>
            </w:pPr>
            <w:r w:rsidRPr="00E93E1D">
              <w:rPr>
                <w:sz w:val="20"/>
                <w:szCs w:val="20"/>
              </w:rPr>
              <w:t xml:space="preserve">The cumulative effects of those circumstances justified Brunton J.’s significant intervention in matters usually left to the discretion of the prosecution, namely the selection of the charges and the prioritization of the order in which they would </w:t>
            </w:r>
            <w:r w:rsidRPr="00E93E1D">
              <w:rPr>
                <w:sz w:val="20"/>
                <w:szCs w:val="20"/>
              </w:rPr>
              <w:lastRenderedPageBreak/>
              <w:t xml:space="preserve">proceed.  The direct indictment before the judge at first instance set out 29 counts involving more than 150 accused.  It also contained a number of counts that could not lawfully be included in it.  This direct indictment, as preferred by the Crown, did not lend itself to a trial, and it gave rise to serious challenges with respect to disclosure of the evidence to the accused.  Furthermore, the prosecution did not have a realistic plan for taking those charges to trial and conducting the trial within a reasonable time. </w:t>
            </w:r>
          </w:p>
          <w:p w:rsidR="000B0674" w:rsidRPr="00E93E1D" w:rsidRDefault="000B0674" w:rsidP="000B0674">
            <w:pPr>
              <w:jc w:val="both"/>
              <w:rPr>
                <w:sz w:val="20"/>
                <w:szCs w:val="20"/>
              </w:rPr>
            </w:pPr>
          </w:p>
          <w:p w:rsidR="000B0674" w:rsidRPr="00E93E1D" w:rsidRDefault="000B0674" w:rsidP="000B0674">
            <w:pPr>
              <w:jc w:val="both"/>
              <w:rPr>
                <w:sz w:val="20"/>
                <w:szCs w:val="20"/>
              </w:rPr>
            </w:pPr>
          </w:p>
          <w:p w:rsidR="000B0674" w:rsidRPr="00E93E1D" w:rsidRDefault="000B0674" w:rsidP="000B0674">
            <w:pPr>
              <w:jc w:val="both"/>
              <w:rPr>
                <w:sz w:val="20"/>
                <w:szCs w:val="20"/>
              </w:rPr>
            </w:pPr>
          </w:p>
          <w:p w:rsidR="009A4354" w:rsidRPr="00C1697B" w:rsidRDefault="000B0674" w:rsidP="000B0674">
            <w:pPr>
              <w:jc w:val="both"/>
              <w:rPr>
                <w:b/>
                <w:sz w:val="20"/>
                <w:szCs w:val="20"/>
              </w:rPr>
            </w:pPr>
            <w:r w:rsidRPr="00E93E1D">
              <w:rPr>
                <w:sz w:val="20"/>
                <w:szCs w:val="20"/>
              </w:rPr>
              <w:t xml:space="preserve">As Doyon J.A. mentioned at paragraph 60 of his reasons, Brunton J. had observed that </w:t>
            </w:r>
            <w:r w:rsidRPr="00E93E1D">
              <w:rPr>
                <w:rFonts w:cs="Times New Roman"/>
                <w:sz w:val="20"/>
                <w:szCs w:val="20"/>
              </w:rPr>
              <w:t>[</w:t>
            </w:r>
            <w:r w:rsidRPr="00E93E1D">
              <w:rPr>
                <w:rFonts w:cs="Times New Roman"/>
                <w:smallCaps/>
                <w:sz w:val="20"/>
                <w:szCs w:val="20"/>
              </w:rPr>
              <w:t>translation</w:t>
            </w:r>
            <w:r w:rsidRPr="00E93E1D">
              <w:rPr>
                <w:rFonts w:cs="Times New Roman"/>
                <w:sz w:val="20"/>
                <w:szCs w:val="20"/>
              </w:rPr>
              <w:t>]</w:t>
            </w:r>
            <w:r w:rsidRPr="00E93E1D">
              <w:rPr>
                <w:sz w:val="20"/>
                <w:szCs w:val="20"/>
              </w:rPr>
              <w:t xml:space="preserve"> “the prosecution had been making things up as it went along and had shown a flagrant lack of preparation, analysis and foresight in managing the case” (2013 QCCA 671, [2013] R.J.Q. 608).  The unique nature of these extraordinary circumstances satisfies us that the approach taken by the trial judge was the right one in this case.  In light of these circumstances, and of the ones referred to by Brunton J. in his reasons and by the majority of the Court of Appeal in theirs, we agree with the latter that Brunton J. did not err in exercising his discretion in this case.  He exercised it to protect the rights of the accused guaranteed by the </w:t>
            </w:r>
            <w:r w:rsidRPr="00E93E1D">
              <w:rPr>
                <w:i/>
                <w:sz w:val="20"/>
                <w:szCs w:val="20"/>
              </w:rPr>
              <w:t>Charter</w:t>
            </w:r>
            <w:r w:rsidRPr="00E93E1D">
              <w:rPr>
                <w:sz w:val="20"/>
                <w:szCs w:val="20"/>
              </w:rPr>
              <w:t>, and to further the public’s interest in avoiding the total collapse of the prosecution that could have been caused by unreasonable delays.</w:t>
            </w:r>
          </w:p>
        </w:tc>
        <w:tc>
          <w:tcPr>
            <w:tcW w:w="720" w:type="dxa"/>
            <w:tcMar>
              <w:left w:w="0" w:type="dxa"/>
              <w:right w:w="0" w:type="dxa"/>
            </w:tcMar>
          </w:tcPr>
          <w:p w:rsidR="009A4354" w:rsidRPr="00C1697B" w:rsidRDefault="009A4354" w:rsidP="009A4354">
            <w:pPr>
              <w:widowControl w:val="0"/>
              <w:jc w:val="center"/>
              <w:rPr>
                <w:sz w:val="20"/>
                <w:szCs w:val="20"/>
              </w:rPr>
            </w:pPr>
          </w:p>
        </w:tc>
        <w:tc>
          <w:tcPr>
            <w:tcW w:w="4380" w:type="dxa"/>
            <w:tcMar>
              <w:left w:w="0" w:type="dxa"/>
              <w:right w:w="0" w:type="dxa"/>
            </w:tcMar>
          </w:tcPr>
          <w:p w:rsidR="009A4354" w:rsidRPr="00CC4D84" w:rsidRDefault="009A4354" w:rsidP="009A4354">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9A4354" w:rsidRDefault="009A4354" w:rsidP="009A4354">
            <w:pPr>
              <w:widowControl w:val="0"/>
              <w:jc w:val="both"/>
              <w:rPr>
                <w:sz w:val="20"/>
                <w:szCs w:val="20"/>
                <w:lang w:val="fr-CA"/>
              </w:rPr>
            </w:pPr>
          </w:p>
          <w:p w:rsidR="000B0674" w:rsidRPr="000B0674" w:rsidRDefault="000B0674" w:rsidP="000B0674">
            <w:pPr>
              <w:jc w:val="both"/>
              <w:rPr>
                <w:sz w:val="20"/>
                <w:szCs w:val="20"/>
                <w:lang w:val="fr-CA"/>
              </w:rPr>
            </w:pPr>
            <w:r w:rsidRPr="000B0674">
              <w:rPr>
                <w:sz w:val="20"/>
                <w:szCs w:val="20"/>
                <w:lang w:val="fr-CA"/>
              </w:rPr>
              <w:t>L’appel interjeté contre l’arrêt de la Cour d’appel du Québec (Montréal), numéro 500-10-004943-112, 2013 QCCA 671, en date du 11 avril 2013, a été entendu le 21 janvier 2014, et la Cour a prononcé oralement le même jour le jugement suivant :</w:t>
            </w:r>
          </w:p>
          <w:p w:rsidR="000B0674" w:rsidRPr="000B0674" w:rsidRDefault="000B0674" w:rsidP="000B0674">
            <w:pPr>
              <w:jc w:val="both"/>
              <w:rPr>
                <w:sz w:val="20"/>
                <w:szCs w:val="20"/>
                <w:lang w:val="fr-CA"/>
              </w:rPr>
            </w:pPr>
          </w:p>
          <w:p w:rsidR="000B0674" w:rsidRDefault="000B0674" w:rsidP="000B0674">
            <w:pPr>
              <w:jc w:val="both"/>
              <w:rPr>
                <w:smallCaps/>
                <w:sz w:val="20"/>
                <w:szCs w:val="20"/>
                <w:lang w:val="fr-CA"/>
              </w:rPr>
            </w:pPr>
          </w:p>
          <w:p w:rsidR="000B0674" w:rsidRDefault="000B0674" w:rsidP="000B0674">
            <w:pPr>
              <w:jc w:val="both"/>
              <w:rPr>
                <w:sz w:val="20"/>
                <w:szCs w:val="20"/>
                <w:lang w:val="fr-CA"/>
              </w:rPr>
            </w:pPr>
            <w:r w:rsidRPr="000B0674">
              <w:rPr>
                <w:smallCaps/>
                <w:sz w:val="20"/>
                <w:szCs w:val="20"/>
                <w:lang w:val="fr-CA"/>
              </w:rPr>
              <w:t xml:space="preserve">La Juge en Chef — </w:t>
            </w:r>
            <w:r w:rsidRPr="000B0674">
              <w:rPr>
                <w:sz w:val="20"/>
                <w:szCs w:val="20"/>
                <w:lang w:val="fr-CA"/>
              </w:rPr>
              <w:t xml:space="preserve">Nous sommes tous d’avis que cet appel doit être rejeté, et ce, essentiellement pour les motifs du juge Doyon de la Cour d’appel du Québec. Toutefois, nous tenons aussi à souligner la nature extraordinaire et unique des circonstances auxquelles le juge Brunton, de la Cour supérieure, était confronté à la suite des procédures engagées contre les accusés par le ministère public. </w:t>
            </w:r>
          </w:p>
          <w:p w:rsidR="000B0674" w:rsidRPr="000B0674" w:rsidRDefault="000B0674" w:rsidP="000B0674">
            <w:pPr>
              <w:jc w:val="both"/>
              <w:rPr>
                <w:sz w:val="20"/>
                <w:szCs w:val="20"/>
                <w:lang w:val="fr-CA"/>
              </w:rPr>
            </w:pPr>
          </w:p>
          <w:p w:rsidR="000B0674" w:rsidRPr="000B0674" w:rsidRDefault="000B0674" w:rsidP="000B0674">
            <w:pPr>
              <w:jc w:val="both"/>
              <w:rPr>
                <w:sz w:val="20"/>
                <w:szCs w:val="20"/>
                <w:lang w:val="fr-CA"/>
              </w:rPr>
            </w:pPr>
            <w:r w:rsidRPr="000B0674">
              <w:rPr>
                <w:sz w:val="20"/>
                <w:szCs w:val="20"/>
                <w:lang w:val="fr-CA"/>
              </w:rPr>
              <w:t xml:space="preserve">Les effets cumulatifs de ces circonstances justifiaient l’intervention importante de ce dernier dans des matières généralement laissées à la discrétion de la poursuite, dans ce cas-ci, le choix des accusations qui procéderaient et la détermination de leur ordre de </w:t>
            </w:r>
            <w:r w:rsidRPr="000B0674">
              <w:rPr>
                <w:sz w:val="20"/>
                <w:szCs w:val="20"/>
                <w:lang w:val="fr-CA"/>
              </w:rPr>
              <w:lastRenderedPageBreak/>
              <w:t xml:space="preserve">priorité. En effet, le juge de première instance a été saisi d’un acte d’accusation direct comprenant 29 chefs d’accusations visant plus de 150 accusés. De plus, l’acte d’accusation incorporait plusieurs chefs qui ne pouvaient pas être légalement inclus dans celui-ci. Cet acte d’accusation direct, tel qu’il avait été présenté par le ministère public, ne se prêtait pas à un procès et posait d’énormes défis relativement à la divulgation de la preuve aux prévenus. D’ailleurs, la poursuite n’avait conçu aucun plan réaliste pour que ces accusations donnent lieu à un procès et que celui-ci se déroule dans un délai raisonnable. </w:t>
            </w:r>
          </w:p>
          <w:p w:rsidR="000B0674" w:rsidRPr="000B0674" w:rsidRDefault="000B0674" w:rsidP="000B0674">
            <w:pPr>
              <w:jc w:val="both"/>
              <w:rPr>
                <w:sz w:val="20"/>
                <w:szCs w:val="20"/>
                <w:lang w:val="fr-CA"/>
              </w:rPr>
            </w:pPr>
          </w:p>
          <w:p w:rsidR="009A4354" w:rsidRPr="00C1697B" w:rsidRDefault="000B0674" w:rsidP="007C1143">
            <w:pPr>
              <w:jc w:val="both"/>
              <w:rPr>
                <w:sz w:val="20"/>
                <w:szCs w:val="20"/>
                <w:lang w:val="fr-CA"/>
              </w:rPr>
            </w:pPr>
            <w:r w:rsidRPr="000B0674">
              <w:rPr>
                <w:sz w:val="20"/>
                <w:szCs w:val="20"/>
                <w:lang w:val="fr-CA"/>
              </w:rPr>
              <w:t xml:space="preserve">Comme le juge Doyon l’a noté au paragraphe 60 de ses motifs, le juge Brunton a constaté que « la poursuite [faisait] preuve d’improvisation et de manque flagrant de préparation, d’analyse et d’anticipation en ce qui a trait à la gestion du dossier » (2013 QCCA 671, [2013] R.J.Q. 608). Le caractère unique de ces circonstances extraordinaires nous convainc que l’approche adoptée par le juge de première instance était la bonne dans cette affaire. À la lumière de ces circonstances, ainsi que de celles invoquées dans les motifs du juge Brunton et de ceux de la majorité de la Cour d’appel du Québec, nous partageons l’opinion de cette dernière selon laquelle le juge Brunton n’a pas erré dans l’exercice de sa discrétion dans ce dossier. Cette discrétion a été exercée dans le but de protéger les droits des accusés garantis par la </w:t>
            </w:r>
            <w:r w:rsidRPr="000B0674">
              <w:rPr>
                <w:i/>
                <w:sz w:val="20"/>
                <w:szCs w:val="20"/>
                <w:lang w:val="fr-CA"/>
              </w:rPr>
              <w:t>Charte</w:t>
            </w:r>
            <w:r w:rsidRPr="000B0674">
              <w:rPr>
                <w:sz w:val="20"/>
                <w:szCs w:val="20"/>
                <w:lang w:val="fr-CA"/>
              </w:rPr>
              <w:t xml:space="preserve">, ainsi que dans l’intérêt du public à éviter l’effondrement complet de la poursuite par la création de délais déraisonnables. </w:t>
            </w:r>
          </w:p>
        </w:tc>
      </w:tr>
    </w:tbl>
    <w:p w:rsidR="009A4354" w:rsidRPr="009A4354" w:rsidRDefault="009A4354" w:rsidP="007D4AFC">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D4AFC" w:rsidRPr="007C5411" w:rsidTr="007D4AFC">
        <w:tc>
          <w:tcPr>
            <w:tcW w:w="4380" w:type="dxa"/>
            <w:tcMar>
              <w:left w:w="0" w:type="dxa"/>
              <w:right w:w="0" w:type="dxa"/>
            </w:tcMar>
          </w:tcPr>
          <w:p w:rsidR="007D4AFC" w:rsidRPr="00CC4D84" w:rsidRDefault="007D4AFC" w:rsidP="007D4AFC">
            <w:pPr>
              <w:widowControl w:val="0"/>
              <w:jc w:val="both"/>
              <w:rPr>
                <w:b/>
                <w:sz w:val="20"/>
                <w:szCs w:val="20"/>
                <w:u w:val="single"/>
              </w:rPr>
            </w:pPr>
            <w:r w:rsidRPr="00CC4D84">
              <w:rPr>
                <w:b/>
                <w:sz w:val="20"/>
                <w:szCs w:val="20"/>
                <w:u w:val="single"/>
              </w:rPr>
              <w:t>Nature of the case:</w:t>
            </w:r>
          </w:p>
          <w:p w:rsidR="007D4AFC" w:rsidRPr="00336B35" w:rsidRDefault="007D4AFC" w:rsidP="007D4AFC">
            <w:pPr>
              <w:widowControl w:val="0"/>
              <w:jc w:val="both"/>
              <w:rPr>
                <w:sz w:val="20"/>
                <w:szCs w:val="20"/>
              </w:rPr>
            </w:pPr>
          </w:p>
          <w:p w:rsidR="00336B35" w:rsidRPr="00A6121B" w:rsidRDefault="00336B35" w:rsidP="00336B35">
            <w:pPr>
              <w:widowControl w:val="0"/>
              <w:jc w:val="both"/>
              <w:rPr>
                <w:sz w:val="20"/>
                <w:szCs w:val="20"/>
              </w:rPr>
            </w:pPr>
            <w:r w:rsidRPr="00A6121B">
              <w:rPr>
                <w:sz w:val="20"/>
                <w:szCs w:val="20"/>
              </w:rPr>
              <w:t>(</w:t>
            </w:r>
            <w:r w:rsidRPr="00A6121B">
              <w:rPr>
                <w:smallCaps/>
                <w:sz w:val="20"/>
                <w:szCs w:val="20"/>
              </w:rPr>
              <w:t>Publication Ban in Case</w:t>
            </w:r>
            <w:r w:rsidRPr="00A6121B">
              <w:rPr>
                <w:sz w:val="20"/>
                <w:szCs w:val="20"/>
              </w:rPr>
              <w:t xml:space="preserve">) </w:t>
            </w:r>
          </w:p>
          <w:p w:rsidR="00336B35" w:rsidRDefault="00336B35" w:rsidP="007D4AFC">
            <w:pPr>
              <w:widowControl w:val="0"/>
              <w:jc w:val="both"/>
              <w:rPr>
                <w:sz w:val="20"/>
                <w:szCs w:val="20"/>
              </w:rPr>
            </w:pPr>
          </w:p>
          <w:p w:rsidR="00336B35" w:rsidRPr="00336B35" w:rsidRDefault="00336B35" w:rsidP="007D4AFC">
            <w:pPr>
              <w:widowControl w:val="0"/>
              <w:jc w:val="both"/>
              <w:rPr>
                <w:sz w:val="20"/>
                <w:szCs w:val="20"/>
              </w:rPr>
            </w:pPr>
          </w:p>
          <w:p w:rsidR="007D4AFC" w:rsidRPr="00C1697B" w:rsidRDefault="002A3325" w:rsidP="007D4AFC">
            <w:pPr>
              <w:widowControl w:val="0"/>
              <w:jc w:val="both"/>
              <w:rPr>
                <w:b/>
                <w:sz w:val="20"/>
                <w:szCs w:val="20"/>
              </w:rPr>
            </w:pPr>
            <w:r w:rsidRPr="00261CB1">
              <w:rPr>
                <w:i/>
                <w:sz w:val="20"/>
                <w:szCs w:val="20"/>
              </w:rPr>
              <w:t xml:space="preserve">Charter of rights </w:t>
            </w:r>
            <w:r w:rsidRPr="00261CB1">
              <w:rPr>
                <w:sz w:val="20"/>
                <w:szCs w:val="20"/>
              </w:rPr>
              <w:t xml:space="preserve">- Criminal law - Right to be tried within reasonable time - Courts - Excess of jurisdiction - Whether trial judge erred in finding certain anticipated delays unreasonable without taking certain relevant factors into account - Whether trial judge committed error equivalent to excess of jurisdiction in creating situation that had unfair and irremediable effect on prosecution’s position - </w:t>
            </w:r>
            <w:r w:rsidRPr="00261CB1">
              <w:rPr>
                <w:i/>
                <w:sz w:val="20"/>
                <w:szCs w:val="20"/>
              </w:rPr>
              <w:t>Canadian Charter of Rights and Freedoms</w:t>
            </w:r>
            <w:r w:rsidRPr="00261CB1">
              <w:rPr>
                <w:sz w:val="20"/>
                <w:szCs w:val="20"/>
              </w:rPr>
              <w:t>, s. 11(</w:t>
            </w:r>
            <w:r w:rsidRPr="00261CB1">
              <w:rPr>
                <w:i/>
                <w:sz w:val="20"/>
                <w:szCs w:val="20"/>
              </w:rPr>
              <w:t>b</w:t>
            </w:r>
            <w:r w:rsidRPr="00261CB1">
              <w:rPr>
                <w:sz w:val="20"/>
                <w:szCs w:val="20"/>
              </w:rPr>
              <w:t xml:space="preserve">).  </w:t>
            </w:r>
          </w:p>
        </w:tc>
        <w:tc>
          <w:tcPr>
            <w:tcW w:w="720" w:type="dxa"/>
            <w:tcMar>
              <w:left w:w="0" w:type="dxa"/>
              <w:right w:w="0" w:type="dxa"/>
            </w:tcMar>
          </w:tcPr>
          <w:p w:rsidR="007D4AFC" w:rsidRPr="00C1697B" w:rsidRDefault="007D4AFC" w:rsidP="007D4AFC">
            <w:pPr>
              <w:widowControl w:val="0"/>
              <w:jc w:val="center"/>
              <w:rPr>
                <w:sz w:val="20"/>
                <w:szCs w:val="20"/>
              </w:rPr>
            </w:pPr>
          </w:p>
        </w:tc>
        <w:tc>
          <w:tcPr>
            <w:tcW w:w="4380" w:type="dxa"/>
            <w:tcMar>
              <w:left w:w="0" w:type="dxa"/>
              <w:right w:w="0" w:type="dxa"/>
            </w:tcMar>
          </w:tcPr>
          <w:p w:rsidR="007D4AFC" w:rsidRPr="00CC4D84" w:rsidRDefault="007D4AFC" w:rsidP="007D4AFC">
            <w:pPr>
              <w:widowControl w:val="0"/>
              <w:jc w:val="both"/>
              <w:rPr>
                <w:b/>
                <w:sz w:val="20"/>
                <w:szCs w:val="20"/>
                <w:u w:val="single"/>
                <w:lang w:val="fr-CA"/>
              </w:rPr>
            </w:pPr>
            <w:r w:rsidRPr="00CC4D84">
              <w:rPr>
                <w:b/>
                <w:sz w:val="20"/>
                <w:szCs w:val="20"/>
                <w:u w:val="single"/>
                <w:lang w:val="fr-CA"/>
              </w:rPr>
              <w:t>Nature de la cause :</w:t>
            </w:r>
          </w:p>
          <w:p w:rsidR="007D4AFC" w:rsidRDefault="007D4AFC" w:rsidP="007D4AFC">
            <w:pPr>
              <w:widowControl w:val="0"/>
              <w:jc w:val="both"/>
              <w:rPr>
                <w:sz w:val="20"/>
                <w:szCs w:val="20"/>
                <w:lang w:val="fr-CA"/>
              </w:rPr>
            </w:pPr>
          </w:p>
          <w:p w:rsidR="00336B35" w:rsidRPr="008B366D" w:rsidRDefault="00336B35" w:rsidP="00336B35">
            <w:pPr>
              <w:widowControl w:val="0"/>
              <w:jc w:val="both"/>
              <w:rPr>
                <w:sz w:val="20"/>
                <w:szCs w:val="20"/>
                <w:lang w:val="fr-CA"/>
              </w:rPr>
            </w:pPr>
            <w:r w:rsidRPr="008B366D">
              <w:rPr>
                <w:sz w:val="20"/>
                <w:szCs w:val="20"/>
                <w:lang w:val="fr-CA"/>
              </w:rPr>
              <w:t>(</w:t>
            </w:r>
            <w:r w:rsidRPr="008B366D">
              <w:rPr>
                <w:smallCaps/>
                <w:sz w:val="20"/>
                <w:szCs w:val="20"/>
                <w:lang w:val="fr-CA"/>
              </w:rPr>
              <w:t>Ordonnance de non-publication dans le dossier</w:t>
            </w:r>
            <w:r w:rsidRPr="008B366D">
              <w:rPr>
                <w:sz w:val="20"/>
                <w:szCs w:val="20"/>
                <w:lang w:val="fr-CA"/>
              </w:rPr>
              <w:t xml:space="preserve">) </w:t>
            </w:r>
          </w:p>
          <w:p w:rsidR="00336B35" w:rsidRPr="00C1697B" w:rsidRDefault="00336B35" w:rsidP="007D4AFC">
            <w:pPr>
              <w:widowControl w:val="0"/>
              <w:jc w:val="both"/>
              <w:rPr>
                <w:sz w:val="20"/>
                <w:szCs w:val="20"/>
                <w:lang w:val="fr-CA"/>
              </w:rPr>
            </w:pPr>
          </w:p>
          <w:p w:rsidR="007D4AFC" w:rsidRPr="00C1697B" w:rsidRDefault="002A3325" w:rsidP="007D4AFC">
            <w:pPr>
              <w:widowControl w:val="0"/>
              <w:jc w:val="both"/>
              <w:rPr>
                <w:sz w:val="20"/>
                <w:szCs w:val="20"/>
                <w:lang w:val="fr-CA"/>
              </w:rPr>
            </w:pPr>
            <w:r w:rsidRPr="0033575B">
              <w:rPr>
                <w:i/>
                <w:sz w:val="20"/>
                <w:szCs w:val="20"/>
                <w:lang w:val="fr-CA"/>
              </w:rPr>
              <w:t xml:space="preserve">Charte des droits </w:t>
            </w:r>
            <w:r w:rsidRPr="0033575B">
              <w:rPr>
                <w:sz w:val="20"/>
                <w:szCs w:val="20"/>
                <w:lang w:val="fr-CA"/>
              </w:rPr>
              <w:t xml:space="preserve">- Droit criminel - Procès dans un délai raisonnable - Tribunaux - Excès de compétence - Le juge de première instance a-t-il commis une erreur en considérant comme déraisonnables certains délais anticipés sans avoir tenu compte de certains facteurs applicables? - Le juge de première instance a-t-il commis une erreur équivalant à un excès de compétence en créant une situation qui a affecté inéquitablement et irrémédiablement la position de la poursuite? - </w:t>
            </w:r>
            <w:r w:rsidRPr="0033575B">
              <w:rPr>
                <w:i/>
                <w:sz w:val="20"/>
                <w:szCs w:val="20"/>
                <w:lang w:val="fr-CA"/>
              </w:rPr>
              <w:t>Charte canadienne des droits et libertés</w:t>
            </w:r>
            <w:r w:rsidRPr="0033575B">
              <w:rPr>
                <w:sz w:val="20"/>
                <w:szCs w:val="20"/>
                <w:lang w:val="fr-CA"/>
              </w:rPr>
              <w:t>, art. 11</w:t>
            </w:r>
            <w:r w:rsidRPr="0033575B">
              <w:rPr>
                <w:i/>
                <w:sz w:val="20"/>
                <w:szCs w:val="20"/>
                <w:lang w:val="fr-CA"/>
              </w:rPr>
              <w:t>b</w:t>
            </w:r>
            <w:r w:rsidRPr="0033575B">
              <w:rPr>
                <w:sz w:val="20"/>
                <w:szCs w:val="20"/>
                <w:lang w:val="fr-CA"/>
              </w:rPr>
              <w:t xml:space="preserve">).  </w:t>
            </w:r>
          </w:p>
        </w:tc>
      </w:tr>
    </w:tbl>
    <w:p w:rsidR="007D4AFC" w:rsidRDefault="007D4AFC" w:rsidP="007D4AFC">
      <w:pPr>
        <w:widowControl w:val="0"/>
        <w:rPr>
          <w:sz w:val="20"/>
          <w:szCs w:val="20"/>
          <w:lang w:val="fr-CA"/>
        </w:rPr>
      </w:pPr>
    </w:p>
    <w:p w:rsidR="007D4AFC" w:rsidRDefault="007C5411" w:rsidP="007D4AFC">
      <w:pPr>
        <w:widowControl w:val="0"/>
        <w:rPr>
          <w:sz w:val="20"/>
          <w:szCs w:val="20"/>
        </w:rPr>
      </w:pPr>
      <w:r>
        <w:rPr>
          <w:sz w:val="20"/>
          <w:szCs w:val="20"/>
          <w:lang w:val="fr-CA"/>
        </w:rPr>
        <w:pict>
          <v:rect id="_x0000_i1082" style="width:2in;height:1pt" o:hrpct="0" o:hralign="center" o:hrstd="t" o:hrnoshade="t" o:hr="t" fillcolor="black [3213]" stroked="f"/>
        </w:pict>
      </w:r>
    </w:p>
    <w:p w:rsidR="007D4AFC" w:rsidRDefault="007D4AFC" w:rsidP="007D4AFC">
      <w:pPr>
        <w:widowControl w:val="0"/>
        <w:rPr>
          <w:sz w:val="20"/>
          <w:szCs w:val="20"/>
        </w:rPr>
      </w:pPr>
    </w:p>
    <w:p w:rsidR="00C355F2" w:rsidRDefault="00C355F2">
      <w:pPr>
        <w:rPr>
          <w:sz w:val="20"/>
          <w:szCs w:val="20"/>
        </w:rPr>
      </w:pPr>
      <w:r>
        <w:rPr>
          <w:sz w:val="20"/>
          <w:szCs w:val="20"/>
        </w:rPr>
        <w:br w:type="page"/>
      </w:r>
    </w:p>
    <w:p w:rsidR="007D4AFC" w:rsidRPr="00AD6E9E" w:rsidRDefault="007D4AFC" w:rsidP="007D4AFC">
      <w:pPr>
        <w:widowControl w:val="0"/>
        <w:rPr>
          <w:sz w:val="20"/>
          <w:szCs w:val="20"/>
        </w:rPr>
      </w:pPr>
      <w:r w:rsidRPr="00AD6E9E">
        <w:rPr>
          <w:sz w:val="20"/>
          <w:szCs w:val="20"/>
        </w:rPr>
        <w:lastRenderedPageBreak/>
        <w:t>22.01.2014</w:t>
      </w:r>
    </w:p>
    <w:p w:rsidR="007D4AFC" w:rsidRPr="00AD6E9E" w:rsidRDefault="007D4AFC" w:rsidP="007D4AFC">
      <w:pPr>
        <w:widowControl w:val="0"/>
        <w:rPr>
          <w:sz w:val="20"/>
          <w:szCs w:val="20"/>
        </w:rPr>
      </w:pPr>
    </w:p>
    <w:p w:rsidR="00F323D4" w:rsidRPr="00FD727D" w:rsidRDefault="00FD727D" w:rsidP="007D4AFC">
      <w:pPr>
        <w:widowControl w:val="0"/>
        <w:rPr>
          <w:sz w:val="20"/>
          <w:szCs w:val="20"/>
        </w:rPr>
      </w:pPr>
      <w:r w:rsidRPr="00F879B5">
        <w:rPr>
          <w:sz w:val="20"/>
          <w:szCs w:val="20"/>
        </w:rPr>
        <w:t xml:space="preserve">Coram: </w:t>
      </w:r>
      <w:r w:rsidRPr="00F879B5">
        <w:rPr>
          <w:sz w:val="20"/>
          <w:szCs w:val="20"/>
        </w:rPr>
        <w:tab/>
      </w:r>
      <w:r w:rsidRPr="00F879B5">
        <w:rPr>
          <w:sz w:val="20"/>
          <w:szCs w:val="20"/>
          <w:u w:val="single"/>
        </w:rPr>
        <w:t>McLachlin C.J. and Abella, Rothstein, Cromwell and Moldaver JJ.</w:t>
      </w:r>
    </w:p>
    <w:p w:rsidR="007D4AFC" w:rsidRPr="00AD6E9E" w:rsidRDefault="007D4AFC" w:rsidP="007D4AFC">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D4AFC" w:rsidRPr="00F323D4" w:rsidTr="007D4AFC">
        <w:tc>
          <w:tcPr>
            <w:tcW w:w="4380" w:type="dxa"/>
            <w:tcMar>
              <w:left w:w="0" w:type="dxa"/>
              <w:right w:w="0" w:type="dxa"/>
            </w:tcMar>
          </w:tcPr>
          <w:p w:rsidR="005C5B49" w:rsidRDefault="005C5B49" w:rsidP="007D4AFC">
            <w:pPr>
              <w:widowControl w:val="0"/>
              <w:tabs>
                <w:tab w:val="left" w:pos="720"/>
                <w:tab w:val="left" w:pos="1440"/>
                <w:tab w:val="left" w:pos="2851"/>
                <w:tab w:val="left" w:pos="4320"/>
                <w:tab w:val="left" w:pos="10224"/>
                <w:tab w:val="left" w:pos="11376"/>
              </w:tabs>
              <w:rPr>
                <w:b/>
                <w:iCs/>
                <w:sz w:val="20"/>
                <w:szCs w:val="20"/>
              </w:rPr>
            </w:pPr>
            <w:r w:rsidRPr="00F879B5">
              <w:rPr>
                <w:b/>
                <w:iCs/>
                <w:sz w:val="20"/>
                <w:szCs w:val="20"/>
              </w:rPr>
              <w:t>Andy Koczab</w:t>
            </w:r>
          </w:p>
          <w:p w:rsidR="005C5B49" w:rsidRDefault="005C5B49" w:rsidP="007D4AFC">
            <w:pPr>
              <w:widowControl w:val="0"/>
              <w:tabs>
                <w:tab w:val="left" w:pos="720"/>
                <w:tab w:val="left" w:pos="1440"/>
                <w:tab w:val="left" w:pos="2851"/>
                <w:tab w:val="left" w:pos="4320"/>
                <w:tab w:val="left" w:pos="10224"/>
                <w:tab w:val="left" w:pos="11376"/>
              </w:tabs>
              <w:rPr>
                <w:b/>
                <w:iCs/>
                <w:sz w:val="20"/>
                <w:szCs w:val="20"/>
              </w:rPr>
            </w:pPr>
          </w:p>
          <w:p w:rsidR="007D4AFC" w:rsidRPr="005C5B49" w:rsidRDefault="005C5B49" w:rsidP="007D4AFC">
            <w:pPr>
              <w:widowControl w:val="0"/>
              <w:tabs>
                <w:tab w:val="left" w:pos="720"/>
                <w:tab w:val="left" w:pos="1440"/>
                <w:tab w:val="left" w:pos="2851"/>
                <w:tab w:val="left" w:pos="4320"/>
                <w:tab w:val="left" w:pos="10224"/>
                <w:tab w:val="left" w:pos="11376"/>
              </w:tabs>
              <w:rPr>
                <w:b/>
                <w:iCs/>
                <w:sz w:val="20"/>
                <w:szCs w:val="20"/>
              </w:rPr>
            </w:pPr>
            <w:r>
              <w:rPr>
                <w:b/>
                <w:iCs/>
                <w:sz w:val="20"/>
                <w:szCs w:val="20"/>
              </w:rPr>
              <w:tab/>
              <w:t xml:space="preserve">v. </w:t>
            </w:r>
            <w:r w:rsidRPr="00F879B5">
              <w:rPr>
                <w:sz w:val="20"/>
                <w:szCs w:val="20"/>
              </w:rPr>
              <w:t>(</w:t>
            </w:r>
            <w:hyperlink r:id="rId86" w:history="1">
              <w:r w:rsidRPr="00F879B5">
                <w:rPr>
                  <w:color w:val="0000FF"/>
                  <w:sz w:val="20"/>
                  <w:szCs w:val="20"/>
                  <w:u w:val="single"/>
                </w:rPr>
                <w:t>35411</w:t>
              </w:r>
            </w:hyperlink>
            <w:r w:rsidRPr="00F879B5">
              <w:rPr>
                <w:sz w:val="20"/>
                <w:szCs w:val="20"/>
              </w:rPr>
              <w:t>)</w:t>
            </w:r>
          </w:p>
          <w:p w:rsidR="007D4AFC" w:rsidRPr="005C5B49" w:rsidRDefault="007D4AFC" w:rsidP="007D4AFC">
            <w:pPr>
              <w:widowControl w:val="0"/>
              <w:tabs>
                <w:tab w:val="left" w:pos="720"/>
                <w:tab w:val="left" w:pos="1440"/>
                <w:tab w:val="left" w:pos="2851"/>
                <w:tab w:val="left" w:pos="4320"/>
                <w:tab w:val="left" w:pos="10224"/>
                <w:tab w:val="left" w:pos="11376"/>
              </w:tabs>
              <w:rPr>
                <w:b/>
                <w:iCs/>
                <w:sz w:val="20"/>
                <w:szCs w:val="20"/>
              </w:rPr>
            </w:pPr>
          </w:p>
          <w:p w:rsidR="007D4AFC" w:rsidRPr="00F323D4" w:rsidRDefault="00FD727D" w:rsidP="00F323D4">
            <w:pPr>
              <w:widowControl w:val="0"/>
              <w:tabs>
                <w:tab w:val="left" w:pos="720"/>
                <w:tab w:val="left" w:pos="1440"/>
                <w:tab w:val="left" w:pos="2851"/>
                <w:tab w:val="left" w:pos="4320"/>
                <w:tab w:val="left" w:pos="10224"/>
                <w:tab w:val="left" w:pos="11376"/>
              </w:tabs>
              <w:rPr>
                <w:sz w:val="20"/>
                <w:szCs w:val="20"/>
              </w:rPr>
            </w:pPr>
            <w:r w:rsidRPr="00F879B5">
              <w:rPr>
                <w:b/>
                <w:iCs/>
                <w:sz w:val="20"/>
                <w:szCs w:val="20"/>
              </w:rPr>
              <w:t>Her Majesty the</w:t>
            </w:r>
            <w:r w:rsidRPr="00F323D4">
              <w:rPr>
                <w:b/>
                <w:sz w:val="20"/>
                <w:szCs w:val="20"/>
              </w:rPr>
              <w:t xml:space="preserve"> </w:t>
            </w:r>
            <w:r>
              <w:rPr>
                <w:b/>
                <w:sz w:val="20"/>
                <w:szCs w:val="20"/>
              </w:rPr>
              <w:t xml:space="preserve">Queen </w:t>
            </w:r>
            <w:r w:rsidR="007D4AFC" w:rsidRPr="00F323D4">
              <w:rPr>
                <w:b/>
                <w:sz w:val="20"/>
                <w:szCs w:val="20"/>
              </w:rPr>
              <w:t>(</w:t>
            </w:r>
            <w:r w:rsidR="00F323D4" w:rsidRPr="00F323D4">
              <w:rPr>
                <w:b/>
                <w:sz w:val="20"/>
                <w:szCs w:val="20"/>
              </w:rPr>
              <w:t>Man.</w:t>
            </w:r>
            <w:r w:rsidR="007D4AFC" w:rsidRPr="00F323D4">
              <w:rPr>
                <w:b/>
                <w:sz w:val="20"/>
                <w:szCs w:val="20"/>
              </w:rPr>
              <w:t>) (</w:t>
            </w:r>
            <w:r w:rsidR="00F323D4" w:rsidRPr="00F323D4">
              <w:rPr>
                <w:b/>
                <w:sz w:val="20"/>
                <w:szCs w:val="20"/>
              </w:rPr>
              <w:t>Cr</w:t>
            </w:r>
            <w:r w:rsidR="007D4AFC" w:rsidRPr="00F323D4">
              <w:rPr>
                <w:b/>
                <w:sz w:val="20"/>
                <w:szCs w:val="20"/>
              </w:rPr>
              <w:t>i</w:t>
            </w:r>
            <w:r w:rsidR="00F323D4" w:rsidRPr="00F323D4">
              <w:rPr>
                <w:b/>
                <w:sz w:val="20"/>
                <w:szCs w:val="20"/>
              </w:rPr>
              <w:t>mina</w:t>
            </w:r>
            <w:r w:rsidR="007D4AFC" w:rsidRPr="00F323D4">
              <w:rPr>
                <w:b/>
                <w:sz w:val="20"/>
                <w:szCs w:val="20"/>
              </w:rPr>
              <w:t>l) (As</w:t>
            </w:r>
            <w:r w:rsidR="00F323D4" w:rsidRPr="00F323D4">
              <w:rPr>
                <w:b/>
                <w:sz w:val="20"/>
                <w:szCs w:val="20"/>
              </w:rPr>
              <w:t xml:space="preserve"> of Right</w:t>
            </w:r>
            <w:r w:rsidR="007D4AFC" w:rsidRPr="00F323D4">
              <w:rPr>
                <w:b/>
                <w:sz w:val="20"/>
                <w:szCs w:val="20"/>
              </w:rPr>
              <w:t>)</w:t>
            </w:r>
          </w:p>
        </w:tc>
        <w:tc>
          <w:tcPr>
            <w:tcW w:w="720" w:type="dxa"/>
            <w:tcMar>
              <w:left w:w="0" w:type="dxa"/>
              <w:right w:w="0" w:type="dxa"/>
            </w:tcMar>
          </w:tcPr>
          <w:p w:rsidR="007D4AFC" w:rsidRPr="00F323D4" w:rsidRDefault="007D4AFC" w:rsidP="007D4AFC">
            <w:pPr>
              <w:widowControl w:val="0"/>
              <w:jc w:val="center"/>
              <w:rPr>
                <w:sz w:val="20"/>
                <w:szCs w:val="20"/>
              </w:rPr>
            </w:pPr>
          </w:p>
        </w:tc>
        <w:tc>
          <w:tcPr>
            <w:tcW w:w="4380" w:type="dxa"/>
            <w:tcMar>
              <w:left w:w="0" w:type="dxa"/>
              <w:right w:w="0" w:type="dxa"/>
            </w:tcMar>
          </w:tcPr>
          <w:p w:rsidR="00FD727D" w:rsidRPr="00EA1C69" w:rsidRDefault="00FD727D" w:rsidP="00FD727D">
            <w:pPr>
              <w:tabs>
                <w:tab w:val="left" w:pos="-2970"/>
              </w:tabs>
              <w:jc w:val="both"/>
              <w:rPr>
                <w:sz w:val="20"/>
                <w:szCs w:val="20"/>
                <w:lang w:val="en-US"/>
              </w:rPr>
            </w:pPr>
            <w:r w:rsidRPr="00EA1C69">
              <w:rPr>
                <w:sz w:val="20"/>
                <w:szCs w:val="20"/>
                <w:lang w:val="en-US"/>
              </w:rPr>
              <w:t>Sheldon E. Pinx, Q.C.</w:t>
            </w:r>
            <w:r>
              <w:rPr>
                <w:sz w:val="20"/>
                <w:szCs w:val="20"/>
                <w:lang w:val="en-US"/>
              </w:rPr>
              <w:t xml:space="preserve"> and </w:t>
            </w:r>
            <w:r w:rsidRPr="00EA1C69">
              <w:rPr>
                <w:sz w:val="20"/>
                <w:szCs w:val="20"/>
                <w:lang w:val="en-US"/>
              </w:rPr>
              <w:t>Katherine E. Smith</w:t>
            </w:r>
            <w:r>
              <w:rPr>
                <w:sz w:val="20"/>
                <w:szCs w:val="20"/>
                <w:lang w:val="en-US"/>
              </w:rPr>
              <w:t xml:space="preserve"> f</w:t>
            </w:r>
            <w:r w:rsidRPr="00EA1C69">
              <w:rPr>
                <w:sz w:val="20"/>
                <w:szCs w:val="20"/>
                <w:lang w:val="en-US"/>
              </w:rPr>
              <w:t xml:space="preserve">or the </w:t>
            </w:r>
            <w:r>
              <w:rPr>
                <w:sz w:val="20"/>
                <w:szCs w:val="20"/>
                <w:lang w:val="en-US"/>
              </w:rPr>
              <w:t>a</w:t>
            </w:r>
            <w:r w:rsidRPr="00EA1C69">
              <w:rPr>
                <w:sz w:val="20"/>
                <w:szCs w:val="20"/>
                <w:lang w:val="en-US"/>
              </w:rPr>
              <w:t>ppellant.</w:t>
            </w:r>
          </w:p>
          <w:p w:rsidR="00FD727D" w:rsidRPr="00EA1C69" w:rsidRDefault="00FD727D" w:rsidP="00FD727D">
            <w:pPr>
              <w:tabs>
                <w:tab w:val="left" w:pos="-2970"/>
              </w:tabs>
              <w:jc w:val="both"/>
              <w:rPr>
                <w:sz w:val="20"/>
                <w:szCs w:val="20"/>
                <w:lang w:val="en-US"/>
              </w:rPr>
            </w:pPr>
          </w:p>
          <w:p w:rsidR="007D4AFC" w:rsidRPr="00F323D4" w:rsidRDefault="00FD727D" w:rsidP="00FD727D">
            <w:pPr>
              <w:widowControl w:val="0"/>
              <w:jc w:val="both"/>
              <w:rPr>
                <w:sz w:val="20"/>
                <w:szCs w:val="20"/>
              </w:rPr>
            </w:pPr>
            <w:r w:rsidRPr="00EA1C69">
              <w:rPr>
                <w:sz w:val="20"/>
                <w:szCs w:val="20"/>
                <w:lang w:val="en-US"/>
              </w:rPr>
              <w:t>Kevin R. Wilson</w:t>
            </w:r>
            <w:r>
              <w:rPr>
                <w:sz w:val="20"/>
                <w:szCs w:val="20"/>
                <w:lang w:val="en-US"/>
              </w:rPr>
              <w:t xml:space="preserve"> and </w:t>
            </w:r>
            <w:r w:rsidRPr="00EA1C69">
              <w:rPr>
                <w:sz w:val="20"/>
                <w:szCs w:val="20"/>
                <w:lang w:val="en-US"/>
              </w:rPr>
              <w:t>Janna Hyman</w:t>
            </w:r>
            <w:r>
              <w:rPr>
                <w:sz w:val="20"/>
                <w:szCs w:val="20"/>
                <w:lang w:val="en-US"/>
              </w:rPr>
              <w:t xml:space="preserve"> f</w:t>
            </w:r>
            <w:r w:rsidRPr="00EA1C69">
              <w:rPr>
                <w:sz w:val="20"/>
                <w:szCs w:val="20"/>
                <w:lang w:val="en-US"/>
              </w:rPr>
              <w:t xml:space="preserve">or the </w:t>
            </w:r>
            <w:r>
              <w:rPr>
                <w:sz w:val="20"/>
                <w:szCs w:val="20"/>
                <w:lang w:val="en-US"/>
              </w:rPr>
              <w:t>r</w:t>
            </w:r>
            <w:r w:rsidRPr="00EA1C69">
              <w:rPr>
                <w:sz w:val="20"/>
                <w:szCs w:val="20"/>
                <w:lang w:val="en-US"/>
              </w:rPr>
              <w:t>espondent.</w:t>
            </w:r>
          </w:p>
        </w:tc>
      </w:tr>
    </w:tbl>
    <w:p w:rsidR="007D4AFC" w:rsidRPr="009A4354" w:rsidRDefault="007D4AFC" w:rsidP="007D4AFC">
      <w:pPr>
        <w:widowControl w:val="0"/>
        <w:rPr>
          <w:sz w:val="20"/>
          <w:szCs w:val="20"/>
        </w:rPr>
      </w:pPr>
    </w:p>
    <w:p w:rsidR="00FD727D" w:rsidRPr="00F879B5" w:rsidRDefault="00FD727D" w:rsidP="00FD727D">
      <w:pPr>
        <w:widowControl w:val="0"/>
        <w:rPr>
          <w:sz w:val="20"/>
          <w:szCs w:val="20"/>
        </w:rPr>
      </w:pPr>
      <w:r w:rsidRPr="00F879B5">
        <w:rPr>
          <w:b/>
          <w:sz w:val="20"/>
          <w:szCs w:val="20"/>
        </w:rPr>
        <w:t>ALLOWED / ACCUEILLI</w:t>
      </w:r>
    </w:p>
    <w:p w:rsidR="007D4AFC" w:rsidRDefault="007D4AFC" w:rsidP="007D4AFC">
      <w:pPr>
        <w:rPr>
          <w:sz w:val="20"/>
          <w:szCs w:val="20"/>
        </w:rPr>
      </w:pPr>
    </w:p>
    <w:p w:rsidR="00FD727D" w:rsidRPr="00F879B5" w:rsidRDefault="00FD727D" w:rsidP="00FD727D">
      <w:pPr>
        <w:widowControl w:val="0"/>
        <w:rPr>
          <w:b/>
          <w:sz w:val="20"/>
          <w:szCs w:val="20"/>
        </w:rPr>
      </w:pPr>
      <w:r w:rsidRPr="00F879B5">
        <w:rPr>
          <w:b/>
          <w:sz w:val="20"/>
          <w:szCs w:val="20"/>
        </w:rPr>
        <w:t>2014 SCC 9 / 2014 CSC 9</w:t>
      </w:r>
    </w:p>
    <w:p w:rsidR="00FD727D" w:rsidRPr="009A4354" w:rsidRDefault="00FD727D" w:rsidP="007D4AFC">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9A4354" w:rsidRPr="007C5411" w:rsidTr="009A4354">
        <w:tc>
          <w:tcPr>
            <w:tcW w:w="4380" w:type="dxa"/>
            <w:tcMar>
              <w:left w:w="0" w:type="dxa"/>
              <w:right w:w="0" w:type="dxa"/>
            </w:tcMar>
          </w:tcPr>
          <w:p w:rsidR="009A4354" w:rsidRPr="00CC4D84" w:rsidRDefault="009A4354" w:rsidP="009A4354">
            <w:pPr>
              <w:widowControl w:val="0"/>
              <w:jc w:val="both"/>
              <w:rPr>
                <w:b/>
                <w:sz w:val="20"/>
                <w:szCs w:val="20"/>
                <w:u w:val="single"/>
              </w:rPr>
            </w:pPr>
            <w:r>
              <w:rPr>
                <w:b/>
                <w:sz w:val="20"/>
                <w:szCs w:val="20"/>
                <w:u w:val="single"/>
              </w:rPr>
              <w:t>JUDGMENT</w:t>
            </w:r>
            <w:r w:rsidRPr="00CC4D84">
              <w:rPr>
                <w:b/>
                <w:sz w:val="20"/>
                <w:szCs w:val="20"/>
                <w:u w:val="single"/>
              </w:rPr>
              <w:t>:</w:t>
            </w:r>
          </w:p>
          <w:p w:rsidR="009A4354" w:rsidRPr="001A663B" w:rsidRDefault="009A4354" w:rsidP="009A4354">
            <w:pPr>
              <w:widowControl w:val="0"/>
              <w:jc w:val="both"/>
              <w:rPr>
                <w:b/>
                <w:sz w:val="20"/>
                <w:szCs w:val="20"/>
              </w:rPr>
            </w:pPr>
          </w:p>
          <w:p w:rsidR="00EF678B" w:rsidRPr="002F7DE5" w:rsidRDefault="00EF678B" w:rsidP="00EF678B">
            <w:pPr>
              <w:jc w:val="both"/>
              <w:rPr>
                <w:sz w:val="20"/>
                <w:szCs w:val="20"/>
              </w:rPr>
            </w:pPr>
            <w:r w:rsidRPr="002F7DE5">
              <w:rPr>
                <w:sz w:val="20"/>
                <w:szCs w:val="20"/>
              </w:rPr>
              <w:t xml:space="preserve">The appeal from the judgment of the Court of Appeal of Manitoba, Number AR 11-30-07572, 2013 MBCA 43, dated May 30, 2013, was heard on January 22, 2014, and the Court on that day delivered the following judgment orally: </w:t>
            </w:r>
          </w:p>
          <w:p w:rsidR="00EF678B" w:rsidRPr="002F7DE5" w:rsidRDefault="00EF678B" w:rsidP="00EF678B">
            <w:pPr>
              <w:jc w:val="both"/>
              <w:rPr>
                <w:sz w:val="20"/>
                <w:szCs w:val="20"/>
              </w:rPr>
            </w:pPr>
          </w:p>
          <w:p w:rsidR="00EF678B" w:rsidRPr="002F7DE5" w:rsidRDefault="00EF678B" w:rsidP="00EF678B">
            <w:pPr>
              <w:jc w:val="both"/>
              <w:rPr>
                <w:smallCaps/>
                <w:sz w:val="20"/>
                <w:szCs w:val="20"/>
              </w:rPr>
            </w:pPr>
          </w:p>
          <w:p w:rsidR="009A4354" w:rsidRPr="00C1697B" w:rsidRDefault="00EF678B" w:rsidP="00EF678B">
            <w:pPr>
              <w:jc w:val="both"/>
              <w:rPr>
                <w:b/>
                <w:sz w:val="20"/>
                <w:szCs w:val="20"/>
              </w:rPr>
            </w:pPr>
            <w:r w:rsidRPr="002F7DE5">
              <w:rPr>
                <w:smallCaps/>
                <w:sz w:val="20"/>
                <w:szCs w:val="20"/>
              </w:rPr>
              <w:t xml:space="preserve">The Chief Justice — </w:t>
            </w:r>
            <w:r w:rsidRPr="002F7DE5">
              <w:rPr>
                <w:sz w:val="20"/>
                <w:szCs w:val="20"/>
              </w:rPr>
              <w:t>The appeal is allowed for the reasons of Monnin J.A., dissenting in the Court of Appeal.</w:t>
            </w:r>
          </w:p>
        </w:tc>
        <w:tc>
          <w:tcPr>
            <w:tcW w:w="720" w:type="dxa"/>
            <w:tcMar>
              <w:left w:w="0" w:type="dxa"/>
              <w:right w:w="0" w:type="dxa"/>
            </w:tcMar>
          </w:tcPr>
          <w:p w:rsidR="009A4354" w:rsidRPr="00C1697B" w:rsidRDefault="009A4354" w:rsidP="009A4354">
            <w:pPr>
              <w:widowControl w:val="0"/>
              <w:jc w:val="center"/>
              <w:rPr>
                <w:sz w:val="20"/>
                <w:szCs w:val="20"/>
              </w:rPr>
            </w:pPr>
          </w:p>
        </w:tc>
        <w:tc>
          <w:tcPr>
            <w:tcW w:w="4380" w:type="dxa"/>
            <w:tcMar>
              <w:left w:w="0" w:type="dxa"/>
              <w:right w:w="0" w:type="dxa"/>
            </w:tcMar>
          </w:tcPr>
          <w:p w:rsidR="009A4354" w:rsidRPr="00EF678B" w:rsidRDefault="009A4354" w:rsidP="009A4354">
            <w:pPr>
              <w:widowControl w:val="0"/>
              <w:jc w:val="both"/>
              <w:rPr>
                <w:b/>
                <w:sz w:val="20"/>
                <w:szCs w:val="20"/>
                <w:u w:val="single"/>
                <w:lang w:val="fr-CA"/>
              </w:rPr>
            </w:pPr>
            <w:r w:rsidRPr="00EF678B">
              <w:rPr>
                <w:b/>
                <w:sz w:val="20"/>
                <w:szCs w:val="20"/>
                <w:u w:val="single"/>
                <w:lang w:val="fr-CA"/>
              </w:rPr>
              <w:t>JUGEMENT :</w:t>
            </w:r>
          </w:p>
          <w:p w:rsidR="009A4354" w:rsidRPr="00EF678B" w:rsidRDefault="009A4354" w:rsidP="009A4354">
            <w:pPr>
              <w:widowControl w:val="0"/>
              <w:jc w:val="both"/>
              <w:rPr>
                <w:sz w:val="20"/>
                <w:szCs w:val="20"/>
                <w:lang w:val="fr-CA"/>
              </w:rPr>
            </w:pPr>
          </w:p>
          <w:p w:rsidR="00EF678B" w:rsidRPr="002F7DE5" w:rsidRDefault="00EF678B" w:rsidP="00EF678B">
            <w:pPr>
              <w:jc w:val="both"/>
              <w:rPr>
                <w:sz w:val="20"/>
                <w:szCs w:val="20"/>
                <w:lang w:val="fr-CA"/>
              </w:rPr>
            </w:pPr>
            <w:r w:rsidRPr="002F7DE5">
              <w:rPr>
                <w:sz w:val="20"/>
                <w:szCs w:val="20"/>
                <w:lang w:val="fr-CA"/>
              </w:rPr>
              <w:t>L’appel interjeté contre l’arrêt de la Cour d’appel du Manitoba, numéro AR 11-30-07572, 2013 MBCA 43, en date du 30 mai 2013, a été entendu le 22 janvier 2014, et la Cour a prononcé oralement le même jour le jugement suivant :</w:t>
            </w:r>
          </w:p>
          <w:p w:rsidR="00EF678B" w:rsidRPr="002F7DE5" w:rsidRDefault="00EF678B" w:rsidP="00EF678B">
            <w:pPr>
              <w:jc w:val="both"/>
              <w:rPr>
                <w:sz w:val="20"/>
                <w:szCs w:val="20"/>
                <w:lang w:val="fr-CA"/>
              </w:rPr>
            </w:pPr>
          </w:p>
          <w:p w:rsidR="00EF678B" w:rsidRPr="002F7DE5" w:rsidRDefault="00EF678B" w:rsidP="00EF678B">
            <w:pPr>
              <w:jc w:val="both"/>
              <w:rPr>
                <w:sz w:val="20"/>
                <w:szCs w:val="20"/>
                <w:lang w:val="fr-CA"/>
              </w:rPr>
            </w:pPr>
            <w:r w:rsidRPr="002F7DE5">
              <w:rPr>
                <w:sz w:val="20"/>
                <w:szCs w:val="20"/>
                <w:lang w:val="fr-CA"/>
              </w:rPr>
              <w:t>[</w:t>
            </w:r>
            <w:r w:rsidRPr="002F7DE5">
              <w:rPr>
                <w:smallCaps/>
                <w:sz w:val="20"/>
                <w:szCs w:val="20"/>
                <w:lang w:val="fr-CA"/>
              </w:rPr>
              <w:t>traduction</w:t>
            </w:r>
            <w:r w:rsidRPr="002F7DE5">
              <w:rPr>
                <w:sz w:val="20"/>
                <w:szCs w:val="20"/>
                <w:lang w:val="fr-CA"/>
              </w:rPr>
              <w:t>]</w:t>
            </w:r>
          </w:p>
          <w:p w:rsidR="009A4354" w:rsidRPr="00EF678B" w:rsidRDefault="00EF678B" w:rsidP="00EF678B">
            <w:pPr>
              <w:jc w:val="both"/>
              <w:rPr>
                <w:sz w:val="20"/>
                <w:szCs w:val="20"/>
                <w:lang w:val="fr-CA"/>
              </w:rPr>
            </w:pPr>
            <w:r w:rsidRPr="002F7DE5">
              <w:rPr>
                <w:smallCaps/>
                <w:sz w:val="20"/>
                <w:szCs w:val="20"/>
                <w:lang w:val="fr-CA"/>
              </w:rPr>
              <w:t xml:space="preserve">La Juge en Chef — </w:t>
            </w:r>
            <w:r w:rsidRPr="002F7DE5">
              <w:rPr>
                <w:sz w:val="20"/>
                <w:szCs w:val="20"/>
                <w:lang w:val="fr-CA"/>
              </w:rPr>
              <w:t>L’appel est accueilli, pour les motifs de dissidence exposés par le juge Monnin de la Cour d’appel.</w:t>
            </w:r>
          </w:p>
        </w:tc>
      </w:tr>
    </w:tbl>
    <w:p w:rsidR="009A4354" w:rsidRPr="00EF678B" w:rsidRDefault="009A4354" w:rsidP="007D4AFC">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D4AFC" w:rsidRPr="007C5411" w:rsidTr="007D4AFC">
        <w:tc>
          <w:tcPr>
            <w:tcW w:w="4380" w:type="dxa"/>
            <w:tcMar>
              <w:left w:w="0" w:type="dxa"/>
              <w:right w:w="0" w:type="dxa"/>
            </w:tcMar>
          </w:tcPr>
          <w:p w:rsidR="007D4AFC" w:rsidRPr="00CC4D84" w:rsidRDefault="007D4AFC" w:rsidP="007D4AFC">
            <w:pPr>
              <w:widowControl w:val="0"/>
              <w:jc w:val="both"/>
              <w:rPr>
                <w:b/>
                <w:sz w:val="20"/>
                <w:szCs w:val="20"/>
                <w:u w:val="single"/>
              </w:rPr>
            </w:pPr>
            <w:r w:rsidRPr="00CC4D84">
              <w:rPr>
                <w:b/>
                <w:sz w:val="20"/>
                <w:szCs w:val="20"/>
                <w:u w:val="single"/>
              </w:rPr>
              <w:t>Nature of the case:</w:t>
            </w:r>
          </w:p>
          <w:p w:rsidR="007D4AFC" w:rsidRPr="00C1697B" w:rsidRDefault="007D4AFC" w:rsidP="007D4AFC">
            <w:pPr>
              <w:widowControl w:val="0"/>
              <w:jc w:val="both"/>
              <w:rPr>
                <w:b/>
                <w:sz w:val="20"/>
                <w:szCs w:val="20"/>
              </w:rPr>
            </w:pPr>
          </w:p>
          <w:p w:rsidR="007D4AFC" w:rsidRPr="00C1697B" w:rsidRDefault="002A3325" w:rsidP="007D4AFC">
            <w:pPr>
              <w:widowControl w:val="0"/>
              <w:jc w:val="both"/>
              <w:rPr>
                <w:b/>
                <w:sz w:val="20"/>
                <w:szCs w:val="20"/>
              </w:rPr>
            </w:pPr>
            <w:r w:rsidRPr="003B74EF">
              <w:rPr>
                <w:i/>
                <w:sz w:val="20"/>
                <w:szCs w:val="20"/>
              </w:rPr>
              <w:t>Charter of rights</w:t>
            </w:r>
            <w:r w:rsidRPr="003B74EF">
              <w:rPr>
                <w:sz w:val="20"/>
                <w:szCs w:val="20"/>
              </w:rPr>
              <w:t xml:space="preserve"> - Criminal law - Psychological detention - Exclusion of evidence - Whether majority of Court of Appeal erred by reversing trial judge’s findings that appellant was psychologically detained and that his s. 10 </w:t>
            </w:r>
            <w:r w:rsidRPr="003B74EF">
              <w:rPr>
                <w:i/>
                <w:sz w:val="20"/>
                <w:szCs w:val="20"/>
              </w:rPr>
              <w:t>Charter</w:t>
            </w:r>
            <w:r w:rsidRPr="003B74EF">
              <w:rPr>
                <w:sz w:val="20"/>
                <w:szCs w:val="20"/>
              </w:rPr>
              <w:t xml:space="preserve"> rights were violated - Whether majority of Court of Appeal erred by reversing trial judge’s finding that evidence should be excluded - </w:t>
            </w:r>
            <w:r w:rsidRPr="003B74EF">
              <w:rPr>
                <w:i/>
                <w:sz w:val="20"/>
                <w:szCs w:val="20"/>
              </w:rPr>
              <w:t>Canadian Charter of Rights and Freedoms</w:t>
            </w:r>
            <w:r w:rsidRPr="003B74EF">
              <w:rPr>
                <w:sz w:val="20"/>
                <w:szCs w:val="20"/>
              </w:rPr>
              <w:t>, ss. 10 and 24(2).</w:t>
            </w:r>
          </w:p>
        </w:tc>
        <w:tc>
          <w:tcPr>
            <w:tcW w:w="720" w:type="dxa"/>
            <w:tcMar>
              <w:left w:w="0" w:type="dxa"/>
              <w:right w:w="0" w:type="dxa"/>
            </w:tcMar>
          </w:tcPr>
          <w:p w:rsidR="007D4AFC" w:rsidRPr="00C1697B" w:rsidRDefault="007D4AFC" w:rsidP="007D4AFC">
            <w:pPr>
              <w:widowControl w:val="0"/>
              <w:jc w:val="center"/>
              <w:rPr>
                <w:sz w:val="20"/>
                <w:szCs w:val="20"/>
              </w:rPr>
            </w:pPr>
          </w:p>
        </w:tc>
        <w:tc>
          <w:tcPr>
            <w:tcW w:w="4380" w:type="dxa"/>
            <w:tcMar>
              <w:left w:w="0" w:type="dxa"/>
              <w:right w:w="0" w:type="dxa"/>
            </w:tcMar>
          </w:tcPr>
          <w:p w:rsidR="007D4AFC" w:rsidRPr="00CC4D84" w:rsidRDefault="007D4AFC" w:rsidP="007D4AFC">
            <w:pPr>
              <w:widowControl w:val="0"/>
              <w:jc w:val="both"/>
              <w:rPr>
                <w:b/>
                <w:sz w:val="20"/>
                <w:szCs w:val="20"/>
                <w:u w:val="single"/>
                <w:lang w:val="fr-CA"/>
              </w:rPr>
            </w:pPr>
            <w:r w:rsidRPr="00CC4D84">
              <w:rPr>
                <w:b/>
                <w:sz w:val="20"/>
                <w:szCs w:val="20"/>
                <w:u w:val="single"/>
                <w:lang w:val="fr-CA"/>
              </w:rPr>
              <w:t>Nature de la cause :</w:t>
            </w:r>
          </w:p>
          <w:p w:rsidR="007D4AFC" w:rsidRPr="00C1697B" w:rsidRDefault="007D4AFC" w:rsidP="007D4AFC">
            <w:pPr>
              <w:widowControl w:val="0"/>
              <w:jc w:val="both"/>
              <w:rPr>
                <w:sz w:val="20"/>
                <w:szCs w:val="20"/>
                <w:lang w:val="fr-CA"/>
              </w:rPr>
            </w:pPr>
          </w:p>
          <w:p w:rsidR="007D4AFC" w:rsidRPr="00C1697B" w:rsidRDefault="002A3325" w:rsidP="007D4AFC">
            <w:pPr>
              <w:widowControl w:val="0"/>
              <w:jc w:val="both"/>
              <w:rPr>
                <w:sz w:val="20"/>
                <w:szCs w:val="20"/>
                <w:lang w:val="fr-CA"/>
              </w:rPr>
            </w:pPr>
            <w:r w:rsidRPr="00914EF1">
              <w:rPr>
                <w:i/>
                <w:sz w:val="20"/>
                <w:szCs w:val="20"/>
                <w:lang w:val="fr-CA"/>
              </w:rPr>
              <w:t>Charte des droits</w:t>
            </w:r>
            <w:r w:rsidRPr="00914EF1">
              <w:rPr>
                <w:sz w:val="20"/>
                <w:szCs w:val="20"/>
                <w:lang w:val="fr-CA"/>
              </w:rPr>
              <w:t xml:space="preserve"> - Droit criminel - Détention psychologique - Exclusion de la preuve - Les juges majoritaires de la Cour d’appel ont-ils eu tort d’infirmer les conclusions du juge du procès selon lesquelles l’appelant avait été détenu psychologiquement et que ses droits garantis par l’art. 10 de la </w:t>
            </w:r>
            <w:r w:rsidRPr="00914EF1">
              <w:rPr>
                <w:i/>
                <w:sz w:val="20"/>
                <w:szCs w:val="20"/>
                <w:lang w:val="fr-CA"/>
              </w:rPr>
              <w:t>Charte</w:t>
            </w:r>
            <w:r w:rsidRPr="00914EF1">
              <w:rPr>
                <w:sz w:val="20"/>
                <w:szCs w:val="20"/>
                <w:lang w:val="fr-CA"/>
              </w:rPr>
              <w:t xml:space="preserve"> avaient été violés? - Les juges majoritaires de la Cour d’appel ont-ils eu tort d’infirmer la conclusion du juge du procès selon laquelle la preuve devait être exclue? - </w:t>
            </w:r>
            <w:r w:rsidRPr="00914EF1">
              <w:rPr>
                <w:i/>
                <w:sz w:val="20"/>
                <w:szCs w:val="20"/>
                <w:lang w:val="fr-CA"/>
              </w:rPr>
              <w:t>Charte canadienne des droits et libertés</w:t>
            </w:r>
            <w:r w:rsidRPr="00914EF1">
              <w:rPr>
                <w:sz w:val="20"/>
                <w:szCs w:val="20"/>
                <w:lang w:val="fr-CA"/>
              </w:rPr>
              <w:t>, art. 10 et par. 24(2).</w:t>
            </w:r>
          </w:p>
        </w:tc>
      </w:tr>
    </w:tbl>
    <w:p w:rsidR="007D4AFC" w:rsidRDefault="007D4AFC" w:rsidP="007D4AFC">
      <w:pPr>
        <w:widowControl w:val="0"/>
        <w:rPr>
          <w:sz w:val="20"/>
          <w:szCs w:val="20"/>
          <w:lang w:val="fr-CA"/>
        </w:rPr>
      </w:pPr>
    </w:p>
    <w:p w:rsidR="007D4AFC" w:rsidRDefault="007C5411" w:rsidP="007D4AFC">
      <w:pPr>
        <w:widowControl w:val="0"/>
        <w:rPr>
          <w:sz w:val="20"/>
          <w:szCs w:val="20"/>
        </w:rPr>
      </w:pPr>
      <w:r>
        <w:rPr>
          <w:sz w:val="20"/>
          <w:szCs w:val="20"/>
          <w:lang w:val="fr-CA"/>
        </w:rPr>
        <w:pict>
          <v:rect id="_x0000_i1083" style="width:2in;height:1pt" o:hrpct="0" o:hralign="center" o:hrstd="t" o:hrnoshade="t" o:hr="t" fillcolor="black [3213]" stroked="f"/>
        </w:pict>
      </w:r>
    </w:p>
    <w:p w:rsidR="007D4AFC" w:rsidRDefault="007D4AFC" w:rsidP="007D4AFC">
      <w:pPr>
        <w:widowControl w:val="0"/>
        <w:rPr>
          <w:sz w:val="20"/>
          <w:szCs w:val="20"/>
        </w:rPr>
      </w:pPr>
    </w:p>
    <w:p w:rsidR="007D4AFC" w:rsidRPr="00AD6E9E" w:rsidRDefault="007D4AFC" w:rsidP="007D4AFC">
      <w:pPr>
        <w:widowControl w:val="0"/>
        <w:rPr>
          <w:sz w:val="20"/>
          <w:szCs w:val="20"/>
        </w:rPr>
      </w:pPr>
      <w:r w:rsidRPr="00AD6E9E">
        <w:rPr>
          <w:sz w:val="20"/>
          <w:szCs w:val="20"/>
        </w:rPr>
        <w:t>22.01.2014</w:t>
      </w:r>
    </w:p>
    <w:p w:rsidR="007D4AFC" w:rsidRPr="00AD6E9E" w:rsidRDefault="007D4AFC" w:rsidP="007D4AFC">
      <w:pPr>
        <w:widowControl w:val="0"/>
        <w:rPr>
          <w:sz w:val="20"/>
          <w:szCs w:val="20"/>
        </w:rPr>
      </w:pPr>
    </w:p>
    <w:p w:rsidR="00FD727D" w:rsidRPr="00F879B5" w:rsidRDefault="00FD727D" w:rsidP="00FD727D">
      <w:pPr>
        <w:widowControl w:val="0"/>
        <w:ind w:left="720" w:hanging="720"/>
        <w:rPr>
          <w:sz w:val="20"/>
          <w:szCs w:val="20"/>
          <w:u w:val="single"/>
        </w:rPr>
      </w:pPr>
      <w:r w:rsidRPr="00F879B5">
        <w:rPr>
          <w:sz w:val="20"/>
          <w:szCs w:val="20"/>
        </w:rPr>
        <w:t xml:space="preserve">Coram: </w:t>
      </w:r>
      <w:r w:rsidRPr="00F879B5">
        <w:rPr>
          <w:sz w:val="20"/>
          <w:szCs w:val="20"/>
        </w:rPr>
        <w:tab/>
      </w:r>
      <w:r w:rsidRPr="00F879B5">
        <w:rPr>
          <w:sz w:val="20"/>
          <w:szCs w:val="20"/>
          <w:u w:val="single"/>
        </w:rPr>
        <w:t>McLachlin C.J. and Abella, Rothstein, Cromwell and Moldaver JJ.</w:t>
      </w:r>
    </w:p>
    <w:p w:rsidR="007D4AFC" w:rsidRPr="00AD6E9E" w:rsidRDefault="007D4AFC" w:rsidP="007D4AFC">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D4AFC" w:rsidRPr="00F323D4" w:rsidTr="007D4AFC">
        <w:tc>
          <w:tcPr>
            <w:tcW w:w="4380" w:type="dxa"/>
            <w:tcMar>
              <w:left w:w="0" w:type="dxa"/>
              <w:right w:w="0" w:type="dxa"/>
            </w:tcMar>
          </w:tcPr>
          <w:p w:rsidR="007D4AFC" w:rsidRPr="00FD727D" w:rsidRDefault="00FD727D" w:rsidP="007D4AFC">
            <w:pPr>
              <w:widowControl w:val="0"/>
              <w:tabs>
                <w:tab w:val="left" w:pos="720"/>
                <w:tab w:val="left" w:pos="1440"/>
                <w:tab w:val="left" w:pos="2851"/>
                <w:tab w:val="left" w:pos="4320"/>
                <w:tab w:val="left" w:pos="10224"/>
                <w:tab w:val="left" w:pos="11376"/>
              </w:tabs>
              <w:rPr>
                <w:b/>
                <w:iCs/>
                <w:sz w:val="20"/>
                <w:szCs w:val="20"/>
              </w:rPr>
            </w:pPr>
            <w:r w:rsidRPr="00F879B5">
              <w:rPr>
                <w:b/>
                <w:iCs/>
                <w:sz w:val="20"/>
                <w:szCs w:val="20"/>
              </w:rPr>
              <w:t>Gary Edward Yelle</w:t>
            </w:r>
          </w:p>
          <w:p w:rsidR="007D4AFC" w:rsidRPr="00FD727D" w:rsidRDefault="007D4AFC" w:rsidP="007D4AFC">
            <w:pPr>
              <w:widowControl w:val="0"/>
              <w:tabs>
                <w:tab w:val="left" w:pos="720"/>
                <w:tab w:val="left" w:pos="1440"/>
                <w:tab w:val="left" w:pos="2851"/>
                <w:tab w:val="left" w:pos="4320"/>
                <w:tab w:val="left" w:pos="10224"/>
                <w:tab w:val="left" w:pos="11376"/>
              </w:tabs>
              <w:rPr>
                <w:b/>
                <w:iCs/>
                <w:sz w:val="20"/>
                <w:szCs w:val="20"/>
              </w:rPr>
            </w:pPr>
          </w:p>
          <w:p w:rsidR="007D4AFC" w:rsidRPr="00864614" w:rsidRDefault="007D4AFC" w:rsidP="007D4AFC">
            <w:pPr>
              <w:widowControl w:val="0"/>
              <w:tabs>
                <w:tab w:val="left" w:pos="720"/>
                <w:tab w:val="left" w:pos="1440"/>
                <w:tab w:val="left" w:pos="2851"/>
                <w:tab w:val="left" w:pos="4320"/>
                <w:tab w:val="left" w:pos="10224"/>
                <w:tab w:val="left" w:pos="11376"/>
              </w:tabs>
              <w:rPr>
                <w:b/>
                <w:iCs/>
                <w:sz w:val="20"/>
                <w:szCs w:val="20"/>
              </w:rPr>
            </w:pPr>
            <w:r w:rsidRPr="00FD727D">
              <w:rPr>
                <w:b/>
                <w:iCs/>
                <w:sz w:val="20"/>
                <w:szCs w:val="20"/>
              </w:rPr>
              <w:tab/>
            </w:r>
            <w:r w:rsidR="00F323D4" w:rsidRPr="00864614">
              <w:rPr>
                <w:b/>
                <w:iCs/>
                <w:sz w:val="20"/>
                <w:szCs w:val="20"/>
              </w:rPr>
              <w:t>v</w:t>
            </w:r>
            <w:r w:rsidRPr="00864614">
              <w:rPr>
                <w:b/>
                <w:iCs/>
                <w:sz w:val="20"/>
                <w:szCs w:val="20"/>
              </w:rPr>
              <w:t>.</w:t>
            </w:r>
            <w:r w:rsidR="00FD727D">
              <w:rPr>
                <w:b/>
                <w:iCs/>
                <w:sz w:val="20"/>
                <w:szCs w:val="20"/>
              </w:rPr>
              <w:t xml:space="preserve"> </w:t>
            </w:r>
            <w:r w:rsidR="00FD727D" w:rsidRPr="00F879B5">
              <w:rPr>
                <w:sz w:val="20"/>
                <w:szCs w:val="20"/>
              </w:rPr>
              <w:t>(</w:t>
            </w:r>
            <w:hyperlink r:id="rId87" w:history="1">
              <w:r w:rsidR="00FD727D" w:rsidRPr="00F879B5">
                <w:rPr>
                  <w:color w:val="0000FF"/>
                  <w:sz w:val="20"/>
                  <w:szCs w:val="20"/>
                  <w:u w:val="single"/>
                </w:rPr>
                <w:t>35361</w:t>
              </w:r>
            </w:hyperlink>
            <w:r w:rsidR="00FD727D" w:rsidRPr="00F879B5">
              <w:rPr>
                <w:sz w:val="20"/>
                <w:szCs w:val="20"/>
              </w:rPr>
              <w:t>)</w:t>
            </w:r>
          </w:p>
          <w:p w:rsidR="007D4AFC" w:rsidRPr="00864614" w:rsidRDefault="007D4AFC" w:rsidP="007D4AFC">
            <w:pPr>
              <w:widowControl w:val="0"/>
              <w:tabs>
                <w:tab w:val="left" w:pos="720"/>
                <w:tab w:val="left" w:pos="1440"/>
                <w:tab w:val="left" w:pos="2851"/>
                <w:tab w:val="left" w:pos="4320"/>
                <w:tab w:val="left" w:pos="10224"/>
                <w:tab w:val="left" w:pos="11376"/>
              </w:tabs>
              <w:rPr>
                <w:b/>
                <w:iCs/>
                <w:sz w:val="20"/>
                <w:szCs w:val="20"/>
              </w:rPr>
            </w:pPr>
          </w:p>
          <w:p w:rsidR="007D4AFC" w:rsidRPr="00F323D4" w:rsidRDefault="00FD727D" w:rsidP="00F323D4">
            <w:pPr>
              <w:widowControl w:val="0"/>
              <w:tabs>
                <w:tab w:val="left" w:pos="720"/>
                <w:tab w:val="left" w:pos="1440"/>
                <w:tab w:val="left" w:pos="2851"/>
                <w:tab w:val="left" w:pos="4320"/>
                <w:tab w:val="left" w:pos="10224"/>
                <w:tab w:val="left" w:pos="11376"/>
              </w:tabs>
              <w:rPr>
                <w:sz w:val="20"/>
                <w:szCs w:val="20"/>
              </w:rPr>
            </w:pPr>
            <w:r w:rsidRPr="00F879B5">
              <w:rPr>
                <w:b/>
                <w:iCs/>
                <w:sz w:val="20"/>
                <w:szCs w:val="20"/>
              </w:rPr>
              <w:t>Her Majesty the Queen</w:t>
            </w:r>
            <w:r w:rsidRPr="00F323D4">
              <w:rPr>
                <w:b/>
                <w:sz w:val="20"/>
                <w:szCs w:val="20"/>
              </w:rPr>
              <w:t xml:space="preserve"> </w:t>
            </w:r>
            <w:r w:rsidR="007D4AFC" w:rsidRPr="00F323D4">
              <w:rPr>
                <w:b/>
                <w:sz w:val="20"/>
                <w:szCs w:val="20"/>
              </w:rPr>
              <w:t>(</w:t>
            </w:r>
            <w:r w:rsidR="00F323D4" w:rsidRPr="00F323D4">
              <w:rPr>
                <w:b/>
                <w:sz w:val="20"/>
                <w:szCs w:val="20"/>
              </w:rPr>
              <w:t>N.W.T.</w:t>
            </w:r>
            <w:r w:rsidR="007D4AFC" w:rsidRPr="00F323D4">
              <w:rPr>
                <w:b/>
                <w:sz w:val="20"/>
                <w:szCs w:val="20"/>
              </w:rPr>
              <w:t>) (C</w:t>
            </w:r>
            <w:r w:rsidR="00F323D4" w:rsidRPr="00F323D4">
              <w:rPr>
                <w:b/>
                <w:sz w:val="20"/>
                <w:szCs w:val="20"/>
              </w:rPr>
              <w:t>r</w:t>
            </w:r>
            <w:r w:rsidR="007D4AFC" w:rsidRPr="00F323D4">
              <w:rPr>
                <w:b/>
                <w:sz w:val="20"/>
                <w:szCs w:val="20"/>
              </w:rPr>
              <w:t>i</w:t>
            </w:r>
            <w:r w:rsidR="00F323D4" w:rsidRPr="00F323D4">
              <w:rPr>
                <w:b/>
                <w:sz w:val="20"/>
                <w:szCs w:val="20"/>
              </w:rPr>
              <w:t>m</w:t>
            </w:r>
            <w:r w:rsidR="007D4AFC" w:rsidRPr="00F323D4">
              <w:rPr>
                <w:b/>
                <w:sz w:val="20"/>
                <w:szCs w:val="20"/>
              </w:rPr>
              <w:t>i</w:t>
            </w:r>
            <w:r w:rsidR="00F323D4" w:rsidRPr="00F323D4">
              <w:rPr>
                <w:b/>
                <w:sz w:val="20"/>
                <w:szCs w:val="20"/>
              </w:rPr>
              <w:t>na</w:t>
            </w:r>
            <w:r w:rsidR="007D4AFC" w:rsidRPr="00F323D4">
              <w:rPr>
                <w:b/>
                <w:sz w:val="20"/>
                <w:szCs w:val="20"/>
              </w:rPr>
              <w:t>l) (A</w:t>
            </w:r>
            <w:r w:rsidR="00F323D4" w:rsidRPr="00F323D4">
              <w:rPr>
                <w:b/>
                <w:sz w:val="20"/>
                <w:szCs w:val="20"/>
              </w:rPr>
              <w:t xml:space="preserve">s </w:t>
            </w:r>
            <w:r w:rsidR="007D4AFC" w:rsidRPr="00F323D4">
              <w:rPr>
                <w:b/>
                <w:sz w:val="20"/>
                <w:szCs w:val="20"/>
              </w:rPr>
              <w:t>o</w:t>
            </w:r>
            <w:r w:rsidR="00F323D4" w:rsidRPr="00F323D4">
              <w:rPr>
                <w:b/>
                <w:sz w:val="20"/>
                <w:szCs w:val="20"/>
              </w:rPr>
              <w:t>f R</w:t>
            </w:r>
            <w:r w:rsidR="007D4AFC" w:rsidRPr="00F323D4">
              <w:rPr>
                <w:b/>
                <w:sz w:val="20"/>
                <w:szCs w:val="20"/>
              </w:rPr>
              <w:t>i</w:t>
            </w:r>
            <w:r w:rsidR="00F323D4" w:rsidRPr="00F323D4">
              <w:rPr>
                <w:b/>
                <w:sz w:val="20"/>
                <w:szCs w:val="20"/>
              </w:rPr>
              <w:t>gh</w:t>
            </w:r>
            <w:r w:rsidR="007D4AFC" w:rsidRPr="00F323D4">
              <w:rPr>
                <w:b/>
                <w:sz w:val="20"/>
                <w:szCs w:val="20"/>
              </w:rPr>
              <w:t>t)</w:t>
            </w:r>
          </w:p>
        </w:tc>
        <w:tc>
          <w:tcPr>
            <w:tcW w:w="720" w:type="dxa"/>
            <w:tcMar>
              <w:left w:w="0" w:type="dxa"/>
              <w:right w:w="0" w:type="dxa"/>
            </w:tcMar>
          </w:tcPr>
          <w:p w:rsidR="007D4AFC" w:rsidRPr="00F323D4" w:rsidRDefault="007D4AFC" w:rsidP="007D4AFC">
            <w:pPr>
              <w:widowControl w:val="0"/>
              <w:jc w:val="center"/>
              <w:rPr>
                <w:sz w:val="20"/>
                <w:szCs w:val="20"/>
              </w:rPr>
            </w:pPr>
          </w:p>
        </w:tc>
        <w:tc>
          <w:tcPr>
            <w:tcW w:w="4380" w:type="dxa"/>
            <w:tcMar>
              <w:left w:w="0" w:type="dxa"/>
              <w:right w:w="0" w:type="dxa"/>
            </w:tcMar>
          </w:tcPr>
          <w:p w:rsidR="007C43A7" w:rsidRPr="00723DED" w:rsidRDefault="007C43A7" w:rsidP="007C43A7">
            <w:pPr>
              <w:tabs>
                <w:tab w:val="left" w:pos="-2970"/>
              </w:tabs>
              <w:jc w:val="both"/>
              <w:rPr>
                <w:sz w:val="20"/>
                <w:szCs w:val="20"/>
                <w:lang w:val="en-US"/>
              </w:rPr>
            </w:pPr>
            <w:r w:rsidRPr="00723DED">
              <w:rPr>
                <w:sz w:val="20"/>
                <w:szCs w:val="20"/>
                <w:lang w:val="en-US"/>
              </w:rPr>
              <w:t>Charles B. Davison</w:t>
            </w:r>
            <w:r>
              <w:rPr>
                <w:sz w:val="20"/>
                <w:szCs w:val="20"/>
                <w:lang w:val="en-US"/>
              </w:rPr>
              <w:t xml:space="preserve"> f</w:t>
            </w:r>
            <w:r w:rsidRPr="00723DED">
              <w:rPr>
                <w:sz w:val="20"/>
                <w:szCs w:val="20"/>
                <w:lang w:val="en-US"/>
              </w:rPr>
              <w:t xml:space="preserve">or the </w:t>
            </w:r>
            <w:r>
              <w:rPr>
                <w:sz w:val="20"/>
                <w:szCs w:val="20"/>
                <w:lang w:val="en-US"/>
              </w:rPr>
              <w:t>a</w:t>
            </w:r>
            <w:r w:rsidRPr="00723DED">
              <w:rPr>
                <w:sz w:val="20"/>
                <w:szCs w:val="20"/>
                <w:lang w:val="en-US"/>
              </w:rPr>
              <w:t>ppellant.</w:t>
            </w:r>
          </w:p>
          <w:p w:rsidR="007C43A7" w:rsidRPr="00723DED" w:rsidRDefault="007C43A7" w:rsidP="007C43A7">
            <w:pPr>
              <w:tabs>
                <w:tab w:val="left" w:pos="-2970"/>
              </w:tabs>
              <w:jc w:val="both"/>
              <w:rPr>
                <w:sz w:val="20"/>
                <w:szCs w:val="20"/>
                <w:lang w:val="en-US"/>
              </w:rPr>
            </w:pPr>
          </w:p>
          <w:p w:rsidR="007D4AFC" w:rsidRPr="00F323D4" w:rsidRDefault="007C43A7" w:rsidP="007C43A7">
            <w:pPr>
              <w:widowControl w:val="0"/>
              <w:jc w:val="both"/>
              <w:rPr>
                <w:sz w:val="20"/>
                <w:szCs w:val="20"/>
              </w:rPr>
            </w:pPr>
            <w:r w:rsidRPr="00723DED">
              <w:rPr>
                <w:sz w:val="20"/>
                <w:szCs w:val="20"/>
                <w:lang w:val="en-US"/>
              </w:rPr>
              <w:t>Susanne Boucher</w:t>
            </w:r>
            <w:r>
              <w:rPr>
                <w:sz w:val="20"/>
                <w:szCs w:val="20"/>
                <w:lang w:val="en-US"/>
              </w:rPr>
              <w:t xml:space="preserve"> and </w:t>
            </w:r>
            <w:r w:rsidRPr="00723DED">
              <w:rPr>
                <w:sz w:val="20"/>
                <w:szCs w:val="20"/>
                <w:lang w:val="en-US"/>
              </w:rPr>
              <w:t>François Lacasse</w:t>
            </w:r>
            <w:r>
              <w:rPr>
                <w:sz w:val="20"/>
                <w:szCs w:val="20"/>
                <w:lang w:val="en-US"/>
              </w:rPr>
              <w:t xml:space="preserve"> f</w:t>
            </w:r>
            <w:r w:rsidRPr="00723DED">
              <w:rPr>
                <w:sz w:val="20"/>
                <w:szCs w:val="20"/>
                <w:lang w:val="en-US"/>
              </w:rPr>
              <w:t xml:space="preserve">or the </w:t>
            </w:r>
            <w:r>
              <w:rPr>
                <w:sz w:val="20"/>
                <w:szCs w:val="20"/>
                <w:lang w:val="en-US"/>
              </w:rPr>
              <w:t>r</w:t>
            </w:r>
            <w:r w:rsidRPr="00723DED">
              <w:rPr>
                <w:sz w:val="20"/>
                <w:szCs w:val="20"/>
                <w:lang w:val="en-US"/>
              </w:rPr>
              <w:t>espondent.</w:t>
            </w:r>
          </w:p>
        </w:tc>
      </w:tr>
    </w:tbl>
    <w:p w:rsidR="007D4AFC" w:rsidRPr="00F323D4" w:rsidRDefault="007D4AFC" w:rsidP="007D4AFC">
      <w:pPr>
        <w:widowControl w:val="0"/>
      </w:pPr>
    </w:p>
    <w:p w:rsidR="00FD727D" w:rsidRPr="00F879B5" w:rsidRDefault="00FD727D" w:rsidP="00FD727D">
      <w:pPr>
        <w:widowControl w:val="0"/>
        <w:rPr>
          <w:sz w:val="20"/>
          <w:szCs w:val="20"/>
        </w:rPr>
      </w:pPr>
      <w:r w:rsidRPr="00F879B5">
        <w:rPr>
          <w:b/>
          <w:sz w:val="20"/>
          <w:szCs w:val="20"/>
        </w:rPr>
        <w:t>DISMISSED / REJETÉ</w:t>
      </w:r>
    </w:p>
    <w:p w:rsidR="007D4AFC" w:rsidRDefault="007D4AFC" w:rsidP="007D4AFC">
      <w:pPr>
        <w:rPr>
          <w:sz w:val="20"/>
          <w:szCs w:val="20"/>
        </w:rPr>
      </w:pPr>
    </w:p>
    <w:p w:rsidR="00FD727D" w:rsidRPr="00F879B5" w:rsidRDefault="00FD727D" w:rsidP="00FD727D">
      <w:pPr>
        <w:widowControl w:val="0"/>
        <w:rPr>
          <w:b/>
          <w:sz w:val="20"/>
          <w:szCs w:val="20"/>
        </w:rPr>
      </w:pPr>
      <w:r w:rsidRPr="00F879B5">
        <w:rPr>
          <w:b/>
          <w:sz w:val="20"/>
          <w:szCs w:val="20"/>
        </w:rPr>
        <w:t>2014 SCC 10 / 2014 CSC 10</w:t>
      </w:r>
    </w:p>
    <w:p w:rsidR="00FD727D" w:rsidRDefault="00FD727D" w:rsidP="007D4AFC">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F678B" w:rsidRPr="00EF678B" w:rsidTr="00EF678B">
        <w:tc>
          <w:tcPr>
            <w:tcW w:w="4380" w:type="dxa"/>
            <w:tcMar>
              <w:left w:w="0" w:type="dxa"/>
              <w:right w:w="0" w:type="dxa"/>
            </w:tcMar>
          </w:tcPr>
          <w:p w:rsidR="00EF678B" w:rsidRPr="00CC4D84" w:rsidRDefault="00EF678B" w:rsidP="00EF678B">
            <w:pPr>
              <w:widowControl w:val="0"/>
              <w:jc w:val="both"/>
              <w:rPr>
                <w:b/>
                <w:sz w:val="20"/>
                <w:szCs w:val="20"/>
                <w:u w:val="single"/>
              </w:rPr>
            </w:pPr>
            <w:r>
              <w:rPr>
                <w:b/>
                <w:sz w:val="20"/>
                <w:szCs w:val="20"/>
                <w:u w:val="single"/>
              </w:rPr>
              <w:t>JUDGMENT</w:t>
            </w:r>
            <w:r w:rsidRPr="00CC4D84">
              <w:rPr>
                <w:b/>
                <w:sz w:val="20"/>
                <w:szCs w:val="20"/>
                <w:u w:val="single"/>
              </w:rPr>
              <w:t>:</w:t>
            </w:r>
          </w:p>
          <w:p w:rsidR="00EF678B" w:rsidRPr="001A663B" w:rsidRDefault="00EF678B" w:rsidP="00EF678B">
            <w:pPr>
              <w:widowControl w:val="0"/>
              <w:jc w:val="both"/>
              <w:rPr>
                <w:b/>
                <w:sz w:val="20"/>
                <w:szCs w:val="20"/>
              </w:rPr>
            </w:pPr>
          </w:p>
          <w:p w:rsidR="00EF678B" w:rsidRPr="00202B54" w:rsidRDefault="00EF678B" w:rsidP="00EF678B">
            <w:pPr>
              <w:jc w:val="both"/>
              <w:rPr>
                <w:sz w:val="20"/>
                <w:szCs w:val="20"/>
              </w:rPr>
            </w:pPr>
            <w:r w:rsidRPr="00202B54">
              <w:rPr>
                <w:sz w:val="20"/>
                <w:szCs w:val="20"/>
              </w:rPr>
              <w:t>The appeal from the judgment of the Court of Appeal for the Northwest Territories, Number A-1-AP-2012-0000013, 2013 NWTCA 2, dated April 16, 2013, was heard on January 22, 2014, and the Court on that day delivered the following judgment orally:</w:t>
            </w:r>
          </w:p>
          <w:p w:rsidR="00EF678B" w:rsidRPr="00202B54" w:rsidRDefault="00EF678B" w:rsidP="00EF678B">
            <w:pPr>
              <w:jc w:val="both"/>
              <w:rPr>
                <w:sz w:val="20"/>
                <w:szCs w:val="20"/>
              </w:rPr>
            </w:pPr>
          </w:p>
          <w:p w:rsidR="00EF678B" w:rsidRPr="00202B54" w:rsidRDefault="00EF678B" w:rsidP="00EF678B">
            <w:pPr>
              <w:jc w:val="both"/>
              <w:rPr>
                <w:smallCaps/>
                <w:sz w:val="20"/>
                <w:szCs w:val="20"/>
              </w:rPr>
            </w:pPr>
          </w:p>
          <w:p w:rsidR="00EF678B" w:rsidRPr="00C1697B" w:rsidRDefault="00EF678B" w:rsidP="00EF678B">
            <w:pPr>
              <w:jc w:val="both"/>
              <w:rPr>
                <w:b/>
                <w:sz w:val="20"/>
                <w:szCs w:val="20"/>
              </w:rPr>
            </w:pPr>
            <w:r w:rsidRPr="00202B54">
              <w:rPr>
                <w:smallCaps/>
                <w:sz w:val="20"/>
                <w:szCs w:val="20"/>
              </w:rPr>
              <w:t xml:space="preserve">The Chief Justice — </w:t>
            </w:r>
            <w:r w:rsidRPr="00202B54">
              <w:rPr>
                <w:sz w:val="20"/>
                <w:szCs w:val="20"/>
              </w:rPr>
              <w:t>We agree with the majority of the Court of Appeal that the verdict was not unreasonable.  The appeal is therefore dismissed.</w:t>
            </w:r>
          </w:p>
        </w:tc>
        <w:tc>
          <w:tcPr>
            <w:tcW w:w="720" w:type="dxa"/>
            <w:tcMar>
              <w:left w:w="0" w:type="dxa"/>
              <w:right w:w="0" w:type="dxa"/>
            </w:tcMar>
          </w:tcPr>
          <w:p w:rsidR="00EF678B" w:rsidRPr="00C1697B" w:rsidRDefault="00EF678B" w:rsidP="00EF678B">
            <w:pPr>
              <w:widowControl w:val="0"/>
              <w:jc w:val="center"/>
              <w:rPr>
                <w:sz w:val="20"/>
                <w:szCs w:val="20"/>
              </w:rPr>
            </w:pPr>
          </w:p>
        </w:tc>
        <w:tc>
          <w:tcPr>
            <w:tcW w:w="4380" w:type="dxa"/>
            <w:tcMar>
              <w:left w:w="0" w:type="dxa"/>
              <w:right w:w="0" w:type="dxa"/>
            </w:tcMar>
          </w:tcPr>
          <w:p w:rsidR="00EF678B" w:rsidRPr="00EF678B" w:rsidRDefault="00EF678B" w:rsidP="00EF678B">
            <w:pPr>
              <w:widowControl w:val="0"/>
              <w:jc w:val="both"/>
              <w:rPr>
                <w:b/>
                <w:sz w:val="20"/>
                <w:szCs w:val="20"/>
                <w:u w:val="single"/>
                <w:lang w:val="fr-CA"/>
              </w:rPr>
            </w:pPr>
            <w:r w:rsidRPr="00EF678B">
              <w:rPr>
                <w:b/>
                <w:sz w:val="20"/>
                <w:szCs w:val="20"/>
                <w:u w:val="single"/>
                <w:lang w:val="fr-CA"/>
              </w:rPr>
              <w:t>JUGEMENT :</w:t>
            </w:r>
          </w:p>
          <w:p w:rsidR="00EF678B" w:rsidRPr="00EF678B" w:rsidRDefault="00EF678B" w:rsidP="00EF678B">
            <w:pPr>
              <w:widowControl w:val="0"/>
              <w:jc w:val="both"/>
              <w:rPr>
                <w:sz w:val="20"/>
                <w:szCs w:val="20"/>
                <w:lang w:val="fr-CA"/>
              </w:rPr>
            </w:pPr>
          </w:p>
          <w:p w:rsidR="00EF678B" w:rsidRPr="00202B54" w:rsidRDefault="00EF678B" w:rsidP="00EF678B">
            <w:pPr>
              <w:jc w:val="both"/>
              <w:rPr>
                <w:sz w:val="20"/>
                <w:szCs w:val="20"/>
                <w:lang w:val="fr-CA"/>
              </w:rPr>
            </w:pPr>
            <w:r w:rsidRPr="00202B54">
              <w:rPr>
                <w:sz w:val="20"/>
                <w:szCs w:val="20"/>
                <w:lang w:val="fr-CA"/>
              </w:rPr>
              <w:t>L’appel interjeté contre l’arrêt de la Cour d’appel des Territoires du Nord-Ouest, numéro A-1-AP-2012-0000013, 2013 NWTCA 2, en date du 16 avril 2013, a été entendu le 22 janvier 2014, et la Cour a prononcé oralement le même jour le jugement suivant :</w:t>
            </w:r>
          </w:p>
          <w:p w:rsidR="00EF678B" w:rsidRPr="00202B54" w:rsidRDefault="00EF678B" w:rsidP="00EF678B">
            <w:pPr>
              <w:jc w:val="both"/>
              <w:rPr>
                <w:sz w:val="20"/>
                <w:szCs w:val="20"/>
                <w:lang w:val="fr-CA"/>
              </w:rPr>
            </w:pPr>
          </w:p>
          <w:p w:rsidR="00EF678B" w:rsidRPr="00202B54" w:rsidRDefault="00EF678B" w:rsidP="00EF678B">
            <w:pPr>
              <w:jc w:val="both"/>
              <w:rPr>
                <w:smallCaps/>
                <w:sz w:val="20"/>
                <w:szCs w:val="20"/>
                <w:lang w:val="fr-CA"/>
              </w:rPr>
            </w:pPr>
            <w:r w:rsidRPr="00202B54">
              <w:rPr>
                <w:smallCaps/>
                <w:sz w:val="20"/>
                <w:szCs w:val="20"/>
                <w:lang w:val="fr-CA"/>
              </w:rPr>
              <w:t>[traduction]</w:t>
            </w:r>
          </w:p>
          <w:p w:rsidR="00EF678B" w:rsidRPr="00EF678B" w:rsidRDefault="00EF678B" w:rsidP="00EF678B">
            <w:pPr>
              <w:jc w:val="both"/>
              <w:rPr>
                <w:sz w:val="20"/>
                <w:szCs w:val="20"/>
                <w:lang w:val="fr-CA"/>
              </w:rPr>
            </w:pPr>
            <w:r w:rsidRPr="00202B54">
              <w:rPr>
                <w:smallCaps/>
                <w:sz w:val="20"/>
                <w:szCs w:val="20"/>
                <w:lang w:val="fr-CA"/>
              </w:rPr>
              <w:t xml:space="preserve">La Juge en Chef — </w:t>
            </w:r>
            <w:r w:rsidRPr="00202B54">
              <w:rPr>
                <w:sz w:val="20"/>
                <w:szCs w:val="20"/>
                <w:lang w:val="fr-CA"/>
              </w:rPr>
              <w:t>Nous partageons l’opinion des juges majoritaires de la cour d’appel selon laquelle le verdict n’était pas déraisonnable.  L’appel est par conséquent rejeté</w:t>
            </w:r>
            <w:r w:rsidRPr="00202B54">
              <w:rPr>
                <w:smallCaps/>
                <w:sz w:val="20"/>
                <w:szCs w:val="20"/>
                <w:lang w:val="fr-CA"/>
              </w:rPr>
              <w:t>.</w:t>
            </w:r>
          </w:p>
        </w:tc>
      </w:tr>
    </w:tbl>
    <w:p w:rsidR="00EF678B" w:rsidRPr="00EF678B" w:rsidRDefault="00EF678B" w:rsidP="007D4AFC">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D4AFC" w:rsidRPr="007C5411" w:rsidTr="007D4AFC">
        <w:tc>
          <w:tcPr>
            <w:tcW w:w="4380" w:type="dxa"/>
            <w:tcMar>
              <w:left w:w="0" w:type="dxa"/>
              <w:right w:w="0" w:type="dxa"/>
            </w:tcMar>
          </w:tcPr>
          <w:p w:rsidR="007D4AFC" w:rsidRPr="00CC4D84" w:rsidRDefault="007D4AFC" w:rsidP="007D4AFC">
            <w:pPr>
              <w:widowControl w:val="0"/>
              <w:jc w:val="both"/>
              <w:rPr>
                <w:b/>
                <w:sz w:val="20"/>
                <w:szCs w:val="20"/>
                <w:u w:val="single"/>
              </w:rPr>
            </w:pPr>
            <w:r w:rsidRPr="00CC4D84">
              <w:rPr>
                <w:b/>
                <w:sz w:val="20"/>
                <w:szCs w:val="20"/>
                <w:u w:val="single"/>
              </w:rPr>
              <w:t>Nature of the case:</w:t>
            </w:r>
          </w:p>
          <w:p w:rsidR="007D4AFC" w:rsidRDefault="007D4AFC" w:rsidP="007D4AFC">
            <w:pPr>
              <w:widowControl w:val="0"/>
              <w:jc w:val="both"/>
              <w:rPr>
                <w:b/>
                <w:sz w:val="20"/>
                <w:szCs w:val="20"/>
              </w:rPr>
            </w:pPr>
          </w:p>
          <w:p w:rsidR="00336B35" w:rsidRPr="00A6121B" w:rsidRDefault="00336B35" w:rsidP="00336B35">
            <w:pPr>
              <w:widowControl w:val="0"/>
              <w:jc w:val="both"/>
              <w:rPr>
                <w:sz w:val="20"/>
                <w:szCs w:val="20"/>
              </w:rPr>
            </w:pPr>
            <w:r w:rsidRPr="00A6121B">
              <w:rPr>
                <w:sz w:val="20"/>
                <w:szCs w:val="20"/>
              </w:rPr>
              <w:t>(</w:t>
            </w:r>
            <w:r w:rsidRPr="00A6121B">
              <w:rPr>
                <w:smallCaps/>
                <w:sz w:val="20"/>
                <w:szCs w:val="20"/>
              </w:rPr>
              <w:t>Publication Ban in Case</w:t>
            </w:r>
            <w:r w:rsidRPr="00A6121B">
              <w:rPr>
                <w:sz w:val="20"/>
                <w:szCs w:val="20"/>
              </w:rPr>
              <w:t xml:space="preserve">) </w:t>
            </w:r>
          </w:p>
          <w:p w:rsidR="00336B35" w:rsidRDefault="00336B35" w:rsidP="007D4AFC">
            <w:pPr>
              <w:widowControl w:val="0"/>
              <w:jc w:val="both"/>
              <w:rPr>
                <w:b/>
                <w:sz w:val="20"/>
                <w:szCs w:val="20"/>
              </w:rPr>
            </w:pPr>
          </w:p>
          <w:p w:rsidR="00336B35" w:rsidRPr="00336B35" w:rsidRDefault="00336B35" w:rsidP="007D4AFC">
            <w:pPr>
              <w:widowControl w:val="0"/>
              <w:jc w:val="both"/>
              <w:rPr>
                <w:b/>
                <w:sz w:val="20"/>
                <w:szCs w:val="20"/>
              </w:rPr>
            </w:pPr>
          </w:p>
          <w:p w:rsidR="007D4AFC" w:rsidRPr="00C1697B" w:rsidRDefault="002A3325" w:rsidP="002A3325">
            <w:pPr>
              <w:widowControl w:val="0"/>
              <w:jc w:val="both"/>
              <w:rPr>
                <w:b/>
                <w:sz w:val="20"/>
                <w:szCs w:val="20"/>
              </w:rPr>
            </w:pPr>
            <w:r w:rsidRPr="001F751F">
              <w:rPr>
                <w:sz w:val="20"/>
                <w:szCs w:val="20"/>
              </w:rPr>
              <w:t>Criminal law - Sexual Assault - Lesser and included offence of assault - Whether the verdict was unreasonable.</w:t>
            </w:r>
          </w:p>
        </w:tc>
        <w:tc>
          <w:tcPr>
            <w:tcW w:w="720" w:type="dxa"/>
            <w:tcMar>
              <w:left w:w="0" w:type="dxa"/>
              <w:right w:w="0" w:type="dxa"/>
            </w:tcMar>
          </w:tcPr>
          <w:p w:rsidR="007D4AFC" w:rsidRPr="00C1697B" w:rsidRDefault="007D4AFC" w:rsidP="007D4AFC">
            <w:pPr>
              <w:widowControl w:val="0"/>
              <w:jc w:val="center"/>
              <w:rPr>
                <w:sz w:val="20"/>
                <w:szCs w:val="20"/>
              </w:rPr>
            </w:pPr>
          </w:p>
        </w:tc>
        <w:tc>
          <w:tcPr>
            <w:tcW w:w="4380" w:type="dxa"/>
            <w:tcMar>
              <w:left w:w="0" w:type="dxa"/>
              <w:right w:w="0" w:type="dxa"/>
            </w:tcMar>
          </w:tcPr>
          <w:p w:rsidR="007D4AFC" w:rsidRPr="00CC4D84" w:rsidRDefault="007D4AFC" w:rsidP="007D4AFC">
            <w:pPr>
              <w:widowControl w:val="0"/>
              <w:jc w:val="both"/>
              <w:rPr>
                <w:b/>
                <w:sz w:val="20"/>
                <w:szCs w:val="20"/>
                <w:u w:val="single"/>
                <w:lang w:val="fr-CA"/>
              </w:rPr>
            </w:pPr>
            <w:r w:rsidRPr="00CC4D84">
              <w:rPr>
                <w:b/>
                <w:sz w:val="20"/>
                <w:szCs w:val="20"/>
                <w:u w:val="single"/>
                <w:lang w:val="fr-CA"/>
              </w:rPr>
              <w:t>Nature de la cause :</w:t>
            </w:r>
          </w:p>
          <w:p w:rsidR="007D4AFC" w:rsidRDefault="007D4AFC" w:rsidP="007D4AFC">
            <w:pPr>
              <w:widowControl w:val="0"/>
              <w:jc w:val="both"/>
              <w:rPr>
                <w:sz w:val="20"/>
                <w:szCs w:val="20"/>
                <w:lang w:val="fr-CA"/>
              </w:rPr>
            </w:pPr>
          </w:p>
          <w:p w:rsidR="00336B35" w:rsidRPr="008B366D" w:rsidRDefault="00336B35" w:rsidP="00336B35">
            <w:pPr>
              <w:widowControl w:val="0"/>
              <w:jc w:val="both"/>
              <w:rPr>
                <w:sz w:val="20"/>
                <w:szCs w:val="20"/>
                <w:lang w:val="fr-CA"/>
              </w:rPr>
            </w:pPr>
            <w:r w:rsidRPr="008B366D">
              <w:rPr>
                <w:sz w:val="20"/>
                <w:szCs w:val="20"/>
                <w:lang w:val="fr-CA"/>
              </w:rPr>
              <w:t>(</w:t>
            </w:r>
            <w:r w:rsidRPr="008B366D">
              <w:rPr>
                <w:smallCaps/>
                <w:sz w:val="20"/>
                <w:szCs w:val="20"/>
                <w:lang w:val="fr-CA"/>
              </w:rPr>
              <w:t>Ordonnance de non-publication dans le dossier</w:t>
            </w:r>
            <w:r w:rsidRPr="008B366D">
              <w:rPr>
                <w:sz w:val="20"/>
                <w:szCs w:val="20"/>
                <w:lang w:val="fr-CA"/>
              </w:rPr>
              <w:t xml:space="preserve">) </w:t>
            </w:r>
          </w:p>
          <w:p w:rsidR="00336B35" w:rsidRPr="00C1697B" w:rsidRDefault="00336B35" w:rsidP="007D4AFC">
            <w:pPr>
              <w:widowControl w:val="0"/>
              <w:jc w:val="both"/>
              <w:rPr>
                <w:sz w:val="20"/>
                <w:szCs w:val="20"/>
                <w:lang w:val="fr-CA"/>
              </w:rPr>
            </w:pPr>
          </w:p>
          <w:p w:rsidR="007D4AFC" w:rsidRPr="00C1697B" w:rsidRDefault="002A3325" w:rsidP="007D4AFC">
            <w:pPr>
              <w:widowControl w:val="0"/>
              <w:jc w:val="both"/>
              <w:rPr>
                <w:sz w:val="20"/>
                <w:szCs w:val="20"/>
                <w:lang w:val="fr-CA"/>
              </w:rPr>
            </w:pPr>
            <w:r w:rsidRPr="00883EFD">
              <w:rPr>
                <w:sz w:val="20"/>
                <w:szCs w:val="20"/>
                <w:lang w:val="fr-CA"/>
              </w:rPr>
              <w:t>Droit criminel - Agression sexuelle - Infraction moindre et incluse de voies de fait - Le verdict était-il déraisonnable?</w:t>
            </w:r>
          </w:p>
        </w:tc>
      </w:tr>
    </w:tbl>
    <w:p w:rsidR="007D4AFC" w:rsidRDefault="007D4AFC" w:rsidP="007D4AFC">
      <w:pPr>
        <w:widowControl w:val="0"/>
        <w:rPr>
          <w:sz w:val="20"/>
          <w:szCs w:val="20"/>
          <w:lang w:val="fr-CA"/>
        </w:rPr>
      </w:pPr>
    </w:p>
    <w:p w:rsidR="007D4AFC" w:rsidRDefault="007C5411" w:rsidP="007D4AFC">
      <w:pPr>
        <w:widowControl w:val="0"/>
        <w:rPr>
          <w:sz w:val="20"/>
          <w:szCs w:val="20"/>
        </w:rPr>
      </w:pPr>
      <w:r>
        <w:rPr>
          <w:sz w:val="20"/>
          <w:szCs w:val="20"/>
          <w:lang w:val="fr-CA"/>
        </w:rPr>
        <w:pict>
          <v:rect id="_x0000_i1084" style="width:2in;height:1pt" o:hrpct="0" o:hralign="center" o:hrstd="t" o:hrnoshade="t" o:hr="t" fillcolor="black [3213]" stroked="f"/>
        </w:pict>
      </w:r>
    </w:p>
    <w:p w:rsidR="007D4AFC" w:rsidRDefault="007D4AFC" w:rsidP="007D4AFC">
      <w:pPr>
        <w:widowControl w:val="0"/>
        <w:rPr>
          <w:sz w:val="20"/>
          <w:szCs w:val="20"/>
        </w:rPr>
      </w:pPr>
    </w:p>
    <w:p w:rsidR="007D4AFC" w:rsidRPr="00C355F2" w:rsidRDefault="007D4AFC" w:rsidP="007D4AFC">
      <w:pPr>
        <w:widowControl w:val="0"/>
        <w:rPr>
          <w:sz w:val="20"/>
          <w:szCs w:val="20"/>
        </w:rPr>
      </w:pPr>
      <w:r w:rsidRPr="00C355F2">
        <w:rPr>
          <w:sz w:val="20"/>
          <w:szCs w:val="20"/>
        </w:rPr>
        <w:t>23.01.2014</w:t>
      </w:r>
    </w:p>
    <w:p w:rsidR="007D4AFC" w:rsidRPr="00C355F2" w:rsidRDefault="007D4AFC" w:rsidP="007D4AFC">
      <w:pPr>
        <w:widowControl w:val="0"/>
        <w:rPr>
          <w:sz w:val="20"/>
          <w:szCs w:val="20"/>
        </w:rPr>
      </w:pPr>
    </w:p>
    <w:p w:rsidR="00B60D0E" w:rsidRPr="00524C24" w:rsidRDefault="00B60D0E" w:rsidP="00B60D0E">
      <w:pPr>
        <w:widowControl w:val="0"/>
        <w:ind w:left="720" w:hanging="720"/>
        <w:rPr>
          <w:sz w:val="20"/>
          <w:szCs w:val="20"/>
          <w:u w:val="single"/>
        </w:rPr>
      </w:pPr>
      <w:r w:rsidRPr="00524C24">
        <w:rPr>
          <w:sz w:val="20"/>
          <w:szCs w:val="20"/>
        </w:rPr>
        <w:t xml:space="preserve">Coram: </w:t>
      </w:r>
      <w:r w:rsidRPr="00524C24">
        <w:rPr>
          <w:sz w:val="20"/>
          <w:szCs w:val="20"/>
        </w:rPr>
        <w:tab/>
      </w:r>
      <w:r w:rsidRPr="00524C24">
        <w:rPr>
          <w:sz w:val="20"/>
          <w:szCs w:val="20"/>
          <w:u w:val="single"/>
        </w:rPr>
        <w:t>McLachlin C.J. and LeBel, Abella, Rothstein, Cromwell, Karakatsanis and WagnerJJ.</w:t>
      </w:r>
    </w:p>
    <w:p w:rsidR="007D4AFC" w:rsidRPr="00C355F2" w:rsidRDefault="007D4AFC" w:rsidP="007D4AFC">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D4AFC" w:rsidRPr="00F323D4" w:rsidTr="007D4AFC">
        <w:tc>
          <w:tcPr>
            <w:tcW w:w="4380" w:type="dxa"/>
            <w:tcMar>
              <w:left w:w="0" w:type="dxa"/>
              <w:right w:w="0" w:type="dxa"/>
            </w:tcMar>
          </w:tcPr>
          <w:p w:rsidR="00B60D0E" w:rsidRDefault="00B60D0E" w:rsidP="007D4AFC">
            <w:pPr>
              <w:widowControl w:val="0"/>
              <w:tabs>
                <w:tab w:val="left" w:pos="720"/>
                <w:tab w:val="left" w:pos="1440"/>
                <w:tab w:val="left" w:pos="2851"/>
                <w:tab w:val="left" w:pos="4320"/>
                <w:tab w:val="left" w:pos="10224"/>
                <w:tab w:val="left" w:pos="11376"/>
              </w:tabs>
              <w:rPr>
                <w:b/>
                <w:iCs/>
                <w:sz w:val="20"/>
                <w:szCs w:val="20"/>
              </w:rPr>
            </w:pPr>
            <w:r w:rsidRPr="00524C24">
              <w:rPr>
                <w:b/>
                <w:iCs/>
                <w:sz w:val="20"/>
                <w:szCs w:val="20"/>
              </w:rPr>
              <w:t xml:space="preserve">Her Majesty the Queen </w:t>
            </w:r>
          </w:p>
          <w:p w:rsidR="00B60D0E" w:rsidRDefault="00B60D0E" w:rsidP="007D4AFC">
            <w:pPr>
              <w:widowControl w:val="0"/>
              <w:tabs>
                <w:tab w:val="left" w:pos="720"/>
                <w:tab w:val="left" w:pos="1440"/>
                <w:tab w:val="left" w:pos="2851"/>
                <w:tab w:val="left" w:pos="4320"/>
                <w:tab w:val="left" w:pos="10224"/>
                <w:tab w:val="left" w:pos="11376"/>
              </w:tabs>
              <w:rPr>
                <w:b/>
                <w:iCs/>
                <w:sz w:val="20"/>
                <w:szCs w:val="20"/>
              </w:rPr>
            </w:pPr>
          </w:p>
          <w:p w:rsidR="00B60D0E" w:rsidRDefault="00B60D0E" w:rsidP="007D4AFC">
            <w:pPr>
              <w:widowControl w:val="0"/>
              <w:tabs>
                <w:tab w:val="left" w:pos="720"/>
                <w:tab w:val="left" w:pos="1440"/>
                <w:tab w:val="left" w:pos="2851"/>
                <w:tab w:val="left" w:pos="4320"/>
                <w:tab w:val="left" w:pos="10224"/>
                <w:tab w:val="left" w:pos="11376"/>
              </w:tabs>
              <w:rPr>
                <w:b/>
                <w:iCs/>
                <w:sz w:val="20"/>
                <w:szCs w:val="20"/>
              </w:rPr>
            </w:pPr>
            <w:r>
              <w:rPr>
                <w:b/>
                <w:iCs/>
                <w:sz w:val="20"/>
                <w:szCs w:val="20"/>
              </w:rPr>
              <w:tab/>
            </w:r>
            <w:r w:rsidRPr="00524C24">
              <w:rPr>
                <w:b/>
                <w:iCs/>
                <w:sz w:val="20"/>
                <w:szCs w:val="20"/>
              </w:rPr>
              <w:t xml:space="preserve">v. </w:t>
            </w:r>
            <w:r w:rsidRPr="00524C24">
              <w:rPr>
                <w:sz w:val="20"/>
                <w:szCs w:val="20"/>
              </w:rPr>
              <w:t>(</w:t>
            </w:r>
            <w:hyperlink r:id="rId88" w:history="1">
              <w:r w:rsidRPr="00524C24">
                <w:rPr>
                  <w:rStyle w:val="Hyperlink"/>
                  <w:sz w:val="20"/>
                  <w:szCs w:val="20"/>
                </w:rPr>
                <w:t>35115</w:t>
              </w:r>
            </w:hyperlink>
            <w:r w:rsidRPr="00524C24">
              <w:rPr>
                <w:sz w:val="20"/>
                <w:szCs w:val="20"/>
              </w:rPr>
              <w:t>)</w:t>
            </w:r>
          </w:p>
          <w:p w:rsidR="00B60D0E" w:rsidRDefault="00B60D0E" w:rsidP="007D4AFC">
            <w:pPr>
              <w:widowControl w:val="0"/>
              <w:tabs>
                <w:tab w:val="left" w:pos="720"/>
                <w:tab w:val="left" w:pos="1440"/>
                <w:tab w:val="left" w:pos="2851"/>
                <w:tab w:val="left" w:pos="4320"/>
                <w:tab w:val="left" w:pos="10224"/>
                <w:tab w:val="left" w:pos="11376"/>
              </w:tabs>
              <w:rPr>
                <w:b/>
                <w:iCs/>
                <w:sz w:val="20"/>
                <w:szCs w:val="20"/>
              </w:rPr>
            </w:pPr>
          </w:p>
          <w:p w:rsidR="007D4AFC" w:rsidRDefault="00B60D0E" w:rsidP="00B60D0E">
            <w:pPr>
              <w:widowControl w:val="0"/>
              <w:tabs>
                <w:tab w:val="left" w:pos="720"/>
                <w:tab w:val="left" w:pos="1440"/>
                <w:tab w:val="left" w:pos="2851"/>
                <w:tab w:val="left" w:pos="4320"/>
                <w:tab w:val="left" w:pos="10224"/>
                <w:tab w:val="left" w:pos="11376"/>
              </w:tabs>
              <w:rPr>
                <w:b/>
                <w:sz w:val="20"/>
                <w:szCs w:val="20"/>
              </w:rPr>
            </w:pPr>
            <w:r w:rsidRPr="00524C24">
              <w:rPr>
                <w:b/>
                <w:iCs/>
                <w:sz w:val="20"/>
                <w:szCs w:val="20"/>
              </w:rPr>
              <w:t>Level Aaron Carvery</w:t>
            </w:r>
            <w:r w:rsidR="009818A9">
              <w:rPr>
                <w:b/>
                <w:iCs/>
                <w:sz w:val="20"/>
                <w:szCs w:val="20"/>
              </w:rPr>
              <w:t xml:space="preserve"> </w:t>
            </w:r>
            <w:r w:rsidR="007D4AFC" w:rsidRPr="00F323D4">
              <w:rPr>
                <w:b/>
                <w:sz w:val="20"/>
                <w:szCs w:val="20"/>
              </w:rPr>
              <w:t>(</w:t>
            </w:r>
            <w:r w:rsidR="00F323D4" w:rsidRPr="00F323D4">
              <w:rPr>
                <w:b/>
                <w:sz w:val="20"/>
                <w:szCs w:val="20"/>
              </w:rPr>
              <w:t>N.S.</w:t>
            </w:r>
            <w:r w:rsidR="007D4AFC" w:rsidRPr="00F323D4">
              <w:rPr>
                <w:b/>
                <w:sz w:val="20"/>
                <w:szCs w:val="20"/>
              </w:rPr>
              <w:t>) (C</w:t>
            </w:r>
            <w:r w:rsidR="00F323D4" w:rsidRPr="00F323D4">
              <w:rPr>
                <w:b/>
                <w:sz w:val="20"/>
                <w:szCs w:val="20"/>
              </w:rPr>
              <w:t>r</w:t>
            </w:r>
            <w:r w:rsidR="007D4AFC" w:rsidRPr="00F323D4">
              <w:rPr>
                <w:b/>
                <w:sz w:val="20"/>
                <w:szCs w:val="20"/>
              </w:rPr>
              <w:t>i</w:t>
            </w:r>
            <w:r w:rsidR="00F323D4" w:rsidRPr="00F323D4">
              <w:rPr>
                <w:b/>
                <w:sz w:val="20"/>
                <w:szCs w:val="20"/>
              </w:rPr>
              <w:t>m</w:t>
            </w:r>
            <w:r w:rsidR="007D4AFC" w:rsidRPr="00F323D4">
              <w:rPr>
                <w:b/>
                <w:sz w:val="20"/>
                <w:szCs w:val="20"/>
              </w:rPr>
              <w:t>i</w:t>
            </w:r>
            <w:r w:rsidR="00F323D4" w:rsidRPr="00F323D4">
              <w:rPr>
                <w:b/>
                <w:sz w:val="20"/>
                <w:szCs w:val="20"/>
              </w:rPr>
              <w:t>na</w:t>
            </w:r>
            <w:r w:rsidR="007D4AFC" w:rsidRPr="00F323D4">
              <w:rPr>
                <w:b/>
                <w:sz w:val="20"/>
                <w:szCs w:val="20"/>
              </w:rPr>
              <w:t>l) (</w:t>
            </w:r>
            <w:r w:rsidR="00F323D4" w:rsidRPr="00F323D4">
              <w:rPr>
                <w:b/>
                <w:sz w:val="20"/>
                <w:szCs w:val="20"/>
              </w:rPr>
              <w:t>By Leave</w:t>
            </w:r>
            <w:r w:rsidR="007D4AFC" w:rsidRPr="00F323D4">
              <w:rPr>
                <w:b/>
                <w:sz w:val="20"/>
                <w:szCs w:val="20"/>
              </w:rPr>
              <w:t>)</w:t>
            </w:r>
          </w:p>
          <w:p w:rsidR="00B60D0E" w:rsidRDefault="00B60D0E" w:rsidP="00B60D0E">
            <w:pPr>
              <w:widowControl w:val="0"/>
              <w:tabs>
                <w:tab w:val="left" w:pos="720"/>
                <w:tab w:val="left" w:pos="1440"/>
                <w:tab w:val="left" w:pos="2851"/>
                <w:tab w:val="left" w:pos="4320"/>
                <w:tab w:val="left" w:pos="10224"/>
                <w:tab w:val="left" w:pos="11376"/>
              </w:tabs>
              <w:rPr>
                <w:b/>
                <w:sz w:val="20"/>
                <w:szCs w:val="20"/>
              </w:rPr>
            </w:pPr>
          </w:p>
          <w:p w:rsidR="00B60D0E" w:rsidRDefault="00B60D0E" w:rsidP="00B60D0E">
            <w:pPr>
              <w:widowControl w:val="0"/>
              <w:tabs>
                <w:tab w:val="left" w:pos="720"/>
                <w:tab w:val="left" w:pos="1440"/>
                <w:tab w:val="left" w:pos="2851"/>
                <w:tab w:val="left" w:pos="4320"/>
                <w:tab w:val="left" w:pos="10224"/>
                <w:tab w:val="left" w:pos="11376"/>
              </w:tabs>
              <w:rPr>
                <w:b/>
                <w:sz w:val="20"/>
                <w:szCs w:val="20"/>
              </w:rPr>
            </w:pPr>
            <w:r>
              <w:rPr>
                <w:b/>
                <w:sz w:val="20"/>
                <w:szCs w:val="20"/>
              </w:rPr>
              <w:t xml:space="preserve">- and between </w:t>
            </w:r>
            <w:r w:rsidR="009818A9">
              <w:rPr>
                <w:b/>
                <w:sz w:val="20"/>
                <w:szCs w:val="20"/>
              </w:rPr>
              <w:t>-</w:t>
            </w:r>
            <w:r>
              <w:rPr>
                <w:b/>
                <w:sz w:val="20"/>
                <w:szCs w:val="20"/>
              </w:rPr>
              <w:t xml:space="preserve"> </w:t>
            </w:r>
          </w:p>
          <w:p w:rsidR="00B60D0E" w:rsidRDefault="00B60D0E" w:rsidP="00B60D0E">
            <w:pPr>
              <w:widowControl w:val="0"/>
              <w:tabs>
                <w:tab w:val="left" w:pos="720"/>
                <w:tab w:val="left" w:pos="1440"/>
                <w:tab w:val="left" w:pos="2851"/>
                <w:tab w:val="left" w:pos="4320"/>
                <w:tab w:val="left" w:pos="10224"/>
                <w:tab w:val="left" w:pos="11376"/>
              </w:tabs>
              <w:rPr>
                <w:b/>
                <w:sz w:val="20"/>
                <w:szCs w:val="20"/>
              </w:rPr>
            </w:pPr>
          </w:p>
          <w:p w:rsidR="00B60D0E" w:rsidRPr="00B60D0E" w:rsidRDefault="00B60D0E" w:rsidP="00B60D0E">
            <w:pPr>
              <w:widowControl w:val="0"/>
              <w:tabs>
                <w:tab w:val="left" w:pos="720"/>
                <w:tab w:val="left" w:pos="1440"/>
                <w:tab w:val="left" w:pos="2851"/>
                <w:tab w:val="left" w:pos="4320"/>
                <w:tab w:val="left" w:pos="10224"/>
                <w:tab w:val="left" w:pos="11376"/>
              </w:tabs>
              <w:rPr>
                <w:b/>
                <w:iCs/>
                <w:sz w:val="20"/>
                <w:szCs w:val="20"/>
              </w:rPr>
            </w:pPr>
            <w:r w:rsidRPr="00524C24">
              <w:rPr>
                <w:b/>
                <w:iCs/>
                <w:sz w:val="20"/>
                <w:szCs w:val="20"/>
              </w:rPr>
              <w:t>Her Majesty the Queen</w:t>
            </w:r>
            <w:r w:rsidRPr="00B60D0E">
              <w:rPr>
                <w:b/>
                <w:iCs/>
                <w:sz w:val="20"/>
                <w:szCs w:val="20"/>
              </w:rPr>
              <w:t xml:space="preserve"> </w:t>
            </w:r>
          </w:p>
          <w:p w:rsidR="00B60D0E" w:rsidRPr="00B60D0E" w:rsidRDefault="00B60D0E" w:rsidP="00B60D0E">
            <w:pPr>
              <w:widowControl w:val="0"/>
              <w:tabs>
                <w:tab w:val="left" w:pos="720"/>
                <w:tab w:val="left" w:pos="1440"/>
                <w:tab w:val="left" w:pos="2851"/>
                <w:tab w:val="left" w:pos="4320"/>
                <w:tab w:val="left" w:pos="10224"/>
                <w:tab w:val="left" w:pos="11376"/>
              </w:tabs>
              <w:rPr>
                <w:b/>
                <w:iCs/>
                <w:sz w:val="20"/>
                <w:szCs w:val="20"/>
              </w:rPr>
            </w:pPr>
          </w:p>
          <w:p w:rsidR="00B60D0E" w:rsidRPr="00B60D0E" w:rsidRDefault="00B60D0E" w:rsidP="00B60D0E">
            <w:pPr>
              <w:widowControl w:val="0"/>
              <w:tabs>
                <w:tab w:val="left" w:pos="720"/>
                <w:tab w:val="left" w:pos="1440"/>
                <w:tab w:val="left" w:pos="2851"/>
                <w:tab w:val="left" w:pos="4320"/>
                <w:tab w:val="left" w:pos="10224"/>
                <w:tab w:val="left" w:pos="11376"/>
              </w:tabs>
              <w:rPr>
                <w:b/>
                <w:iCs/>
                <w:sz w:val="20"/>
                <w:szCs w:val="20"/>
              </w:rPr>
            </w:pPr>
            <w:r w:rsidRPr="00B60D0E">
              <w:rPr>
                <w:b/>
                <w:iCs/>
                <w:sz w:val="20"/>
                <w:szCs w:val="20"/>
              </w:rPr>
              <w:tab/>
              <w:t xml:space="preserve">v. </w:t>
            </w:r>
            <w:r w:rsidRPr="00524C24">
              <w:rPr>
                <w:sz w:val="20"/>
                <w:szCs w:val="20"/>
              </w:rPr>
              <w:t>(</w:t>
            </w:r>
            <w:hyperlink r:id="rId89" w:history="1">
              <w:r w:rsidRPr="00524C24">
                <w:rPr>
                  <w:rStyle w:val="Hyperlink"/>
                  <w:sz w:val="20"/>
                  <w:szCs w:val="20"/>
                </w:rPr>
                <w:t>35339</w:t>
              </w:r>
            </w:hyperlink>
            <w:r w:rsidRPr="00524C24">
              <w:rPr>
                <w:sz w:val="20"/>
                <w:szCs w:val="20"/>
              </w:rPr>
              <w:t>)</w:t>
            </w:r>
          </w:p>
          <w:p w:rsidR="00B60D0E" w:rsidRPr="00B60D0E" w:rsidRDefault="00B60D0E" w:rsidP="00B60D0E">
            <w:pPr>
              <w:widowControl w:val="0"/>
              <w:tabs>
                <w:tab w:val="left" w:pos="720"/>
                <w:tab w:val="left" w:pos="1440"/>
                <w:tab w:val="left" w:pos="2851"/>
                <w:tab w:val="left" w:pos="4320"/>
                <w:tab w:val="left" w:pos="10224"/>
                <w:tab w:val="left" w:pos="11376"/>
              </w:tabs>
              <w:rPr>
                <w:b/>
                <w:iCs/>
                <w:sz w:val="20"/>
                <w:szCs w:val="20"/>
              </w:rPr>
            </w:pPr>
          </w:p>
          <w:p w:rsidR="00B60D0E" w:rsidRPr="00F323D4" w:rsidRDefault="00B60D0E" w:rsidP="00B60D0E">
            <w:pPr>
              <w:widowControl w:val="0"/>
              <w:tabs>
                <w:tab w:val="left" w:pos="720"/>
                <w:tab w:val="left" w:pos="1440"/>
                <w:tab w:val="left" w:pos="2851"/>
                <w:tab w:val="left" w:pos="4320"/>
                <w:tab w:val="left" w:pos="10224"/>
                <w:tab w:val="left" w:pos="11376"/>
              </w:tabs>
              <w:rPr>
                <w:sz w:val="20"/>
                <w:szCs w:val="20"/>
              </w:rPr>
            </w:pPr>
            <w:r w:rsidRPr="00524C24">
              <w:rPr>
                <w:b/>
                <w:iCs/>
                <w:sz w:val="20"/>
                <w:szCs w:val="20"/>
              </w:rPr>
              <w:t>Sean Summers</w:t>
            </w:r>
            <w:r w:rsidRPr="00524C24">
              <w:rPr>
                <w:b/>
                <w:sz w:val="20"/>
                <w:szCs w:val="20"/>
              </w:rPr>
              <w:t xml:space="preserve"> </w:t>
            </w:r>
            <w:r w:rsidRPr="00B60D0E">
              <w:rPr>
                <w:b/>
                <w:sz w:val="20"/>
                <w:szCs w:val="20"/>
              </w:rPr>
              <w:t>(Ont.) (Criminal) (By Leave)</w:t>
            </w:r>
          </w:p>
        </w:tc>
        <w:tc>
          <w:tcPr>
            <w:tcW w:w="720" w:type="dxa"/>
            <w:tcMar>
              <w:left w:w="0" w:type="dxa"/>
              <w:right w:w="0" w:type="dxa"/>
            </w:tcMar>
          </w:tcPr>
          <w:p w:rsidR="007D4AFC" w:rsidRPr="00F323D4" w:rsidRDefault="007D4AFC" w:rsidP="007D4AFC">
            <w:pPr>
              <w:widowControl w:val="0"/>
              <w:jc w:val="center"/>
              <w:rPr>
                <w:sz w:val="20"/>
                <w:szCs w:val="20"/>
              </w:rPr>
            </w:pPr>
          </w:p>
        </w:tc>
        <w:tc>
          <w:tcPr>
            <w:tcW w:w="4380" w:type="dxa"/>
            <w:tcMar>
              <w:left w:w="0" w:type="dxa"/>
              <w:right w:w="0" w:type="dxa"/>
            </w:tcMar>
          </w:tcPr>
          <w:p w:rsidR="003A5C99" w:rsidRPr="00BF7275" w:rsidRDefault="003A5C99" w:rsidP="003A5C99">
            <w:pPr>
              <w:jc w:val="both"/>
              <w:rPr>
                <w:sz w:val="20"/>
                <w:szCs w:val="20"/>
              </w:rPr>
            </w:pPr>
            <w:r w:rsidRPr="00BF7275">
              <w:rPr>
                <w:sz w:val="20"/>
                <w:szCs w:val="20"/>
              </w:rPr>
              <w:t>David W. Schermbrucker</w:t>
            </w:r>
            <w:r>
              <w:rPr>
                <w:sz w:val="20"/>
                <w:szCs w:val="20"/>
              </w:rPr>
              <w:t xml:space="preserve"> and </w:t>
            </w:r>
            <w:r w:rsidRPr="00BF7275">
              <w:rPr>
                <w:sz w:val="20"/>
                <w:szCs w:val="20"/>
              </w:rPr>
              <w:t>Brad Reitz</w:t>
            </w:r>
            <w:r>
              <w:rPr>
                <w:sz w:val="20"/>
                <w:szCs w:val="20"/>
              </w:rPr>
              <w:t xml:space="preserve"> f</w:t>
            </w:r>
            <w:r w:rsidRPr="00BF7275">
              <w:rPr>
                <w:sz w:val="20"/>
                <w:szCs w:val="20"/>
              </w:rPr>
              <w:t xml:space="preserve">or the </w:t>
            </w:r>
            <w:r>
              <w:rPr>
                <w:sz w:val="20"/>
                <w:szCs w:val="20"/>
              </w:rPr>
              <w:t>a</w:t>
            </w:r>
            <w:r w:rsidRPr="00BF7275">
              <w:rPr>
                <w:sz w:val="20"/>
                <w:szCs w:val="20"/>
              </w:rPr>
              <w:t>ppellant (35115).</w:t>
            </w:r>
          </w:p>
          <w:p w:rsidR="003A5C99" w:rsidRPr="00BF7275" w:rsidRDefault="003A5C99" w:rsidP="003A5C99">
            <w:pPr>
              <w:jc w:val="both"/>
              <w:rPr>
                <w:sz w:val="20"/>
                <w:szCs w:val="20"/>
              </w:rPr>
            </w:pPr>
          </w:p>
          <w:p w:rsidR="003A5C99" w:rsidRPr="00BF7275" w:rsidRDefault="003A5C99" w:rsidP="003A5C99">
            <w:pPr>
              <w:jc w:val="both"/>
              <w:rPr>
                <w:sz w:val="20"/>
                <w:szCs w:val="20"/>
              </w:rPr>
            </w:pPr>
            <w:r w:rsidRPr="00BF7275">
              <w:rPr>
                <w:sz w:val="20"/>
                <w:szCs w:val="20"/>
              </w:rPr>
              <w:t>Gregory J. Tweney</w:t>
            </w:r>
            <w:r>
              <w:rPr>
                <w:sz w:val="20"/>
                <w:szCs w:val="20"/>
              </w:rPr>
              <w:t xml:space="preserve"> and </w:t>
            </w:r>
            <w:r w:rsidRPr="00BF7275">
              <w:rPr>
                <w:sz w:val="20"/>
                <w:szCs w:val="20"/>
              </w:rPr>
              <w:t>Molly Flanagan</w:t>
            </w:r>
            <w:r>
              <w:rPr>
                <w:sz w:val="20"/>
                <w:szCs w:val="20"/>
              </w:rPr>
              <w:t xml:space="preserve"> f</w:t>
            </w:r>
            <w:r w:rsidRPr="00BF7275">
              <w:rPr>
                <w:sz w:val="20"/>
                <w:szCs w:val="20"/>
              </w:rPr>
              <w:t xml:space="preserve">or the </w:t>
            </w:r>
            <w:r>
              <w:rPr>
                <w:sz w:val="20"/>
                <w:szCs w:val="20"/>
              </w:rPr>
              <w:t>a</w:t>
            </w:r>
            <w:r w:rsidRPr="00BF7275">
              <w:rPr>
                <w:sz w:val="20"/>
                <w:szCs w:val="20"/>
              </w:rPr>
              <w:t>ppellant (35339).</w:t>
            </w:r>
          </w:p>
          <w:p w:rsidR="003A5C99" w:rsidRPr="00BF7275" w:rsidRDefault="003A5C99" w:rsidP="003A5C99">
            <w:pPr>
              <w:jc w:val="both"/>
              <w:rPr>
                <w:sz w:val="20"/>
                <w:szCs w:val="20"/>
              </w:rPr>
            </w:pPr>
          </w:p>
          <w:p w:rsidR="003A5C99" w:rsidRDefault="003A5C99" w:rsidP="003A5C99">
            <w:pPr>
              <w:jc w:val="both"/>
              <w:rPr>
                <w:sz w:val="20"/>
                <w:szCs w:val="20"/>
                <w:lang w:val="fr-CA"/>
              </w:rPr>
            </w:pPr>
            <w:r w:rsidRPr="00BF7275">
              <w:rPr>
                <w:sz w:val="20"/>
                <w:szCs w:val="20"/>
                <w:lang w:val="fr-CA"/>
              </w:rPr>
              <w:t>Dennis Galiatsatos</w:t>
            </w:r>
            <w:r>
              <w:rPr>
                <w:sz w:val="20"/>
                <w:szCs w:val="20"/>
                <w:lang w:val="fr-CA"/>
              </w:rPr>
              <w:t xml:space="preserve"> p</w:t>
            </w:r>
            <w:r w:rsidRPr="00BF7275">
              <w:rPr>
                <w:sz w:val="20"/>
                <w:szCs w:val="20"/>
                <w:lang w:val="fr-CA"/>
              </w:rPr>
              <w:t>our l’intervenant</w:t>
            </w:r>
            <w:r>
              <w:rPr>
                <w:sz w:val="20"/>
                <w:szCs w:val="20"/>
                <w:lang w:val="fr-CA"/>
              </w:rPr>
              <w:t xml:space="preserve"> </w:t>
            </w:r>
            <w:r w:rsidRPr="00BF7275">
              <w:rPr>
                <w:sz w:val="20"/>
                <w:szCs w:val="20"/>
                <w:lang w:val="fr-CA"/>
              </w:rPr>
              <w:t>Directeur des poursuites criminelles</w:t>
            </w:r>
            <w:r>
              <w:rPr>
                <w:sz w:val="20"/>
                <w:szCs w:val="20"/>
                <w:lang w:val="fr-CA"/>
              </w:rPr>
              <w:t xml:space="preserve"> </w:t>
            </w:r>
            <w:r w:rsidRPr="00BF7275">
              <w:rPr>
                <w:sz w:val="20"/>
                <w:szCs w:val="20"/>
                <w:lang w:val="fr-CA"/>
              </w:rPr>
              <w:t>et pénales du Québec</w:t>
            </w:r>
            <w:r>
              <w:rPr>
                <w:sz w:val="20"/>
                <w:szCs w:val="20"/>
                <w:lang w:val="fr-CA"/>
              </w:rPr>
              <w:t xml:space="preserve"> </w:t>
            </w:r>
            <w:r w:rsidRPr="00BF7275">
              <w:rPr>
                <w:sz w:val="20"/>
                <w:szCs w:val="20"/>
                <w:lang w:val="fr-CA"/>
              </w:rPr>
              <w:t>(35339)</w:t>
            </w:r>
            <w:r>
              <w:rPr>
                <w:sz w:val="20"/>
                <w:szCs w:val="20"/>
                <w:lang w:val="fr-CA"/>
              </w:rPr>
              <w:t>.</w:t>
            </w:r>
          </w:p>
          <w:p w:rsidR="003A5C99" w:rsidRDefault="003A5C99" w:rsidP="003A5C99">
            <w:pPr>
              <w:jc w:val="both"/>
              <w:rPr>
                <w:sz w:val="20"/>
                <w:szCs w:val="20"/>
                <w:lang w:val="fr-CA"/>
              </w:rPr>
            </w:pPr>
          </w:p>
          <w:p w:rsidR="003A5C99" w:rsidRPr="00BF7275" w:rsidRDefault="003A5C99" w:rsidP="003A5C99">
            <w:pPr>
              <w:jc w:val="both"/>
              <w:rPr>
                <w:sz w:val="20"/>
                <w:szCs w:val="20"/>
              </w:rPr>
            </w:pPr>
            <w:r w:rsidRPr="00BF7275">
              <w:rPr>
                <w:sz w:val="20"/>
                <w:szCs w:val="20"/>
              </w:rPr>
              <w:t>Luke A. Craggs</w:t>
            </w:r>
            <w:r>
              <w:rPr>
                <w:sz w:val="20"/>
                <w:szCs w:val="20"/>
              </w:rPr>
              <w:t xml:space="preserve"> f</w:t>
            </w:r>
            <w:r w:rsidRPr="00BF7275">
              <w:rPr>
                <w:sz w:val="20"/>
                <w:szCs w:val="20"/>
              </w:rPr>
              <w:t xml:space="preserve">or the </w:t>
            </w:r>
            <w:r>
              <w:rPr>
                <w:sz w:val="20"/>
                <w:szCs w:val="20"/>
              </w:rPr>
              <w:t>r</w:t>
            </w:r>
            <w:r w:rsidRPr="00BF7275">
              <w:rPr>
                <w:sz w:val="20"/>
                <w:szCs w:val="20"/>
              </w:rPr>
              <w:t>espondent (35115).</w:t>
            </w:r>
          </w:p>
          <w:p w:rsidR="003A5C99" w:rsidRPr="00BF7275" w:rsidRDefault="003A5C99" w:rsidP="003A5C99">
            <w:pPr>
              <w:jc w:val="both"/>
              <w:rPr>
                <w:sz w:val="20"/>
                <w:szCs w:val="20"/>
              </w:rPr>
            </w:pPr>
          </w:p>
          <w:p w:rsidR="003A5C99" w:rsidRPr="00BF7275" w:rsidRDefault="003A5C99" w:rsidP="003A5C99">
            <w:pPr>
              <w:jc w:val="both"/>
              <w:rPr>
                <w:sz w:val="20"/>
                <w:szCs w:val="20"/>
                <w:lang w:val="en-US"/>
              </w:rPr>
            </w:pPr>
            <w:r w:rsidRPr="00BF7275">
              <w:rPr>
                <w:sz w:val="20"/>
                <w:szCs w:val="20"/>
                <w:lang w:val="en-US"/>
              </w:rPr>
              <w:t>J. Brennan Smart</w:t>
            </w:r>
            <w:r>
              <w:rPr>
                <w:sz w:val="20"/>
                <w:szCs w:val="20"/>
                <w:lang w:val="en-US"/>
              </w:rPr>
              <w:t xml:space="preserve"> and </w:t>
            </w:r>
            <w:r w:rsidRPr="00BF7275">
              <w:rPr>
                <w:sz w:val="20"/>
                <w:szCs w:val="20"/>
                <w:lang w:val="en-US"/>
              </w:rPr>
              <w:t>Russell Silver</w:t>
            </w:r>
            <w:r w:rsidRPr="00BF7275">
              <w:rPr>
                <w:sz w:val="20"/>
                <w:szCs w:val="20"/>
              </w:rPr>
              <w:t>stein</w:t>
            </w:r>
            <w:r>
              <w:rPr>
                <w:sz w:val="20"/>
                <w:szCs w:val="20"/>
              </w:rPr>
              <w:t xml:space="preserve"> f</w:t>
            </w:r>
            <w:r w:rsidRPr="00BF7275">
              <w:rPr>
                <w:sz w:val="20"/>
                <w:szCs w:val="20"/>
                <w:lang w:val="en-US"/>
              </w:rPr>
              <w:t xml:space="preserve">or the </w:t>
            </w:r>
            <w:r>
              <w:rPr>
                <w:sz w:val="20"/>
                <w:szCs w:val="20"/>
                <w:lang w:val="en-US"/>
              </w:rPr>
              <w:t>r</w:t>
            </w:r>
            <w:r w:rsidRPr="00BF7275">
              <w:rPr>
                <w:sz w:val="20"/>
                <w:szCs w:val="20"/>
                <w:lang w:val="en-US"/>
              </w:rPr>
              <w:t>espondent (35339).</w:t>
            </w:r>
          </w:p>
          <w:p w:rsidR="003A5C99" w:rsidRPr="00BF7275" w:rsidRDefault="003A5C99" w:rsidP="003A5C99">
            <w:pPr>
              <w:jc w:val="both"/>
              <w:rPr>
                <w:sz w:val="20"/>
                <w:szCs w:val="20"/>
              </w:rPr>
            </w:pPr>
          </w:p>
          <w:p w:rsidR="003A5C99" w:rsidRDefault="003A5C99" w:rsidP="003A5C99">
            <w:pPr>
              <w:jc w:val="both"/>
              <w:rPr>
                <w:sz w:val="20"/>
                <w:szCs w:val="20"/>
                <w:lang w:val="en-US"/>
              </w:rPr>
            </w:pPr>
            <w:r w:rsidRPr="00BF7275">
              <w:rPr>
                <w:sz w:val="20"/>
                <w:szCs w:val="20"/>
                <w:lang w:val="en-US"/>
              </w:rPr>
              <w:t>Ingrid Grant</w:t>
            </w:r>
            <w:r>
              <w:rPr>
                <w:sz w:val="20"/>
                <w:szCs w:val="20"/>
                <w:lang w:val="en-US"/>
              </w:rPr>
              <w:t xml:space="preserve"> f</w:t>
            </w:r>
            <w:r w:rsidRPr="00BF7275">
              <w:rPr>
                <w:sz w:val="20"/>
                <w:szCs w:val="20"/>
                <w:lang w:val="en-US"/>
              </w:rPr>
              <w:t xml:space="preserve">or the </w:t>
            </w:r>
            <w:r>
              <w:rPr>
                <w:sz w:val="20"/>
                <w:szCs w:val="20"/>
                <w:lang w:val="en-US"/>
              </w:rPr>
              <w:t>i</w:t>
            </w:r>
            <w:r w:rsidRPr="00BF7275">
              <w:rPr>
                <w:sz w:val="20"/>
                <w:szCs w:val="20"/>
                <w:lang w:val="en-US"/>
              </w:rPr>
              <w:t xml:space="preserve">ntervener </w:t>
            </w:r>
            <w:r w:rsidRPr="00BF7275">
              <w:rPr>
                <w:sz w:val="20"/>
                <w:szCs w:val="20"/>
              </w:rPr>
              <w:t xml:space="preserve">Criminal Lawyers’ </w:t>
            </w:r>
            <w:r w:rsidRPr="00BF7275">
              <w:rPr>
                <w:sz w:val="20"/>
                <w:szCs w:val="20"/>
              </w:rPr>
              <w:lastRenderedPageBreak/>
              <w:t>Association of Ontario</w:t>
            </w:r>
            <w:r w:rsidRPr="00BF7275">
              <w:rPr>
                <w:sz w:val="20"/>
                <w:szCs w:val="20"/>
                <w:lang w:val="en-US"/>
              </w:rPr>
              <w:t xml:space="preserve"> (35115-35339)</w:t>
            </w:r>
            <w:r>
              <w:rPr>
                <w:sz w:val="20"/>
                <w:szCs w:val="20"/>
                <w:lang w:val="en-US"/>
              </w:rPr>
              <w:t>.</w:t>
            </w:r>
          </w:p>
          <w:p w:rsidR="003A5C99" w:rsidRPr="00BF7275" w:rsidRDefault="003A5C99" w:rsidP="003A5C99">
            <w:pPr>
              <w:jc w:val="both"/>
              <w:rPr>
                <w:sz w:val="20"/>
                <w:szCs w:val="20"/>
              </w:rPr>
            </w:pPr>
          </w:p>
          <w:p w:rsidR="003A5C99" w:rsidRDefault="003A5C99" w:rsidP="003A5C99">
            <w:pPr>
              <w:jc w:val="both"/>
              <w:rPr>
                <w:sz w:val="20"/>
                <w:szCs w:val="20"/>
                <w:lang w:val="en-US"/>
              </w:rPr>
            </w:pPr>
            <w:r w:rsidRPr="00BF7275">
              <w:rPr>
                <w:sz w:val="20"/>
                <w:szCs w:val="20"/>
                <w:lang w:val="en-US"/>
              </w:rPr>
              <w:t>Andrew S. Faith</w:t>
            </w:r>
            <w:r>
              <w:rPr>
                <w:sz w:val="20"/>
                <w:szCs w:val="20"/>
                <w:lang w:val="en-US"/>
              </w:rPr>
              <w:t xml:space="preserve"> and </w:t>
            </w:r>
            <w:r w:rsidRPr="00BF7275">
              <w:rPr>
                <w:sz w:val="20"/>
                <w:szCs w:val="20"/>
                <w:lang w:val="en-US"/>
              </w:rPr>
              <w:t>Jeffrey Haylock</w:t>
            </w:r>
            <w:r>
              <w:rPr>
                <w:sz w:val="20"/>
                <w:szCs w:val="20"/>
                <w:lang w:val="en-US"/>
              </w:rPr>
              <w:t xml:space="preserve"> f</w:t>
            </w:r>
            <w:r w:rsidRPr="00BF7275">
              <w:rPr>
                <w:sz w:val="20"/>
                <w:szCs w:val="20"/>
                <w:lang w:val="en-US"/>
              </w:rPr>
              <w:t xml:space="preserve">or the </w:t>
            </w:r>
            <w:r>
              <w:rPr>
                <w:sz w:val="20"/>
                <w:szCs w:val="20"/>
                <w:lang w:val="en-US"/>
              </w:rPr>
              <w:t>i</w:t>
            </w:r>
            <w:r w:rsidRPr="00BF7275">
              <w:rPr>
                <w:sz w:val="20"/>
                <w:szCs w:val="20"/>
                <w:lang w:val="en-US"/>
              </w:rPr>
              <w:t>ntervener John Howard Society of Canada (35339)</w:t>
            </w:r>
            <w:r>
              <w:rPr>
                <w:sz w:val="20"/>
                <w:szCs w:val="20"/>
                <w:lang w:val="en-US"/>
              </w:rPr>
              <w:t>.</w:t>
            </w:r>
          </w:p>
          <w:p w:rsidR="003A5C99" w:rsidRPr="00BF7275" w:rsidRDefault="003A5C99" w:rsidP="003A5C99">
            <w:pPr>
              <w:jc w:val="both"/>
              <w:rPr>
                <w:sz w:val="20"/>
                <w:szCs w:val="20"/>
                <w:lang w:val="en-US"/>
              </w:rPr>
            </w:pPr>
          </w:p>
          <w:p w:rsidR="003A5C99" w:rsidRDefault="003A5C99" w:rsidP="003A5C99">
            <w:pPr>
              <w:jc w:val="both"/>
              <w:rPr>
                <w:sz w:val="20"/>
                <w:szCs w:val="20"/>
                <w:lang w:val="en-US"/>
              </w:rPr>
            </w:pPr>
            <w:r w:rsidRPr="00BF7275">
              <w:rPr>
                <w:sz w:val="20"/>
                <w:szCs w:val="20"/>
                <w:lang w:val="en-US"/>
              </w:rPr>
              <w:t>Jasmine T. Akbarali</w:t>
            </w:r>
            <w:r>
              <w:rPr>
                <w:sz w:val="20"/>
                <w:szCs w:val="20"/>
                <w:lang w:val="en-US"/>
              </w:rPr>
              <w:t xml:space="preserve"> and </w:t>
            </w:r>
            <w:r w:rsidRPr="00BF7275">
              <w:rPr>
                <w:sz w:val="20"/>
                <w:szCs w:val="20"/>
                <w:lang w:val="en-US"/>
              </w:rPr>
              <w:t>Josh Koziebrocki</w:t>
            </w:r>
            <w:r>
              <w:rPr>
                <w:sz w:val="20"/>
                <w:szCs w:val="20"/>
                <w:lang w:val="en-US"/>
              </w:rPr>
              <w:t xml:space="preserve"> f</w:t>
            </w:r>
            <w:r w:rsidRPr="00BF7275">
              <w:rPr>
                <w:sz w:val="20"/>
                <w:szCs w:val="20"/>
                <w:lang w:val="en-US"/>
              </w:rPr>
              <w:t xml:space="preserve">or the </w:t>
            </w:r>
            <w:r>
              <w:rPr>
                <w:sz w:val="20"/>
                <w:szCs w:val="20"/>
                <w:lang w:val="en-US"/>
              </w:rPr>
              <w:t>i</w:t>
            </w:r>
            <w:r w:rsidRPr="00BF7275">
              <w:rPr>
                <w:sz w:val="20"/>
                <w:szCs w:val="20"/>
                <w:lang w:val="en-US"/>
              </w:rPr>
              <w:t>ntervener Canadian Civil Liberties Association (35339)</w:t>
            </w:r>
            <w:r>
              <w:rPr>
                <w:sz w:val="20"/>
                <w:szCs w:val="20"/>
                <w:lang w:val="en-US"/>
              </w:rPr>
              <w:t>.</w:t>
            </w:r>
          </w:p>
          <w:p w:rsidR="003A5C99" w:rsidRPr="00BF7275" w:rsidRDefault="003A5C99" w:rsidP="003A5C99">
            <w:pPr>
              <w:jc w:val="both"/>
              <w:rPr>
                <w:sz w:val="20"/>
                <w:szCs w:val="20"/>
                <w:lang w:val="en-US"/>
              </w:rPr>
            </w:pPr>
          </w:p>
          <w:p w:rsidR="007D4AFC" w:rsidRPr="00F323D4" w:rsidRDefault="003A5C99" w:rsidP="003A5C99">
            <w:pPr>
              <w:widowControl w:val="0"/>
              <w:jc w:val="both"/>
              <w:rPr>
                <w:sz w:val="20"/>
                <w:szCs w:val="20"/>
              </w:rPr>
            </w:pPr>
            <w:r w:rsidRPr="00BF7275">
              <w:rPr>
                <w:sz w:val="20"/>
                <w:szCs w:val="20"/>
              </w:rPr>
              <w:t>Ryan D.W. Dalziel</w:t>
            </w:r>
            <w:r>
              <w:rPr>
                <w:sz w:val="20"/>
                <w:szCs w:val="20"/>
              </w:rPr>
              <w:t xml:space="preserve"> and </w:t>
            </w:r>
            <w:r w:rsidRPr="00BF7275">
              <w:rPr>
                <w:sz w:val="20"/>
                <w:szCs w:val="20"/>
              </w:rPr>
              <w:t>Anne Amos-Stewart</w:t>
            </w:r>
            <w:r>
              <w:rPr>
                <w:sz w:val="20"/>
                <w:szCs w:val="20"/>
              </w:rPr>
              <w:t xml:space="preserve"> f</w:t>
            </w:r>
            <w:r w:rsidRPr="00BF7275">
              <w:rPr>
                <w:sz w:val="20"/>
                <w:szCs w:val="20"/>
              </w:rPr>
              <w:t xml:space="preserve">or the </w:t>
            </w:r>
            <w:r>
              <w:rPr>
                <w:sz w:val="20"/>
                <w:szCs w:val="20"/>
              </w:rPr>
              <w:t>i</w:t>
            </w:r>
            <w:r w:rsidRPr="00BF7275">
              <w:rPr>
                <w:sz w:val="20"/>
                <w:szCs w:val="20"/>
              </w:rPr>
              <w:t xml:space="preserve">ntervener </w:t>
            </w:r>
            <w:r w:rsidRPr="00BF7275">
              <w:rPr>
                <w:sz w:val="20"/>
                <w:szCs w:val="20"/>
                <w:lang w:val="en-US"/>
              </w:rPr>
              <w:t>British Columbia Civil Liberties Association</w:t>
            </w:r>
            <w:r>
              <w:rPr>
                <w:sz w:val="20"/>
                <w:szCs w:val="20"/>
                <w:lang w:val="en-US"/>
              </w:rPr>
              <w:t xml:space="preserve"> </w:t>
            </w:r>
            <w:r w:rsidRPr="00BF7275">
              <w:rPr>
                <w:sz w:val="20"/>
                <w:szCs w:val="20"/>
              </w:rPr>
              <w:t>(35115-35339)</w:t>
            </w:r>
            <w:r>
              <w:rPr>
                <w:sz w:val="20"/>
                <w:szCs w:val="20"/>
              </w:rPr>
              <w:t>.</w:t>
            </w:r>
          </w:p>
        </w:tc>
      </w:tr>
    </w:tbl>
    <w:p w:rsidR="007D4AFC" w:rsidRPr="00F323D4" w:rsidRDefault="007D4AFC" w:rsidP="007D4AFC">
      <w:pPr>
        <w:widowControl w:val="0"/>
      </w:pPr>
    </w:p>
    <w:p w:rsidR="007D4AFC" w:rsidRPr="0085476B" w:rsidRDefault="007D4AFC" w:rsidP="007D4AFC">
      <w:pPr>
        <w:widowControl w:val="0"/>
        <w:rPr>
          <w:sz w:val="20"/>
          <w:szCs w:val="20"/>
        </w:rPr>
      </w:pPr>
      <w:r w:rsidRPr="0085476B">
        <w:rPr>
          <w:b/>
          <w:sz w:val="20"/>
          <w:szCs w:val="20"/>
        </w:rPr>
        <w:t xml:space="preserve">RESERVED / </w:t>
      </w:r>
      <w:r w:rsidRPr="0085476B">
        <w:rPr>
          <w:b/>
          <w:sz w:val="20"/>
          <w:szCs w:val="20"/>
          <w:lang w:val="fr-CA"/>
        </w:rPr>
        <w:t>EN DÉLIBÉRÉ</w:t>
      </w:r>
    </w:p>
    <w:p w:rsidR="007D4AFC" w:rsidRDefault="007D4AFC" w:rsidP="007D4AFC"/>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D4AFC" w:rsidRPr="007C5411" w:rsidTr="007D4AFC">
        <w:tc>
          <w:tcPr>
            <w:tcW w:w="4380" w:type="dxa"/>
            <w:tcMar>
              <w:left w:w="0" w:type="dxa"/>
              <w:right w:w="0" w:type="dxa"/>
            </w:tcMar>
          </w:tcPr>
          <w:p w:rsidR="007D4AFC" w:rsidRPr="00CC4D84" w:rsidRDefault="007D4AFC" w:rsidP="007D4AFC">
            <w:pPr>
              <w:widowControl w:val="0"/>
              <w:jc w:val="both"/>
              <w:rPr>
                <w:b/>
                <w:sz w:val="20"/>
                <w:szCs w:val="20"/>
                <w:u w:val="single"/>
              </w:rPr>
            </w:pPr>
            <w:r w:rsidRPr="00CC4D84">
              <w:rPr>
                <w:b/>
                <w:sz w:val="20"/>
                <w:szCs w:val="20"/>
                <w:u w:val="single"/>
              </w:rPr>
              <w:t>Nature of the case</w:t>
            </w:r>
            <w:r w:rsidR="00B60D0E">
              <w:rPr>
                <w:b/>
                <w:sz w:val="20"/>
                <w:szCs w:val="20"/>
                <w:u w:val="single"/>
              </w:rPr>
              <w:t xml:space="preserve"> - 35115</w:t>
            </w:r>
            <w:r w:rsidRPr="00CC4D84">
              <w:rPr>
                <w:b/>
                <w:sz w:val="20"/>
                <w:szCs w:val="20"/>
                <w:u w:val="single"/>
              </w:rPr>
              <w:t>:</w:t>
            </w:r>
          </w:p>
          <w:p w:rsidR="007D4AFC" w:rsidRPr="00C1697B" w:rsidRDefault="007D4AFC" w:rsidP="007D4AFC">
            <w:pPr>
              <w:widowControl w:val="0"/>
              <w:jc w:val="both"/>
              <w:rPr>
                <w:b/>
                <w:sz w:val="20"/>
                <w:szCs w:val="20"/>
              </w:rPr>
            </w:pPr>
          </w:p>
          <w:p w:rsidR="007D4AFC" w:rsidRPr="00C1697B" w:rsidRDefault="002A3325" w:rsidP="007D4AFC">
            <w:pPr>
              <w:widowControl w:val="0"/>
              <w:jc w:val="both"/>
              <w:rPr>
                <w:b/>
                <w:sz w:val="20"/>
                <w:szCs w:val="20"/>
              </w:rPr>
            </w:pPr>
            <w:r w:rsidRPr="00722005">
              <w:rPr>
                <w:sz w:val="20"/>
                <w:szCs w:val="20"/>
              </w:rPr>
              <w:t>Criminal law - Sentencing -</w:t>
            </w:r>
            <w:r w:rsidRPr="00722005">
              <w:rPr>
                <w:i/>
                <w:sz w:val="20"/>
                <w:szCs w:val="20"/>
              </w:rPr>
              <w:t xml:space="preserve"> </w:t>
            </w:r>
            <w:r w:rsidRPr="00722005">
              <w:rPr>
                <w:sz w:val="20"/>
                <w:szCs w:val="20"/>
              </w:rPr>
              <w:t xml:space="preserve">Credit for pre-sentence custody - Whether the Court of Appeal erred in holding that a remand prisoner’s “loss” of remission or parole eligibility is a circumstance within s. 719(3.1) of the </w:t>
            </w:r>
            <w:r w:rsidRPr="00722005">
              <w:rPr>
                <w:i/>
                <w:sz w:val="20"/>
                <w:szCs w:val="20"/>
              </w:rPr>
              <w:t>Criminal Code</w:t>
            </w:r>
            <w:r w:rsidRPr="00722005">
              <w:rPr>
                <w:sz w:val="20"/>
                <w:szCs w:val="20"/>
              </w:rPr>
              <w:t>, R.S.C. 1985, c. C-46, that can justify enhanced credit at sentencing (at a ratio of up to 1.5:1) for time spent in pre-sentencing custody.</w:t>
            </w:r>
          </w:p>
        </w:tc>
        <w:tc>
          <w:tcPr>
            <w:tcW w:w="720" w:type="dxa"/>
            <w:tcMar>
              <w:left w:w="0" w:type="dxa"/>
              <w:right w:w="0" w:type="dxa"/>
            </w:tcMar>
          </w:tcPr>
          <w:p w:rsidR="007D4AFC" w:rsidRPr="00C1697B" w:rsidRDefault="007D4AFC" w:rsidP="007D4AFC">
            <w:pPr>
              <w:widowControl w:val="0"/>
              <w:jc w:val="center"/>
              <w:rPr>
                <w:sz w:val="20"/>
                <w:szCs w:val="20"/>
              </w:rPr>
            </w:pPr>
          </w:p>
        </w:tc>
        <w:tc>
          <w:tcPr>
            <w:tcW w:w="4380" w:type="dxa"/>
            <w:tcMar>
              <w:left w:w="0" w:type="dxa"/>
              <w:right w:w="0" w:type="dxa"/>
            </w:tcMar>
          </w:tcPr>
          <w:p w:rsidR="007D4AFC" w:rsidRPr="00CC4D84" w:rsidRDefault="007D4AFC" w:rsidP="007D4AFC">
            <w:pPr>
              <w:widowControl w:val="0"/>
              <w:jc w:val="both"/>
              <w:rPr>
                <w:b/>
                <w:sz w:val="20"/>
                <w:szCs w:val="20"/>
                <w:u w:val="single"/>
                <w:lang w:val="fr-CA"/>
              </w:rPr>
            </w:pPr>
            <w:r w:rsidRPr="00CC4D84">
              <w:rPr>
                <w:b/>
                <w:sz w:val="20"/>
                <w:szCs w:val="20"/>
                <w:u w:val="single"/>
                <w:lang w:val="fr-CA"/>
              </w:rPr>
              <w:t xml:space="preserve">Nature de la cause </w:t>
            </w:r>
            <w:r w:rsidR="003A5C99">
              <w:rPr>
                <w:b/>
                <w:sz w:val="20"/>
                <w:szCs w:val="20"/>
                <w:u w:val="single"/>
                <w:lang w:val="fr-CA"/>
              </w:rPr>
              <w:t xml:space="preserve">- </w:t>
            </w:r>
            <w:r w:rsidR="00B60D0E">
              <w:rPr>
                <w:b/>
                <w:sz w:val="20"/>
                <w:szCs w:val="20"/>
                <w:u w:val="single"/>
                <w:lang w:val="fr-CA"/>
              </w:rPr>
              <w:t xml:space="preserve">35115 </w:t>
            </w:r>
            <w:r w:rsidRPr="00CC4D84">
              <w:rPr>
                <w:b/>
                <w:sz w:val="20"/>
                <w:szCs w:val="20"/>
                <w:u w:val="single"/>
                <w:lang w:val="fr-CA"/>
              </w:rPr>
              <w:t>:</w:t>
            </w:r>
          </w:p>
          <w:p w:rsidR="007D4AFC" w:rsidRPr="00C1697B" w:rsidRDefault="007D4AFC" w:rsidP="007D4AFC">
            <w:pPr>
              <w:widowControl w:val="0"/>
              <w:jc w:val="both"/>
              <w:rPr>
                <w:sz w:val="20"/>
                <w:szCs w:val="20"/>
                <w:lang w:val="fr-CA"/>
              </w:rPr>
            </w:pPr>
          </w:p>
          <w:p w:rsidR="007D4AFC" w:rsidRPr="00C1697B" w:rsidRDefault="002A3325" w:rsidP="007D4AFC">
            <w:pPr>
              <w:widowControl w:val="0"/>
              <w:jc w:val="both"/>
              <w:rPr>
                <w:sz w:val="20"/>
                <w:szCs w:val="20"/>
                <w:lang w:val="fr-CA"/>
              </w:rPr>
            </w:pPr>
            <w:r w:rsidRPr="005527E1">
              <w:rPr>
                <w:sz w:val="20"/>
                <w:szCs w:val="20"/>
                <w:lang w:val="fr-CA"/>
              </w:rPr>
              <w:t>Droit criminel - Détermination de la peine - Réduction pour la période passée sous garde avant la sentence - La Cour d’appel a-t-elle eu tort de conclure que la « perte » que subit un prévenu en détention provisoire de la possibilité de réduction de peine ou de libération conditionnelle est une circonstance visée par le par. 719(3.1) du</w:t>
            </w:r>
            <w:r w:rsidRPr="005527E1">
              <w:rPr>
                <w:i/>
                <w:sz w:val="20"/>
                <w:szCs w:val="20"/>
                <w:lang w:val="fr-CA"/>
              </w:rPr>
              <w:t xml:space="preserve"> Code criminel</w:t>
            </w:r>
            <w:r w:rsidRPr="005527E1">
              <w:rPr>
                <w:sz w:val="20"/>
                <w:szCs w:val="20"/>
                <w:lang w:val="fr-CA"/>
              </w:rPr>
              <w:t xml:space="preserve"> qui peut justifier une réduction de peine plus importante au prononcé de la sentence (à raison d’un maximum de 1,5 jour pour chaque jour passé sous garde avant la sentence)?</w:t>
            </w:r>
          </w:p>
        </w:tc>
      </w:tr>
    </w:tbl>
    <w:p w:rsidR="007D4AFC" w:rsidRDefault="007D4AFC" w:rsidP="007D4AFC">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D4AFC" w:rsidRPr="007C5411" w:rsidTr="007D4AFC">
        <w:tc>
          <w:tcPr>
            <w:tcW w:w="4380" w:type="dxa"/>
            <w:tcMar>
              <w:left w:w="0" w:type="dxa"/>
              <w:right w:w="0" w:type="dxa"/>
            </w:tcMar>
          </w:tcPr>
          <w:p w:rsidR="007D4AFC" w:rsidRPr="00CC4D84" w:rsidRDefault="007D4AFC" w:rsidP="007D4AFC">
            <w:pPr>
              <w:widowControl w:val="0"/>
              <w:jc w:val="both"/>
              <w:rPr>
                <w:b/>
                <w:sz w:val="20"/>
                <w:szCs w:val="20"/>
                <w:u w:val="single"/>
              </w:rPr>
            </w:pPr>
            <w:r w:rsidRPr="00CC4D84">
              <w:rPr>
                <w:b/>
                <w:sz w:val="20"/>
                <w:szCs w:val="20"/>
                <w:u w:val="single"/>
              </w:rPr>
              <w:t>Nature of the case</w:t>
            </w:r>
            <w:r w:rsidR="00B60D0E">
              <w:rPr>
                <w:b/>
                <w:sz w:val="20"/>
                <w:szCs w:val="20"/>
                <w:u w:val="single"/>
              </w:rPr>
              <w:t xml:space="preserve"> - 35339</w:t>
            </w:r>
            <w:r w:rsidRPr="00CC4D84">
              <w:rPr>
                <w:b/>
                <w:sz w:val="20"/>
                <w:szCs w:val="20"/>
                <w:u w:val="single"/>
              </w:rPr>
              <w:t>:</w:t>
            </w:r>
          </w:p>
          <w:p w:rsidR="007D4AFC" w:rsidRPr="00C1697B" w:rsidRDefault="007D4AFC" w:rsidP="007D4AFC">
            <w:pPr>
              <w:widowControl w:val="0"/>
              <w:jc w:val="both"/>
              <w:rPr>
                <w:b/>
                <w:sz w:val="20"/>
                <w:szCs w:val="20"/>
              </w:rPr>
            </w:pPr>
          </w:p>
          <w:p w:rsidR="007D4AFC" w:rsidRPr="00C1697B" w:rsidRDefault="002A3325" w:rsidP="007D4AFC">
            <w:pPr>
              <w:widowControl w:val="0"/>
              <w:jc w:val="both"/>
              <w:rPr>
                <w:b/>
                <w:sz w:val="20"/>
                <w:szCs w:val="20"/>
              </w:rPr>
            </w:pPr>
            <w:r w:rsidRPr="00FE629F">
              <w:rPr>
                <w:sz w:val="20"/>
                <w:szCs w:val="20"/>
              </w:rPr>
              <w:t xml:space="preserve">Criminal law - Sentencing - Credit for pre-trial custody - Whether the Court of Appeal erred in finding that the unavailability of earned remission or parole to those in remand custody is a “circumstance” that may justify granting enhanced credit for pre-sentence custody under s. 719(3.1) of the </w:t>
            </w:r>
            <w:r w:rsidRPr="00FE629F">
              <w:rPr>
                <w:i/>
                <w:sz w:val="20"/>
                <w:szCs w:val="20"/>
              </w:rPr>
              <w:t>Criminal Code</w:t>
            </w:r>
            <w:r w:rsidRPr="00FE629F">
              <w:rPr>
                <w:sz w:val="20"/>
                <w:szCs w:val="20"/>
              </w:rPr>
              <w:t>.</w:t>
            </w:r>
          </w:p>
        </w:tc>
        <w:tc>
          <w:tcPr>
            <w:tcW w:w="720" w:type="dxa"/>
            <w:tcMar>
              <w:left w:w="0" w:type="dxa"/>
              <w:right w:w="0" w:type="dxa"/>
            </w:tcMar>
          </w:tcPr>
          <w:p w:rsidR="007D4AFC" w:rsidRPr="00C1697B" w:rsidRDefault="007D4AFC" w:rsidP="007D4AFC">
            <w:pPr>
              <w:widowControl w:val="0"/>
              <w:jc w:val="center"/>
              <w:rPr>
                <w:sz w:val="20"/>
                <w:szCs w:val="20"/>
              </w:rPr>
            </w:pPr>
          </w:p>
        </w:tc>
        <w:tc>
          <w:tcPr>
            <w:tcW w:w="4380" w:type="dxa"/>
            <w:tcMar>
              <w:left w:w="0" w:type="dxa"/>
              <w:right w:w="0" w:type="dxa"/>
            </w:tcMar>
          </w:tcPr>
          <w:p w:rsidR="007D4AFC" w:rsidRPr="00CC4D84" w:rsidRDefault="007D4AFC" w:rsidP="007D4AFC">
            <w:pPr>
              <w:widowControl w:val="0"/>
              <w:jc w:val="both"/>
              <w:rPr>
                <w:b/>
                <w:sz w:val="20"/>
                <w:szCs w:val="20"/>
                <w:u w:val="single"/>
                <w:lang w:val="fr-CA"/>
              </w:rPr>
            </w:pPr>
            <w:r w:rsidRPr="00CC4D84">
              <w:rPr>
                <w:b/>
                <w:sz w:val="20"/>
                <w:szCs w:val="20"/>
                <w:u w:val="single"/>
                <w:lang w:val="fr-CA"/>
              </w:rPr>
              <w:t xml:space="preserve">Nature de la cause </w:t>
            </w:r>
            <w:r w:rsidR="003A5C99">
              <w:rPr>
                <w:b/>
                <w:sz w:val="20"/>
                <w:szCs w:val="20"/>
                <w:u w:val="single"/>
                <w:lang w:val="fr-CA"/>
              </w:rPr>
              <w:t>-</w:t>
            </w:r>
            <w:r w:rsidR="00B60D0E">
              <w:rPr>
                <w:b/>
                <w:sz w:val="20"/>
                <w:szCs w:val="20"/>
                <w:u w:val="single"/>
                <w:lang w:val="fr-CA"/>
              </w:rPr>
              <w:t xml:space="preserve"> 35339 </w:t>
            </w:r>
            <w:r w:rsidRPr="00CC4D84">
              <w:rPr>
                <w:b/>
                <w:sz w:val="20"/>
                <w:szCs w:val="20"/>
                <w:u w:val="single"/>
                <w:lang w:val="fr-CA"/>
              </w:rPr>
              <w:t>:</w:t>
            </w:r>
          </w:p>
          <w:p w:rsidR="007D4AFC" w:rsidRPr="00C1697B" w:rsidRDefault="007D4AFC" w:rsidP="007D4AFC">
            <w:pPr>
              <w:widowControl w:val="0"/>
              <w:jc w:val="both"/>
              <w:rPr>
                <w:sz w:val="20"/>
                <w:szCs w:val="20"/>
                <w:lang w:val="fr-CA"/>
              </w:rPr>
            </w:pPr>
          </w:p>
          <w:p w:rsidR="007D4AFC" w:rsidRPr="00C1697B" w:rsidRDefault="002A3325" w:rsidP="007D4AFC">
            <w:pPr>
              <w:widowControl w:val="0"/>
              <w:jc w:val="both"/>
              <w:rPr>
                <w:sz w:val="20"/>
                <w:szCs w:val="20"/>
                <w:lang w:val="fr-CA"/>
              </w:rPr>
            </w:pPr>
            <w:r w:rsidRPr="00DD0A6E">
              <w:rPr>
                <w:sz w:val="20"/>
                <w:szCs w:val="20"/>
                <w:lang w:val="fr-CA"/>
              </w:rPr>
              <w:t xml:space="preserve">Droit criminel - Détermination de la peine - Réduction pour la période passée sous garde avant le procès - La Cour d’appel a-t-elle eu tort de conclure que l’impossibilité pour ceux qui sont en détention provisoire avant le prononcé de la sentence d’obtenir une réduction de peine méritée ou une libération conditionnelle constitue une « circonstance » qui peut justifier l’allocation d’une réduction plus importante de la peine pour tenir compte de la période passée sous garde avant le prononcé de la sentence en application du par. 719(3.1) du </w:t>
            </w:r>
            <w:r w:rsidRPr="00DD0A6E">
              <w:rPr>
                <w:i/>
                <w:sz w:val="20"/>
                <w:szCs w:val="20"/>
                <w:lang w:val="fr-CA"/>
              </w:rPr>
              <w:t>Code criminel</w:t>
            </w:r>
            <w:r w:rsidRPr="00DD0A6E">
              <w:rPr>
                <w:sz w:val="20"/>
                <w:szCs w:val="20"/>
                <w:lang w:val="fr-CA"/>
              </w:rPr>
              <w:t>?</w:t>
            </w:r>
          </w:p>
        </w:tc>
      </w:tr>
    </w:tbl>
    <w:p w:rsidR="007D4AFC" w:rsidRDefault="007D4AFC" w:rsidP="007D4AFC">
      <w:pPr>
        <w:widowControl w:val="0"/>
        <w:rPr>
          <w:sz w:val="20"/>
          <w:szCs w:val="20"/>
          <w:lang w:val="fr-CA"/>
        </w:rPr>
      </w:pPr>
    </w:p>
    <w:p w:rsidR="007D4AFC" w:rsidRDefault="007C5411" w:rsidP="007D4AFC">
      <w:pPr>
        <w:widowControl w:val="0"/>
        <w:rPr>
          <w:sz w:val="20"/>
          <w:szCs w:val="20"/>
        </w:rPr>
      </w:pPr>
      <w:r>
        <w:rPr>
          <w:sz w:val="20"/>
          <w:szCs w:val="20"/>
          <w:lang w:val="fr-CA"/>
        </w:rPr>
        <w:pict>
          <v:rect id="_x0000_i1085" style="width:2in;height:1pt" o:hrpct="0" o:hralign="center" o:hrstd="t" o:hrnoshade="t" o:hr="t" fillcolor="black [3213]" stroked="f"/>
        </w:pict>
      </w:r>
    </w:p>
    <w:p w:rsidR="007D4AFC" w:rsidRDefault="007D4AFC" w:rsidP="007D4AFC">
      <w:pPr>
        <w:widowControl w:val="0"/>
        <w:rPr>
          <w:sz w:val="20"/>
          <w:szCs w:val="20"/>
        </w:rPr>
      </w:pPr>
    </w:p>
    <w:p w:rsidR="007D4AFC" w:rsidRDefault="007D4AFC" w:rsidP="002A27D1">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90"/>
          <w:headerReference w:type="default" r:id="rId91"/>
          <w:footerReference w:type="even" r:id="rId92"/>
          <w:footerReference w:type="default" r:id="rId93"/>
          <w:headerReference w:type="first" r:id="rId94"/>
          <w:footerReference w:type="first" r:id="rId95"/>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7C5411"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FAA" w:rsidRDefault="00FF6EEC" w:rsidP="00FF6EEC">
      <w:pPr>
        <w:rPr>
          <w:sz w:val="20"/>
          <w:szCs w:val="20"/>
          <w:lang w:val="fr-CA"/>
        </w:rPr>
      </w:pPr>
    </w:p>
    <w:p w:rsidR="00AF1715" w:rsidRPr="003B3977" w:rsidRDefault="00864614" w:rsidP="00AF1715">
      <w:pPr>
        <w:rPr>
          <w:b/>
          <w:sz w:val="20"/>
          <w:szCs w:val="20"/>
        </w:rPr>
      </w:pPr>
      <w:r>
        <w:rPr>
          <w:b/>
          <w:sz w:val="20"/>
          <w:szCs w:val="20"/>
        </w:rPr>
        <w:t>JANUA</w:t>
      </w:r>
      <w:r w:rsidR="00AF1715" w:rsidRPr="003B3977">
        <w:rPr>
          <w:b/>
          <w:sz w:val="20"/>
          <w:szCs w:val="20"/>
        </w:rPr>
        <w:t>R</w:t>
      </w:r>
      <w:r>
        <w:rPr>
          <w:b/>
          <w:sz w:val="20"/>
          <w:szCs w:val="20"/>
        </w:rPr>
        <w:t>Y</w:t>
      </w:r>
      <w:r w:rsidR="00AF1715" w:rsidRPr="003B3977">
        <w:rPr>
          <w:b/>
          <w:sz w:val="20"/>
          <w:szCs w:val="20"/>
        </w:rPr>
        <w:t xml:space="preserve"> </w:t>
      </w:r>
      <w:r w:rsidR="004E1E0A">
        <w:rPr>
          <w:b/>
          <w:sz w:val="20"/>
          <w:szCs w:val="20"/>
        </w:rPr>
        <w:t>2</w:t>
      </w:r>
      <w:r>
        <w:rPr>
          <w:b/>
          <w:sz w:val="20"/>
          <w:szCs w:val="20"/>
        </w:rPr>
        <w:t>3</w:t>
      </w:r>
      <w:r w:rsidR="00AF1715" w:rsidRPr="003B3977">
        <w:rPr>
          <w:b/>
          <w:sz w:val="20"/>
          <w:szCs w:val="20"/>
        </w:rPr>
        <w:t>, 201</w:t>
      </w:r>
      <w:r>
        <w:rPr>
          <w:b/>
          <w:sz w:val="20"/>
          <w:szCs w:val="20"/>
        </w:rPr>
        <w:t>4</w:t>
      </w:r>
      <w:r w:rsidR="00AF1715" w:rsidRPr="003B3977">
        <w:rPr>
          <w:b/>
          <w:sz w:val="20"/>
          <w:szCs w:val="20"/>
        </w:rPr>
        <w:t xml:space="preserve"> / LE </w:t>
      </w:r>
      <w:r w:rsidR="004E1E0A">
        <w:rPr>
          <w:b/>
          <w:sz w:val="20"/>
          <w:szCs w:val="20"/>
        </w:rPr>
        <w:t>2</w:t>
      </w:r>
      <w:r>
        <w:rPr>
          <w:b/>
          <w:sz w:val="20"/>
          <w:szCs w:val="20"/>
        </w:rPr>
        <w:t>3 JANVIE</w:t>
      </w:r>
      <w:r w:rsidR="00AF1715" w:rsidRPr="003B3977">
        <w:rPr>
          <w:b/>
          <w:sz w:val="20"/>
          <w:szCs w:val="20"/>
        </w:rPr>
        <w:t>R 201</w:t>
      </w:r>
      <w:r>
        <w:rPr>
          <w:b/>
          <w:sz w:val="20"/>
          <w:szCs w:val="20"/>
        </w:rPr>
        <w:t>4</w:t>
      </w:r>
    </w:p>
    <w:p w:rsidR="00AF1715" w:rsidRDefault="00AF1715" w:rsidP="00AF1715">
      <w:pPr>
        <w:rPr>
          <w:sz w:val="20"/>
          <w:szCs w:val="20"/>
        </w:rPr>
      </w:pPr>
    </w:p>
    <w:p w:rsidR="003A5C99" w:rsidRPr="006E1B30" w:rsidRDefault="00FD4200" w:rsidP="003A5C99">
      <w:pPr>
        <w:ind w:left="1440" w:hanging="1440"/>
        <w:jc w:val="both"/>
        <w:rPr>
          <w:sz w:val="20"/>
          <w:szCs w:val="20"/>
        </w:rPr>
      </w:pPr>
      <w:r w:rsidRPr="006E1B30">
        <w:rPr>
          <w:b/>
          <w:sz w:val="20"/>
          <w:szCs w:val="20"/>
        </w:rPr>
        <w:fldChar w:fldCharType="begin"/>
      </w:r>
      <w:r w:rsidR="003A5C99" w:rsidRPr="006E1B30">
        <w:rPr>
          <w:b/>
          <w:sz w:val="20"/>
          <w:szCs w:val="20"/>
        </w:rPr>
        <w:instrText xml:space="preserve"> SEQ CHAPTER \h \r 1</w:instrText>
      </w:r>
      <w:r w:rsidRPr="006E1B30">
        <w:rPr>
          <w:b/>
          <w:sz w:val="20"/>
          <w:szCs w:val="20"/>
        </w:rPr>
        <w:fldChar w:fldCharType="end"/>
      </w:r>
      <w:r w:rsidR="003A5C99" w:rsidRPr="006E1B30">
        <w:rPr>
          <w:b/>
          <w:sz w:val="20"/>
          <w:szCs w:val="20"/>
        </w:rPr>
        <w:t>34641</w:t>
      </w:r>
      <w:r w:rsidR="003A5C99" w:rsidRPr="006E1B30">
        <w:rPr>
          <w:sz w:val="20"/>
          <w:szCs w:val="20"/>
        </w:rPr>
        <w:tab/>
      </w:r>
      <w:r w:rsidR="003A5C99" w:rsidRPr="006E1B30">
        <w:rPr>
          <w:b/>
          <w:sz w:val="20"/>
          <w:szCs w:val="20"/>
          <w:u w:val="single"/>
        </w:rPr>
        <w:t>Robert Hryniak v. Fred Mauldin, Dan Myers, Robert Blomberg, Theodore Landkammer, Lloyd Chelli, Stephen Yee, Marvin Cleair, Carolyn Cleair, Richard Hanna, Douglas Laird, Charles Ivans, Lyn White and Athena Smith – and – Ontario Trial Lawyers Association and Canadian Bar Association</w:t>
      </w:r>
      <w:r w:rsidR="003A5C99" w:rsidRPr="006E1B30">
        <w:rPr>
          <w:b/>
          <w:sz w:val="20"/>
          <w:szCs w:val="20"/>
        </w:rPr>
        <w:t xml:space="preserve"> </w:t>
      </w:r>
      <w:r w:rsidR="003A5C99" w:rsidRPr="006E1B30">
        <w:rPr>
          <w:iCs/>
          <w:sz w:val="20"/>
          <w:szCs w:val="20"/>
        </w:rPr>
        <w:t>(Ont.)</w:t>
      </w:r>
    </w:p>
    <w:p w:rsidR="003A5C99" w:rsidRPr="006E1B30" w:rsidRDefault="003A5C99" w:rsidP="003A5C99">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6E1B30">
        <w:rPr>
          <w:b/>
          <w:sz w:val="20"/>
          <w:szCs w:val="20"/>
        </w:rPr>
        <w:t>2014 SCC 7 / 2014 CSC 7</w:t>
      </w:r>
    </w:p>
    <w:p w:rsidR="003A5C99" w:rsidRPr="006E1B30" w:rsidRDefault="003A5C99" w:rsidP="003A5C9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3A5C99" w:rsidRPr="006E1B30" w:rsidRDefault="003A5C99" w:rsidP="003A5C99">
      <w:pPr>
        <w:ind w:left="1440" w:hanging="1440"/>
        <w:rPr>
          <w:sz w:val="20"/>
          <w:szCs w:val="20"/>
          <w:u w:val="single"/>
        </w:rPr>
      </w:pPr>
      <w:r w:rsidRPr="006E1B30">
        <w:rPr>
          <w:sz w:val="20"/>
          <w:szCs w:val="20"/>
        </w:rPr>
        <w:t>Coram:</w:t>
      </w:r>
      <w:r w:rsidRPr="006E1B30">
        <w:rPr>
          <w:sz w:val="20"/>
          <w:szCs w:val="20"/>
        </w:rPr>
        <w:tab/>
      </w:r>
      <w:r w:rsidRPr="006E1B30">
        <w:rPr>
          <w:sz w:val="20"/>
          <w:szCs w:val="20"/>
          <w:u w:val="single"/>
        </w:rPr>
        <w:t xml:space="preserve">McLachlin C.J. and LeBel, Abella, Rothstein, Cromwell, Karakatsanis and Wagner JJ. </w:t>
      </w:r>
    </w:p>
    <w:p w:rsidR="003A5C99" w:rsidRPr="006E1B30" w:rsidRDefault="003A5C99" w:rsidP="003A5C99">
      <w:pPr>
        <w:ind w:left="1440" w:hanging="1440"/>
        <w:jc w:val="both"/>
        <w:rPr>
          <w:sz w:val="20"/>
          <w:szCs w:val="20"/>
          <w:u w:val="single"/>
        </w:rPr>
      </w:pPr>
      <w:r w:rsidRPr="006E1B30">
        <w:rPr>
          <w:sz w:val="20"/>
          <w:szCs w:val="20"/>
          <w:u w:val="single"/>
        </w:rPr>
        <w:t xml:space="preserve"> </w:t>
      </w:r>
    </w:p>
    <w:p w:rsidR="003A5C99" w:rsidRPr="006E1B30" w:rsidRDefault="003A5C99" w:rsidP="003A5C99">
      <w:pPr>
        <w:jc w:val="both"/>
        <w:rPr>
          <w:sz w:val="20"/>
          <w:szCs w:val="20"/>
        </w:rPr>
      </w:pPr>
      <w:r w:rsidRPr="006E1B30">
        <w:rPr>
          <w:sz w:val="20"/>
          <w:szCs w:val="20"/>
        </w:rPr>
        <w:t>The appeal from the judgment of the Court of Appeal for Ontario, Number C52912, 2011 ONCA 764, dated December 5, 2011, heard on March 26, 2013, is dismissed with costs to the respondents.</w:t>
      </w:r>
    </w:p>
    <w:p w:rsidR="003A5C99" w:rsidRPr="006E1B30" w:rsidRDefault="003A5C99" w:rsidP="003A5C99">
      <w:pPr>
        <w:jc w:val="both"/>
        <w:rPr>
          <w:sz w:val="20"/>
          <w:szCs w:val="20"/>
        </w:rPr>
      </w:pPr>
    </w:p>
    <w:p w:rsidR="003A5C99" w:rsidRPr="006E1B30" w:rsidRDefault="003A5C99" w:rsidP="003A5C99">
      <w:pPr>
        <w:jc w:val="both"/>
        <w:rPr>
          <w:sz w:val="20"/>
          <w:szCs w:val="20"/>
          <w:lang w:val="fr-CA"/>
        </w:rPr>
      </w:pPr>
      <w:r w:rsidRPr="006E1B30">
        <w:rPr>
          <w:sz w:val="20"/>
          <w:szCs w:val="20"/>
          <w:lang w:val="fr-CA"/>
        </w:rPr>
        <w:t>L’appel interjeté contre l’arrêt de la Cour d’appel de l’Ontario, numéro C52912, 2011 ONCA 764, en date du 5 décembre 2011, entendu le 26 mars 2013, est rejeté avec dépens en faveur des intimés.</w:t>
      </w:r>
    </w:p>
    <w:p w:rsidR="00AF1715" w:rsidRPr="003B3977" w:rsidRDefault="00AF1715" w:rsidP="00AF1715">
      <w:pPr>
        <w:rPr>
          <w:sz w:val="20"/>
          <w:szCs w:val="20"/>
          <w:lang w:val="fr-CA"/>
        </w:rPr>
      </w:pPr>
    </w:p>
    <w:p w:rsidR="00AF1715" w:rsidRPr="003B3977" w:rsidRDefault="007C5411" w:rsidP="00AF1715">
      <w:pPr>
        <w:spacing w:line="0" w:lineRule="atLeast"/>
        <w:rPr>
          <w:sz w:val="20"/>
          <w:szCs w:val="20"/>
        </w:rPr>
      </w:pPr>
      <w:r>
        <w:rPr>
          <w:b/>
          <w:sz w:val="20"/>
          <w:szCs w:val="20"/>
        </w:rPr>
        <w:pict>
          <v:rect id="_x0000_i1088"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3A5C99" w:rsidRPr="006E1B30" w:rsidRDefault="00FD4200" w:rsidP="003A5C99">
      <w:pPr>
        <w:ind w:left="1440" w:hanging="1440"/>
        <w:jc w:val="both"/>
        <w:rPr>
          <w:sz w:val="20"/>
          <w:szCs w:val="20"/>
        </w:rPr>
      </w:pPr>
      <w:r w:rsidRPr="006E1B30">
        <w:rPr>
          <w:b/>
          <w:sz w:val="20"/>
          <w:szCs w:val="20"/>
        </w:rPr>
        <w:fldChar w:fldCharType="begin"/>
      </w:r>
      <w:r w:rsidR="003A5C99" w:rsidRPr="006E1B30">
        <w:rPr>
          <w:b/>
          <w:sz w:val="20"/>
          <w:szCs w:val="20"/>
        </w:rPr>
        <w:instrText xml:space="preserve"> SEQ CHAPTER \h \r 1</w:instrText>
      </w:r>
      <w:r w:rsidRPr="006E1B30">
        <w:rPr>
          <w:b/>
          <w:sz w:val="20"/>
          <w:szCs w:val="20"/>
        </w:rPr>
        <w:fldChar w:fldCharType="end"/>
      </w:r>
      <w:r w:rsidR="003A5C99" w:rsidRPr="006E1B30">
        <w:rPr>
          <w:b/>
          <w:sz w:val="20"/>
          <w:szCs w:val="20"/>
        </w:rPr>
        <w:t>34645</w:t>
      </w:r>
      <w:r w:rsidR="003A5C99" w:rsidRPr="006E1B30">
        <w:rPr>
          <w:sz w:val="20"/>
          <w:szCs w:val="20"/>
        </w:rPr>
        <w:tab/>
      </w:r>
      <w:r w:rsidR="003A5C99" w:rsidRPr="006E1B30">
        <w:rPr>
          <w:b/>
          <w:sz w:val="20"/>
          <w:szCs w:val="20"/>
          <w:u w:val="single"/>
        </w:rPr>
        <w:t>Bruno Appliance and Furniture, Inc. v. Robert Hryniak – and – Attorney General of Ontario, Ontario Trial Lawyers Association, Advocates’ Society and Canadian Bar Association</w:t>
      </w:r>
      <w:r w:rsidR="003A5C99" w:rsidRPr="006E1B30">
        <w:rPr>
          <w:iCs/>
          <w:sz w:val="20"/>
          <w:szCs w:val="20"/>
        </w:rPr>
        <w:t xml:space="preserve"> (Ont.)</w:t>
      </w:r>
    </w:p>
    <w:p w:rsidR="003A5C99" w:rsidRPr="006E1B30" w:rsidRDefault="003A5C99" w:rsidP="003A5C99">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6E1B30">
        <w:rPr>
          <w:b/>
          <w:sz w:val="20"/>
          <w:szCs w:val="20"/>
        </w:rPr>
        <w:t>2014 SCC 8 / 2014 CSC 8</w:t>
      </w:r>
    </w:p>
    <w:p w:rsidR="003A5C99" w:rsidRPr="006E1B30" w:rsidRDefault="003A5C99" w:rsidP="003A5C9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3A5C99" w:rsidRPr="006E1B30" w:rsidRDefault="003A5C99" w:rsidP="003A5C99">
      <w:pPr>
        <w:ind w:left="1440" w:hanging="1440"/>
        <w:rPr>
          <w:sz w:val="20"/>
          <w:szCs w:val="20"/>
          <w:u w:val="single"/>
        </w:rPr>
      </w:pPr>
      <w:r w:rsidRPr="006E1B30">
        <w:rPr>
          <w:sz w:val="20"/>
          <w:szCs w:val="20"/>
        </w:rPr>
        <w:t>Coram:</w:t>
      </w:r>
      <w:r w:rsidRPr="006E1B30">
        <w:rPr>
          <w:sz w:val="20"/>
          <w:szCs w:val="20"/>
        </w:rPr>
        <w:tab/>
      </w:r>
      <w:r w:rsidRPr="006E1B30">
        <w:rPr>
          <w:sz w:val="20"/>
          <w:szCs w:val="20"/>
          <w:u w:val="single"/>
        </w:rPr>
        <w:t xml:space="preserve">McLachlin C.J. and LeBel, Abella, Rothstein, Cromwell, Karakatsanis and Wagner JJ. </w:t>
      </w:r>
    </w:p>
    <w:p w:rsidR="003A5C99" w:rsidRPr="006E1B30" w:rsidRDefault="003A5C99" w:rsidP="003A5C99">
      <w:pPr>
        <w:ind w:left="1440" w:hanging="1440"/>
        <w:rPr>
          <w:sz w:val="20"/>
          <w:szCs w:val="20"/>
          <w:u w:val="single"/>
        </w:rPr>
      </w:pPr>
      <w:r w:rsidRPr="006E1B30">
        <w:rPr>
          <w:sz w:val="20"/>
          <w:szCs w:val="20"/>
          <w:u w:val="single"/>
        </w:rPr>
        <w:t xml:space="preserve"> </w:t>
      </w:r>
    </w:p>
    <w:p w:rsidR="003A5C99" w:rsidRPr="006E1B30" w:rsidRDefault="003A5C99" w:rsidP="003A5C99">
      <w:pPr>
        <w:jc w:val="both"/>
        <w:rPr>
          <w:sz w:val="20"/>
          <w:szCs w:val="20"/>
        </w:rPr>
      </w:pPr>
      <w:r w:rsidRPr="006E1B30">
        <w:rPr>
          <w:sz w:val="20"/>
          <w:szCs w:val="20"/>
        </w:rPr>
        <w:t xml:space="preserve">The appeal from the judgment </w:t>
      </w:r>
      <w:bookmarkStart w:id="2" w:name="BM_1_"/>
      <w:bookmarkEnd w:id="2"/>
      <w:r w:rsidRPr="006E1B30">
        <w:rPr>
          <w:sz w:val="20"/>
          <w:szCs w:val="20"/>
        </w:rPr>
        <w:t>of the Court of Appeal for Ontario, Number C52913, 2011 ONCA 764, dated December 5, 2011, heard on March 26, 2013, is dismissed with costs to the respondent.</w:t>
      </w:r>
    </w:p>
    <w:p w:rsidR="003A5C99" w:rsidRPr="006E1B30" w:rsidRDefault="003A5C99" w:rsidP="003A5C99">
      <w:pPr>
        <w:jc w:val="both"/>
        <w:rPr>
          <w:sz w:val="20"/>
          <w:szCs w:val="20"/>
        </w:rPr>
      </w:pPr>
    </w:p>
    <w:p w:rsidR="003A5C99" w:rsidRPr="006E1B30" w:rsidRDefault="003A5C99" w:rsidP="003A5C99">
      <w:pPr>
        <w:jc w:val="both"/>
        <w:rPr>
          <w:sz w:val="20"/>
          <w:szCs w:val="20"/>
          <w:lang w:val="fr-CA"/>
        </w:rPr>
      </w:pPr>
      <w:r w:rsidRPr="006E1B30">
        <w:rPr>
          <w:sz w:val="20"/>
          <w:szCs w:val="20"/>
          <w:lang w:val="fr-CA"/>
        </w:rPr>
        <w:t xml:space="preserve">L’appel interjeté contre l’arrêt de la Cour d’appel de l’Ontario, numéro C52913, 2011 ONCA 764, en date du 5 décembre 2011, entendu le 26 mars 2013, est rejeté avec dépens en faveur de l’intimé. </w:t>
      </w:r>
    </w:p>
    <w:p w:rsidR="00D004FC" w:rsidRPr="003A5C99" w:rsidRDefault="00D004FC" w:rsidP="00D004FC">
      <w:pPr>
        <w:spacing w:line="0" w:lineRule="atLeast"/>
        <w:rPr>
          <w:rFonts w:cs="Times New Roman"/>
          <w:sz w:val="20"/>
          <w:szCs w:val="20"/>
          <w:lang w:val="fr-CA"/>
        </w:rPr>
      </w:pPr>
    </w:p>
    <w:p w:rsidR="00D004FC" w:rsidRDefault="007C5411" w:rsidP="00D004FC">
      <w:pPr>
        <w:jc w:val="both"/>
        <w:rPr>
          <w:rFonts w:cs="Times New Roman"/>
          <w:b/>
          <w:sz w:val="20"/>
          <w:szCs w:val="20"/>
        </w:rPr>
      </w:pPr>
      <w:r>
        <w:rPr>
          <w:rFonts w:cs="Times New Roman"/>
          <w:b/>
          <w:sz w:val="20"/>
          <w:szCs w:val="20"/>
        </w:rPr>
        <w:pict>
          <v:rect id="_x0000_i1089"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96"/>
          <w:headerReference w:type="default" r:id="rId97"/>
          <w:footerReference w:type="even" r:id="rId98"/>
          <w:footerReference w:type="default" r:id="rId99"/>
          <w:headerReference w:type="first" r:id="rId100"/>
          <w:footerReference w:type="first" r:id="rId101"/>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AD6E9E" w:rsidRPr="00864614" w:rsidRDefault="00AD6E9E" w:rsidP="00AD6E9E">
      <w:pPr>
        <w:jc w:val="both"/>
        <w:rPr>
          <w:sz w:val="20"/>
          <w:szCs w:val="20"/>
          <w:lang w:val="fr-CA"/>
        </w:rPr>
      </w:pPr>
      <w:r w:rsidRPr="00864614">
        <w:rPr>
          <w:i/>
          <w:sz w:val="20"/>
          <w:szCs w:val="20"/>
          <w:lang w:val="fr-CA"/>
        </w:rPr>
        <w:t>Robert Hryniak v. Fred Mauldin et al.</w:t>
      </w:r>
      <w:r w:rsidRPr="00864614">
        <w:rPr>
          <w:sz w:val="20"/>
          <w:szCs w:val="20"/>
          <w:lang w:val="fr-CA"/>
        </w:rPr>
        <w:t xml:space="preserve"> (Ont.) (</w:t>
      </w:r>
      <w:hyperlink r:id="rId102" w:history="1">
        <w:r w:rsidRPr="00864614">
          <w:rPr>
            <w:rStyle w:val="Hyperlink"/>
            <w:sz w:val="20"/>
            <w:szCs w:val="20"/>
            <w:lang w:val="fr-CA"/>
          </w:rPr>
          <w:t>34641</w:t>
        </w:r>
      </w:hyperlink>
      <w:r w:rsidRPr="00864614">
        <w:rPr>
          <w:sz w:val="20"/>
          <w:szCs w:val="20"/>
          <w:lang w:val="fr-CA"/>
        </w:rPr>
        <w:t>)</w:t>
      </w:r>
    </w:p>
    <w:p w:rsidR="00AD6E9E" w:rsidRPr="00AD6E9E" w:rsidRDefault="00AD6E9E" w:rsidP="00AD6E9E">
      <w:pPr>
        <w:jc w:val="both"/>
        <w:rPr>
          <w:b/>
          <w:sz w:val="20"/>
          <w:szCs w:val="20"/>
        </w:rPr>
      </w:pPr>
      <w:r w:rsidRPr="00E13E2F">
        <w:rPr>
          <w:b/>
          <w:sz w:val="20"/>
          <w:szCs w:val="20"/>
        </w:rPr>
        <w:t xml:space="preserve">Indexed as:  Hryniak </w:t>
      </w:r>
      <w:r w:rsidRPr="00E13E2F">
        <w:rPr>
          <w:b/>
          <w:i/>
          <w:sz w:val="20"/>
          <w:szCs w:val="20"/>
        </w:rPr>
        <w:t>v.</w:t>
      </w:r>
      <w:r w:rsidRPr="00E13E2F">
        <w:rPr>
          <w:b/>
          <w:sz w:val="20"/>
          <w:szCs w:val="20"/>
        </w:rPr>
        <w:t xml:space="preserve"> Mauldin</w:t>
      </w:r>
      <w:r>
        <w:rPr>
          <w:b/>
          <w:sz w:val="20"/>
          <w:szCs w:val="20"/>
        </w:rPr>
        <w:t xml:space="preserve"> / </w:t>
      </w:r>
      <w:r w:rsidRPr="00AD6E9E">
        <w:rPr>
          <w:b/>
          <w:sz w:val="20"/>
          <w:szCs w:val="20"/>
        </w:rPr>
        <w:t>Répertorié : </w:t>
      </w:r>
      <w:r w:rsidRPr="00AD6E9E">
        <w:rPr>
          <w:rStyle w:val="SCCAppellantForIndexChar"/>
          <w:rFonts w:eastAsiaTheme="minorHAnsi"/>
          <w:sz w:val="20"/>
          <w:lang w:val="en-CA"/>
        </w:rPr>
        <w:t>Hryniak</w:t>
      </w:r>
      <w:r w:rsidRPr="00AD6E9E">
        <w:rPr>
          <w:b/>
          <w:sz w:val="20"/>
          <w:szCs w:val="20"/>
        </w:rPr>
        <w:t xml:space="preserve"> </w:t>
      </w:r>
      <w:r w:rsidRPr="00AD6E9E">
        <w:rPr>
          <w:b/>
          <w:i/>
          <w:sz w:val="20"/>
          <w:szCs w:val="20"/>
        </w:rPr>
        <w:t>c.</w:t>
      </w:r>
      <w:r w:rsidRPr="00AD6E9E">
        <w:rPr>
          <w:b/>
          <w:sz w:val="20"/>
          <w:szCs w:val="20"/>
        </w:rPr>
        <w:t xml:space="preserve"> </w:t>
      </w:r>
      <w:r w:rsidRPr="00AD6E9E">
        <w:rPr>
          <w:rStyle w:val="SCCRespondentForIndexChar"/>
          <w:rFonts w:eastAsiaTheme="minorHAnsi"/>
          <w:sz w:val="20"/>
        </w:rPr>
        <w:t>Mauldin</w:t>
      </w:r>
    </w:p>
    <w:p w:rsidR="005C6840" w:rsidRPr="003B3977" w:rsidRDefault="005C6840" w:rsidP="005C6840">
      <w:pPr>
        <w:pStyle w:val="SCCSystemYear"/>
        <w:jc w:val="both"/>
        <w:rPr>
          <w:sz w:val="20"/>
        </w:rPr>
      </w:pPr>
      <w:r w:rsidRPr="003B3977">
        <w:rPr>
          <w:sz w:val="20"/>
        </w:rPr>
        <w:t>Neutral citation:  201</w:t>
      </w:r>
      <w:r w:rsidR="00864614">
        <w:rPr>
          <w:sz w:val="20"/>
        </w:rPr>
        <w:t>4</w:t>
      </w:r>
      <w:r w:rsidRPr="003B3977">
        <w:rPr>
          <w:sz w:val="20"/>
        </w:rPr>
        <w:t xml:space="preserve"> SCC </w:t>
      </w:r>
      <w:r w:rsidR="00864614">
        <w:rPr>
          <w:sz w:val="20"/>
        </w:rPr>
        <w:t>6</w:t>
      </w:r>
      <w:r w:rsidRPr="003B3977">
        <w:rPr>
          <w:sz w:val="20"/>
        </w:rPr>
        <w:t xml:space="preserve"> / Référence neutre : 201</w:t>
      </w:r>
      <w:r w:rsidR="00864614">
        <w:rPr>
          <w:sz w:val="20"/>
        </w:rPr>
        <w:t>4</w:t>
      </w:r>
      <w:r w:rsidRPr="003B3977">
        <w:rPr>
          <w:sz w:val="20"/>
        </w:rPr>
        <w:t xml:space="preserve"> CSC </w:t>
      </w:r>
      <w:r w:rsidR="00864614">
        <w:rPr>
          <w:sz w:val="20"/>
        </w:rPr>
        <w:t>6</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E3023B">
        <w:rPr>
          <w:rFonts w:cs="Times New Roman"/>
          <w:sz w:val="20"/>
          <w:szCs w:val="20"/>
          <w:lang w:val="fr-CA"/>
        </w:rPr>
        <w:t>March 26</w:t>
      </w:r>
      <w:r w:rsidRPr="003B3977">
        <w:rPr>
          <w:rFonts w:cs="Times New Roman"/>
          <w:sz w:val="20"/>
          <w:szCs w:val="20"/>
          <w:lang w:val="fr-CA"/>
        </w:rPr>
        <w:t>, 201</w:t>
      </w:r>
      <w:r w:rsidR="00E3023B">
        <w:rPr>
          <w:rFonts w:cs="Times New Roman"/>
          <w:sz w:val="20"/>
          <w:szCs w:val="20"/>
          <w:lang w:val="fr-CA"/>
        </w:rPr>
        <w:t>3</w:t>
      </w:r>
      <w:r w:rsidRPr="003B3977">
        <w:rPr>
          <w:rFonts w:cs="Times New Roman"/>
          <w:sz w:val="20"/>
          <w:szCs w:val="20"/>
          <w:lang w:val="fr-CA"/>
        </w:rPr>
        <w:t xml:space="preserve"> / Judgment:  </w:t>
      </w:r>
      <w:r w:rsidR="00864614">
        <w:rPr>
          <w:rFonts w:cs="Times New Roman"/>
          <w:sz w:val="20"/>
          <w:szCs w:val="20"/>
          <w:lang w:val="fr-CA"/>
        </w:rPr>
        <w:t>Janua</w:t>
      </w:r>
      <w:r w:rsidRPr="003B3977">
        <w:rPr>
          <w:rFonts w:cs="Times New Roman"/>
          <w:sz w:val="20"/>
          <w:szCs w:val="20"/>
          <w:lang w:val="fr-CA"/>
        </w:rPr>
        <w:t>r</w:t>
      </w:r>
      <w:r w:rsidR="00864614">
        <w:rPr>
          <w:rFonts w:cs="Times New Roman"/>
          <w:sz w:val="20"/>
          <w:szCs w:val="20"/>
          <w:lang w:val="fr-CA"/>
        </w:rPr>
        <w:t>y</w:t>
      </w:r>
      <w:r w:rsidRPr="003B3977">
        <w:rPr>
          <w:rFonts w:cs="Times New Roman"/>
          <w:sz w:val="20"/>
          <w:szCs w:val="20"/>
          <w:lang w:val="fr-CA"/>
        </w:rPr>
        <w:t xml:space="preserve"> 2</w:t>
      </w:r>
      <w:r w:rsidR="00864614">
        <w:rPr>
          <w:rFonts w:cs="Times New Roman"/>
          <w:sz w:val="20"/>
          <w:szCs w:val="20"/>
          <w:lang w:val="fr-CA"/>
        </w:rPr>
        <w:t>3</w:t>
      </w:r>
      <w:r w:rsidRPr="003B3977">
        <w:rPr>
          <w:rFonts w:cs="Times New Roman"/>
          <w:sz w:val="20"/>
          <w:szCs w:val="20"/>
          <w:lang w:val="fr-CA"/>
        </w:rPr>
        <w:t>, 201</w:t>
      </w:r>
      <w:r w:rsidR="004E1E0A">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E3023B">
        <w:rPr>
          <w:rFonts w:cs="Times New Roman"/>
          <w:sz w:val="20"/>
          <w:szCs w:val="20"/>
          <w:lang w:val="fr-CA"/>
        </w:rPr>
        <w:t>26 mars</w:t>
      </w:r>
      <w:r w:rsidRPr="003B3977">
        <w:rPr>
          <w:rFonts w:cs="Times New Roman"/>
          <w:sz w:val="20"/>
          <w:szCs w:val="20"/>
          <w:lang w:val="fr-CA"/>
        </w:rPr>
        <w:t xml:space="preserve"> 201</w:t>
      </w:r>
      <w:r w:rsidR="00E3023B">
        <w:rPr>
          <w:rFonts w:cs="Times New Roman"/>
          <w:sz w:val="20"/>
          <w:szCs w:val="20"/>
          <w:lang w:val="fr-CA"/>
        </w:rPr>
        <w:t>3</w:t>
      </w:r>
      <w:r w:rsidRPr="003B3977">
        <w:rPr>
          <w:rFonts w:cs="Times New Roman"/>
          <w:sz w:val="20"/>
          <w:szCs w:val="20"/>
          <w:lang w:val="fr-CA"/>
        </w:rPr>
        <w:t xml:space="preserve"> / Jugement : Le 2</w:t>
      </w:r>
      <w:r w:rsidR="00864614">
        <w:rPr>
          <w:rFonts w:cs="Times New Roman"/>
          <w:sz w:val="20"/>
          <w:szCs w:val="20"/>
          <w:lang w:val="fr-CA"/>
        </w:rPr>
        <w:t>3</w:t>
      </w:r>
      <w:r w:rsidRPr="003B3977">
        <w:rPr>
          <w:rFonts w:cs="Times New Roman"/>
          <w:sz w:val="20"/>
          <w:szCs w:val="20"/>
          <w:lang w:val="fr-CA"/>
        </w:rPr>
        <w:t xml:space="preserve"> </w:t>
      </w:r>
      <w:r w:rsidR="00864614">
        <w:rPr>
          <w:rFonts w:cs="Times New Roman"/>
          <w:sz w:val="20"/>
          <w:szCs w:val="20"/>
          <w:lang w:val="fr-CA"/>
        </w:rPr>
        <w:t>janvi</w:t>
      </w:r>
      <w:r w:rsidRPr="003B3977">
        <w:rPr>
          <w:rFonts w:cs="Times New Roman"/>
          <w:sz w:val="20"/>
          <w:szCs w:val="20"/>
          <w:lang w:val="fr-CA"/>
        </w:rPr>
        <w:t>e</w:t>
      </w:r>
      <w:r w:rsidR="00864614">
        <w:rPr>
          <w:rFonts w:cs="Times New Roman"/>
          <w:sz w:val="20"/>
          <w:szCs w:val="20"/>
          <w:lang w:val="fr-CA"/>
        </w:rPr>
        <w:t>r</w:t>
      </w:r>
      <w:r w:rsidRPr="003B3977">
        <w:rPr>
          <w:rFonts w:cs="Times New Roman"/>
          <w:sz w:val="20"/>
          <w:szCs w:val="20"/>
          <w:lang w:val="fr-CA"/>
        </w:rPr>
        <w:t xml:space="preserve"> 201</w:t>
      </w:r>
      <w:r w:rsidR="00864614">
        <w:rPr>
          <w:rFonts w:cs="Times New Roman"/>
          <w:sz w:val="20"/>
          <w:szCs w:val="20"/>
          <w:lang w:val="fr-CA"/>
        </w:rPr>
        <w:t>4</w:t>
      </w:r>
    </w:p>
    <w:p w:rsidR="005C6840" w:rsidRPr="003B3977" w:rsidRDefault="007C5411" w:rsidP="005C6840">
      <w:pPr>
        <w:rPr>
          <w:rFonts w:cs="Times New Roman"/>
          <w:sz w:val="20"/>
          <w:szCs w:val="20"/>
          <w:lang w:val="fr-CA"/>
        </w:rPr>
      </w:pPr>
      <w:r>
        <w:rPr>
          <w:rFonts w:cs="Times New Roman"/>
          <w:i/>
          <w:sz w:val="20"/>
          <w:szCs w:val="20"/>
        </w:rPr>
        <w:pict>
          <v:rect id="_x0000_i1092"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E3023B" w:rsidRPr="00E13E2F" w:rsidRDefault="00E3023B" w:rsidP="00E3023B">
      <w:pPr>
        <w:jc w:val="both"/>
        <w:rPr>
          <w:sz w:val="20"/>
          <w:szCs w:val="20"/>
        </w:rPr>
      </w:pPr>
      <w:r w:rsidRPr="00E13E2F">
        <w:rPr>
          <w:sz w:val="20"/>
          <w:szCs w:val="20"/>
        </w:rPr>
        <w:t>Present:  McLachlin C.J. and LeBel, Abella, Rothstein, Cromwell, Karakatsanis and Wagner JJ.</w:t>
      </w:r>
    </w:p>
    <w:p w:rsidR="00E3023B" w:rsidRDefault="00E3023B" w:rsidP="00E3023B">
      <w:pPr>
        <w:pStyle w:val="SCCLowerCourtNameLowercase"/>
        <w:spacing w:line="240" w:lineRule="auto"/>
        <w:rPr>
          <w:sz w:val="20"/>
        </w:rPr>
      </w:pPr>
    </w:p>
    <w:p w:rsidR="00E3023B" w:rsidRPr="00E13E2F" w:rsidRDefault="00E3023B" w:rsidP="00E3023B">
      <w:pPr>
        <w:pStyle w:val="SCCNormalDoubleSpacing"/>
        <w:spacing w:line="240" w:lineRule="auto"/>
        <w:rPr>
          <w:i/>
          <w:sz w:val="20"/>
        </w:rPr>
      </w:pPr>
      <w:r w:rsidRPr="00E13E2F">
        <w:rPr>
          <w:i/>
          <w:sz w:val="20"/>
        </w:rPr>
        <w:tab/>
        <w:t>Civil Procedure — Summary Judgment — Investors bringing action in civil fraud and subsequently bringing a motion for summary judgment — Motion judge granting summary judgment — Purpose of summary judgment motions — Access to Justice — Proportionality — Interpretation of recent amendments to Ontario Rules of Civil Procedure — Trial management orders — Standard of review for summary judgment motions — Whether motion judge erred in granting summary judgment — Rules of Civil Procedure, R.R.O. 1990, Reg. 194, Rule 20.</w:t>
      </w:r>
    </w:p>
    <w:p w:rsidR="00E3023B" w:rsidRDefault="00E3023B" w:rsidP="00E3023B">
      <w:pPr>
        <w:pStyle w:val="SCCNormalDoubleSpacing"/>
        <w:spacing w:line="240" w:lineRule="auto"/>
        <w:rPr>
          <w:sz w:val="20"/>
        </w:rPr>
      </w:pPr>
    </w:p>
    <w:p w:rsidR="00E3023B" w:rsidRPr="00E13E2F" w:rsidRDefault="00E3023B" w:rsidP="00E3023B">
      <w:pPr>
        <w:pStyle w:val="SCCNormalDoubleSpacing"/>
        <w:spacing w:line="240" w:lineRule="auto"/>
        <w:rPr>
          <w:sz w:val="20"/>
        </w:rPr>
      </w:pPr>
      <w:r w:rsidRPr="00E13E2F">
        <w:rPr>
          <w:sz w:val="20"/>
        </w:rPr>
        <w:tab/>
        <w:t xml:space="preserve">In June 2001, two representatives of a group of American investors met with H and others to discuss an investment opportunity.  The group wired US$1.2 million, which was pooled with other funds and transferred to H’s company, Tropos.  A few months later, Tropos forwarded more than US$10 million to an offshore bank and the money disappeared.  The investors brought an action for civil fraud against H and others and subsequently brought a motion for summary judgment.  The motion judge used his powers under Rule 20.04(2.1) of the </w:t>
      </w:r>
      <w:r w:rsidRPr="00E13E2F">
        <w:rPr>
          <w:i/>
          <w:sz w:val="20"/>
        </w:rPr>
        <w:t>Ontario Rules of Civil Procedure</w:t>
      </w:r>
      <w:r w:rsidRPr="00E13E2F">
        <w:rPr>
          <w:sz w:val="20"/>
        </w:rPr>
        <w:t xml:space="preserve"> (amended in 2010) to weigh the evidence, evaluate credibility, and draw inferences.  He concluded that a trial was not required against H.  Despite concluding that this case was not an appropriate candidate for summary judgment, the Court of Appeal was satisfied that the record supported the finding that H had committed the tort of civil fraud against the investors, and therefore dismissed H’s appeal.</w:t>
      </w:r>
    </w:p>
    <w:p w:rsidR="00E3023B" w:rsidRDefault="00E3023B" w:rsidP="00E3023B">
      <w:pPr>
        <w:pStyle w:val="SCCNormalDoubleSpacing"/>
        <w:spacing w:line="240" w:lineRule="auto"/>
        <w:rPr>
          <w:sz w:val="20"/>
        </w:rPr>
      </w:pPr>
    </w:p>
    <w:p w:rsidR="00E3023B" w:rsidRPr="00E13E2F" w:rsidRDefault="00E3023B" w:rsidP="00E3023B">
      <w:pPr>
        <w:pStyle w:val="SCCNormalDoubleSpacing"/>
        <w:spacing w:line="240" w:lineRule="auto"/>
        <w:rPr>
          <w:sz w:val="20"/>
        </w:rPr>
      </w:pPr>
      <w:r w:rsidRPr="00E13E2F">
        <w:rPr>
          <w:sz w:val="20"/>
        </w:rPr>
        <w:tab/>
      </w:r>
      <w:r w:rsidRPr="00E13E2F">
        <w:rPr>
          <w:i/>
          <w:sz w:val="20"/>
        </w:rPr>
        <w:t>Held:</w:t>
      </w:r>
      <w:r w:rsidRPr="00E13E2F">
        <w:rPr>
          <w:sz w:val="20"/>
        </w:rPr>
        <w:t xml:space="preserve">  The appeal should be dismissed.</w:t>
      </w:r>
    </w:p>
    <w:p w:rsidR="00E3023B" w:rsidRDefault="00E3023B" w:rsidP="00E3023B">
      <w:pPr>
        <w:pStyle w:val="SCCNormalDoubleSpacing"/>
        <w:spacing w:line="240" w:lineRule="auto"/>
        <w:rPr>
          <w:sz w:val="20"/>
        </w:rPr>
      </w:pPr>
    </w:p>
    <w:p w:rsidR="00E3023B" w:rsidRPr="00E13E2F" w:rsidRDefault="00E3023B" w:rsidP="00E3023B">
      <w:pPr>
        <w:pStyle w:val="SCCNormalDoubleSpacing"/>
        <w:spacing w:line="240" w:lineRule="auto"/>
        <w:rPr>
          <w:sz w:val="20"/>
        </w:rPr>
      </w:pPr>
      <w:r w:rsidRPr="00E13E2F">
        <w:rPr>
          <w:sz w:val="20"/>
        </w:rPr>
        <w:tab/>
        <w:t xml:space="preserve">Our civil justice </w:t>
      </w:r>
      <w:r w:rsidRPr="00E13E2F">
        <w:rPr>
          <w:sz w:val="20"/>
          <w:lang w:val="en-US"/>
        </w:rPr>
        <w:t xml:space="preserve">system is premised upon the value that the process of adjudication must be fair and just.  This cannot be compromised.  However, undue process and protracted trials, with unnecessary expense and delay, can prevent the fair and just resolution of disputes.  </w:t>
      </w:r>
      <w:r w:rsidRPr="00E13E2F">
        <w:rPr>
          <w:iCs/>
          <w:sz w:val="20"/>
        </w:rPr>
        <w:t xml:space="preserve">If the process is disproportionate to the nature of the dispute and the interests involved, then it will not achieve a fair and just result. </w:t>
      </w:r>
    </w:p>
    <w:p w:rsidR="00E3023B" w:rsidRDefault="00E3023B" w:rsidP="00E3023B">
      <w:pPr>
        <w:pStyle w:val="SCCNormalDoubleSpacing"/>
        <w:spacing w:line="240" w:lineRule="auto"/>
        <w:rPr>
          <w:sz w:val="20"/>
        </w:rPr>
      </w:pPr>
    </w:p>
    <w:p w:rsidR="00E3023B" w:rsidRPr="00E13E2F" w:rsidRDefault="00E3023B" w:rsidP="00E3023B">
      <w:pPr>
        <w:pStyle w:val="SCCNormalDoubleSpacing"/>
        <w:spacing w:line="240" w:lineRule="auto"/>
        <w:rPr>
          <w:sz w:val="20"/>
          <w:lang w:val="en-US"/>
        </w:rPr>
      </w:pPr>
      <w:r w:rsidRPr="00E13E2F">
        <w:rPr>
          <w:sz w:val="20"/>
        </w:rPr>
        <w:tab/>
        <w:t xml:space="preserve">A shift in culture is required.  The proportionality principle is now reflected in many of the provinces’ rules and can act as a touchstone for access to civil justice.  </w:t>
      </w:r>
      <w:r w:rsidRPr="00E13E2F">
        <w:rPr>
          <w:sz w:val="20"/>
          <w:lang w:val="en-US"/>
        </w:rPr>
        <w:t xml:space="preserve">The proportionality </w:t>
      </w:r>
      <w:r w:rsidRPr="00E13E2F">
        <w:rPr>
          <w:sz w:val="20"/>
        </w:rPr>
        <w:t>principle means that the best forum for resolving a dispute is not always that with the most painstaking procedure.  Summary judgment motions provide an opportunity to simplify pre-trial procedures and move the emphasis away from the conventional trial in favour of proportional procedures tailored to the needs of the particular case.  Summary judgment rules must be interpreted broadly, favouring proportionality and fair access to the affordable, timely and just adjudication of claims.</w:t>
      </w:r>
    </w:p>
    <w:p w:rsidR="00E3023B" w:rsidRDefault="00E3023B" w:rsidP="00E3023B">
      <w:pPr>
        <w:pStyle w:val="SCCNormalDoubleSpacing"/>
        <w:spacing w:line="240" w:lineRule="auto"/>
        <w:rPr>
          <w:sz w:val="20"/>
        </w:rPr>
      </w:pPr>
    </w:p>
    <w:p w:rsidR="00E3023B" w:rsidRPr="00E13E2F" w:rsidRDefault="00E3023B" w:rsidP="00E3023B">
      <w:pPr>
        <w:pStyle w:val="SCCNormalDoubleSpacing"/>
        <w:spacing w:line="240" w:lineRule="auto"/>
        <w:rPr>
          <w:sz w:val="20"/>
        </w:rPr>
      </w:pPr>
      <w:r w:rsidRPr="00E13E2F">
        <w:rPr>
          <w:sz w:val="20"/>
        </w:rPr>
        <w:tab/>
        <w:t>Rule 20 was amended in 2010 to improve access to justice.  These reforms embody the evolution of summary judgment rules from highly restricted tools used to weed out clearly unmeritorious claims or defences to their current status as a legitimate alternative means for adjudicating and resolving legal disputes.  They offer significant new tools to judges, which allow them to adjudicate more cases through summary judgment motions and attenuate the risks when such motions do not resolve the entire case.  The new powers in rules 20.04(2.1) and (2.2) expand the number of cases in which there will be no genuine issue requiring a trial by permitting motion judges to weigh evidence, evaluate credibility and draw reasonable inferences.</w:t>
      </w:r>
    </w:p>
    <w:p w:rsidR="00E3023B" w:rsidRPr="00E3023B" w:rsidRDefault="00E3023B" w:rsidP="00E3023B">
      <w:pPr>
        <w:pStyle w:val="ParaNoNdepar-AltN"/>
        <w:numPr>
          <w:ilvl w:val="0"/>
          <w:numId w:val="0"/>
        </w:numPr>
        <w:spacing w:before="0" w:after="0" w:line="240" w:lineRule="auto"/>
        <w:rPr>
          <w:rFonts w:cs="Times New Roman"/>
          <w:sz w:val="20"/>
          <w:szCs w:val="20"/>
          <w:lang w:val="en-CA"/>
        </w:rPr>
      </w:pPr>
    </w:p>
    <w:p w:rsidR="00E3023B" w:rsidRPr="00E13E2F" w:rsidRDefault="00E3023B" w:rsidP="00E3023B">
      <w:pPr>
        <w:pStyle w:val="ParaNoNdepar-AltN"/>
        <w:numPr>
          <w:ilvl w:val="0"/>
          <w:numId w:val="0"/>
        </w:numPr>
        <w:spacing w:before="0" w:after="0" w:line="240" w:lineRule="auto"/>
        <w:rPr>
          <w:rFonts w:cs="Times New Roman"/>
          <w:sz w:val="20"/>
          <w:szCs w:val="20"/>
          <w:lang w:val="en-US"/>
        </w:rPr>
      </w:pPr>
      <w:r w:rsidRPr="00E3023B">
        <w:rPr>
          <w:rFonts w:cs="Times New Roman"/>
          <w:sz w:val="20"/>
          <w:szCs w:val="20"/>
          <w:lang w:val="en-CA"/>
        </w:rPr>
        <w:tab/>
        <w:t xml:space="preserve">Summary judgment motions must be granted whenever there is no genuine issue requiring a trial.  </w:t>
      </w:r>
      <w:r w:rsidRPr="00E13E2F">
        <w:rPr>
          <w:rFonts w:cs="Times New Roman"/>
          <w:sz w:val="20"/>
          <w:szCs w:val="20"/>
          <w:lang w:val="en-US"/>
        </w:rPr>
        <w:t>There will be no genuine issue requiring a trial when the judge is able to reach a fair and just determination on the merits on a motion for summary judgment.  This will be the case when the process (1) allows the judge to make the necessary findings of fact, (2) allows the judge to apply the law to the facts, and (3) is a proportionate, more expeditious and less expensive means to achieve a just result.</w:t>
      </w:r>
    </w:p>
    <w:p w:rsidR="00E3023B" w:rsidRDefault="00E3023B" w:rsidP="00E3023B">
      <w:pPr>
        <w:pStyle w:val="SCCNormalDoubleSpacing"/>
        <w:spacing w:line="240" w:lineRule="auto"/>
        <w:rPr>
          <w:sz w:val="20"/>
        </w:rPr>
      </w:pPr>
    </w:p>
    <w:p w:rsidR="00E3023B" w:rsidRPr="00E13E2F" w:rsidRDefault="00E3023B" w:rsidP="00E3023B">
      <w:pPr>
        <w:pStyle w:val="SCCNormalDoubleSpacing"/>
        <w:spacing w:line="240" w:lineRule="auto"/>
        <w:rPr>
          <w:sz w:val="20"/>
        </w:rPr>
      </w:pPr>
      <w:r w:rsidRPr="00E13E2F">
        <w:rPr>
          <w:sz w:val="20"/>
        </w:rPr>
        <w:tab/>
        <w:t>The new fact</w:t>
      </w:r>
      <w:r w:rsidRPr="00E13E2F">
        <w:rPr>
          <w:sz w:val="20"/>
        </w:rPr>
        <w:noBreakHyphen/>
        <w:t xml:space="preserve">finding powers granted to motion judges in Rule 20.04 may be employed on a motion for summary judgment unless it is in the interest of justice for them to be exercised only at trial.  When the use of the new powers would enable a judge to fairly and justly adjudicate a claim, it will generally not be against the interest of justice to do so.  The power to hear oral evidence should be employed when it allows the judge to reach a fair and just adjudication on the merits and it is the proportionate course of action.  While this is more likely to be the case when the oral evidence required is limited, there will be cases where extensive oral evidence can be heard.  Where a party seeks to lead oral evidence, it should be prepared to demonstrate why such evidence would assist the motion judge and to provide a description of the proposed evidence so that the judge will have a basis for setting the scope of the oral evidence. </w:t>
      </w:r>
    </w:p>
    <w:p w:rsidR="00E3023B" w:rsidRDefault="00E3023B" w:rsidP="00E3023B">
      <w:pPr>
        <w:pStyle w:val="SCCNormalDoubleSpacing"/>
        <w:spacing w:line="240" w:lineRule="auto"/>
        <w:rPr>
          <w:sz w:val="20"/>
        </w:rPr>
      </w:pPr>
    </w:p>
    <w:p w:rsidR="00E3023B" w:rsidRPr="00E13E2F" w:rsidRDefault="00E3023B" w:rsidP="00E3023B">
      <w:pPr>
        <w:pStyle w:val="SCCNormalDoubleSpacing"/>
        <w:spacing w:line="240" w:lineRule="auto"/>
        <w:rPr>
          <w:sz w:val="20"/>
        </w:rPr>
      </w:pPr>
      <w:r w:rsidRPr="00E13E2F">
        <w:rPr>
          <w:sz w:val="20"/>
        </w:rPr>
        <w:tab/>
        <w:t xml:space="preserve">On a motion for summary judgment under Rule 20.04, the judge should first determine if there is a genuine issue requiring trial based only on the evidence before her, </w:t>
      </w:r>
      <w:r w:rsidRPr="00E13E2F">
        <w:rPr>
          <w:i/>
          <w:sz w:val="20"/>
        </w:rPr>
        <w:t>without</w:t>
      </w:r>
      <w:r w:rsidRPr="00E13E2F">
        <w:rPr>
          <w:sz w:val="20"/>
        </w:rPr>
        <w:t xml:space="preserve"> using the new fact</w:t>
      </w:r>
      <w:r w:rsidRPr="00E13E2F">
        <w:rPr>
          <w:sz w:val="20"/>
        </w:rPr>
        <w:noBreakHyphen/>
        <w:t xml:space="preserve">finding powers.  There will be no genuine issue requiring a trial if the summary judgment process provides her with the evidence required to fairly and justly adjudicate the dispute and is a timely, affordable and proportionate procedure, under rule 20.04(2)(a).  If there appears to be a genuine issue requiring a trial, she should then determine if the need for a trial can be avoided by using the new powers under Rules 20.04(2.1) and (2.2).  Their use will not be against the interest of justice if they will lead to a fair and just result and will serve the goals of timeliness, affordability and proportionality in light of the litigation as a whole. </w:t>
      </w:r>
    </w:p>
    <w:p w:rsidR="00E3023B" w:rsidRDefault="00E3023B" w:rsidP="00E3023B">
      <w:pPr>
        <w:pStyle w:val="SCCNormalDoubleSpacing"/>
        <w:spacing w:line="240" w:lineRule="auto"/>
        <w:rPr>
          <w:sz w:val="20"/>
        </w:rPr>
      </w:pPr>
    </w:p>
    <w:p w:rsidR="00E3023B" w:rsidRPr="00E13E2F" w:rsidRDefault="00E3023B" w:rsidP="00E3023B">
      <w:pPr>
        <w:pStyle w:val="SCCNormalDoubleSpacing"/>
        <w:spacing w:line="240" w:lineRule="auto"/>
        <w:rPr>
          <w:sz w:val="20"/>
        </w:rPr>
      </w:pPr>
      <w:r w:rsidRPr="00E13E2F">
        <w:rPr>
          <w:sz w:val="20"/>
        </w:rPr>
        <w:tab/>
        <w:t xml:space="preserve">Failed, or even partially successful, summary judgment motions add to costs and delay.  This risk can be attenuated by a judge who makes use of the trial management powers provided in Rule 20.05 and the court’s inherent jurisdiction.  These powers allow the judge to use the insight she gained from hearing the summary judgment motion to craft a trial procedure that will resolve the dispute in a way that is sensitive to the complexity and importance of the issue, the amount involved in the case, and the effort expended on the failed motion.  </w:t>
      </w:r>
      <w:r w:rsidRPr="00E13E2F">
        <w:rPr>
          <w:sz w:val="20"/>
          <w:lang w:val="en-US"/>
        </w:rPr>
        <w:t>Where a motion judge dismisses a motion for summary judgment, in the absence of compelling reasons to the contrary</w:t>
      </w:r>
      <w:r w:rsidRPr="00E13E2F">
        <w:rPr>
          <w:sz w:val="20"/>
        </w:rPr>
        <w:t>, she should also seize</w:t>
      </w:r>
      <w:r w:rsidRPr="00E13E2F">
        <w:rPr>
          <w:sz w:val="20"/>
          <w:lang w:val="en-US"/>
        </w:rPr>
        <w:t xml:space="preserve"> herself of the matter as the trial judge. </w:t>
      </w:r>
      <w:r w:rsidRPr="00E13E2F">
        <w:rPr>
          <w:sz w:val="20"/>
        </w:rPr>
        <w:t xml:space="preserve"> </w:t>
      </w:r>
    </w:p>
    <w:p w:rsidR="00E3023B" w:rsidRDefault="00E3023B" w:rsidP="00E3023B">
      <w:pPr>
        <w:pStyle w:val="SCCNormalDoubleSpacing"/>
        <w:spacing w:line="240" w:lineRule="auto"/>
        <w:rPr>
          <w:sz w:val="20"/>
        </w:rPr>
      </w:pPr>
    </w:p>
    <w:p w:rsidR="00E3023B" w:rsidRPr="00E13E2F" w:rsidRDefault="00E3023B" w:rsidP="00E3023B">
      <w:pPr>
        <w:pStyle w:val="SCCNormalDoubleSpacing"/>
        <w:spacing w:line="240" w:lineRule="auto"/>
        <w:rPr>
          <w:sz w:val="20"/>
        </w:rPr>
      </w:pPr>
      <w:r w:rsidRPr="00E13E2F">
        <w:rPr>
          <w:sz w:val="20"/>
        </w:rPr>
        <w:tab/>
        <w:t>Absent an error of law, the exercise of powers under the new summary judgment rule attracts deference.  When the motion judge exercises her new fact</w:t>
      </w:r>
      <w:r w:rsidRPr="00E13E2F">
        <w:rPr>
          <w:sz w:val="20"/>
        </w:rPr>
        <w:noBreakHyphen/>
        <w:t>finding powers under Rule 20.04(2.1) and determines whether there is a genuine issue requiring a trial, this is a question of mixed fact and law which should not be overturned, absent palpable and overriding error.  Similarly, the determination of whether it is in the interest of justice for the motion judge to exercise the new fact</w:t>
      </w:r>
      <w:r w:rsidRPr="00E13E2F">
        <w:rPr>
          <w:sz w:val="20"/>
        </w:rPr>
        <w:noBreakHyphen/>
        <w:t xml:space="preserve">finding powers provided by Rule 20.04(2.1) is also a question of mixed fact and law which attracts deference. </w:t>
      </w:r>
    </w:p>
    <w:p w:rsidR="00E3023B" w:rsidRDefault="00E3023B" w:rsidP="00E3023B">
      <w:pPr>
        <w:pStyle w:val="SCCNormalDoubleSpacing"/>
        <w:spacing w:line="240" w:lineRule="auto"/>
        <w:rPr>
          <w:sz w:val="20"/>
        </w:rPr>
      </w:pPr>
    </w:p>
    <w:p w:rsidR="00E3023B" w:rsidRDefault="00E3023B" w:rsidP="00E3023B">
      <w:pPr>
        <w:pStyle w:val="SCCNormalDoubleSpacing"/>
        <w:spacing w:line="240" w:lineRule="auto"/>
        <w:rPr>
          <w:sz w:val="20"/>
        </w:rPr>
      </w:pPr>
      <w:r w:rsidRPr="00E13E2F">
        <w:rPr>
          <w:sz w:val="20"/>
        </w:rPr>
        <w:tab/>
        <w:t>The motion judge did not err in granting summary judgment in the present case.  The tort of civil fraud has four elements, which must be proven on a balance of probabilities:  (1) a false representation by the defendant; (2) some level of knowledge of the falsehood of the representation on the part of the defendant (whether knowledge or recklessness); (3) the false representation caused the plaintiff to act; (4) the plaintiff’s actions resulted in a loss.  In granting summary judgment to the group against H, the motion judge did not explicitly address the correct test for civil fraud but his findings are sufficient to make out the cause of action.  The motion judge found no credible evidence to support H’s claim that he was a legitimate trader, and</w:t>
      </w:r>
      <w:r w:rsidRPr="00E13E2F" w:rsidDel="00D07B0B">
        <w:rPr>
          <w:sz w:val="20"/>
        </w:rPr>
        <w:t xml:space="preserve"> </w:t>
      </w:r>
      <w:r w:rsidRPr="00E13E2F">
        <w:rPr>
          <w:sz w:val="20"/>
        </w:rPr>
        <w:t>the outcome was therefore clear, so the motion judge concluded there was no issue requiring a trial.  It was neither against the interest of justice for the motion judge to use his fact</w:t>
      </w:r>
      <w:r w:rsidRPr="00E13E2F">
        <w:rPr>
          <w:sz w:val="20"/>
        </w:rPr>
        <w:noBreakHyphen/>
        <w:t>finding powers nor was his discretionary decision to do so tainted with error.</w:t>
      </w:r>
    </w:p>
    <w:p w:rsidR="00E3023B" w:rsidRDefault="00E3023B" w:rsidP="00E3023B">
      <w:pPr>
        <w:pStyle w:val="SCCNormalDoubleSpacing"/>
        <w:spacing w:line="240" w:lineRule="auto"/>
        <w:rPr>
          <w:sz w:val="20"/>
        </w:rPr>
      </w:pPr>
    </w:p>
    <w:p w:rsidR="00E3023B" w:rsidRPr="00E13E2F" w:rsidRDefault="00E3023B" w:rsidP="00E3023B">
      <w:pPr>
        <w:pStyle w:val="SCCNormalDoubleSpacing"/>
        <w:spacing w:line="240" w:lineRule="auto"/>
        <w:rPr>
          <w:sz w:val="20"/>
          <w:lang w:val="en-US"/>
        </w:rPr>
      </w:pPr>
      <w:r w:rsidRPr="00E13E2F">
        <w:rPr>
          <w:sz w:val="20"/>
        </w:rPr>
        <w:tab/>
        <w:t xml:space="preserve">APPEAL from a judgment of the Ontario Court of Appeal (Winkler C.J.O. and Laskin, Sharpe, Armstrong and Rouleau JJ.A.), </w:t>
      </w:r>
      <w:r w:rsidRPr="00E13E2F">
        <w:rPr>
          <w:sz w:val="20"/>
          <w:lang w:val="en-US"/>
        </w:rPr>
        <w:t>2011 ONCA 764, 108 O.R. (3d) 1, 286 O.A.C. 3, 97 C.C.E.L. (3d) 25, 14 C.P.C. (7th) 242, 13 R.P.R. (5th) 167, 93 B.L.R. (4th) 1, 344 D.L.R. (4th) 193, 10 C.L.R. (4th) 17, [2011] O.J. No. 5431 (QL), 2011 CarswellOnt 13515 (</w:t>
      </w:r>
      <w:r w:rsidRPr="00E13E2F">
        <w:rPr>
          <w:i/>
          <w:sz w:val="20"/>
          <w:lang w:val="en-US"/>
        </w:rPr>
        <w:t>sub nom. Combined Air Mechanical Services Inc. v. Flesch</w:t>
      </w:r>
      <w:r w:rsidRPr="00E13E2F">
        <w:rPr>
          <w:sz w:val="20"/>
          <w:lang w:val="en-US"/>
        </w:rPr>
        <w:t>), affirming a decision of Grace J., 2010 ONSC 5490, [2010] O.J. No. 4661 (QL), 2010 CarswellOnt 8325.  Appeal dismissed.</w:t>
      </w:r>
    </w:p>
    <w:p w:rsidR="00E3023B" w:rsidRDefault="00E3023B" w:rsidP="00E3023B">
      <w:pPr>
        <w:pStyle w:val="SCCNormalDoubleSpacing"/>
        <w:spacing w:line="240" w:lineRule="auto"/>
        <w:rPr>
          <w:i/>
          <w:sz w:val="20"/>
        </w:rPr>
      </w:pPr>
    </w:p>
    <w:p w:rsidR="00E3023B" w:rsidRPr="00E13E2F" w:rsidRDefault="00E3023B" w:rsidP="00E3023B">
      <w:pPr>
        <w:pStyle w:val="SCCNormalDoubleSpacing"/>
        <w:spacing w:line="240" w:lineRule="auto"/>
        <w:rPr>
          <w:sz w:val="20"/>
        </w:rPr>
      </w:pPr>
      <w:r w:rsidRPr="00E13E2F">
        <w:rPr>
          <w:i/>
          <w:sz w:val="20"/>
        </w:rPr>
        <w:tab/>
        <w:t>Sarit E. Batner</w:t>
      </w:r>
      <w:r w:rsidRPr="00E13E2F">
        <w:rPr>
          <w:sz w:val="20"/>
        </w:rPr>
        <w:t xml:space="preserve">, </w:t>
      </w:r>
      <w:r w:rsidRPr="00E13E2F">
        <w:rPr>
          <w:i/>
          <w:sz w:val="20"/>
        </w:rPr>
        <w:t>Brandon Kain</w:t>
      </w:r>
      <w:r w:rsidRPr="00E13E2F">
        <w:rPr>
          <w:sz w:val="20"/>
        </w:rPr>
        <w:t xml:space="preserve"> and </w:t>
      </w:r>
      <w:r w:rsidRPr="00E13E2F">
        <w:rPr>
          <w:i/>
          <w:sz w:val="20"/>
        </w:rPr>
        <w:t>Moya J. Graham</w:t>
      </w:r>
      <w:r w:rsidRPr="00E13E2F">
        <w:rPr>
          <w:sz w:val="20"/>
        </w:rPr>
        <w:t>, for the appellant.</w:t>
      </w:r>
    </w:p>
    <w:p w:rsidR="00E3023B" w:rsidRDefault="00E3023B" w:rsidP="00E3023B">
      <w:pPr>
        <w:pStyle w:val="SCCNormalDoubleSpacing"/>
        <w:spacing w:line="240" w:lineRule="auto"/>
        <w:rPr>
          <w:i/>
          <w:sz w:val="20"/>
        </w:rPr>
      </w:pPr>
    </w:p>
    <w:p w:rsidR="00E3023B" w:rsidRPr="00E13E2F" w:rsidRDefault="00E3023B" w:rsidP="00E3023B">
      <w:pPr>
        <w:pStyle w:val="SCCNormalDoubleSpacing"/>
        <w:spacing w:line="240" w:lineRule="auto"/>
        <w:rPr>
          <w:sz w:val="20"/>
        </w:rPr>
      </w:pPr>
      <w:r w:rsidRPr="00E13E2F">
        <w:rPr>
          <w:i/>
          <w:sz w:val="20"/>
        </w:rPr>
        <w:tab/>
        <w:t>Javad Heydary</w:t>
      </w:r>
      <w:r w:rsidRPr="00E13E2F">
        <w:rPr>
          <w:sz w:val="20"/>
        </w:rPr>
        <w:t xml:space="preserve">, </w:t>
      </w:r>
      <w:r w:rsidRPr="00E13E2F">
        <w:rPr>
          <w:i/>
          <w:sz w:val="20"/>
        </w:rPr>
        <w:t>Jeffrey D. Landmann</w:t>
      </w:r>
      <w:r w:rsidRPr="00E13E2F">
        <w:rPr>
          <w:sz w:val="20"/>
        </w:rPr>
        <w:t xml:space="preserve">, </w:t>
      </w:r>
      <w:r w:rsidRPr="00E13E2F">
        <w:rPr>
          <w:i/>
          <w:sz w:val="20"/>
        </w:rPr>
        <w:t>David K. Alderson</w:t>
      </w:r>
      <w:r w:rsidRPr="00E13E2F">
        <w:rPr>
          <w:sz w:val="20"/>
        </w:rPr>
        <w:t xml:space="preserve">, </w:t>
      </w:r>
      <w:r w:rsidRPr="00E13E2F">
        <w:rPr>
          <w:i/>
          <w:sz w:val="20"/>
        </w:rPr>
        <w:t>Michelle Jackson</w:t>
      </w:r>
      <w:r w:rsidRPr="00E13E2F">
        <w:rPr>
          <w:sz w:val="20"/>
        </w:rPr>
        <w:t xml:space="preserve"> and </w:t>
      </w:r>
      <w:r w:rsidRPr="00E13E2F">
        <w:rPr>
          <w:i/>
          <w:sz w:val="20"/>
        </w:rPr>
        <w:t>Jonathan A. Odumeru</w:t>
      </w:r>
      <w:r w:rsidRPr="00E13E2F">
        <w:rPr>
          <w:sz w:val="20"/>
        </w:rPr>
        <w:t>, for the respondents.</w:t>
      </w:r>
    </w:p>
    <w:p w:rsidR="00E3023B" w:rsidRDefault="00E3023B" w:rsidP="00E3023B">
      <w:pPr>
        <w:pStyle w:val="SCCNormalDoubleSpacing"/>
        <w:spacing w:line="240" w:lineRule="auto"/>
        <w:rPr>
          <w:i/>
          <w:sz w:val="20"/>
        </w:rPr>
      </w:pPr>
    </w:p>
    <w:p w:rsidR="00E3023B" w:rsidRPr="00E13E2F" w:rsidRDefault="00E3023B" w:rsidP="00E3023B">
      <w:pPr>
        <w:pStyle w:val="SCCNormalDoubleSpacing"/>
        <w:spacing w:line="240" w:lineRule="auto"/>
        <w:rPr>
          <w:sz w:val="20"/>
        </w:rPr>
      </w:pPr>
      <w:r w:rsidRPr="00E13E2F">
        <w:rPr>
          <w:i/>
          <w:sz w:val="20"/>
        </w:rPr>
        <w:tab/>
        <w:t>Allan Rouben and Ronald P. Bohm</w:t>
      </w:r>
      <w:r w:rsidRPr="00E13E2F">
        <w:rPr>
          <w:sz w:val="20"/>
        </w:rPr>
        <w:t>, for the intervener the Ontario Trial Lawyers Association.</w:t>
      </w:r>
    </w:p>
    <w:p w:rsidR="00E3023B" w:rsidRDefault="00E3023B" w:rsidP="00E3023B">
      <w:pPr>
        <w:pStyle w:val="SCCNormalDoubleSpacing"/>
        <w:spacing w:line="240" w:lineRule="auto"/>
        <w:rPr>
          <w:i/>
          <w:sz w:val="20"/>
        </w:rPr>
      </w:pPr>
    </w:p>
    <w:p w:rsidR="00E3023B" w:rsidRPr="00E13E2F" w:rsidRDefault="00E3023B" w:rsidP="00E3023B">
      <w:pPr>
        <w:pStyle w:val="SCCNormalDoubleSpacing"/>
        <w:spacing w:line="240" w:lineRule="auto"/>
        <w:rPr>
          <w:sz w:val="20"/>
        </w:rPr>
      </w:pPr>
      <w:r w:rsidRPr="00E13E2F">
        <w:rPr>
          <w:i/>
          <w:sz w:val="20"/>
        </w:rPr>
        <w:tab/>
        <w:t>Paul R. Sweeny and David Sterns</w:t>
      </w:r>
      <w:r w:rsidRPr="00E13E2F">
        <w:rPr>
          <w:sz w:val="20"/>
        </w:rPr>
        <w:t>, for the intervener the Canadian Bar Association.</w:t>
      </w:r>
    </w:p>
    <w:p w:rsidR="00E3023B" w:rsidRDefault="00E3023B" w:rsidP="00E3023B">
      <w:pPr>
        <w:pStyle w:val="SCCLawFirm"/>
        <w:spacing w:line="240" w:lineRule="auto"/>
        <w:rPr>
          <w:sz w:val="20"/>
        </w:rPr>
      </w:pPr>
    </w:p>
    <w:p w:rsidR="00E3023B" w:rsidRPr="00E13E2F" w:rsidRDefault="00E3023B" w:rsidP="00E3023B">
      <w:pPr>
        <w:pStyle w:val="SCCLawFirm"/>
        <w:spacing w:line="240" w:lineRule="auto"/>
        <w:rPr>
          <w:sz w:val="20"/>
        </w:rPr>
      </w:pPr>
      <w:r w:rsidRPr="00E13E2F">
        <w:rPr>
          <w:sz w:val="20"/>
        </w:rPr>
        <w:tab/>
        <w:t>Solicitors for the appellant:  McCarthy Tétrault, Toronto.</w:t>
      </w:r>
    </w:p>
    <w:p w:rsidR="00E3023B" w:rsidRDefault="00E3023B" w:rsidP="00E3023B">
      <w:pPr>
        <w:pStyle w:val="SCCLawFirm"/>
        <w:spacing w:line="240" w:lineRule="auto"/>
        <w:rPr>
          <w:sz w:val="20"/>
        </w:rPr>
      </w:pPr>
    </w:p>
    <w:p w:rsidR="00E3023B" w:rsidRPr="00E13E2F" w:rsidRDefault="00E3023B" w:rsidP="00E3023B">
      <w:pPr>
        <w:pStyle w:val="SCCLawFirm"/>
        <w:spacing w:line="240" w:lineRule="auto"/>
        <w:rPr>
          <w:sz w:val="20"/>
        </w:rPr>
      </w:pPr>
      <w:r w:rsidRPr="00E13E2F">
        <w:rPr>
          <w:sz w:val="20"/>
        </w:rPr>
        <w:tab/>
        <w:t>Solicitors for the respondents:  Heydary Hamilton, Toronto.</w:t>
      </w:r>
    </w:p>
    <w:p w:rsidR="00E3023B" w:rsidRDefault="00E3023B" w:rsidP="00E3023B">
      <w:pPr>
        <w:pStyle w:val="SCCLawFirm"/>
        <w:spacing w:line="240" w:lineRule="auto"/>
        <w:rPr>
          <w:sz w:val="20"/>
        </w:rPr>
      </w:pPr>
    </w:p>
    <w:p w:rsidR="00E3023B" w:rsidRPr="00E13E2F" w:rsidRDefault="00E3023B" w:rsidP="00E3023B">
      <w:pPr>
        <w:pStyle w:val="SCCLawFirm"/>
        <w:spacing w:line="240" w:lineRule="auto"/>
        <w:rPr>
          <w:sz w:val="20"/>
        </w:rPr>
      </w:pPr>
      <w:r w:rsidRPr="00E13E2F">
        <w:rPr>
          <w:sz w:val="20"/>
        </w:rPr>
        <w:tab/>
        <w:t>Solicitors for the intervener the Ontario Trial Lawyers Association:  Allan Rouben, Toronto; SBMB Law, Richmond Hill, Ontario.</w:t>
      </w:r>
    </w:p>
    <w:p w:rsidR="00E3023B" w:rsidRDefault="00E3023B" w:rsidP="00E3023B">
      <w:pPr>
        <w:pStyle w:val="SCCLawFirm"/>
        <w:spacing w:line="240" w:lineRule="auto"/>
        <w:rPr>
          <w:sz w:val="20"/>
        </w:rPr>
      </w:pPr>
    </w:p>
    <w:p w:rsidR="00E3023B" w:rsidRDefault="00E3023B" w:rsidP="00E3023B">
      <w:pPr>
        <w:pStyle w:val="SCCLawFirm"/>
        <w:spacing w:line="240" w:lineRule="auto"/>
        <w:rPr>
          <w:sz w:val="20"/>
        </w:rPr>
      </w:pPr>
      <w:r w:rsidRPr="00E13E2F">
        <w:rPr>
          <w:sz w:val="20"/>
        </w:rPr>
        <w:tab/>
        <w:t>Solicitors for the intervener the Canadian Bar Association:  Evans Sweeny Bordin, Hamilton; Sotos,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E3023B" w:rsidRPr="00903BF3" w:rsidRDefault="00E3023B" w:rsidP="00E3023B">
      <w:pPr>
        <w:jc w:val="both"/>
        <w:rPr>
          <w:sz w:val="20"/>
          <w:szCs w:val="20"/>
          <w:lang w:val="fr-CA"/>
        </w:rPr>
      </w:pPr>
      <w:r w:rsidRPr="00903BF3">
        <w:rPr>
          <w:sz w:val="20"/>
          <w:szCs w:val="20"/>
          <w:lang w:val="fr-CA"/>
        </w:rPr>
        <w:t>Présents : La juge en chef McLachlin et les juges LeBel, Abella, Rothstein, Cromwell, Karakatsanis et Wagner.</w:t>
      </w:r>
    </w:p>
    <w:p w:rsidR="00E3023B" w:rsidRDefault="00E3023B" w:rsidP="00E3023B">
      <w:pPr>
        <w:jc w:val="both"/>
        <w:rPr>
          <w:smallCaps/>
          <w:sz w:val="20"/>
          <w:lang w:val="fr-CA"/>
        </w:rPr>
      </w:pPr>
    </w:p>
    <w:p w:rsidR="00E3023B" w:rsidRPr="00903BF3" w:rsidRDefault="00E3023B" w:rsidP="00E3023B">
      <w:pPr>
        <w:pStyle w:val="SCCNormalDoubleSpacing"/>
        <w:spacing w:line="240" w:lineRule="auto"/>
        <w:rPr>
          <w:sz w:val="20"/>
          <w:lang w:val="fr-CA"/>
        </w:rPr>
      </w:pPr>
      <w:r w:rsidRPr="00903BF3">
        <w:rPr>
          <w:sz w:val="20"/>
          <w:lang w:val="fr-CA"/>
        </w:rPr>
        <w:tab/>
      </w:r>
      <w:r w:rsidRPr="00903BF3">
        <w:rPr>
          <w:i/>
          <w:sz w:val="20"/>
          <w:lang w:val="fr-CA"/>
        </w:rPr>
        <w:t>Procédure civile — Jugement sommaire — Investisseur intentant une action pour fraude civile et présentant ensuite une requête en jugement sommaire —Requête en jugement sommaire accueillie — Objectif des requêtes en jugement sommaire — Accès à la justice — Proportionnalité — Interprétation des modifications récentes apportées aux Règles de procédure civile de l’Ontario — Ordonnances de gestion de l’instance — Norme de contrôle applicable aux requêtes en jugement sommaire — Le juge saisi de la requête a</w:t>
      </w:r>
      <w:r w:rsidRPr="00903BF3">
        <w:rPr>
          <w:i/>
          <w:sz w:val="20"/>
          <w:lang w:val="fr-CA"/>
        </w:rPr>
        <w:noBreakHyphen/>
        <w:t>t</w:t>
      </w:r>
      <w:r w:rsidRPr="00903BF3">
        <w:rPr>
          <w:i/>
          <w:sz w:val="20"/>
          <w:lang w:val="fr-CA"/>
        </w:rPr>
        <w:noBreakHyphen/>
        <w:t>il commis une erreur en accueillant la requête en jugement sommaire? — Règles de procédure civile, R.R.O. 1990, Règl. 194, règle 20</w:t>
      </w:r>
    </w:p>
    <w:p w:rsidR="00E3023B" w:rsidRDefault="00E3023B" w:rsidP="00E3023B">
      <w:pPr>
        <w:pStyle w:val="SCCNormalDoubleSpacing"/>
        <w:spacing w:line="240" w:lineRule="auto"/>
        <w:rPr>
          <w:sz w:val="20"/>
          <w:lang w:val="fr-CA"/>
        </w:rPr>
      </w:pPr>
    </w:p>
    <w:p w:rsidR="00E3023B" w:rsidRPr="00903BF3" w:rsidRDefault="00E3023B" w:rsidP="00E3023B">
      <w:pPr>
        <w:pStyle w:val="SCCNormalDoubleSpacing"/>
        <w:spacing w:line="240" w:lineRule="auto"/>
        <w:rPr>
          <w:sz w:val="20"/>
          <w:lang w:val="fr-CA"/>
        </w:rPr>
      </w:pPr>
      <w:r w:rsidRPr="00903BF3">
        <w:rPr>
          <w:sz w:val="20"/>
          <w:lang w:val="fr-CA"/>
        </w:rPr>
        <w:tab/>
        <w:t xml:space="preserve">Au mois de juin 2001, deux représentants d’un groupe d’investisseurs américains ont rencontré H et d’autres personnes afin de discuter d’une possibilité d’investissement.  Le groupe a viré 1,2 million de dollars américains et cette somme a été mise en commun avec d’autres fonds et transférée à Tropos, la société de H.  Quelques mois plus tard, Tropos a transféré plus de 10 millions de dollars américains à une banque étrangère et l’argent a disparu.  Les investisseurs ont intenté contre H et d’autres personnes une action pour fraude civile et ont ensuite présenté une requête en jugement sommaire.  Le juge saisi de la requête a exercé les pouvoirs que lui confère le par. 20.04(2.1) des </w:t>
      </w:r>
      <w:r w:rsidRPr="00903BF3">
        <w:rPr>
          <w:i/>
          <w:sz w:val="20"/>
          <w:lang w:val="fr-CA"/>
        </w:rPr>
        <w:t>Règles de procédure civile de l’Ontario</w:t>
      </w:r>
      <w:r w:rsidRPr="00903BF3">
        <w:rPr>
          <w:sz w:val="20"/>
          <w:lang w:val="fr-CA"/>
        </w:rPr>
        <w:t xml:space="preserve"> (modifiées en 2010) pour apprécier la preuve, évaluer la crédibilité et tirer des conclusions.  Il a conclu que la tenue d’un procès n’était pas nécessaire dans l’instance intentée contre H.  Bien qu’elle ait conclu que cette affaire ne se prêtait pas à un jugement sommaire, la Cour d’appel était convaincue que le dossier étayait la conclusion selon laquelle H avait commis le délit de fraude civile à l’endroit des investisseurs et elle a par conséquent rejeté l’appel de H.</w:t>
      </w:r>
    </w:p>
    <w:p w:rsidR="00E3023B" w:rsidRDefault="00E3023B" w:rsidP="00E3023B">
      <w:pPr>
        <w:pStyle w:val="SCCNormalDoubleSpacing"/>
        <w:spacing w:line="240" w:lineRule="auto"/>
        <w:rPr>
          <w:sz w:val="20"/>
          <w:lang w:val="fr-CA"/>
        </w:rPr>
      </w:pPr>
    </w:p>
    <w:p w:rsidR="00E3023B" w:rsidRPr="00903BF3" w:rsidRDefault="00E3023B" w:rsidP="00E3023B">
      <w:pPr>
        <w:pStyle w:val="SCCNormalDoubleSpacing"/>
        <w:spacing w:line="240" w:lineRule="auto"/>
        <w:rPr>
          <w:sz w:val="20"/>
          <w:lang w:val="fr-CA"/>
        </w:rPr>
      </w:pPr>
      <w:r w:rsidRPr="00903BF3">
        <w:rPr>
          <w:sz w:val="20"/>
          <w:lang w:val="fr-CA"/>
        </w:rPr>
        <w:tab/>
      </w:r>
      <w:r w:rsidRPr="00903BF3">
        <w:rPr>
          <w:i/>
          <w:sz w:val="20"/>
          <w:lang w:val="fr-CA"/>
        </w:rPr>
        <w:t>Arrêt</w:t>
      </w:r>
      <w:r w:rsidRPr="00903BF3">
        <w:rPr>
          <w:sz w:val="20"/>
          <w:lang w:val="fr-CA"/>
        </w:rPr>
        <w:t> : Le pourvoi est rejeté.</w:t>
      </w:r>
    </w:p>
    <w:p w:rsidR="00E3023B" w:rsidRDefault="00E3023B" w:rsidP="00E3023B">
      <w:pPr>
        <w:pStyle w:val="SCCNormalDoubleSpacing"/>
        <w:spacing w:line="240" w:lineRule="auto"/>
        <w:rPr>
          <w:sz w:val="20"/>
          <w:lang w:val="fr-CA"/>
        </w:rPr>
      </w:pPr>
    </w:p>
    <w:p w:rsidR="00E3023B" w:rsidRPr="00903BF3" w:rsidRDefault="00E3023B" w:rsidP="00E3023B">
      <w:pPr>
        <w:pStyle w:val="SCCNormalDoubleSpacing"/>
        <w:spacing w:line="240" w:lineRule="auto"/>
        <w:rPr>
          <w:sz w:val="20"/>
          <w:lang w:val="fr-CA"/>
        </w:rPr>
      </w:pPr>
      <w:r w:rsidRPr="00903BF3">
        <w:rPr>
          <w:sz w:val="20"/>
          <w:lang w:val="fr-CA"/>
        </w:rPr>
        <w:tab/>
        <w:t>Notre système de justice civile repose sur le principe voulant que le processus décisionnel doit être juste et équitable.  Ce principe ne souffre aucun compromis.  Or, les formalités excessives et les procès interminables occasionnant des dépenses et des délais inutiles peuvent faire obstacle</w:t>
      </w:r>
      <w:r w:rsidRPr="00903BF3">
        <w:rPr>
          <w:i/>
          <w:sz w:val="20"/>
          <w:lang w:val="fr-CA"/>
        </w:rPr>
        <w:t xml:space="preserve"> </w:t>
      </w:r>
      <w:r w:rsidRPr="00903BF3">
        <w:rPr>
          <w:sz w:val="20"/>
          <w:lang w:val="fr-CA"/>
        </w:rPr>
        <w:t xml:space="preserve">au règlement juste et équitable des litiges.  Si la procédure est disproportionnée par rapport à la nature du litige et aux intérêts en jeu, elle n’aboutira pas à un résultat juste et équitable. </w:t>
      </w:r>
    </w:p>
    <w:p w:rsidR="00E3023B" w:rsidRDefault="00E3023B" w:rsidP="00E3023B">
      <w:pPr>
        <w:pStyle w:val="SCCNormalDoubleSpacing"/>
        <w:spacing w:line="240" w:lineRule="auto"/>
        <w:rPr>
          <w:sz w:val="20"/>
          <w:lang w:val="fr-CA"/>
        </w:rPr>
      </w:pPr>
    </w:p>
    <w:p w:rsidR="00E3023B" w:rsidRPr="00903BF3" w:rsidRDefault="00E3023B" w:rsidP="00E3023B">
      <w:pPr>
        <w:pStyle w:val="SCCNormalDoubleSpacing"/>
        <w:spacing w:line="240" w:lineRule="auto"/>
        <w:rPr>
          <w:sz w:val="20"/>
          <w:lang w:val="fr-CA"/>
        </w:rPr>
      </w:pPr>
      <w:r w:rsidRPr="00903BF3">
        <w:rPr>
          <w:sz w:val="20"/>
          <w:lang w:val="fr-CA"/>
        </w:rPr>
        <w:tab/>
        <w:t>Un virage culturel s’impose.  Le principe de la proportionnalité trouve aujourd’hui son expression dans les règles de procédure de nombreuses provinces et peut constituer la pierre d’assise de l’accès au système de justice civile.  Le principe de la proportionnalité veut que le meilleur forum pour régler un litige ne soit pas toujours celui dont la procédure est la plus laborieuse</w:t>
      </w:r>
      <w:r w:rsidRPr="00903BF3">
        <w:rPr>
          <w:iCs/>
          <w:sz w:val="20"/>
          <w:lang w:val="fr-CA"/>
        </w:rPr>
        <w:t xml:space="preserve">.  </w:t>
      </w:r>
      <w:r w:rsidRPr="00903BF3">
        <w:rPr>
          <w:sz w:val="20"/>
          <w:lang w:val="fr-CA"/>
        </w:rPr>
        <w:t>La requête en jugement sommaire offre une possibilité de simplifier les procédures préalables au procès et d’insister moins sur la tenue d’un procès conventionnel et plus sur des procédures proportionnées et adaptées aux besoins de chaque affaire.  Les règles régissant les jugements sommaires doivent recevoir une interprétation large et propice à la proportionnalité et à l’accès équitable à un règlement abordable, expéditif et juste des demandes.</w:t>
      </w:r>
    </w:p>
    <w:p w:rsidR="00E3023B" w:rsidRDefault="00E3023B" w:rsidP="00E3023B">
      <w:pPr>
        <w:pStyle w:val="SCCNormalDoubleSpacing"/>
        <w:spacing w:line="240" w:lineRule="auto"/>
        <w:rPr>
          <w:sz w:val="20"/>
          <w:lang w:val="fr-CA"/>
        </w:rPr>
      </w:pPr>
    </w:p>
    <w:p w:rsidR="00E3023B" w:rsidRPr="00903BF3" w:rsidRDefault="00E3023B" w:rsidP="00E3023B">
      <w:pPr>
        <w:pStyle w:val="SCCNormalDoubleSpacing"/>
        <w:spacing w:line="240" w:lineRule="auto"/>
        <w:rPr>
          <w:sz w:val="20"/>
          <w:lang w:val="fr-CA"/>
        </w:rPr>
      </w:pPr>
      <w:r w:rsidRPr="00903BF3">
        <w:rPr>
          <w:sz w:val="20"/>
          <w:lang w:val="fr-CA"/>
        </w:rPr>
        <w:tab/>
        <w:t xml:space="preserve">La règle 20 a été modifiée en 2010 afin d’améliorer l’accès à la justice.  Ces réformes incarnent l’évolution des règles régissant les jugements sommaires, lesquelles passent du statut d’outil à usage très restreint visant à écarter les </w:t>
      </w:r>
      <w:r w:rsidRPr="00903BF3">
        <w:rPr>
          <w:sz w:val="20"/>
          <w:lang w:val="fr-CA"/>
        </w:rPr>
        <w:lastRenderedPageBreak/>
        <w:t>demandes ou défenses manifestement dénuées de fondement à celui de solution de rechange légitime pour trancher et régler les litiges d’ordre juridique.  Les juges disposent ainsi de nouveaux outils importants qui leur permettent de trancher plus de litiges sur requête en jugement sommaire et qui atténuent les risques lorsque pareille requête ne permet pas de trancher l’affaire dans son ensemble.  Les nouveaux pouvoirs prévus aux par. 20.04(2.1) et (2.2) des Règles augmentent le nombre d’affaires qui ne soulèvent pas de véritable question litigieuse nécessitant la tenue d’un procès en permettant au juge saisi d’une requête d’apprécier la preuve, d’évaluer la crédibilité et de tirer des conclusions raisonnables.</w:t>
      </w:r>
    </w:p>
    <w:p w:rsidR="00E3023B" w:rsidRDefault="00E3023B" w:rsidP="00E3023B">
      <w:pPr>
        <w:pStyle w:val="SCCNormalDoubleSpacing"/>
        <w:spacing w:line="240" w:lineRule="auto"/>
        <w:rPr>
          <w:sz w:val="20"/>
          <w:lang w:val="fr-CA"/>
        </w:rPr>
      </w:pPr>
    </w:p>
    <w:p w:rsidR="00E3023B" w:rsidRPr="00903BF3" w:rsidRDefault="00E3023B" w:rsidP="00E3023B">
      <w:pPr>
        <w:pStyle w:val="SCCNormalDoubleSpacing"/>
        <w:spacing w:line="240" w:lineRule="auto"/>
        <w:rPr>
          <w:sz w:val="20"/>
          <w:lang w:val="fr-CA"/>
        </w:rPr>
      </w:pPr>
      <w:r w:rsidRPr="00903BF3">
        <w:rPr>
          <w:sz w:val="20"/>
          <w:lang w:val="fr-CA"/>
        </w:rPr>
        <w:tab/>
        <w:t>La requête en jugement sommaire doit être accueillie dans tous les cas où il n’existe pas de véritable question litigieuse nécessitant la tenue d’un procès.  Il n’existe pas de véritable question litigieuse nécessitant la tenue d’un procès lorsque le juge est en mesure de statuer justement et équitablement au fond sur une requête en jugement sommaire.  Ce sera le cas lorsque la procédure (1) permet au juge de tirer les conclusions de fait nécessaires, (2) lui permet d’appliquer les règles de droit aux faits et (3) constitue un moyen proportionné, plus expéditif et moins coûteux d’arriver à un résultat juste.</w:t>
      </w:r>
    </w:p>
    <w:p w:rsidR="00E3023B" w:rsidRDefault="00E3023B" w:rsidP="00E3023B">
      <w:pPr>
        <w:pStyle w:val="SCCNormalDoubleSpacing"/>
        <w:spacing w:line="240" w:lineRule="auto"/>
        <w:rPr>
          <w:sz w:val="20"/>
          <w:lang w:val="fr-CA"/>
        </w:rPr>
      </w:pPr>
    </w:p>
    <w:p w:rsidR="00E3023B" w:rsidRPr="00903BF3" w:rsidRDefault="00E3023B" w:rsidP="00E3023B">
      <w:pPr>
        <w:pStyle w:val="SCCNormalDoubleSpacing"/>
        <w:spacing w:line="240" w:lineRule="auto"/>
        <w:rPr>
          <w:sz w:val="20"/>
          <w:lang w:val="fr-CA"/>
        </w:rPr>
      </w:pPr>
      <w:r w:rsidRPr="00903BF3">
        <w:rPr>
          <w:sz w:val="20"/>
          <w:lang w:val="fr-CA"/>
        </w:rPr>
        <w:tab/>
        <w:t>Le juge saisi d’une requête en jugement sommaire peut exercer les nouveaux pouvoirs en matière de recherche des faits que lui confère la règle 20.04 à moins qu’il ne soit dans l’intérêt de la justice de ne les exercer que lors d’un procès.  Lorsqu’il permettrait au juge de trancher une demande de manière juste et équitable, l’exercice des nouveaux pouvoirs sera généralement dans l’intérêt de la justice.  Le pouvoir d’entendre des témoignages oraux devrait être exercé lorsqu’il permet au juge de rendre une décision juste et équitable sur le fond et que son exercice constitue la marche à suivre proportionnée.  Ce sera plus probablement le cas lorsque le témoignage oral requis est succinct, mais dans certains cas, la requête en jugement sommaire comportera l’audition de longs témoignages oraux.  La partie qui cherche à présenter des témoignages oraux doit être prête à démontrer en quoi ils aideraient le juge saisi de la requête et à fournir un exposé de la preuve proposée afin de permettre au juge d’établir la portée de ces témoignages oraux.</w:t>
      </w:r>
    </w:p>
    <w:p w:rsidR="00E3023B" w:rsidRDefault="00E3023B" w:rsidP="00E3023B">
      <w:pPr>
        <w:pStyle w:val="SCCNormalDoubleSpacing"/>
        <w:spacing w:line="240" w:lineRule="auto"/>
        <w:rPr>
          <w:sz w:val="20"/>
          <w:lang w:val="fr-CA"/>
        </w:rPr>
      </w:pPr>
    </w:p>
    <w:p w:rsidR="00E3023B" w:rsidRPr="00903BF3" w:rsidRDefault="00E3023B" w:rsidP="00E3023B">
      <w:pPr>
        <w:pStyle w:val="SCCNormalDoubleSpacing"/>
        <w:spacing w:line="240" w:lineRule="auto"/>
        <w:rPr>
          <w:sz w:val="20"/>
          <w:lang w:val="fr-CA"/>
        </w:rPr>
      </w:pPr>
      <w:r w:rsidRPr="00903BF3">
        <w:rPr>
          <w:sz w:val="20"/>
          <w:lang w:val="fr-CA"/>
        </w:rPr>
        <w:tab/>
        <w:t xml:space="preserve">Lors de l’audition d’une requête en jugement sommaire aux termes de la règle 20.04, le juge devrait en premier lieu décider, compte tenu uniquement de la preuve dont il dispose et </w:t>
      </w:r>
      <w:r w:rsidRPr="00903BF3">
        <w:rPr>
          <w:i/>
          <w:sz w:val="20"/>
          <w:lang w:val="fr-CA"/>
        </w:rPr>
        <w:t>sans</w:t>
      </w:r>
      <w:r w:rsidRPr="00903BF3">
        <w:rPr>
          <w:sz w:val="20"/>
          <w:lang w:val="fr-CA"/>
        </w:rPr>
        <w:t xml:space="preserve"> recourir aux nouveaux pouvoirs en matière de recherche des faits, s’il existe une véritable question litigieuse nécessitant la tenue d’un procès.  Il n’y aura pas de question de ce genre si la procédure de jugement sommaire fournit au juge la preuve nécessaire pour trancher justement et équitablement le litige et constitue une procédure expéditive, abordable et proportionnée selon l’al. 20.04(2)a) des Règles.  S’il semble y avoir une véritable question nécessitant la tenue d’un procès, le juge devrait alors déterminer si l’exercice des nouveaux pouvoirs prévus aux par. 20.04(2.1) et (2.2) des Règles permettra d’écarter la nécessité d’un procès.  L’exercice de ces pouvoirs ne sera pas contraire à l’intérêt de la justice s’il aboutira à un résultat juste et équitable et permettra d’atteindre les objectifs de célérité, d’accessibilité économique et de proportionnalité, compte tenu du litige dans son ensemble.</w:t>
      </w:r>
    </w:p>
    <w:p w:rsidR="00E3023B" w:rsidRDefault="00E3023B" w:rsidP="00E3023B">
      <w:pPr>
        <w:pStyle w:val="SCCNormalDoubleSpacing"/>
        <w:spacing w:line="240" w:lineRule="auto"/>
        <w:rPr>
          <w:sz w:val="20"/>
          <w:lang w:val="fr-CA"/>
        </w:rPr>
      </w:pPr>
    </w:p>
    <w:p w:rsidR="00E3023B" w:rsidRPr="00903BF3" w:rsidRDefault="00E3023B" w:rsidP="00E3023B">
      <w:pPr>
        <w:pStyle w:val="SCCNormalDoubleSpacing"/>
        <w:spacing w:line="240" w:lineRule="auto"/>
        <w:rPr>
          <w:sz w:val="20"/>
          <w:lang w:val="fr-CA"/>
        </w:rPr>
      </w:pPr>
      <w:r w:rsidRPr="00903BF3">
        <w:rPr>
          <w:sz w:val="20"/>
          <w:lang w:val="fr-CA"/>
        </w:rPr>
        <w:tab/>
        <w:t>Qu’elle soit rejetée ou même accueillie en partie, la requête en jugement sommaire occasionne des frais et des délais additionnels.  Le juge peut toutefois atténuer ce risque en exerçant la compétence inhérente du tribunal et les pouvoirs de gestion de l’instance prévus à la règle 20.05.  Ces pouvoirs permettent au juge de mettre à profit les connaissances acquises lors de l’audition de la requête en jugement sommaire pour élaborer une procédure d’instruction de nature à régler le litige en tenant compte de la complexité et de l’importance de la question soulevée, de la somme en jeu et des efforts déployés lors de l’instruction de la requête rejetée.  Le juge qui rejette une requête en jugement sommaire devrait également se saisir de l’instance à titre de juge du procès à moins que des raisons impérieuses l’en empêchent.</w:t>
      </w:r>
    </w:p>
    <w:p w:rsidR="00E3023B" w:rsidRDefault="00E3023B" w:rsidP="00E3023B">
      <w:pPr>
        <w:pStyle w:val="SCCNormalDoubleSpacing"/>
        <w:spacing w:line="240" w:lineRule="auto"/>
        <w:rPr>
          <w:sz w:val="20"/>
          <w:lang w:val="fr-CA"/>
        </w:rPr>
      </w:pPr>
    </w:p>
    <w:p w:rsidR="00E3023B" w:rsidRPr="00903BF3" w:rsidRDefault="00E3023B" w:rsidP="00E3023B">
      <w:pPr>
        <w:pStyle w:val="SCCNormalDoubleSpacing"/>
        <w:spacing w:line="240" w:lineRule="auto"/>
        <w:rPr>
          <w:sz w:val="20"/>
          <w:lang w:val="fr-CA"/>
        </w:rPr>
      </w:pPr>
      <w:r w:rsidRPr="00903BF3">
        <w:rPr>
          <w:sz w:val="20"/>
          <w:lang w:val="fr-CA"/>
        </w:rPr>
        <w:tab/>
        <w:t>En l’absence d’une erreur de droit, l’exercice des pouvoirs que confère la nouvelle règle relative au jugement sommaire commande la retenue.  Lorsque le juge saisi d’une requête exerce les nouveaux pouvoirs en matière de recherche des faits que lui confère le par. 20.04(2.1) des Règles et détermine s’il existe une véritable question litigieuse nécessitant la tenue d’un procès, il s’agit d’une question mixte de fait et de droit et sa décision ne doit pas être infirmée en l’absence d’erreur manifeste et dominante.  De même, la décision quant à savoir s’il est dans l’intérêt de la justice que le juge saisi d’une requête exerce les nouveaux pouvoirs en matière de recherche des faits prévus au par. 20.04(2.1) des Règles constitue également une question mixte de fait et de droit qui commande la retenue.</w:t>
      </w:r>
    </w:p>
    <w:p w:rsidR="00E3023B" w:rsidRDefault="00E3023B" w:rsidP="00E3023B">
      <w:pPr>
        <w:pStyle w:val="SCCNormalDoubleSpacing"/>
        <w:spacing w:line="240" w:lineRule="auto"/>
        <w:rPr>
          <w:sz w:val="20"/>
          <w:lang w:val="fr-CA"/>
        </w:rPr>
      </w:pPr>
    </w:p>
    <w:p w:rsidR="00E3023B" w:rsidRDefault="00E3023B" w:rsidP="00E3023B">
      <w:pPr>
        <w:pStyle w:val="SCCNormalDoubleSpacing"/>
        <w:spacing w:line="240" w:lineRule="auto"/>
        <w:rPr>
          <w:sz w:val="20"/>
          <w:lang w:val="fr-CA"/>
        </w:rPr>
      </w:pPr>
      <w:r w:rsidRPr="00903BF3">
        <w:rPr>
          <w:sz w:val="20"/>
          <w:lang w:val="fr-CA"/>
        </w:rPr>
        <w:tab/>
        <w:t xml:space="preserve">Le juge saisi de la requête n’a pas eu tort de rendre un jugement sommaire en l’espèce.  Le délit de fraude civile comporte quatre éléments dont il faut prouver l’existence selon la prépondérance des probabilités : (1) une fausse </w:t>
      </w:r>
      <w:r w:rsidRPr="00903BF3">
        <w:rPr>
          <w:sz w:val="20"/>
          <w:lang w:val="fr-CA"/>
        </w:rPr>
        <w:lastRenderedPageBreak/>
        <w:t>déclaration du défendeur; (2) une certaine connaissance de la fausseté de la déclaration de la part du défendeur (connaissance ou insouciance); (3) le fait que la fausse déclaration a amené le demandeur à agir; (4) le fait que les actes du demandeur ont entraîné une perte.  Lorsqu’il a prononcé contre H un jugement sommaire en faveur du groupe, le juge saisi de la requête n’a pas traité explicitement du critère qu’il convient d’appliquer à la fraude civile mais ses conclusions suffisent pour établir la cause d’action.  Le juge saisi de la requête a conclu qu’il n’existait pas d’élément de preuve crédible à l’appui de la prétention de H selon laquelle ce dernier était un courtier légitime et l’issue était donc claire; ainsi le juge a conclu qu’il n’y avait pas de question litigieuse nécessitant la tenue d’un procès.  L’exercice, par le juge, de ses pouvoirs en matière de recherche des faits n’allait pas à l’encontre de l’intérêt de la justice, et sa décision discrétionnaire d’exercer ces pouvoirs n’était pas non plus entachée d’erreur.</w:t>
      </w:r>
    </w:p>
    <w:p w:rsidR="00E3023B" w:rsidRDefault="00E3023B" w:rsidP="00E3023B">
      <w:pPr>
        <w:pStyle w:val="SCCNormalDoubleSpacing"/>
        <w:spacing w:line="240" w:lineRule="auto"/>
        <w:rPr>
          <w:sz w:val="20"/>
          <w:lang w:val="fr-CA"/>
        </w:rPr>
      </w:pPr>
    </w:p>
    <w:p w:rsidR="00E3023B" w:rsidRPr="00903BF3" w:rsidRDefault="00E3023B" w:rsidP="00E3023B">
      <w:pPr>
        <w:pStyle w:val="SCCNormalDoubleSpacing"/>
        <w:spacing w:line="240" w:lineRule="auto"/>
        <w:ind w:firstLine="540"/>
        <w:rPr>
          <w:sz w:val="20"/>
          <w:lang w:val="fr-CA"/>
        </w:rPr>
      </w:pPr>
      <w:r w:rsidRPr="00E3023B">
        <w:rPr>
          <w:sz w:val="20"/>
          <w:lang w:val="fr-CA"/>
        </w:rPr>
        <w:tab/>
        <w:t>POURVOI contre un arrêt de la Cour d’appel de l’Ontario (le juge en chef Winkler et les juges Laskin, Sharpe, Armstrong et Rouleau), 2011 ONCA 764, 108 O.R. (3d) 1, 286 O.A.C. 3, 97 C.C.E.L. (3d) 25, 14 C.P.C. (7th) 242, 13 R.P.R. (5th) 167, 93 B.L.R. (4th) 1, 344 D.L.R. (4th) 193, 10 C.L.R. (4th) 17, [2011] O.J. No. 5431 (QL), 2011 CarswellOnt 13515 (</w:t>
      </w:r>
      <w:r w:rsidRPr="00E3023B">
        <w:rPr>
          <w:i/>
          <w:sz w:val="20"/>
          <w:lang w:val="fr-CA"/>
        </w:rPr>
        <w:t xml:space="preserve">sub nom. </w:t>
      </w:r>
      <w:r w:rsidRPr="00903BF3">
        <w:rPr>
          <w:i/>
          <w:sz w:val="20"/>
          <w:lang w:val="fr-CA"/>
        </w:rPr>
        <w:t>Combined Air Mechanical Services Inc. c. Flesch</w:t>
      </w:r>
      <w:r w:rsidRPr="00903BF3">
        <w:rPr>
          <w:sz w:val="20"/>
          <w:lang w:val="fr-CA"/>
        </w:rPr>
        <w:t>), qui a confirmé une décision du juge Grace, 2010 ONSC 5490, [2010] O.J. No. 4661 (QL), 2010 CarswellOnt 8325.  Pourvoi rejeté.</w:t>
      </w:r>
    </w:p>
    <w:p w:rsidR="00E3023B" w:rsidRDefault="00E3023B" w:rsidP="00E3023B">
      <w:pPr>
        <w:pStyle w:val="SCCNormalDoubleSpacing"/>
        <w:spacing w:line="240" w:lineRule="auto"/>
        <w:rPr>
          <w:rStyle w:val="SCCCounselNameChar"/>
          <w:sz w:val="20"/>
          <w:lang w:val="fr-CA"/>
        </w:rPr>
      </w:pPr>
    </w:p>
    <w:p w:rsidR="00E3023B" w:rsidRPr="00903BF3" w:rsidRDefault="00E3023B" w:rsidP="00E3023B">
      <w:pPr>
        <w:pStyle w:val="SCCNormalDoubleSpacing"/>
        <w:spacing w:line="240" w:lineRule="auto"/>
        <w:rPr>
          <w:sz w:val="20"/>
          <w:lang w:val="fr-CA"/>
        </w:rPr>
      </w:pPr>
      <w:r w:rsidRPr="00903BF3">
        <w:rPr>
          <w:rStyle w:val="SCCCounselNameChar"/>
          <w:sz w:val="20"/>
          <w:lang w:val="fr-CA"/>
        </w:rPr>
        <w:tab/>
        <w:t>Sarit E. Batner</w:t>
      </w:r>
      <w:r w:rsidRPr="00903BF3">
        <w:rPr>
          <w:rStyle w:val="SCCCounselSeparatorChar"/>
          <w:sz w:val="20"/>
        </w:rPr>
        <w:t xml:space="preserve">, </w:t>
      </w:r>
      <w:r w:rsidRPr="00903BF3">
        <w:rPr>
          <w:rStyle w:val="SCCCounselNameChar"/>
          <w:sz w:val="20"/>
          <w:lang w:val="fr-CA"/>
        </w:rPr>
        <w:t>Brandon Kain</w:t>
      </w:r>
      <w:r w:rsidRPr="00903BF3">
        <w:rPr>
          <w:rStyle w:val="SCCCounselSeparatorChar"/>
          <w:sz w:val="20"/>
        </w:rPr>
        <w:t xml:space="preserve"> et </w:t>
      </w:r>
      <w:r w:rsidRPr="00903BF3">
        <w:rPr>
          <w:rStyle w:val="SCCCounselNameChar"/>
          <w:sz w:val="20"/>
          <w:lang w:val="fr-CA"/>
        </w:rPr>
        <w:t>Moya J. Graham</w:t>
      </w:r>
      <w:r w:rsidRPr="00903BF3">
        <w:rPr>
          <w:rStyle w:val="SCCCounselPartyRoleChar"/>
          <w:sz w:val="20"/>
          <w:lang w:val="fr-CA"/>
        </w:rPr>
        <w:t>, pour l’appelant.</w:t>
      </w:r>
    </w:p>
    <w:p w:rsidR="00E3023B" w:rsidRDefault="00E3023B" w:rsidP="00E3023B">
      <w:pPr>
        <w:pStyle w:val="SCCNormalDoubleSpacing"/>
        <w:spacing w:line="240" w:lineRule="auto"/>
        <w:rPr>
          <w:rStyle w:val="SCCCounselNameChar"/>
          <w:sz w:val="20"/>
          <w:lang w:val="fr-CA"/>
        </w:rPr>
      </w:pPr>
    </w:p>
    <w:p w:rsidR="00E3023B" w:rsidRPr="00903BF3" w:rsidRDefault="00E3023B" w:rsidP="00E3023B">
      <w:pPr>
        <w:pStyle w:val="SCCNormalDoubleSpacing"/>
        <w:spacing w:line="240" w:lineRule="auto"/>
        <w:rPr>
          <w:sz w:val="20"/>
          <w:lang w:val="fr-CA"/>
        </w:rPr>
      </w:pPr>
      <w:r w:rsidRPr="00903BF3">
        <w:rPr>
          <w:rStyle w:val="SCCCounselNameChar"/>
          <w:sz w:val="20"/>
          <w:lang w:val="fr-CA"/>
        </w:rPr>
        <w:tab/>
        <w:t>Javad Heydary</w:t>
      </w:r>
      <w:r w:rsidRPr="00903BF3">
        <w:rPr>
          <w:rStyle w:val="SCCCounselSeparatorChar"/>
          <w:sz w:val="20"/>
        </w:rPr>
        <w:t xml:space="preserve">, </w:t>
      </w:r>
      <w:r w:rsidRPr="00903BF3">
        <w:rPr>
          <w:rStyle w:val="SCCCounselSeparatorChar"/>
          <w:i/>
          <w:sz w:val="20"/>
        </w:rPr>
        <w:t>Jeffrey D. Landmann</w:t>
      </w:r>
      <w:r w:rsidRPr="00903BF3">
        <w:rPr>
          <w:rStyle w:val="SCCCounselSeparatorChar"/>
          <w:sz w:val="20"/>
        </w:rPr>
        <w:t xml:space="preserve">, </w:t>
      </w:r>
      <w:r w:rsidRPr="00903BF3">
        <w:rPr>
          <w:rStyle w:val="SCCCounselNameChar"/>
          <w:sz w:val="20"/>
          <w:lang w:val="fr-CA"/>
        </w:rPr>
        <w:t>David K. Alderson</w:t>
      </w:r>
      <w:r w:rsidRPr="00903BF3">
        <w:rPr>
          <w:rStyle w:val="SCCCounselPartyRoleChar"/>
          <w:sz w:val="20"/>
          <w:lang w:val="fr-CA"/>
        </w:rPr>
        <w:t xml:space="preserve">, </w:t>
      </w:r>
      <w:r w:rsidRPr="00903BF3">
        <w:rPr>
          <w:rStyle w:val="SCCCounselPartyRoleChar"/>
          <w:i/>
          <w:sz w:val="20"/>
          <w:lang w:val="fr-CA"/>
        </w:rPr>
        <w:t>Michelle Jackson</w:t>
      </w:r>
      <w:r w:rsidRPr="00903BF3">
        <w:rPr>
          <w:rStyle w:val="SCCCounselPartyRoleChar"/>
          <w:sz w:val="20"/>
          <w:lang w:val="fr-CA"/>
        </w:rPr>
        <w:t xml:space="preserve"> et </w:t>
      </w:r>
      <w:r w:rsidRPr="00903BF3">
        <w:rPr>
          <w:rStyle w:val="SCCCounselPartyRoleChar"/>
          <w:i/>
          <w:sz w:val="20"/>
          <w:lang w:val="fr-CA"/>
        </w:rPr>
        <w:t>Jonathan A. Odumeru</w:t>
      </w:r>
      <w:r w:rsidRPr="00903BF3">
        <w:rPr>
          <w:rStyle w:val="SCCCounselPartyRoleChar"/>
          <w:sz w:val="20"/>
          <w:lang w:val="fr-CA"/>
        </w:rPr>
        <w:t>, pour les intimés.</w:t>
      </w:r>
    </w:p>
    <w:p w:rsidR="00E3023B" w:rsidRDefault="00E3023B" w:rsidP="00E3023B">
      <w:pPr>
        <w:pStyle w:val="SCCNormalDoubleSpacing"/>
        <w:spacing w:line="240" w:lineRule="auto"/>
        <w:rPr>
          <w:rStyle w:val="SCCCounselNameChar"/>
          <w:sz w:val="20"/>
          <w:lang w:val="fr-CA"/>
        </w:rPr>
      </w:pPr>
    </w:p>
    <w:p w:rsidR="00E3023B" w:rsidRPr="00903BF3" w:rsidRDefault="00E3023B" w:rsidP="00E3023B">
      <w:pPr>
        <w:pStyle w:val="SCCNormalDoubleSpacing"/>
        <w:spacing w:line="240" w:lineRule="auto"/>
        <w:rPr>
          <w:sz w:val="20"/>
          <w:lang w:val="fr-CA"/>
        </w:rPr>
      </w:pPr>
      <w:r w:rsidRPr="00903BF3">
        <w:rPr>
          <w:rStyle w:val="SCCCounselNameChar"/>
          <w:sz w:val="20"/>
          <w:lang w:val="fr-CA"/>
        </w:rPr>
        <w:tab/>
        <w:t>Allan Rouben et Ronald P. Bohm</w:t>
      </w:r>
      <w:r w:rsidRPr="00903BF3">
        <w:rPr>
          <w:rStyle w:val="SCCCounselPartyRoleChar"/>
          <w:sz w:val="20"/>
          <w:lang w:val="fr-CA"/>
        </w:rPr>
        <w:t>, pour l’intervenante Ontario Trial Lawyers Association.</w:t>
      </w:r>
    </w:p>
    <w:p w:rsidR="00E3023B" w:rsidRDefault="00E3023B" w:rsidP="00E3023B">
      <w:pPr>
        <w:pStyle w:val="SCCNormalDoubleSpacing"/>
        <w:spacing w:line="240" w:lineRule="auto"/>
        <w:rPr>
          <w:rStyle w:val="SCCCounselNameChar"/>
          <w:sz w:val="20"/>
          <w:lang w:val="fr-CA"/>
        </w:rPr>
      </w:pPr>
    </w:p>
    <w:p w:rsidR="00E3023B" w:rsidRPr="00903BF3" w:rsidRDefault="00E3023B" w:rsidP="00E3023B">
      <w:pPr>
        <w:pStyle w:val="SCCNormalDoubleSpacing"/>
        <w:spacing w:line="240" w:lineRule="auto"/>
        <w:rPr>
          <w:sz w:val="20"/>
          <w:lang w:val="fr-CA"/>
        </w:rPr>
      </w:pPr>
      <w:r w:rsidRPr="00903BF3">
        <w:rPr>
          <w:rStyle w:val="SCCCounselNameChar"/>
          <w:sz w:val="20"/>
          <w:lang w:val="fr-CA"/>
        </w:rPr>
        <w:tab/>
        <w:t>Paul R. Sweeny et David Sterns</w:t>
      </w:r>
      <w:r w:rsidRPr="00903BF3">
        <w:rPr>
          <w:rStyle w:val="SCCCounselPartyRoleChar"/>
          <w:sz w:val="20"/>
          <w:lang w:val="fr-CA"/>
        </w:rPr>
        <w:t>, pour l’intervenante l’Association du Barreau canadien.</w:t>
      </w:r>
    </w:p>
    <w:p w:rsidR="00E3023B" w:rsidRDefault="00E3023B" w:rsidP="00E3023B">
      <w:pPr>
        <w:pStyle w:val="SCCLawFirm"/>
        <w:spacing w:line="240" w:lineRule="auto"/>
        <w:rPr>
          <w:sz w:val="20"/>
          <w:lang w:val="fr-CA"/>
        </w:rPr>
      </w:pPr>
    </w:p>
    <w:p w:rsidR="00E3023B" w:rsidRPr="00903BF3" w:rsidRDefault="00E3023B" w:rsidP="00E3023B">
      <w:pPr>
        <w:pStyle w:val="SCCLawFirm"/>
        <w:spacing w:line="240" w:lineRule="auto"/>
        <w:rPr>
          <w:sz w:val="20"/>
          <w:lang w:val="fr-CA"/>
        </w:rPr>
      </w:pPr>
      <w:r w:rsidRPr="00903BF3">
        <w:rPr>
          <w:sz w:val="20"/>
          <w:lang w:val="fr-CA"/>
        </w:rPr>
        <w:tab/>
        <w:t>Procureurs de l’appelant : McCarthy Tétrault, Toronto.</w:t>
      </w:r>
    </w:p>
    <w:p w:rsidR="00E3023B" w:rsidRDefault="00E3023B" w:rsidP="00E3023B">
      <w:pPr>
        <w:pStyle w:val="SCCLawFirm"/>
        <w:spacing w:line="240" w:lineRule="auto"/>
        <w:rPr>
          <w:sz w:val="20"/>
          <w:lang w:val="fr-CA"/>
        </w:rPr>
      </w:pPr>
    </w:p>
    <w:p w:rsidR="00E3023B" w:rsidRPr="00903BF3" w:rsidRDefault="00E3023B" w:rsidP="00E3023B">
      <w:pPr>
        <w:pStyle w:val="SCCLawFirm"/>
        <w:spacing w:line="240" w:lineRule="auto"/>
        <w:rPr>
          <w:sz w:val="20"/>
          <w:lang w:val="fr-CA"/>
        </w:rPr>
      </w:pPr>
      <w:r w:rsidRPr="00903BF3">
        <w:rPr>
          <w:sz w:val="20"/>
          <w:lang w:val="fr-CA"/>
        </w:rPr>
        <w:tab/>
        <w:t>Procureurs des intimés : Heydary Hamilton, Toronto.</w:t>
      </w:r>
    </w:p>
    <w:p w:rsidR="00E3023B" w:rsidRDefault="00E3023B" w:rsidP="00E3023B">
      <w:pPr>
        <w:pStyle w:val="SCCLawFirm"/>
        <w:spacing w:line="240" w:lineRule="auto"/>
        <w:rPr>
          <w:sz w:val="20"/>
          <w:lang w:val="fr-CA"/>
        </w:rPr>
      </w:pPr>
    </w:p>
    <w:p w:rsidR="00E3023B" w:rsidRPr="00903BF3" w:rsidRDefault="00E3023B" w:rsidP="00E3023B">
      <w:pPr>
        <w:pStyle w:val="SCCLawFirm"/>
        <w:spacing w:line="240" w:lineRule="auto"/>
        <w:rPr>
          <w:sz w:val="20"/>
          <w:lang w:val="en-US"/>
        </w:rPr>
      </w:pPr>
      <w:r w:rsidRPr="00903BF3">
        <w:rPr>
          <w:sz w:val="20"/>
          <w:lang w:val="fr-CA"/>
        </w:rPr>
        <w:tab/>
      </w:r>
      <w:r w:rsidRPr="00903BF3">
        <w:rPr>
          <w:sz w:val="20"/>
          <w:lang w:val="en-US"/>
        </w:rPr>
        <w:t>Procureurs de l’intervenante Ontario Trial Lawyers Association : Allan Rouben, Toronto; SBMB Law, Richmond Hill, Ontario.</w:t>
      </w:r>
    </w:p>
    <w:p w:rsidR="00E3023B" w:rsidRDefault="00E3023B" w:rsidP="00E3023B">
      <w:pPr>
        <w:pStyle w:val="SCCLawFirm"/>
        <w:spacing w:line="240" w:lineRule="auto"/>
        <w:rPr>
          <w:sz w:val="20"/>
          <w:lang w:val="en-US"/>
        </w:rPr>
      </w:pPr>
    </w:p>
    <w:p w:rsidR="00E3023B" w:rsidRDefault="00E3023B" w:rsidP="00E3023B">
      <w:pPr>
        <w:pStyle w:val="SCCLawFirm"/>
        <w:spacing w:line="240" w:lineRule="auto"/>
        <w:rPr>
          <w:sz w:val="20"/>
          <w:lang w:val="fr-CA"/>
        </w:rPr>
      </w:pPr>
      <w:r w:rsidRPr="00903BF3">
        <w:rPr>
          <w:sz w:val="20"/>
          <w:lang w:val="en-US"/>
        </w:rPr>
        <w:tab/>
      </w:r>
      <w:r w:rsidRPr="00903BF3">
        <w:rPr>
          <w:sz w:val="20"/>
          <w:lang w:val="fr-CA"/>
        </w:rPr>
        <w:t>Procureurs de l’intervenante l’Association du Barreau canadien : Evans Sweeny Bordin, Hamilton; Sotos, Toronto.</w:t>
      </w:r>
    </w:p>
    <w:p w:rsidR="003B3977" w:rsidRDefault="003B3977" w:rsidP="005C6840">
      <w:pPr>
        <w:rPr>
          <w:rFonts w:cs="Times New Roman"/>
          <w:sz w:val="20"/>
          <w:szCs w:val="20"/>
          <w:lang w:val="fr-CA"/>
        </w:rPr>
      </w:pPr>
    </w:p>
    <w:p w:rsidR="005C6840" w:rsidRDefault="007C5411" w:rsidP="005C6840">
      <w:pPr>
        <w:rPr>
          <w:lang w:val="fr-CA"/>
        </w:rPr>
      </w:pPr>
      <w:r>
        <w:rPr>
          <w:rFonts w:cs="Times New Roman"/>
          <w:sz w:val="20"/>
          <w:szCs w:val="20"/>
          <w:lang w:val="fr-CA"/>
        </w:rPr>
        <w:pict>
          <v:rect id="_x0000_i1093" style="width:144.3pt;height:1pt" o:hrpct="300" o:hralign="center" o:hrstd="t" o:hrnoshade="t" o:hr="t" fillcolor="black [3213]" stroked="f"/>
        </w:pict>
      </w:r>
      <w:r w:rsidR="005C6840">
        <w:rPr>
          <w:lang w:val="fr-CA"/>
        </w:rPr>
        <w:br w:type="page"/>
      </w:r>
    </w:p>
    <w:p w:rsidR="00AD6E9E" w:rsidRPr="000A6588" w:rsidRDefault="00AD6E9E" w:rsidP="00AD6E9E">
      <w:pPr>
        <w:jc w:val="both"/>
        <w:rPr>
          <w:sz w:val="20"/>
          <w:szCs w:val="20"/>
        </w:rPr>
      </w:pPr>
      <w:r w:rsidRPr="000A6588">
        <w:rPr>
          <w:i/>
          <w:sz w:val="20"/>
          <w:szCs w:val="20"/>
        </w:rPr>
        <w:lastRenderedPageBreak/>
        <w:t>Bruno Appliance and Furniture, Inc. v. Robert Hryniak</w:t>
      </w:r>
      <w:r w:rsidRPr="000A6588">
        <w:rPr>
          <w:sz w:val="20"/>
          <w:szCs w:val="20"/>
        </w:rPr>
        <w:t xml:space="preserve"> (Ont.) (</w:t>
      </w:r>
      <w:hyperlink r:id="rId103" w:history="1">
        <w:r w:rsidRPr="000A6588">
          <w:rPr>
            <w:rStyle w:val="Hyperlink"/>
            <w:sz w:val="20"/>
            <w:szCs w:val="20"/>
          </w:rPr>
          <w:t>34645</w:t>
        </w:r>
      </w:hyperlink>
      <w:r w:rsidRPr="000A6588">
        <w:rPr>
          <w:sz w:val="20"/>
          <w:szCs w:val="20"/>
        </w:rPr>
        <w:t>)</w:t>
      </w:r>
    </w:p>
    <w:p w:rsidR="00011DA2" w:rsidRDefault="00011DA2" w:rsidP="00011DA2">
      <w:pPr>
        <w:jc w:val="both"/>
        <w:rPr>
          <w:b/>
          <w:sz w:val="20"/>
          <w:szCs w:val="20"/>
        </w:rPr>
      </w:pPr>
      <w:r w:rsidRPr="00B453AE">
        <w:rPr>
          <w:b/>
          <w:sz w:val="20"/>
          <w:szCs w:val="20"/>
        </w:rPr>
        <w:t xml:space="preserve">Indexed as:  Bruno Appliance and Furniture, Inc. </w:t>
      </w:r>
      <w:r w:rsidRPr="00B453AE">
        <w:rPr>
          <w:b/>
          <w:i/>
          <w:sz w:val="20"/>
          <w:szCs w:val="20"/>
        </w:rPr>
        <w:t>v.</w:t>
      </w:r>
      <w:r w:rsidRPr="00B453AE">
        <w:rPr>
          <w:b/>
          <w:sz w:val="20"/>
          <w:szCs w:val="20"/>
        </w:rPr>
        <w:t xml:space="preserve"> Hryniak</w:t>
      </w:r>
      <w:r>
        <w:rPr>
          <w:b/>
          <w:sz w:val="20"/>
          <w:szCs w:val="20"/>
        </w:rPr>
        <w:t xml:space="preserve"> / </w:t>
      </w:r>
    </w:p>
    <w:p w:rsidR="00011DA2" w:rsidRPr="00011DA2" w:rsidRDefault="00011DA2" w:rsidP="00011DA2">
      <w:pPr>
        <w:jc w:val="both"/>
        <w:rPr>
          <w:b/>
          <w:sz w:val="20"/>
          <w:szCs w:val="20"/>
        </w:rPr>
      </w:pPr>
      <w:r w:rsidRPr="00011DA2">
        <w:rPr>
          <w:b/>
          <w:sz w:val="20"/>
          <w:szCs w:val="20"/>
        </w:rPr>
        <w:t xml:space="preserve">Répertorié : Bruno Appliance and Furniture, Inc. </w:t>
      </w:r>
      <w:r w:rsidRPr="00011DA2">
        <w:rPr>
          <w:b/>
          <w:i/>
          <w:sz w:val="20"/>
          <w:szCs w:val="20"/>
        </w:rPr>
        <w:t>c.</w:t>
      </w:r>
      <w:r w:rsidRPr="00011DA2">
        <w:rPr>
          <w:b/>
          <w:sz w:val="20"/>
          <w:szCs w:val="20"/>
        </w:rPr>
        <w:t xml:space="preserve"> Hryniak</w:t>
      </w:r>
    </w:p>
    <w:p w:rsidR="00902E51" w:rsidRPr="00B60D0E" w:rsidRDefault="00902E51" w:rsidP="00902E51">
      <w:pPr>
        <w:pStyle w:val="SCCSystemYear"/>
        <w:jc w:val="both"/>
        <w:rPr>
          <w:sz w:val="20"/>
          <w:lang w:val="en-CA"/>
        </w:rPr>
      </w:pPr>
      <w:r w:rsidRPr="00B60D0E">
        <w:rPr>
          <w:sz w:val="20"/>
          <w:lang w:val="en-CA"/>
        </w:rPr>
        <w:t>Neutral citation:  201</w:t>
      </w:r>
      <w:r w:rsidR="00864614" w:rsidRPr="00B60D0E">
        <w:rPr>
          <w:sz w:val="20"/>
          <w:lang w:val="en-CA"/>
        </w:rPr>
        <w:t>4</w:t>
      </w:r>
      <w:r w:rsidRPr="00B60D0E">
        <w:rPr>
          <w:sz w:val="20"/>
          <w:lang w:val="en-CA"/>
        </w:rPr>
        <w:t xml:space="preserve"> SCC </w:t>
      </w:r>
      <w:r w:rsidR="00011DA2" w:rsidRPr="00B60D0E">
        <w:rPr>
          <w:sz w:val="20"/>
          <w:lang w:val="en-CA"/>
        </w:rPr>
        <w:t>8</w:t>
      </w:r>
      <w:r w:rsidRPr="00B60D0E">
        <w:rPr>
          <w:sz w:val="20"/>
          <w:lang w:val="en-CA"/>
        </w:rPr>
        <w:t xml:space="preserve"> / Référence neutre : 201</w:t>
      </w:r>
      <w:r w:rsidR="00864614" w:rsidRPr="00B60D0E">
        <w:rPr>
          <w:sz w:val="20"/>
          <w:lang w:val="en-CA"/>
        </w:rPr>
        <w:t>4</w:t>
      </w:r>
      <w:r w:rsidRPr="00B60D0E">
        <w:rPr>
          <w:sz w:val="20"/>
          <w:lang w:val="en-CA"/>
        </w:rPr>
        <w:t xml:space="preserve"> CSC </w:t>
      </w:r>
      <w:r w:rsidR="00011DA2" w:rsidRPr="00B60D0E">
        <w:rPr>
          <w:sz w:val="20"/>
          <w:lang w:val="en-CA"/>
        </w:rPr>
        <w:t>8</w:t>
      </w:r>
    </w:p>
    <w:p w:rsidR="00902E51" w:rsidRPr="00B60D0E" w:rsidRDefault="00902E51" w:rsidP="00902E51">
      <w:pPr>
        <w:rPr>
          <w:sz w:val="20"/>
          <w:szCs w:val="20"/>
        </w:rPr>
      </w:pPr>
      <w:r w:rsidRPr="00B60D0E">
        <w:rPr>
          <w:sz w:val="20"/>
          <w:szCs w:val="20"/>
        </w:rPr>
        <w:t>Hearing:  March 2</w:t>
      </w:r>
      <w:r w:rsidR="00011DA2" w:rsidRPr="00B60D0E">
        <w:rPr>
          <w:sz w:val="20"/>
          <w:szCs w:val="20"/>
        </w:rPr>
        <w:t>6</w:t>
      </w:r>
      <w:r w:rsidRPr="00B60D0E">
        <w:rPr>
          <w:sz w:val="20"/>
          <w:szCs w:val="20"/>
        </w:rPr>
        <w:t xml:space="preserve">, 2013 / Judgment:  </w:t>
      </w:r>
      <w:r w:rsidR="00864614" w:rsidRPr="00B60D0E">
        <w:rPr>
          <w:sz w:val="20"/>
          <w:szCs w:val="20"/>
        </w:rPr>
        <w:t>J</w:t>
      </w:r>
      <w:r w:rsidRPr="00B60D0E">
        <w:rPr>
          <w:sz w:val="20"/>
          <w:szCs w:val="20"/>
        </w:rPr>
        <w:t>a</w:t>
      </w:r>
      <w:r w:rsidR="00864614" w:rsidRPr="00B60D0E">
        <w:rPr>
          <w:sz w:val="20"/>
          <w:szCs w:val="20"/>
        </w:rPr>
        <w:t>nuar</w:t>
      </w:r>
      <w:r w:rsidRPr="00B60D0E">
        <w:rPr>
          <w:sz w:val="20"/>
          <w:szCs w:val="20"/>
        </w:rPr>
        <w:t xml:space="preserve">y </w:t>
      </w:r>
      <w:r w:rsidR="00864614" w:rsidRPr="00B60D0E">
        <w:rPr>
          <w:sz w:val="20"/>
          <w:szCs w:val="20"/>
        </w:rPr>
        <w:t>23</w:t>
      </w:r>
      <w:r w:rsidRPr="00B60D0E">
        <w:rPr>
          <w:sz w:val="20"/>
          <w:szCs w:val="20"/>
        </w:rPr>
        <w:t>, 201</w:t>
      </w:r>
      <w:r w:rsidR="00864614" w:rsidRPr="00B60D0E">
        <w:rPr>
          <w:sz w:val="20"/>
          <w:szCs w:val="20"/>
        </w:rPr>
        <w:t>4</w:t>
      </w:r>
    </w:p>
    <w:p w:rsidR="00902E51" w:rsidRPr="003B3977" w:rsidRDefault="00902E51" w:rsidP="00902E51">
      <w:pPr>
        <w:rPr>
          <w:sz w:val="20"/>
          <w:szCs w:val="20"/>
          <w:lang w:val="fr-CA"/>
        </w:rPr>
      </w:pPr>
      <w:r w:rsidRPr="003B3977">
        <w:rPr>
          <w:sz w:val="20"/>
          <w:szCs w:val="20"/>
          <w:lang w:val="fr-CA"/>
        </w:rPr>
        <w:t>Audition : Le 2</w:t>
      </w:r>
      <w:r w:rsidR="00011DA2">
        <w:rPr>
          <w:sz w:val="20"/>
          <w:szCs w:val="20"/>
          <w:lang w:val="fr-CA"/>
        </w:rPr>
        <w:t>6</w:t>
      </w:r>
      <w:r>
        <w:rPr>
          <w:sz w:val="20"/>
          <w:szCs w:val="20"/>
          <w:lang w:val="fr-CA"/>
        </w:rPr>
        <w:t xml:space="preserve"> </w:t>
      </w:r>
      <w:r w:rsidRPr="003B3977">
        <w:rPr>
          <w:sz w:val="20"/>
          <w:szCs w:val="20"/>
          <w:lang w:val="fr-CA"/>
        </w:rPr>
        <w:t>ma</w:t>
      </w:r>
      <w:r>
        <w:rPr>
          <w:sz w:val="20"/>
          <w:szCs w:val="20"/>
          <w:lang w:val="fr-CA"/>
        </w:rPr>
        <w:t>rs</w:t>
      </w:r>
      <w:r w:rsidRPr="003B3977">
        <w:rPr>
          <w:sz w:val="20"/>
          <w:szCs w:val="20"/>
          <w:lang w:val="fr-CA"/>
        </w:rPr>
        <w:t xml:space="preserve"> 201</w:t>
      </w:r>
      <w:r>
        <w:rPr>
          <w:sz w:val="20"/>
          <w:szCs w:val="20"/>
          <w:lang w:val="fr-CA"/>
        </w:rPr>
        <w:t>3</w:t>
      </w:r>
      <w:r w:rsidRPr="003B3977">
        <w:rPr>
          <w:sz w:val="20"/>
          <w:szCs w:val="20"/>
          <w:lang w:val="fr-CA"/>
        </w:rPr>
        <w:t xml:space="preserve"> / Jugement : Le </w:t>
      </w:r>
      <w:r w:rsidR="00864614">
        <w:rPr>
          <w:sz w:val="20"/>
          <w:szCs w:val="20"/>
          <w:lang w:val="fr-CA"/>
        </w:rPr>
        <w:t>23</w:t>
      </w:r>
      <w:r>
        <w:rPr>
          <w:sz w:val="20"/>
          <w:szCs w:val="20"/>
          <w:lang w:val="fr-CA"/>
        </w:rPr>
        <w:t xml:space="preserve"> </w:t>
      </w:r>
      <w:r w:rsidR="00864614">
        <w:rPr>
          <w:sz w:val="20"/>
          <w:szCs w:val="20"/>
          <w:lang w:val="fr-CA"/>
        </w:rPr>
        <w:t>j</w:t>
      </w:r>
      <w:r>
        <w:rPr>
          <w:sz w:val="20"/>
          <w:szCs w:val="20"/>
          <w:lang w:val="fr-CA"/>
        </w:rPr>
        <w:t>a</w:t>
      </w:r>
      <w:r w:rsidR="00864614">
        <w:rPr>
          <w:sz w:val="20"/>
          <w:szCs w:val="20"/>
          <w:lang w:val="fr-CA"/>
        </w:rPr>
        <w:t>nv</w:t>
      </w:r>
      <w:r>
        <w:rPr>
          <w:sz w:val="20"/>
          <w:szCs w:val="20"/>
          <w:lang w:val="fr-CA"/>
        </w:rPr>
        <w:t>i</w:t>
      </w:r>
      <w:r w:rsidR="00864614">
        <w:rPr>
          <w:sz w:val="20"/>
          <w:szCs w:val="20"/>
          <w:lang w:val="fr-CA"/>
        </w:rPr>
        <w:t>er</w:t>
      </w:r>
      <w:r w:rsidRPr="003B3977">
        <w:rPr>
          <w:sz w:val="20"/>
          <w:szCs w:val="20"/>
          <w:lang w:val="fr-CA"/>
        </w:rPr>
        <w:t xml:space="preserve"> 201</w:t>
      </w:r>
      <w:r w:rsidR="00864614">
        <w:rPr>
          <w:sz w:val="20"/>
          <w:szCs w:val="20"/>
          <w:lang w:val="fr-CA"/>
        </w:rPr>
        <w:t>4</w:t>
      </w:r>
    </w:p>
    <w:p w:rsidR="005C6840" w:rsidRPr="003B3977" w:rsidRDefault="007C5411" w:rsidP="005C6840">
      <w:pPr>
        <w:rPr>
          <w:sz w:val="20"/>
          <w:szCs w:val="20"/>
          <w:lang w:val="fr-CA"/>
        </w:rPr>
      </w:pPr>
      <w:r>
        <w:rPr>
          <w:i/>
          <w:sz w:val="20"/>
          <w:szCs w:val="20"/>
        </w:rPr>
        <w:pict>
          <v:rect id="_x0000_i1094"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011DA2" w:rsidRPr="00B453AE" w:rsidRDefault="00011DA2" w:rsidP="00011DA2">
      <w:pPr>
        <w:jc w:val="both"/>
        <w:rPr>
          <w:sz w:val="20"/>
          <w:szCs w:val="20"/>
        </w:rPr>
      </w:pPr>
      <w:r w:rsidRPr="00B453AE">
        <w:rPr>
          <w:sz w:val="20"/>
          <w:szCs w:val="20"/>
        </w:rPr>
        <w:t>Present:  McLachlin C.J. and LeBel, Abella, Rothstein, Cromwell, Karakatsanis and Wagner JJ.</w:t>
      </w:r>
    </w:p>
    <w:p w:rsidR="00011DA2" w:rsidRDefault="00011DA2" w:rsidP="00011DA2">
      <w:pPr>
        <w:pStyle w:val="SCCNormalDoubleSpacing"/>
        <w:spacing w:line="240" w:lineRule="auto"/>
        <w:rPr>
          <w:i/>
          <w:sz w:val="20"/>
        </w:rPr>
      </w:pPr>
    </w:p>
    <w:p w:rsidR="00011DA2" w:rsidRPr="00B453AE" w:rsidRDefault="00011DA2" w:rsidP="00011DA2">
      <w:pPr>
        <w:pStyle w:val="SCCNormalDoubleSpacing"/>
        <w:spacing w:line="240" w:lineRule="auto"/>
        <w:rPr>
          <w:i/>
          <w:sz w:val="20"/>
        </w:rPr>
      </w:pPr>
      <w:r w:rsidRPr="00B453AE">
        <w:rPr>
          <w:i/>
          <w:sz w:val="20"/>
        </w:rPr>
        <w:tab/>
        <w:t>Civil Procedure — Summary Judgment — Investor bringing action in civil fraud and subsequently bringing a motion for summary judgment — Motion judge granting summary judgment but being overruled by Court of Appeal — Elements of civil fraud — Whether motion judge erred in granting summary judgment — Rules of Civil Procedure, R.R.O. 1990, Reg. 194, Rule 20</w:t>
      </w:r>
    </w:p>
    <w:p w:rsidR="00011DA2" w:rsidRDefault="00011DA2" w:rsidP="00011DA2">
      <w:pPr>
        <w:pStyle w:val="SCCNormalDoubleSpacing"/>
        <w:spacing w:line="240" w:lineRule="auto"/>
        <w:rPr>
          <w:sz w:val="20"/>
        </w:rPr>
      </w:pPr>
    </w:p>
    <w:p w:rsidR="00011DA2" w:rsidRPr="00B453AE" w:rsidRDefault="00011DA2" w:rsidP="00011DA2">
      <w:pPr>
        <w:pStyle w:val="SCCNormalDoubleSpacing"/>
        <w:spacing w:line="240" w:lineRule="auto"/>
        <w:rPr>
          <w:sz w:val="20"/>
        </w:rPr>
      </w:pPr>
      <w:r w:rsidRPr="00B453AE">
        <w:rPr>
          <w:sz w:val="20"/>
        </w:rPr>
        <w:tab/>
        <w:t>Bruno Appliance and Furniture, Inc. is an American corporation.  Its principal met with the principal of Frontline Investments, Inc. and as a result of these meetings, executed a number of investment documents in favour of Frontline.  Bruno Appliance subsequently wired US$1 million to Cassels Brock, who assigned the funds to an account associated with Tropos Financial Corp, a company of which H was the principal.  Bruno Appliance’s funds were then bundled with other funds and paid to Tropos in a bank draft.  Bruno Appliance’s money was not invested and disappeared.</w:t>
      </w:r>
    </w:p>
    <w:p w:rsidR="00011DA2" w:rsidRDefault="00011DA2" w:rsidP="00011DA2">
      <w:pPr>
        <w:pStyle w:val="SCCNormalDoubleSpacing"/>
        <w:spacing w:line="240" w:lineRule="auto"/>
        <w:rPr>
          <w:sz w:val="20"/>
        </w:rPr>
      </w:pPr>
    </w:p>
    <w:p w:rsidR="00011DA2" w:rsidRPr="00B453AE" w:rsidRDefault="00011DA2" w:rsidP="00011DA2">
      <w:pPr>
        <w:pStyle w:val="SCCNormalDoubleSpacing"/>
        <w:spacing w:line="240" w:lineRule="auto"/>
        <w:rPr>
          <w:sz w:val="20"/>
        </w:rPr>
      </w:pPr>
      <w:r w:rsidRPr="00B453AE">
        <w:rPr>
          <w:sz w:val="20"/>
        </w:rPr>
        <w:tab/>
        <w:t>Bruno Appliance launched a civil fraud action against H and others, and brought a motion for summary judgment.  The motion judge found that Bruno Appliance had established its claim and that there was no issue requiring a trial.  The Court of Appeal disagreed and ordered that the Bruno Appliance action proceed to trial.</w:t>
      </w:r>
    </w:p>
    <w:p w:rsidR="00011DA2" w:rsidRDefault="00011DA2" w:rsidP="00011DA2">
      <w:pPr>
        <w:pStyle w:val="SCCNormalDoubleSpacing"/>
        <w:spacing w:line="240" w:lineRule="auto"/>
        <w:rPr>
          <w:i/>
          <w:sz w:val="20"/>
        </w:rPr>
      </w:pPr>
    </w:p>
    <w:p w:rsidR="00011DA2" w:rsidRPr="00B453AE" w:rsidRDefault="00011DA2" w:rsidP="00011DA2">
      <w:pPr>
        <w:pStyle w:val="SCCNormalDoubleSpacing"/>
        <w:spacing w:line="240" w:lineRule="auto"/>
        <w:rPr>
          <w:sz w:val="20"/>
        </w:rPr>
      </w:pPr>
      <w:r w:rsidRPr="00B453AE">
        <w:rPr>
          <w:i/>
          <w:sz w:val="20"/>
        </w:rPr>
        <w:tab/>
        <w:t>Held:</w:t>
      </w:r>
      <w:r w:rsidRPr="00B453AE">
        <w:rPr>
          <w:sz w:val="20"/>
        </w:rPr>
        <w:t xml:space="preserve">  The appeal should be dismissed.</w:t>
      </w:r>
    </w:p>
    <w:p w:rsidR="00011DA2" w:rsidRDefault="00011DA2" w:rsidP="00011DA2">
      <w:pPr>
        <w:pStyle w:val="SCCNormalDoubleSpacing"/>
        <w:spacing w:line="240" w:lineRule="auto"/>
        <w:rPr>
          <w:sz w:val="20"/>
        </w:rPr>
      </w:pPr>
    </w:p>
    <w:p w:rsidR="00011DA2" w:rsidRPr="00B453AE" w:rsidRDefault="00011DA2" w:rsidP="00011DA2">
      <w:pPr>
        <w:pStyle w:val="SCCNormalDoubleSpacing"/>
        <w:spacing w:line="240" w:lineRule="auto"/>
        <w:rPr>
          <w:sz w:val="20"/>
        </w:rPr>
      </w:pPr>
      <w:r w:rsidRPr="00B453AE">
        <w:rPr>
          <w:sz w:val="20"/>
        </w:rPr>
        <w:tab/>
        <w:t xml:space="preserve">The scope and interpretation of the amended Rule 20 summary judgment motion are addressed in the companion appeal, </w:t>
      </w:r>
      <w:r w:rsidRPr="00B453AE">
        <w:rPr>
          <w:i/>
          <w:sz w:val="20"/>
        </w:rPr>
        <w:t>Hryniak v. Mauldin</w:t>
      </w:r>
      <w:r w:rsidRPr="00B453AE">
        <w:rPr>
          <w:sz w:val="20"/>
        </w:rPr>
        <w:t xml:space="preserve">, 2014 SCC 7. Summary judgment may not be granted under Rule 20 where there is a genuine issue requiring a trial.  The motion judge should ask whether the matter can be resolved in a fair and just manner on a summary judgment motion.  </w:t>
      </w:r>
      <w:r w:rsidRPr="00B453AE">
        <w:rPr>
          <w:sz w:val="20"/>
          <w:lang w:val="en-US"/>
        </w:rPr>
        <w:t>This will be the case when the process (1) allows the judge to make the necessary findings of fact, (2) allows the judge to apply the law to the facts, and (3) is a proportionate, more expeditious and less expensive means to achieve a just result.</w:t>
      </w:r>
      <w:r w:rsidRPr="00B453AE">
        <w:rPr>
          <w:sz w:val="20"/>
        </w:rPr>
        <w:t xml:space="preserve">  If there appears to be a genuine issue requiring a trial, based only on the record before her, the judge should then ask if the need for a trial can be avoided by using the new powers provided under Rules 20.04(2.1) and (2.2).  She may, at her discretion, use those powers, provided that their use is not against the interest of justice.</w:t>
      </w:r>
    </w:p>
    <w:p w:rsidR="00011DA2" w:rsidRDefault="00011DA2" w:rsidP="00011DA2">
      <w:pPr>
        <w:pStyle w:val="SCCNormalDoubleSpacing"/>
        <w:spacing w:line="240" w:lineRule="auto"/>
        <w:rPr>
          <w:sz w:val="20"/>
        </w:rPr>
      </w:pPr>
    </w:p>
    <w:p w:rsidR="00011DA2" w:rsidRPr="00B453AE" w:rsidRDefault="00011DA2" w:rsidP="00011DA2">
      <w:pPr>
        <w:pStyle w:val="SCCNormalDoubleSpacing"/>
        <w:spacing w:line="240" w:lineRule="auto"/>
        <w:rPr>
          <w:sz w:val="20"/>
        </w:rPr>
      </w:pPr>
      <w:r w:rsidRPr="00B453AE">
        <w:rPr>
          <w:sz w:val="20"/>
        </w:rPr>
        <w:tab/>
        <w:t>The Court of Appeal did not err in its determination that Bruno Appliance should not receive summary judgment against H.  The following four elements constitute the tort of civil fraud:  (1) a false representation made by the defendant; (2) some level of knowledge of the falsehood of the representation on the part of the defendant (whether through knowledge or recklessness); (3) the false representation caused the plaintiff to act; and (4) the plaintiff’s actions resulted in a loss.</w:t>
      </w:r>
    </w:p>
    <w:p w:rsidR="00011DA2" w:rsidRDefault="00011DA2" w:rsidP="00011DA2">
      <w:pPr>
        <w:pStyle w:val="SCCNormalDoubleSpacing"/>
        <w:spacing w:line="240" w:lineRule="auto"/>
        <w:rPr>
          <w:sz w:val="20"/>
        </w:rPr>
      </w:pPr>
    </w:p>
    <w:p w:rsidR="00011DA2" w:rsidRPr="00B453AE" w:rsidRDefault="00011DA2" w:rsidP="00011DA2">
      <w:pPr>
        <w:pStyle w:val="SCCNormalDoubleSpacing"/>
        <w:spacing w:line="240" w:lineRule="auto"/>
        <w:rPr>
          <w:sz w:val="20"/>
        </w:rPr>
      </w:pPr>
      <w:r w:rsidRPr="00B453AE">
        <w:rPr>
          <w:sz w:val="20"/>
        </w:rPr>
        <w:tab/>
        <w:t>Civil fraud requires a finding that H made a misrepresentation which induced Bruno Appliance to invest.  The motion judge neither identified the need for a misrepresentation, nor found that H made one.  H was not present at the meeting that led to Bruno’s investment and the motion judge’s findings are insufficient to establish that any false statements made at the meeting can be attributed to him.</w:t>
      </w:r>
    </w:p>
    <w:p w:rsidR="00011DA2" w:rsidRDefault="00011DA2" w:rsidP="00011DA2">
      <w:pPr>
        <w:pStyle w:val="SCCNormalDoubleSpacing"/>
        <w:spacing w:line="240" w:lineRule="auto"/>
        <w:rPr>
          <w:sz w:val="20"/>
        </w:rPr>
      </w:pPr>
    </w:p>
    <w:p w:rsidR="00011DA2" w:rsidRDefault="00011DA2" w:rsidP="00011DA2">
      <w:pPr>
        <w:pStyle w:val="SCCNormalDoubleSpacing"/>
        <w:spacing w:line="240" w:lineRule="auto"/>
        <w:rPr>
          <w:sz w:val="20"/>
        </w:rPr>
      </w:pPr>
      <w:r w:rsidRPr="00B453AE">
        <w:rPr>
          <w:sz w:val="20"/>
        </w:rPr>
        <w:tab/>
        <w:t>While the evidence clearly demonstrates that H was aware of the fraud, and may in fact have benefited from the fraud, whether H perpetrated the fraud by inducing Bruno Appliance to contribute US$1 million to a non</w:t>
      </w:r>
      <w:r w:rsidRPr="00B453AE">
        <w:rPr>
          <w:sz w:val="20"/>
        </w:rPr>
        <w:noBreakHyphen/>
        <w:t>existent investment scheme is a genuine issue requiring a trial. </w:t>
      </w:r>
    </w:p>
    <w:p w:rsidR="00011DA2" w:rsidRDefault="00011DA2" w:rsidP="00011DA2">
      <w:pPr>
        <w:pStyle w:val="SCCNormalDoubleSpacing"/>
        <w:spacing w:line="240" w:lineRule="auto"/>
        <w:rPr>
          <w:sz w:val="20"/>
        </w:rPr>
      </w:pPr>
    </w:p>
    <w:p w:rsidR="00011DA2" w:rsidRPr="00B453AE" w:rsidRDefault="00011DA2" w:rsidP="00011DA2">
      <w:pPr>
        <w:pStyle w:val="SCCNormalDoubleSpacing"/>
        <w:spacing w:line="240" w:lineRule="auto"/>
        <w:rPr>
          <w:sz w:val="20"/>
          <w:lang w:val="en-US"/>
        </w:rPr>
      </w:pPr>
      <w:r w:rsidRPr="00B453AE">
        <w:rPr>
          <w:sz w:val="20"/>
        </w:rPr>
        <w:lastRenderedPageBreak/>
        <w:tab/>
        <w:t xml:space="preserve">APPEAL from a judgment of the Ontario Court of Appeal (Winkler C.J.O. and Laskin, Sharpe, Armstrong and Rouleau JJ.A.), </w:t>
      </w:r>
      <w:r w:rsidRPr="00B453AE">
        <w:rPr>
          <w:sz w:val="20"/>
          <w:lang w:val="en-US"/>
        </w:rPr>
        <w:t>2011 ONCA 764, 108 O.R. (3d) 1, 286 O.A.C. 3, 97 C.C.E.L. (3d) 25, 14 C.P.C. (7th) 242, 13 R.P.R. (5th) 167, 93 B.L.R. (4th) 1, 344 D.L.R. (4th) 193, 10 C.L.R. (4th) 17, [2011] O.J. No. 5431 (QL), 2011 CarswellOnt 13515 (</w:t>
      </w:r>
      <w:r w:rsidRPr="00B453AE">
        <w:rPr>
          <w:i/>
          <w:sz w:val="20"/>
          <w:lang w:val="en-US"/>
        </w:rPr>
        <w:t>sub nom. Combined Air Mechanical Services Inc. v. Flesch</w:t>
      </w:r>
      <w:r w:rsidRPr="00B453AE">
        <w:rPr>
          <w:sz w:val="20"/>
          <w:lang w:val="en-US"/>
        </w:rPr>
        <w:t>), setting aside a decision of Grace J., 2010 ONSC 5490, [2010] O.J. No. 4661 (QL), 2010 CarswellOnt 8325.  Appeal dismissed.</w:t>
      </w:r>
    </w:p>
    <w:p w:rsidR="00011DA2" w:rsidRDefault="00011DA2" w:rsidP="00011DA2">
      <w:pPr>
        <w:pStyle w:val="SCCNormalDoubleSpacing"/>
        <w:spacing w:line="240" w:lineRule="auto"/>
        <w:rPr>
          <w:i/>
          <w:sz w:val="20"/>
        </w:rPr>
      </w:pPr>
    </w:p>
    <w:p w:rsidR="00011DA2" w:rsidRPr="00B453AE" w:rsidRDefault="00011DA2" w:rsidP="00011DA2">
      <w:pPr>
        <w:pStyle w:val="SCCNormalDoubleSpacing"/>
        <w:spacing w:line="240" w:lineRule="auto"/>
        <w:rPr>
          <w:sz w:val="20"/>
        </w:rPr>
      </w:pPr>
      <w:r w:rsidRPr="00B453AE">
        <w:rPr>
          <w:i/>
          <w:sz w:val="20"/>
        </w:rPr>
        <w:tab/>
        <w:t>Javad Heydary, Jeffrey D. Landmann</w:t>
      </w:r>
      <w:r w:rsidRPr="00B453AE">
        <w:rPr>
          <w:sz w:val="20"/>
        </w:rPr>
        <w:t xml:space="preserve">, </w:t>
      </w:r>
      <w:r w:rsidRPr="00B453AE">
        <w:rPr>
          <w:i/>
          <w:sz w:val="20"/>
        </w:rPr>
        <w:t>David K. Alderson</w:t>
      </w:r>
      <w:r w:rsidRPr="00B453AE">
        <w:rPr>
          <w:sz w:val="20"/>
        </w:rPr>
        <w:t xml:space="preserve">, </w:t>
      </w:r>
      <w:r w:rsidRPr="00B453AE">
        <w:rPr>
          <w:i/>
          <w:sz w:val="20"/>
        </w:rPr>
        <w:t>Michelle Jackson</w:t>
      </w:r>
      <w:r w:rsidRPr="00B453AE">
        <w:rPr>
          <w:sz w:val="20"/>
        </w:rPr>
        <w:t xml:space="preserve"> and </w:t>
      </w:r>
      <w:r w:rsidRPr="00B453AE">
        <w:rPr>
          <w:i/>
          <w:sz w:val="20"/>
        </w:rPr>
        <w:t>Jonathan A. Odumeru</w:t>
      </w:r>
      <w:r w:rsidRPr="00B453AE">
        <w:rPr>
          <w:sz w:val="20"/>
        </w:rPr>
        <w:t>, for the appellant.</w:t>
      </w:r>
    </w:p>
    <w:p w:rsidR="00011DA2" w:rsidRDefault="00011DA2" w:rsidP="00011DA2">
      <w:pPr>
        <w:pStyle w:val="SCCNormalDoubleSpacing"/>
        <w:spacing w:line="240" w:lineRule="auto"/>
        <w:rPr>
          <w:i/>
          <w:sz w:val="20"/>
        </w:rPr>
      </w:pPr>
    </w:p>
    <w:p w:rsidR="00011DA2" w:rsidRPr="00B453AE" w:rsidRDefault="00011DA2" w:rsidP="00011DA2">
      <w:pPr>
        <w:pStyle w:val="SCCNormalDoubleSpacing"/>
        <w:spacing w:line="240" w:lineRule="auto"/>
        <w:rPr>
          <w:sz w:val="20"/>
        </w:rPr>
      </w:pPr>
      <w:r w:rsidRPr="00B453AE">
        <w:rPr>
          <w:i/>
          <w:sz w:val="20"/>
        </w:rPr>
        <w:tab/>
        <w:t>Sarit E. Batner</w:t>
      </w:r>
      <w:r w:rsidRPr="00B453AE">
        <w:rPr>
          <w:sz w:val="20"/>
        </w:rPr>
        <w:t xml:space="preserve">, </w:t>
      </w:r>
      <w:r w:rsidRPr="00B453AE">
        <w:rPr>
          <w:i/>
          <w:sz w:val="20"/>
        </w:rPr>
        <w:t>Brandon Kain</w:t>
      </w:r>
      <w:r w:rsidRPr="00B453AE">
        <w:rPr>
          <w:sz w:val="20"/>
        </w:rPr>
        <w:t xml:space="preserve"> and </w:t>
      </w:r>
      <w:r w:rsidRPr="00B453AE">
        <w:rPr>
          <w:i/>
          <w:sz w:val="20"/>
        </w:rPr>
        <w:t>Moya J. Graham</w:t>
      </w:r>
      <w:r w:rsidRPr="00B453AE">
        <w:rPr>
          <w:sz w:val="20"/>
        </w:rPr>
        <w:t>, for the respondent.</w:t>
      </w:r>
    </w:p>
    <w:p w:rsidR="00011DA2" w:rsidRDefault="00011DA2" w:rsidP="00011DA2">
      <w:pPr>
        <w:pStyle w:val="SCCNormalDoubleSpacing"/>
        <w:spacing w:line="240" w:lineRule="auto"/>
        <w:rPr>
          <w:i/>
          <w:sz w:val="20"/>
        </w:rPr>
      </w:pPr>
    </w:p>
    <w:p w:rsidR="00011DA2" w:rsidRPr="00B453AE" w:rsidRDefault="00011DA2" w:rsidP="00011DA2">
      <w:pPr>
        <w:pStyle w:val="SCCNormalDoubleSpacing"/>
        <w:spacing w:line="240" w:lineRule="auto"/>
        <w:rPr>
          <w:sz w:val="20"/>
        </w:rPr>
      </w:pPr>
      <w:r w:rsidRPr="00B453AE">
        <w:rPr>
          <w:i/>
          <w:sz w:val="20"/>
        </w:rPr>
        <w:tab/>
        <w:t>Malliha Wilson</w:t>
      </w:r>
      <w:r w:rsidRPr="00B453AE">
        <w:rPr>
          <w:sz w:val="20"/>
        </w:rPr>
        <w:t xml:space="preserve"> and </w:t>
      </w:r>
      <w:r w:rsidRPr="00B453AE">
        <w:rPr>
          <w:i/>
          <w:sz w:val="20"/>
        </w:rPr>
        <w:t>Christopher P. Thompson</w:t>
      </w:r>
      <w:r w:rsidRPr="00B453AE">
        <w:rPr>
          <w:sz w:val="20"/>
        </w:rPr>
        <w:t>, for the intervener the Attorney General of Ontario.</w:t>
      </w:r>
    </w:p>
    <w:p w:rsidR="00011DA2" w:rsidRDefault="00011DA2" w:rsidP="00011DA2">
      <w:pPr>
        <w:pStyle w:val="SCCNormalDoubleSpacing"/>
        <w:spacing w:line="240" w:lineRule="auto"/>
        <w:rPr>
          <w:i/>
          <w:sz w:val="20"/>
        </w:rPr>
      </w:pPr>
    </w:p>
    <w:p w:rsidR="00011DA2" w:rsidRPr="00B453AE" w:rsidRDefault="00011DA2" w:rsidP="00011DA2">
      <w:pPr>
        <w:pStyle w:val="SCCNormalDoubleSpacing"/>
        <w:spacing w:line="240" w:lineRule="auto"/>
        <w:rPr>
          <w:sz w:val="20"/>
        </w:rPr>
      </w:pPr>
      <w:r w:rsidRPr="00B453AE">
        <w:rPr>
          <w:i/>
          <w:sz w:val="20"/>
        </w:rPr>
        <w:tab/>
        <w:t>Allan Rouben and Ronald P. Bohm</w:t>
      </w:r>
      <w:r w:rsidRPr="00B453AE">
        <w:rPr>
          <w:sz w:val="20"/>
        </w:rPr>
        <w:t>, for the intervener the Ontario Trial Lawyers Association.</w:t>
      </w:r>
    </w:p>
    <w:p w:rsidR="00011DA2" w:rsidRDefault="00011DA2" w:rsidP="00011DA2">
      <w:pPr>
        <w:pStyle w:val="SCCNormalDoubleSpacing"/>
        <w:spacing w:line="240" w:lineRule="auto"/>
        <w:rPr>
          <w:i/>
          <w:sz w:val="20"/>
        </w:rPr>
      </w:pPr>
    </w:p>
    <w:p w:rsidR="00011DA2" w:rsidRPr="00B453AE" w:rsidRDefault="00011DA2" w:rsidP="00011DA2">
      <w:pPr>
        <w:pStyle w:val="SCCNormalDoubleSpacing"/>
        <w:spacing w:line="240" w:lineRule="auto"/>
        <w:rPr>
          <w:sz w:val="20"/>
        </w:rPr>
      </w:pPr>
      <w:r w:rsidRPr="00B453AE">
        <w:rPr>
          <w:i/>
          <w:sz w:val="20"/>
        </w:rPr>
        <w:tab/>
        <w:t>David W. Scott, Q.C.</w:t>
      </w:r>
      <w:r w:rsidRPr="00B453AE">
        <w:rPr>
          <w:sz w:val="20"/>
        </w:rPr>
        <w:t xml:space="preserve">, </w:t>
      </w:r>
      <w:r w:rsidRPr="00B453AE">
        <w:rPr>
          <w:i/>
          <w:sz w:val="20"/>
        </w:rPr>
        <w:t>Patricia D. S. Jackson</w:t>
      </w:r>
      <w:r w:rsidRPr="00B453AE">
        <w:rPr>
          <w:sz w:val="20"/>
        </w:rPr>
        <w:t xml:space="preserve"> and </w:t>
      </w:r>
      <w:r w:rsidRPr="00B453AE">
        <w:rPr>
          <w:i/>
          <w:sz w:val="20"/>
        </w:rPr>
        <w:t>Crawford Smith</w:t>
      </w:r>
      <w:r w:rsidRPr="00B453AE">
        <w:rPr>
          <w:sz w:val="20"/>
        </w:rPr>
        <w:t>, for the intervener the Advocates’ Society.</w:t>
      </w:r>
    </w:p>
    <w:p w:rsidR="00011DA2" w:rsidRDefault="00011DA2" w:rsidP="00011DA2">
      <w:pPr>
        <w:pStyle w:val="SCCNormalDoubleSpacing"/>
        <w:spacing w:line="240" w:lineRule="auto"/>
        <w:rPr>
          <w:i/>
          <w:sz w:val="20"/>
        </w:rPr>
      </w:pPr>
    </w:p>
    <w:p w:rsidR="00011DA2" w:rsidRPr="00B453AE" w:rsidRDefault="00011DA2" w:rsidP="00011DA2">
      <w:pPr>
        <w:pStyle w:val="SCCNormalDoubleSpacing"/>
        <w:spacing w:line="240" w:lineRule="auto"/>
        <w:rPr>
          <w:sz w:val="20"/>
        </w:rPr>
      </w:pPr>
      <w:r w:rsidRPr="00B453AE">
        <w:rPr>
          <w:i/>
          <w:sz w:val="20"/>
        </w:rPr>
        <w:tab/>
        <w:t>Paul R. Sweeny and David Sterns</w:t>
      </w:r>
      <w:r w:rsidRPr="00B453AE">
        <w:rPr>
          <w:sz w:val="20"/>
        </w:rPr>
        <w:t>, for the intervener the Canadian Bar Association.</w:t>
      </w:r>
    </w:p>
    <w:p w:rsidR="00011DA2" w:rsidRDefault="00011DA2" w:rsidP="00011DA2">
      <w:pPr>
        <w:pStyle w:val="SCCLawFirm"/>
        <w:spacing w:line="240" w:lineRule="auto"/>
        <w:rPr>
          <w:sz w:val="20"/>
        </w:rPr>
      </w:pPr>
    </w:p>
    <w:p w:rsidR="00011DA2" w:rsidRPr="00B453AE" w:rsidRDefault="00011DA2" w:rsidP="00011DA2">
      <w:pPr>
        <w:pStyle w:val="SCCLawFirm"/>
        <w:spacing w:line="240" w:lineRule="auto"/>
        <w:rPr>
          <w:sz w:val="20"/>
        </w:rPr>
      </w:pPr>
      <w:r w:rsidRPr="00B453AE">
        <w:rPr>
          <w:sz w:val="20"/>
        </w:rPr>
        <w:tab/>
        <w:t>Solicitors for the appellant:  Heydary Hamilton, Toronto.</w:t>
      </w:r>
    </w:p>
    <w:p w:rsidR="00011DA2" w:rsidRDefault="00011DA2" w:rsidP="00011DA2">
      <w:pPr>
        <w:pStyle w:val="SCCLawFirm"/>
        <w:spacing w:line="240" w:lineRule="auto"/>
        <w:rPr>
          <w:sz w:val="20"/>
        </w:rPr>
      </w:pPr>
    </w:p>
    <w:p w:rsidR="00011DA2" w:rsidRPr="00B453AE" w:rsidRDefault="00011DA2" w:rsidP="00011DA2">
      <w:pPr>
        <w:pStyle w:val="SCCLawFirm"/>
        <w:spacing w:line="240" w:lineRule="auto"/>
        <w:rPr>
          <w:sz w:val="20"/>
        </w:rPr>
      </w:pPr>
      <w:r w:rsidRPr="00B453AE">
        <w:rPr>
          <w:sz w:val="20"/>
        </w:rPr>
        <w:tab/>
        <w:t>Solicitors for the respondent:  McCarthy Tétrault, Toronto.</w:t>
      </w:r>
    </w:p>
    <w:p w:rsidR="00011DA2" w:rsidRDefault="00011DA2" w:rsidP="00011DA2">
      <w:pPr>
        <w:pStyle w:val="SCCLawFirm"/>
        <w:spacing w:line="240" w:lineRule="auto"/>
        <w:rPr>
          <w:sz w:val="20"/>
        </w:rPr>
      </w:pPr>
    </w:p>
    <w:p w:rsidR="00011DA2" w:rsidRPr="00B453AE" w:rsidRDefault="00011DA2" w:rsidP="00011DA2">
      <w:pPr>
        <w:pStyle w:val="SCCLawFirm"/>
        <w:spacing w:line="240" w:lineRule="auto"/>
        <w:rPr>
          <w:sz w:val="20"/>
        </w:rPr>
      </w:pPr>
      <w:r w:rsidRPr="00B453AE">
        <w:rPr>
          <w:sz w:val="20"/>
        </w:rPr>
        <w:tab/>
        <w:t>Solicitor for the intervener the Attorney General of Ontario:  Attorney General of Ontario, Toronto.</w:t>
      </w:r>
    </w:p>
    <w:p w:rsidR="00011DA2" w:rsidRDefault="00011DA2" w:rsidP="00011DA2">
      <w:pPr>
        <w:pStyle w:val="SCCLawFirm"/>
        <w:spacing w:line="240" w:lineRule="auto"/>
        <w:rPr>
          <w:sz w:val="20"/>
        </w:rPr>
      </w:pPr>
    </w:p>
    <w:p w:rsidR="00011DA2" w:rsidRPr="00B453AE" w:rsidRDefault="00011DA2" w:rsidP="00011DA2">
      <w:pPr>
        <w:pStyle w:val="SCCLawFirm"/>
        <w:spacing w:line="240" w:lineRule="auto"/>
        <w:rPr>
          <w:sz w:val="20"/>
        </w:rPr>
      </w:pPr>
      <w:r w:rsidRPr="00B453AE">
        <w:rPr>
          <w:sz w:val="20"/>
        </w:rPr>
        <w:tab/>
        <w:t>Solicitors for the intervener the Ontario Trial Lawyers Association:  Allan Rouben, Toronto; SBMB Law, Richmond Hill, Ontario.</w:t>
      </w:r>
    </w:p>
    <w:p w:rsidR="00011DA2" w:rsidRDefault="00011DA2" w:rsidP="00011DA2">
      <w:pPr>
        <w:pStyle w:val="SCCLawFirm"/>
        <w:spacing w:line="240" w:lineRule="auto"/>
        <w:rPr>
          <w:sz w:val="20"/>
        </w:rPr>
      </w:pPr>
    </w:p>
    <w:p w:rsidR="00011DA2" w:rsidRPr="00B453AE" w:rsidRDefault="00011DA2" w:rsidP="00011DA2">
      <w:pPr>
        <w:pStyle w:val="SCCLawFirm"/>
        <w:spacing w:line="240" w:lineRule="auto"/>
        <w:rPr>
          <w:sz w:val="20"/>
        </w:rPr>
      </w:pPr>
      <w:r w:rsidRPr="00B453AE">
        <w:rPr>
          <w:sz w:val="20"/>
        </w:rPr>
        <w:tab/>
        <w:t>Solicitors for the intervener the Advocates’ Society:  Borden Ladner Gervais, Ottawa; Torys, Toronto.</w:t>
      </w:r>
    </w:p>
    <w:p w:rsidR="00011DA2" w:rsidRDefault="00011DA2" w:rsidP="00011DA2">
      <w:pPr>
        <w:pStyle w:val="SCCLawFirm"/>
        <w:spacing w:line="240" w:lineRule="auto"/>
        <w:rPr>
          <w:sz w:val="20"/>
        </w:rPr>
      </w:pPr>
    </w:p>
    <w:p w:rsidR="00011DA2" w:rsidRDefault="00011DA2" w:rsidP="00011DA2">
      <w:pPr>
        <w:pStyle w:val="SCCLawFirm"/>
        <w:spacing w:line="240" w:lineRule="auto"/>
        <w:rPr>
          <w:sz w:val="20"/>
        </w:rPr>
      </w:pPr>
      <w:r w:rsidRPr="00B453AE">
        <w:rPr>
          <w:sz w:val="20"/>
        </w:rPr>
        <w:tab/>
        <w:t>Solicitors for the intervener the Canadian Bar Association:  Evans Sweeny Bordin, Hamilton; Sotos, Toronto.</w:t>
      </w:r>
    </w:p>
    <w:p w:rsidR="00902E51" w:rsidRPr="00011DA2" w:rsidRDefault="00902E51" w:rsidP="00902E51">
      <w:pPr>
        <w:rPr>
          <w:sz w:val="20"/>
          <w:szCs w:val="20"/>
          <w:lang w:val="fr-CA"/>
        </w:rPr>
      </w:pPr>
      <w:r w:rsidRPr="00011DA2">
        <w:rPr>
          <w:sz w:val="20"/>
          <w:szCs w:val="20"/>
          <w:lang w:val="fr-CA"/>
        </w:rPr>
        <w:t>________________________</w:t>
      </w:r>
    </w:p>
    <w:p w:rsidR="00902E51" w:rsidRPr="00011DA2" w:rsidRDefault="00902E51" w:rsidP="00902E51">
      <w:pPr>
        <w:rPr>
          <w:sz w:val="20"/>
          <w:szCs w:val="20"/>
          <w:lang w:val="fr-CA"/>
        </w:rPr>
      </w:pPr>
    </w:p>
    <w:p w:rsidR="00011DA2" w:rsidRPr="00562597" w:rsidRDefault="00011DA2" w:rsidP="00011DA2">
      <w:pPr>
        <w:jc w:val="both"/>
        <w:rPr>
          <w:sz w:val="20"/>
          <w:szCs w:val="20"/>
          <w:lang w:val="fr-CA"/>
        </w:rPr>
      </w:pPr>
      <w:r w:rsidRPr="00562597">
        <w:rPr>
          <w:sz w:val="20"/>
          <w:szCs w:val="20"/>
          <w:lang w:val="fr-CA"/>
        </w:rPr>
        <w:t>Présents : La juge en chef McLachlin et les juges LeBel, Abella, Rothstein, Cromwell, Karakatsanis et Wagner.</w:t>
      </w:r>
    </w:p>
    <w:p w:rsidR="00011DA2" w:rsidRDefault="00011DA2" w:rsidP="00011DA2">
      <w:pPr>
        <w:pStyle w:val="SCCNormalDoubleSpacing"/>
        <w:spacing w:line="240" w:lineRule="auto"/>
        <w:rPr>
          <w:sz w:val="20"/>
          <w:lang w:val="fr-CA"/>
        </w:rPr>
      </w:pPr>
    </w:p>
    <w:p w:rsidR="00011DA2" w:rsidRPr="00562597" w:rsidRDefault="00011DA2" w:rsidP="00011DA2">
      <w:pPr>
        <w:pStyle w:val="SCCNormalDoubleSpacing"/>
        <w:spacing w:line="240" w:lineRule="auto"/>
        <w:rPr>
          <w:i/>
          <w:sz w:val="20"/>
          <w:lang w:val="fr-CA"/>
        </w:rPr>
      </w:pPr>
      <w:r w:rsidRPr="00562597">
        <w:rPr>
          <w:sz w:val="20"/>
          <w:lang w:val="fr-CA"/>
        </w:rPr>
        <w:tab/>
      </w:r>
      <w:r w:rsidRPr="00562597">
        <w:rPr>
          <w:i/>
          <w:sz w:val="20"/>
          <w:lang w:val="fr-CA"/>
        </w:rPr>
        <w:t>Procédure civile — Jugement sommaire — Investisseur intentant une action pour fraude civile et présentant ensuite une requête en jugement sommaire — Jugement accueillant la requête en jugement sommaire infirmé par la Cour d’appel — Éléments de la fraude civile — Le juge saisi de la requête a</w:t>
      </w:r>
      <w:r w:rsidRPr="00562597">
        <w:rPr>
          <w:i/>
          <w:sz w:val="20"/>
          <w:lang w:val="fr-CA"/>
        </w:rPr>
        <w:noBreakHyphen/>
        <w:t>t</w:t>
      </w:r>
      <w:r w:rsidRPr="00562597">
        <w:rPr>
          <w:i/>
          <w:sz w:val="20"/>
          <w:lang w:val="fr-CA"/>
        </w:rPr>
        <w:noBreakHyphen/>
        <w:t>il commis une erreur en accueillant la requête en jugement sommaire? — Règles de procédure civile, R.R.O. 1990, Règl. 194, règle 20</w:t>
      </w:r>
    </w:p>
    <w:p w:rsidR="00011DA2" w:rsidRDefault="00011DA2" w:rsidP="00011DA2">
      <w:pPr>
        <w:pStyle w:val="SCCNormalDoubleSpacing"/>
        <w:spacing w:line="240" w:lineRule="auto"/>
        <w:rPr>
          <w:sz w:val="20"/>
          <w:lang w:val="fr-CA"/>
        </w:rPr>
      </w:pPr>
    </w:p>
    <w:p w:rsidR="00011DA2" w:rsidRPr="00562597" w:rsidRDefault="00011DA2" w:rsidP="00011DA2">
      <w:pPr>
        <w:pStyle w:val="SCCNormalDoubleSpacing"/>
        <w:spacing w:line="240" w:lineRule="auto"/>
        <w:rPr>
          <w:sz w:val="20"/>
          <w:lang w:val="fr-CA"/>
        </w:rPr>
      </w:pPr>
      <w:r w:rsidRPr="00562597">
        <w:rPr>
          <w:sz w:val="20"/>
          <w:lang w:val="fr-CA"/>
        </w:rPr>
        <w:tab/>
        <w:t>Bruno Appliance and Furniture, Inc. est une société américaine.  Son dirigeant a rencontré le dirigeant de Frontline Investments, Inc. et comme suite à ces rencontres, il a signé un certain nombre de documents de placement en faveur de Frontline.  Bruno Appliance a par la suite transféré un million de dollars américains à Cassels Brock, qui a placé l’argent dans un compte associé à Tropos Financial Corp., une entreprise dont H était le dirigeant.  Les fonds de Bruno Appliance ont ensuite été regroupés avec d’autres fonds et versés à Tropos par traite bancaire.  L’argent de Bruno Appliance n’a pas été investi et est disparu.</w:t>
      </w:r>
    </w:p>
    <w:p w:rsidR="00011DA2" w:rsidRDefault="00011DA2" w:rsidP="00011DA2">
      <w:pPr>
        <w:pStyle w:val="SCCNormalDoubleSpacing"/>
        <w:spacing w:line="240" w:lineRule="auto"/>
        <w:rPr>
          <w:sz w:val="20"/>
          <w:lang w:val="fr-CA"/>
        </w:rPr>
      </w:pPr>
    </w:p>
    <w:p w:rsidR="00011DA2" w:rsidRPr="00562597" w:rsidRDefault="00011DA2" w:rsidP="00011DA2">
      <w:pPr>
        <w:pStyle w:val="SCCNormalDoubleSpacing"/>
        <w:spacing w:line="240" w:lineRule="auto"/>
        <w:rPr>
          <w:sz w:val="20"/>
          <w:lang w:val="fr-CA"/>
        </w:rPr>
      </w:pPr>
      <w:r w:rsidRPr="00562597">
        <w:rPr>
          <w:sz w:val="20"/>
          <w:lang w:val="fr-CA"/>
        </w:rPr>
        <w:tab/>
        <w:t>Bruno Appliance a intenté contre H et d’autres personnes une action pour fraude civile et a présenté une requête en jugement sommaire.  Le juge saisi de la requête a conclu que Bruno Appliance avait établi le bien</w:t>
      </w:r>
      <w:r w:rsidRPr="00562597">
        <w:rPr>
          <w:sz w:val="20"/>
          <w:lang w:val="fr-CA"/>
        </w:rPr>
        <w:noBreakHyphen/>
        <w:t>fondé de sa poursuite et qu’aucune question ne nécessitait la tenue d’un procès.  La Cour d’appel s’est dite d’avis contraire et a ordonné l’instruction de l’action intentée par Bruno Appliance.</w:t>
      </w:r>
    </w:p>
    <w:p w:rsidR="00011DA2" w:rsidRDefault="00011DA2" w:rsidP="00011DA2">
      <w:pPr>
        <w:pStyle w:val="SCCNormalDoubleSpacing"/>
        <w:spacing w:line="240" w:lineRule="auto"/>
        <w:rPr>
          <w:sz w:val="20"/>
          <w:lang w:val="fr-CA"/>
        </w:rPr>
      </w:pPr>
    </w:p>
    <w:p w:rsidR="00011DA2" w:rsidRPr="00562597" w:rsidRDefault="00011DA2" w:rsidP="00011DA2">
      <w:pPr>
        <w:pStyle w:val="SCCNormalDoubleSpacing"/>
        <w:spacing w:line="240" w:lineRule="auto"/>
        <w:rPr>
          <w:sz w:val="20"/>
          <w:lang w:val="fr-CA"/>
        </w:rPr>
      </w:pPr>
      <w:r w:rsidRPr="00562597">
        <w:rPr>
          <w:sz w:val="20"/>
          <w:lang w:val="fr-CA"/>
        </w:rPr>
        <w:tab/>
      </w:r>
      <w:r w:rsidRPr="00562597">
        <w:rPr>
          <w:i/>
          <w:sz w:val="20"/>
          <w:lang w:val="fr-CA"/>
        </w:rPr>
        <w:t>Arrêt</w:t>
      </w:r>
      <w:r w:rsidRPr="00562597">
        <w:rPr>
          <w:sz w:val="20"/>
          <w:lang w:val="fr-CA"/>
        </w:rPr>
        <w:t> : Le pourvoi est rejeté.</w:t>
      </w:r>
    </w:p>
    <w:p w:rsidR="00011DA2" w:rsidRDefault="00011DA2" w:rsidP="00011DA2">
      <w:pPr>
        <w:pStyle w:val="SCCNormalDoubleSpacing"/>
        <w:spacing w:line="240" w:lineRule="auto"/>
        <w:rPr>
          <w:sz w:val="20"/>
          <w:lang w:val="fr-CA"/>
        </w:rPr>
      </w:pPr>
    </w:p>
    <w:p w:rsidR="00011DA2" w:rsidRPr="00562597" w:rsidRDefault="00011DA2" w:rsidP="00011DA2">
      <w:pPr>
        <w:pStyle w:val="SCCNormalDoubleSpacing"/>
        <w:spacing w:line="240" w:lineRule="auto"/>
        <w:rPr>
          <w:sz w:val="20"/>
          <w:lang w:val="fr-CA"/>
        </w:rPr>
      </w:pPr>
      <w:r w:rsidRPr="00562597">
        <w:rPr>
          <w:sz w:val="20"/>
          <w:lang w:val="fr-CA"/>
        </w:rPr>
        <w:lastRenderedPageBreak/>
        <w:tab/>
        <w:t xml:space="preserve">La portée et l’interprétation de la règle 20 relative à la requête en jugement sommaire sont examinés dans le pourvoi connexe </w:t>
      </w:r>
      <w:r w:rsidRPr="00562597">
        <w:rPr>
          <w:i/>
          <w:sz w:val="20"/>
          <w:lang w:val="fr-CA"/>
        </w:rPr>
        <w:t>Hryniak c. Mauldin</w:t>
      </w:r>
      <w:r w:rsidRPr="00562597">
        <w:rPr>
          <w:sz w:val="20"/>
          <w:lang w:val="fr-CA"/>
        </w:rPr>
        <w:t>, 2014 CSC 7.  Un jugement sommaire ne peut pas être rendu en vertu de la règle 20 en présence d’une véritable question nécessitant la tenue d’un procès.  Le juge saisi de la requête doit se demander si l’affaire peut être réglée de manière juste et équitable par voie de requête en jugement sommaire.  Ce sera le cas lorsque la procédure (1) lui permet de tirer les conclusions de fait qui s’imposent, (2) lui permet d’appliquer le droit aux faits et (3) constitue un moyen proportionné, plus expéditif et moins coûteux d’atteindre un résultat juste.  Si, compte tenu uniquement du dossier dont dispose le juge, il semble y avoir une véritable question nécessitant la tenue d’un procès, ce dernier doit alors se demander si l’exercice des nouveaux pouvoirs que confèrent les par. 20.04(2.1) et (2.2) des Règles permet d’écarter le besoin d’un procès.  Il peut, à son gré, exercer ces pouvoirs pourvu que leur exercice ne soit pas contraire à l’intérêt de la justice.</w:t>
      </w:r>
    </w:p>
    <w:p w:rsidR="00011DA2" w:rsidRDefault="00011DA2" w:rsidP="00011DA2">
      <w:pPr>
        <w:pStyle w:val="SCCNormalDoubleSpacing"/>
        <w:spacing w:line="240" w:lineRule="auto"/>
        <w:rPr>
          <w:b/>
          <w:sz w:val="20"/>
          <w:lang w:val="fr-CA"/>
        </w:rPr>
      </w:pPr>
    </w:p>
    <w:p w:rsidR="00011DA2" w:rsidRPr="00562597" w:rsidRDefault="00011DA2" w:rsidP="00011DA2">
      <w:pPr>
        <w:pStyle w:val="SCCNormalDoubleSpacing"/>
        <w:spacing w:line="240" w:lineRule="auto"/>
        <w:rPr>
          <w:sz w:val="20"/>
          <w:lang w:val="fr-CA"/>
        </w:rPr>
      </w:pPr>
      <w:r w:rsidRPr="00562597">
        <w:rPr>
          <w:b/>
          <w:sz w:val="20"/>
          <w:lang w:val="fr-CA"/>
        </w:rPr>
        <w:tab/>
      </w:r>
      <w:r w:rsidRPr="00562597">
        <w:rPr>
          <w:sz w:val="20"/>
          <w:lang w:val="fr-CA"/>
        </w:rPr>
        <w:t>La Cour d’appel n’a pas commis d’erreur en décidant que Bruno Appliance ne doit pas obtenir un jugement sommaire contre H.  Les quatre éléments suivants constituent le délit de fraude civile : (1) le défendeur a fait une fausse déclaration; (2) le défendeur savait, jusqu’à un certain point, que sa déclaration était fausse (sciemment ou par insouciance); (3) la fausse déclaration a incité le demandeur à agir; (4) les actes du demandeur ont entraîné une perte.</w:t>
      </w:r>
    </w:p>
    <w:p w:rsidR="00011DA2" w:rsidRDefault="00011DA2" w:rsidP="00011DA2">
      <w:pPr>
        <w:pStyle w:val="SCCNormalDoubleSpacing"/>
        <w:spacing w:line="240" w:lineRule="auto"/>
        <w:rPr>
          <w:sz w:val="20"/>
          <w:lang w:val="fr-CA"/>
        </w:rPr>
      </w:pPr>
    </w:p>
    <w:p w:rsidR="00011DA2" w:rsidRPr="00562597" w:rsidRDefault="00011DA2" w:rsidP="00011DA2">
      <w:pPr>
        <w:pStyle w:val="SCCNormalDoubleSpacing"/>
        <w:spacing w:line="240" w:lineRule="auto"/>
        <w:rPr>
          <w:sz w:val="20"/>
          <w:lang w:val="fr-CA"/>
        </w:rPr>
      </w:pPr>
      <w:r w:rsidRPr="00562597">
        <w:rPr>
          <w:sz w:val="20"/>
          <w:lang w:val="fr-CA"/>
        </w:rPr>
        <w:tab/>
        <w:t>La fraude civile exige que H ait fait une fausse déclaration ayant incité Bruno Appliance à investir.  Le juge saisi de la requête n’a ni souligné la nécessité qu’il y ait eu fausse déclaration, ni conclu que H avait fait une telle déclaration.  H n’était pas présent à la rencontre qui a amené Bruno à investir et les conclusions du juge saisi de la requête ne suffisent pas à prouver que des déclarations fausses faites lors de la rencontre peuvent être attribuées à H.</w:t>
      </w:r>
    </w:p>
    <w:p w:rsidR="00011DA2" w:rsidRDefault="00011DA2" w:rsidP="00011DA2">
      <w:pPr>
        <w:pStyle w:val="SCCNormalDoubleSpacing"/>
        <w:spacing w:line="240" w:lineRule="auto"/>
        <w:rPr>
          <w:sz w:val="20"/>
          <w:lang w:val="fr-CA"/>
        </w:rPr>
      </w:pPr>
    </w:p>
    <w:p w:rsidR="00011DA2" w:rsidRDefault="00011DA2" w:rsidP="00011DA2">
      <w:pPr>
        <w:pStyle w:val="SCCNormalDoubleSpacing"/>
        <w:spacing w:line="240" w:lineRule="auto"/>
        <w:rPr>
          <w:sz w:val="20"/>
          <w:lang w:val="fr-CA"/>
        </w:rPr>
      </w:pPr>
      <w:r w:rsidRPr="00562597">
        <w:rPr>
          <w:sz w:val="20"/>
          <w:lang w:val="fr-CA"/>
        </w:rPr>
        <w:tab/>
        <w:t>Bien que la preuve démontre clairement que H était au courant de la fraude, et qu’il en a peut</w:t>
      </w:r>
      <w:r w:rsidRPr="00562597">
        <w:rPr>
          <w:sz w:val="20"/>
          <w:lang w:val="fr-CA"/>
        </w:rPr>
        <w:noBreakHyphen/>
        <w:t>être effectivement bénéficié, la question de savoir si H a commis</w:t>
      </w:r>
      <w:r w:rsidRPr="00562597">
        <w:rPr>
          <w:i/>
          <w:sz w:val="20"/>
          <w:lang w:val="fr-CA"/>
        </w:rPr>
        <w:t xml:space="preserve"> </w:t>
      </w:r>
      <w:r w:rsidRPr="00562597">
        <w:rPr>
          <w:sz w:val="20"/>
          <w:lang w:val="fr-CA"/>
        </w:rPr>
        <w:t>la fraude en incitant Bruno Appliance à verser un million de dollars américains à un projet d’investissement inexistant constitue une véritable question nécessitant la tenue d’un procès.</w:t>
      </w:r>
    </w:p>
    <w:p w:rsidR="00011DA2" w:rsidRDefault="00011DA2" w:rsidP="00011DA2">
      <w:pPr>
        <w:pStyle w:val="SCCNormalDoubleSpacing"/>
        <w:spacing w:line="240" w:lineRule="auto"/>
        <w:rPr>
          <w:sz w:val="20"/>
          <w:lang w:val="fr-CA"/>
        </w:rPr>
      </w:pPr>
    </w:p>
    <w:p w:rsidR="00011DA2" w:rsidRPr="00562597" w:rsidRDefault="00011DA2" w:rsidP="00011DA2">
      <w:pPr>
        <w:pStyle w:val="SCCNormalDoubleSpacing"/>
        <w:spacing w:line="240" w:lineRule="auto"/>
        <w:rPr>
          <w:sz w:val="20"/>
          <w:lang w:val="fr-CA"/>
        </w:rPr>
      </w:pPr>
      <w:r>
        <w:rPr>
          <w:sz w:val="20"/>
          <w:lang w:val="fr-CA"/>
        </w:rPr>
        <w:tab/>
      </w:r>
      <w:r w:rsidRPr="00562597">
        <w:rPr>
          <w:sz w:val="20"/>
          <w:lang w:val="fr-CA"/>
        </w:rPr>
        <w:t>POURVOI contre un arrêt de la Cour d’appel de l’Ontario (le juge en chef Winkler et les juges Laskin, Sharpe, Armstrong et Rouleau), 2011 ONCA 764, 108 O.R. (3d) 1, 286 O.A.C. 3, 97 C.C.E.L. (3d) 25, 14 C.P.C. (7th) 242, 13 R.P.R. (5th) 167, 93 B.L.R. (4th) 1, 344 D.L.R. (4th) 193, 10 C.L.R. (4th) 17, [2011] O.J. No. 5431 (QL), 2011 CarswellOnt 13515 (</w:t>
      </w:r>
      <w:r w:rsidRPr="00562597">
        <w:rPr>
          <w:i/>
          <w:sz w:val="20"/>
          <w:lang w:val="fr-CA"/>
        </w:rPr>
        <w:t>sub nom. Combined Air Mechanical Services Inc. c. Flesch</w:t>
      </w:r>
      <w:r w:rsidRPr="00562597">
        <w:rPr>
          <w:sz w:val="20"/>
          <w:lang w:val="fr-CA"/>
        </w:rPr>
        <w:t>), qui a infirmé une décision du juge Grace, 2010 ONSC 5490, [2010] O.J. No. 4661 (QL), 2010 CarswellOnt 8325.  Pourvoi rejeté.</w:t>
      </w:r>
    </w:p>
    <w:p w:rsidR="00011DA2" w:rsidRDefault="00011DA2" w:rsidP="00011DA2">
      <w:pPr>
        <w:pStyle w:val="SCCNormalDoubleSpacing"/>
        <w:spacing w:line="240" w:lineRule="auto"/>
        <w:rPr>
          <w:i/>
          <w:sz w:val="20"/>
          <w:lang w:val="fr-CA"/>
        </w:rPr>
      </w:pPr>
    </w:p>
    <w:p w:rsidR="00011DA2" w:rsidRPr="00562597" w:rsidRDefault="00011DA2" w:rsidP="00011DA2">
      <w:pPr>
        <w:pStyle w:val="SCCNormalDoubleSpacing"/>
        <w:spacing w:line="240" w:lineRule="auto"/>
        <w:rPr>
          <w:sz w:val="20"/>
          <w:lang w:val="fr-CA"/>
        </w:rPr>
      </w:pPr>
      <w:r w:rsidRPr="00562597">
        <w:rPr>
          <w:i/>
          <w:sz w:val="20"/>
          <w:lang w:val="fr-CA"/>
        </w:rPr>
        <w:tab/>
        <w:t>Javad Heydary, Jeffrey D. Landmann</w:t>
      </w:r>
      <w:r w:rsidRPr="00562597">
        <w:rPr>
          <w:sz w:val="20"/>
          <w:lang w:val="fr-CA"/>
        </w:rPr>
        <w:t xml:space="preserve">, </w:t>
      </w:r>
      <w:r w:rsidRPr="00562597">
        <w:rPr>
          <w:i/>
          <w:sz w:val="20"/>
          <w:lang w:val="fr-CA"/>
        </w:rPr>
        <w:t>David K. Alderson</w:t>
      </w:r>
      <w:r w:rsidRPr="00562597">
        <w:rPr>
          <w:sz w:val="20"/>
          <w:lang w:val="fr-CA"/>
        </w:rPr>
        <w:t xml:space="preserve">, </w:t>
      </w:r>
      <w:r w:rsidRPr="00562597">
        <w:rPr>
          <w:i/>
          <w:sz w:val="20"/>
          <w:lang w:val="fr-CA"/>
        </w:rPr>
        <w:t>Michelle Jackson</w:t>
      </w:r>
      <w:r w:rsidRPr="00562597">
        <w:rPr>
          <w:sz w:val="20"/>
          <w:lang w:val="fr-CA"/>
        </w:rPr>
        <w:t xml:space="preserve"> et </w:t>
      </w:r>
      <w:r w:rsidRPr="00562597">
        <w:rPr>
          <w:i/>
          <w:sz w:val="20"/>
          <w:lang w:val="fr-CA"/>
        </w:rPr>
        <w:t>Jonathan A. Odumeru</w:t>
      </w:r>
      <w:r w:rsidRPr="00562597">
        <w:rPr>
          <w:sz w:val="20"/>
          <w:lang w:val="fr-CA"/>
        </w:rPr>
        <w:t>, pour l’appelante.</w:t>
      </w:r>
    </w:p>
    <w:p w:rsidR="00011DA2" w:rsidRDefault="00011DA2" w:rsidP="00011DA2">
      <w:pPr>
        <w:pStyle w:val="SCCNormalDoubleSpacing"/>
        <w:spacing w:line="240" w:lineRule="auto"/>
        <w:rPr>
          <w:i/>
          <w:sz w:val="20"/>
          <w:lang w:val="fr-CA"/>
        </w:rPr>
      </w:pPr>
    </w:p>
    <w:p w:rsidR="00011DA2" w:rsidRPr="00562597" w:rsidRDefault="00011DA2" w:rsidP="00011DA2">
      <w:pPr>
        <w:pStyle w:val="SCCNormalDoubleSpacing"/>
        <w:spacing w:line="240" w:lineRule="auto"/>
        <w:rPr>
          <w:sz w:val="20"/>
          <w:lang w:val="fr-CA"/>
        </w:rPr>
      </w:pPr>
      <w:r w:rsidRPr="00562597">
        <w:rPr>
          <w:i/>
          <w:sz w:val="20"/>
          <w:lang w:val="fr-CA"/>
        </w:rPr>
        <w:tab/>
        <w:t>Sarit E. Batner</w:t>
      </w:r>
      <w:r w:rsidRPr="00562597">
        <w:rPr>
          <w:sz w:val="20"/>
          <w:lang w:val="fr-CA"/>
        </w:rPr>
        <w:t xml:space="preserve">, </w:t>
      </w:r>
      <w:r w:rsidRPr="00562597">
        <w:rPr>
          <w:i/>
          <w:sz w:val="20"/>
          <w:lang w:val="fr-CA"/>
        </w:rPr>
        <w:t>Brandon Kain</w:t>
      </w:r>
      <w:r w:rsidRPr="00562597">
        <w:rPr>
          <w:sz w:val="20"/>
          <w:lang w:val="fr-CA"/>
        </w:rPr>
        <w:t xml:space="preserve"> et </w:t>
      </w:r>
      <w:r w:rsidRPr="00562597">
        <w:rPr>
          <w:i/>
          <w:sz w:val="20"/>
          <w:lang w:val="fr-CA"/>
        </w:rPr>
        <w:t>Moya J. Graham</w:t>
      </w:r>
      <w:r w:rsidRPr="00562597">
        <w:rPr>
          <w:sz w:val="20"/>
          <w:lang w:val="fr-CA"/>
        </w:rPr>
        <w:t>, pour l’intimé.</w:t>
      </w:r>
    </w:p>
    <w:p w:rsidR="00011DA2" w:rsidRDefault="00011DA2" w:rsidP="00011DA2">
      <w:pPr>
        <w:pStyle w:val="SCCNormalDoubleSpacing"/>
        <w:spacing w:line="240" w:lineRule="auto"/>
        <w:rPr>
          <w:i/>
          <w:sz w:val="20"/>
          <w:lang w:val="fr-CA"/>
        </w:rPr>
      </w:pPr>
    </w:p>
    <w:p w:rsidR="00011DA2" w:rsidRPr="00562597" w:rsidRDefault="00011DA2" w:rsidP="00011DA2">
      <w:pPr>
        <w:pStyle w:val="SCCNormalDoubleSpacing"/>
        <w:spacing w:line="240" w:lineRule="auto"/>
        <w:rPr>
          <w:sz w:val="20"/>
          <w:lang w:val="fr-CA"/>
        </w:rPr>
      </w:pPr>
      <w:r w:rsidRPr="00562597">
        <w:rPr>
          <w:i/>
          <w:sz w:val="20"/>
          <w:lang w:val="fr-CA"/>
        </w:rPr>
        <w:tab/>
        <w:t>Malliha Wilson</w:t>
      </w:r>
      <w:r w:rsidRPr="00562597">
        <w:rPr>
          <w:sz w:val="20"/>
          <w:lang w:val="fr-CA"/>
        </w:rPr>
        <w:t xml:space="preserve"> et </w:t>
      </w:r>
      <w:r w:rsidRPr="00562597">
        <w:rPr>
          <w:i/>
          <w:sz w:val="20"/>
          <w:lang w:val="fr-CA"/>
        </w:rPr>
        <w:t>Christopher P. Thompson</w:t>
      </w:r>
      <w:r w:rsidRPr="00562597">
        <w:rPr>
          <w:sz w:val="20"/>
          <w:lang w:val="fr-CA"/>
        </w:rPr>
        <w:t>, pour l’intervenant le procureur général de l’Ontario.</w:t>
      </w:r>
    </w:p>
    <w:p w:rsidR="00011DA2" w:rsidRDefault="00011DA2" w:rsidP="00011DA2">
      <w:pPr>
        <w:pStyle w:val="SCCNormalDoubleSpacing"/>
        <w:spacing w:line="240" w:lineRule="auto"/>
        <w:rPr>
          <w:i/>
          <w:sz w:val="20"/>
          <w:lang w:val="fr-CA"/>
        </w:rPr>
      </w:pPr>
    </w:p>
    <w:p w:rsidR="00011DA2" w:rsidRPr="00562597" w:rsidRDefault="00011DA2" w:rsidP="00011DA2">
      <w:pPr>
        <w:pStyle w:val="SCCNormalDoubleSpacing"/>
        <w:spacing w:line="240" w:lineRule="auto"/>
        <w:rPr>
          <w:sz w:val="20"/>
          <w:lang w:val="fr-CA"/>
        </w:rPr>
      </w:pPr>
      <w:r w:rsidRPr="00562597">
        <w:rPr>
          <w:i/>
          <w:sz w:val="20"/>
          <w:lang w:val="fr-CA"/>
        </w:rPr>
        <w:tab/>
        <w:t>Allan Rouben et Ronald P. Bohm</w:t>
      </w:r>
      <w:r w:rsidRPr="00562597">
        <w:rPr>
          <w:sz w:val="20"/>
          <w:lang w:val="fr-CA"/>
        </w:rPr>
        <w:t>, pour l’intervenante Ontario Trial Lawyers Association.</w:t>
      </w:r>
    </w:p>
    <w:p w:rsidR="00011DA2" w:rsidRDefault="00011DA2" w:rsidP="00011DA2">
      <w:pPr>
        <w:pStyle w:val="SCCNormalDoubleSpacing"/>
        <w:spacing w:line="240" w:lineRule="auto"/>
        <w:rPr>
          <w:i/>
          <w:sz w:val="20"/>
          <w:lang w:val="fr-CA"/>
        </w:rPr>
      </w:pPr>
    </w:p>
    <w:p w:rsidR="00011DA2" w:rsidRPr="00562597" w:rsidRDefault="00011DA2" w:rsidP="00011DA2">
      <w:pPr>
        <w:pStyle w:val="SCCNormalDoubleSpacing"/>
        <w:spacing w:line="240" w:lineRule="auto"/>
        <w:rPr>
          <w:sz w:val="20"/>
          <w:lang w:val="fr-CA"/>
        </w:rPr>
      </w:pPr>
      <w:r w:rsidRPr="00562597">
        <w:rPr>
          <w:i/>
          <w:sz w:val="20"/>
          <w:lang w:val="fr-CA"/>
        </w:rPr>
        <w:tab/>
        <w:t>David W. Scott, c.r.</w:t>
      </w:r>
      <w:r w:rsidRPr="00562597">
        <w:rPr>
          <w:sz w:val="20"/>
          <w:lang w:val="fr-CA"/>
        </w:rPr>
        <w:t xml:space="preserve">, </w:t>
      </w:r>
      <w:r w:rsidRPr="00562597">
        <w:rPr>
          <w:i/>
          <w:sz w:val="20"/>
          <w:lang w:val="fr-CA"/>
        </w:rPr>
        <w:t>Patricia D. S. Jackson</w:t>
      </w:r>
      <w:r w:rsidRPr="00562597">
        <w:rPr>
          <w:sz w:val="20"/>
          <w:lang w:val="fr-CA"/>
        </w:rPr>
        <w:t xml:space="preserve"> et </w:t>
      </w:r>
      <w:r w:rsidRPr="00562597">
        <w:rPr>
          <w:i/>
          <w:sz w:val="20"/>
          <w:lang w:val="fr-CA"/>
        </w:rPr>
        <w:t>Crawford Smith</w:t>
      </w:r>
      <w:r w:rsidRPr="00562597">
        <w:rPr>
          <w:sz w:val="20"/>
          <w:lang w:val="fr-CA"/>
        </w:rPr>
        <w:t>, pour l’intervenante Advocates’ Society.</w:t>
      </w:r>
    </w:p>
    <w:p w:rsidR="00011DA2" w:rsidRDefault="00011DA2" w:rsidP="00011DA2">
      <w:pPr>
        <w:pStyle w:val="SCCNormalDoubleSpacing"/>
        <w:spacing w:line="240" w:lineRule="auto"/>
        <w:rPr>
          <w:i/>
          <w:sz w:val="20"/>
          <w:lang w:val="fr-CA"/>
        </w:rPr>
      </w:pPr>
    </w:p>
    <w:p w:rsidR="00011DA2" w:rsidRPr="00562597" w:rsidRDefault="00011DA2" w:rsidP="00011DA2">
      <w:pPr>
        <w:pStyle w:val="SCCNormalDoubleSpacing"/>
        <w:spacing w:line="240" w:lineRule="auto"/>
        <w:rPr>
          <w:sz w:val="20"/>
          <w:lang w:val="fr-CA"/>
        </w:rPr>
      </w:pPr>
      <w:r w:rsidRPr="00562597">
        <w:rPr>
          <w:i/>
          <w:sz w:val="20"/>
          <w:lang w:val="fr-CA"/>
        </w:rPr>
        <w:tab/>
        <w:t>Paul R. Sweeny et David Sterns</w:t>
      </w:r>
      <w:r w:rsidRPr="00562597">
        <w:rPr>
          <w:sz w:val="20"/>
          <w:lang w:val="fr-CA"/>
        </w:rPr>
        <w:t>, pour l’intervenante l’Association du Barreau canadien.</w:t>
      </w:r>
    </w:p>
    <w:p w:rsidR="00011DA2" w:rsidRDefault="00011DA2" w:rsidP="00011DA2">
      <w:pPr>
        <w:pStyle w:val="SCCLawFirm"/>
        <w:spacing w:line="240" w:lineRule="auto"/>
        <w:rPr>
          <w:sz w:val="20"/>
          <w:lang w:val="fr-CA"/>
        </w:rPr>
      </w:pPr>
    </w:p>
    <w:p w:rsidR="00011DA2" w:rsidRPr="00562597" w:rsidRDefault="00011DA2" w:rsidP="00011DA2">
      <w:pPr>
        <w:pStyle w:val="SCCLawFirm"/>
        <w:spacing w:line="240" w:lineRule="auto"/>
        <w:rPr>
          <w:sz w:val="20"/>
          <w:lang w:val="fr-CA"/>
        </w:rPr>
      </w:pPr>
      <w:r w:rsidRPr="00562597">
        <w:rPr>
          <w:sz w:val="20"/>
          <w:lang w:val="fr-CA"/>
        </w:rPr>
        <w:tab/>
        <w:t>Procureurs de l’appelante : Heydary Hamilton, Toronto.</w:t>
      </w:r>
    </w:p>
    <w:p w:rsidR="00011DA2" w:rsidRDefault="00011DA2" w:rsidP="00011DA2">
      <w:pPr>
        <w:pStyle w:val="SCCLawFirm"/>
        <w:spacing w:line="240" w:lineRule="auto"/>
        <w:rPr>
          <w:sz w:val="20"/>
          <w:lang w:val="fr-CA"/>
        </w:rPr>
      </w:pPr>
    </w:p>
    <w:p w:rsidR="00011DA2" w:rsidRPr="00562597" w:rsidRDefault="00011DA2" w:rsidP="00011DA2">
      <w:pPr>
        <w:pStyle w:val="SCCLawFirm"/>
        <w:spacing w:line="240" w:lineRule="auto"/>
        <w:rPr>
          <w:sz w:val="20"/>
          <w:lang w:val="fr-CA"/>
        </w:rPr>
      </w:pPr>
      <w:r w:rsidRPr="00562597">
        <w:rPr>
          <w:sz w:val="20"/>
          <w:lang w:val="fr-CA"/>
        </w:rPr>
        <w:tab/>
        <w:t>Procureurs de l’intimé : McCarthy Tétrault, Toronto.</w:t>
      </w:r>
    </w:p>
    <w:p w:rsidR="00011DA2" w:rsidRDefault="00011DA2" w:rsidP="00011DA2">
      <w:pPr>
        <w:pStyle w:val="SCCLawFirm"/>
        <w:spacing w:line="240" w:lineRule="auto"/>
        <w:rPr>
          <w:sz w:val="20"/>
          <w:lang w:val="fr-CA"/>
        </w:rPr>
      </w:pPr>
    </w:p>
    <w:p w:rsidR="00011DA2" w:rsidRPr="00562597" w:rsidRDefault="00011DA2" w:rsidP="00011DA2">
      <w:pPr>
        <w:pStyle w:val="SCCLawFirm"/>
        <w:spacing w:line="240" w:lineRule="auto"/>
        <w:rPr>
          <w:sz w:val="20"/>
          <w:lang w:val="fr-CA"/>
        </w:rPr>
      </w:pPr>
      <w:r w:rsidRPr="00562597">
        <w:rPr>
          <w:sz w:val="20"/>
          <w:lang w:val="fr-CA"/>
        </w:rPr>
        <w:tab/>
        <w:t>Procureur de l’intervenant le procureur général de l’Ontario : Procureur général de l’Ontario, Toronto.</w:t>
      </w:r>
    </w:p>
    <w:p w:rsidR="00011DA2" w:rsidRDefault="00011DA2" w:rsidP="00011DA2">
      <w:pPr>
        <w:pStyle w:val="SCCLawFirm"/>
        <w:spacing w:line="240" w:lineRule="auto"/>
        <w:rPr>
          <w:sz w:val="20"/>
          <w:lang w:val="fr-CA"/>
        </w:rPr>
      </w:pPr>
    </w:p>
    <w:p w:rsidR="00011DA2" w:rsidRPr="00562597" w:rsidRDefault="00011DA2" w:rsidP="00011DA2">
      <w:pPr>
        <w:pStyle w:val="SCCLawFirm"/>
        <w:spacing w:line="240" w:lineRule="auto"/>
        <w:rPr>
          <w:sz w:val="20"/>
        </w:rPr>
      </w:pPr>
      <w:r w:rsidRPr="00562597">
        <w:rPr>
          <w:sz w:val="20"/>
          <w:lang w:val="fr-CA"/>
        </w:rPr>
        <w:tab/>
      </w:r>
      <w:r w:rsidRPr="00562597">
        <w:rPr>
          <w:sz w:val="20"/>
          <w:lang w:val="en-US"/>
        </w:rPr>
        <w:t>Procureurs de l’intervenante Ontario Trial Lawyers Association : </w:t>
      </w:r>
      <w:r w:rsidRPr="00562597">
        <w:rPr>
          <w:sz w:val="20"/>
        </w:rPr>
        <w:t>Allan Rouben, Toronto; SBMB Law, Richmond Hill, Ontario.</w:t>
      </w:r>
    </w:p>
    <w:p w:rsidR="00011DA2" w:rsidRDefault="00011DA2" w:rsidP="00011DA2">
      <w:pPr>
        <w:pStyle w:val="SCCLawFirm"/>
        <w:spacing w:line="240" w:lineRule="auto"/>
        <w:rPr>
          <w:sz w:val="20"/>
          <w:lang w:val="en-US"/>
        </w:rPr>
      </w:pPr>
    </w:p>
    <w:p w:rsidR="003A5C99" w:rsidRDefault="003A5C99">
      <w:pPr>
        <w:rPr>
          <w:rFonts w:eastAsia="Times New Roman" w:cs="Times New Roman"/>
          <w:i/>
          <w:sz w:val="20"/>
          <w:szCs w:val="20"/>
          <w:lang w:val="en-US" w:eastAsia="en-CA"/>
        </w:rPr>
      </w:pPr>
      <w:r>
        <w:rPr>
          <w:sz w:val="20"/>
          <w:lang w:val="en-US"/>
        </w:rPr>
        <w:br w:type="page"/>
      </w:r>
    </w:p>
    <w:p w:rsidR="00011DA2" w:rsidRPr="00562597" w:rsidRDefault="00011DA2" w:rsidP="00011DA2">
      <w:pPr>
        <w:pStyle w:val="SCCLawFirm"/>
        <w:spacing w:line="240" w:lineRule="auto"/>
        <w:rPr>
          <w:sz w:val="20"/>
          <w:lang w:val="en-US"/>
        </w:rPr>
      </w:pPr>
      <w:r w:rsidRPr="00562597">
        <w:rPr>
          <w:sz w:val="20"/>
          <w:lang w:val="en-US"/>
        </w:rPr>
        <w:lastRenderedPageBreak/>
        <w:tab/>
        <w:t>Procureurs de l’intervenante Advocates’ Society : Borden Ladner Gervais, Ottawa</w:t>
      </w:r>
      <w:r w:rsidRPr="00562597">
        <w:rPr>
          <w:sz w:val="20"/>
        </w:rPr>
        <w:t>; Torys, Toronto.</w:t>
      </w:r>
    </w:p>
    <w:p w:rsidR="00011DA2" w:rsidRDefault="00011DA2" w:rsidP="00011DA2">
      <w:pPr>
        <w:pStyle w:val="SCCLawFirm"/>
        <w:spacing w:line="240" w:lineRule="auto"/>
        <w:rPr>
          <w:sz w:val="20"/>
          <w:lang w:val="en-US"/>
        </w:rPr>
      </w:pPr>
    </w:p>
    <w:p w:rsidR="00011DA2" w:rsidRDefault="00011DA2" w:rsidP="00011DA2">
      <w:pPr>
        <w:pStyle w:val="SCCLawFirm"/>
        <w:spacing w:line="240" w:lineRule="auto"/>
        <w:rPr>
          <w:sz w:val="20"/>
          <w:lang w:val="en-US"/>
        </w:rPr>
      </w:pPr>
      <w:r w:rsidRPr="00562597">
        <w:rPr>
          <w:sz w:val="20"/>
          <w:lang w:val="en-US"/>
        </w:rPr>
        <w:tab/>
        <w:t>Procureurs de l’intervenante l’Association du Barreau canadien : Evans Sweeny Bordin, Hamilton; Sotos, Toronto.</w:t>
      </w:r>
    </w:p>
    <w:p w:rsidR="00902E51" w:rsidRPr="00011DA2" w:rsidRDefault="00902E51" w:rsidP="00902E51">
      <w:pPr>
        <w:rPr>
          <w:sz w:val="20"/>
          <w:szCs w:val="20"/>
          <w:lang w:val="en-US"/>
        </w:rPr>
      </w:pPr>
    </w:p>
    <w:p w:rsidR="00902E51" w:rsidRDefault="007C5411" w:rsidP="00902E51">
      <w:pPr>
        <w:rPr>
          <w:rFonts w:cs="Times New Roman"/>
          <w:sz w:val="20"/>
          <w:szCs w:val="20"/>
          <w:lang w:val="fr-CA"/>
        </w:rPr>
      </w:pPr>
      <w:r>
        <w:rPr>
          <w:rFonts w:cs="Times New Roman"/>
          <w:sz w:val="20"/>
          <w:szCs w:val="20"/>
          <w:lang w:val="fr-CA"/>
        </w:rPr>
        <w:pict>
          <v:rect id="_x0000_i1095"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104"/>
          <w:headerReference w:type="default" r:id="rId105"/>
          <w:footerReference w:type="even" r:id="rId106"/>
          <w:footerReference w:type="default" r:id="rId107"/>
          <w:headerReference w:type="first" r:id="rId108"/>
          <w:footerReference w:type="first" r:id="rId109"/>
          <w:pgSz w:w="12240" w:h="15840"/>
          <w:pgMar w:top="720" w:right="965" w:bottom="1080" w:left="1656" w:header="576" w:footer="960" w:gutter="0"/>
          <w:cols w:space="720"/>
          <w:titlePg/>
          <w:docGrid w:linePitch="272"/>
        </w:sectPr>
      </w:pPr>
    </w:p>
    <w:p w:rsidR="0081610A" w:rsidRPr="002E0C7E" w:rsidRDefault="00FD4200"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A32E34">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32E34">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32E34">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32E34">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32E34">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32E34">
            <w:pPr>
              <w:widowControl w:val="0"/>
              <w:jc w:val="center"/>
              <w:rPr>
                <w:rFonts w:ascii="Arial" w:hAnsi="Arial"/>
                <w:sz w:val="14"/>
              </w:rPr>
            </w:pPr>
            <w:r w:rsidRPr="002E0C7E">
              <w:rPr>
                <w:rFonts w:ascii="Arial" w:hAnsi="Arial"/>
                <w:b/>
                <w:sz w:val="14"/>
              </w:rPr>
              <w:t>DECEMBER - DÉCEMBRE</w:t>
            </w:r>
          </w:p>
        </w:tc>
      </w:tr>
      <w:tr w:rsidR="0081610A" w:rsidRPr="002E0C7E" w:rsidTr="00A32E3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S</w:t>
            </w:r>
          </w:p>
          <w:p w:rsidR="0081610A" w:rsidRPr="002E0C7E" w:rsidRDefault="0081610A" w:rsidP="00A32E34">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M</w:t>
            </w:r>
          </w:p>
          <w:p w:rsidR="0081610A" w:rsidRPr="002E0C7E" w:rsidRDefault="0081610A" w:rsidP="00A32E34">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T</w:t>
            </w:r>
          </w:p>
          <w:p w:rsidR="0081610A" w:rsidRPr="002E0C7E" w:rsidRDefault="0081610A" w:rsidP="00A32E3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W</w:t>
            </w:r>
          </w:p>
          <w:p w:rsidR="0081610A" w:rsidRPr="002E0C7E" w:rsidRDefault="0081610A" w:rsidP="00A32E3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T</w:t>
            </w:r>
          </w:p>
          <w:p w:rsidR="0081610A" w:rsidRPr="002E0C7E" w:rsidRDefault="0081610A" w:rsidP="00A32E34">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F</w:t>
            </w:r>
          </w:p>
          <w:p w:rsidR="0081610A" w:rsidRPr="002E0C7E" w:rsidRDefault="0081610A" w:rsidP="00A32E34">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S</w:t>
            </w:r>
          </w:p>
          <w:p w:rsidR="0081610A" w:rsidRPr="002E0C7E" w:rsidRDefault="0081610A" w:rsidP="00A32E3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S</w:t>
            </w:r>
          </w:p>
          <w:p w:rsidR="0081610A" w:rsidRPr="002E0C7E" w:rsidRDefault="0081610A" w:rsidP="00A32E34">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M</w:t>
            </w:r>
          </w:p>
          <w:p w:rsidR="0081610A" w:rsidRPr="002E0C7E" w:rsidRDefault="0081610A" w:rsidP="00A32E34">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T</w:t>
            </w:r>
          </w:p>
          <w:p w:rsidR="0081610A" w:rsidRPr="002E0C7E" w:rsidRDefault="0081610A" w:rsidP="00A32E3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W</w:t>
            </w:r>
          </w:p>
          <w:p w:rsidR="0081610A" w:rsidRPr="002E0C7E" w:rsidRDefault="0081610A" w:rsidP="00A32E3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T</w:t>
            </w:r>
          </w:p>
          <w:p w:rsidR="0081610A" w:rsidRPr="002E0C7E" w:rsidRDefault="0081610A" w:rsidP="00A32E34">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F</w:t>
            </w:r>
          </w:p>
          <w:p w:rsidR="0081610A" w:rsidRPr="002E0C7E" w:rsidRDefault="0081610A" w:rsidP="00A32E34">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S</w:t>
            </w:r>
          </w:p>
          <w:p w:rsidR="0081610A" w:rsidRPr="002E0C7E" w:rsidRDefault="0081610A" w:rsidP="00A32E3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S</w:t>
            </w:r>
          </w:p>
          <w:p w:rsidR="0081610A" w:rsidRPr="002E0C7E" w:rsidRDefault="0081610A" w:rsidP="00A32E34">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M</w:t>
            </w:r>
          </w:p>
          <w:p w:rsidR="0081610A" w:rsidRPr="002E0C7E" w:rsidRDefault="0081610A" w:rsidP="00A32E34">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T</w:t>
            </w:r>
          </w:p>
          <w:p w:rsidR="0081610A" w:rsidRPr="002E0C7E" w:rsidRDefault="0081610A" w:rsidP="00A32E3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W</w:t>
            </w:r>
          </w:p>
          <w:p w:rsidR="0081610A" w:rsidRPr="002E0C7E" w:rsidRDefault="0081610A" w:rsidP="00A32E34">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T</w:t>
            </w:r>
          </w:p>
          <w:p w:rsidR="0081610A" w:rsidRPr="002E0C7E" w:rsidRDefault="0081610A" w:rsidP="00A32E3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F</w:t>
            </w:r>
          </w:p>
          <w:p w:rsidR="0081610A" w:rsidRPr="002E0C7E" w:rsidRDefault="0081610A" w:rsidP="00A32E3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S</w:t>
            </w:r>
          </w:p>
          <w:p w:rsidR="0081610A" w:rsidRPr="002E0C7E" w:rsidRDefault="0081610A" w:rsidP="00A32E34">
            <w:pPr>
              <w:widowControl w:val="0"/>
              <w:jc w:val="center"/>
              <w:rPr>
                <w:rFonts w:ascii="Arial" w:hAnsi="Arial"/>
                <w:sz w:val="14"/>
              </w:rPr>
            </w:pPr>
            <w:r w:rsidRPr="002E0C7E">
              <w:rPr>
                <w:rFonts w:ascii="Arial" w:hAnsi="Arial"/>
                <w:sz w:val="14"/>
              </w:rPr>
              <w:t>S</w:t>
            </w:r>
          </w:p>
        </w:tc>
      </w:tr>
      <w:tr w:rsidR="0081610A" w:rsidRPr="002E0C7E" w:rsidTr="00A32E3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A32E34">
            <w:pPr>
              <w:widowControl w:val="0"/>
              <w:jc w:val="center"/>
              <w:rPr>
                <w:rFonts w:ascii="Arial" w:hAnsi="Arial"/>
                <w:b/>
                <w:sz w:val="14"/>
              </w:rPr>
            </w:pPr>
            <w:r>
              <w:rPr>
                <w:rFonts w:ascii="Arial" w:hAnsi="Arial"/>
                <w:b/>
                <w:sz w:val="14"/>
              </w:rPr>
              <w:t>M</w:t>
            </w:r>
          </w:p>
          <w:p w:rsidR="0081610A" w:rsidRPr="002E0C7E" w:rsidRDefault="0081610A" w:rsidP="00A32E34">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7</w:t>
            </w:r>
          </w:p>
        </w:tc>
      </w:tr>
      <w:tr w:rsidR="0081610A" w:rsidRPr="002E0C7E" w:rsidTr="00A32E3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A32E34">
            <w:pPr>
              <w:widowControl w:val="0"/>
              <w:jc w:val="center"/>
              <w:rPr>
                <w:rFonts w:ascii="Arial" w:hAnsi="Arial"/>
                <w:b/>
                <w:sz w:val="14"/>
              </w:rPr>
            </w:pPr>
            <w:r>
              <w:rPr>
                <w:rFonts w:ascii="Arial" w:hAnsi="Arial"/>
                <w:b/>
                <w:sz w:val="14"/>
              </w:rPr>
              <w:t>M</w:t>
            </w:r>
          </w:p>
          <w:p w:rsidR="0081610A" w:rsidRPr="002E0C7E" w:rsidRDefault="0081610A" w:rsidP="00A32E34">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A32E34">
            <w:pPr>
              <w:widowControl w:val="0"/>
              <w:jc w:val="center"/>
              <w:rPr>
                <w:rFonts w:ascii="Arial" w:hAnsi="Arial"/>
                <w:b/>
                <w:sz w:val="14"/>
              </w:rPr>
            </w:pPr>
          </w:p>
          <w:p w:rsidR="0081610A" w:rsidRPr="002E0C7E" w:rsidRDefault="0081610A" w:rsidP="00A32E3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b/>
                <w:sz w:val="14"/>
              </w:rPr>
              <w:t>M</w:t>
            </w:r>
          </w:p>
          <w:p w:rsidR="0081610A" w:rsidRPr="002E0C7E" w:rsidRDefault="0081610A" w:rsidP="00A32E34">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14</w:t>
            </w:r>
          </w:p>
        </w:tc>
      </w:tr>
      <w:tr w:rsidR="0081610A" w:rsidRPr="002E0C7E" w:rsidTr="00A32E3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A32E34">
            <w:pPr>
              <w:widowControl w:val="0"/>
              <w:jc w:val="center"/>
              <w:rPr>
                <w:rFonts w:ascii="Arial" w:hAnsi="Arial"/>
                <w:b/>
                <w:sz w:val="14"/>
              </w:rPr>
            </w:pPr>
            <w:r>
              <w:rPr>
                <w:rFonts w:ascii="Arial" w:hAnsi="Arial"/>
                <w:b/>
                <w:sz w:val="14"/>
              </w:rPr>
              <w:t>H</w:t>
            </w: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A32E34">
            <w:pPr>
              <w:widowControl w:val="0"/>
              <w:jc w:val="center"/>
              <w:rPr>
                <w:rFonts w:ascii="Arial" w:hAnsi="Arial"/>
                <w:sz w:val="14"/>
              </w:rPr>
            </w:pPr>
            <w:r>
              <w:rPr>
                <w:rFonts w:ascii="Arial" w:hAnsi="Arial"/>
                <w:b/>
                <w:sz w:val="14"/>
              </w:rPr>
              <w:t>H</w:t>
            </w: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A32E3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A32E34">
            <w:pPr>
              <w:widowControl w:val="0"/>
              <w:jc w:val="center"/>
              <w:rPr>
                <w:rFonts w:ascii="Arial" w:hAnsi="Arial"/>
                <w:b/>
                <w:sz w:val="14"/>
              </w:rPr>
            </w:pPr>
            <w:r>
              <w:rPr>
                <w:rFonts w:ascii="Arial" w:hAnsi="Arial"/>
                <w:b/>
                <w:sz w:val="14"/>
              </w:rPr>
              <w:t>H</w:t>
            </w:r>
          </w:p>
          <w:p w:rsidR="0081610A" w:rsidRPr="002E0C7E" w:rsidRDefault="0081610A" w:rsidP="00A32E34">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A32E34">
            <w:pPr>
              <w:widowControl w:val="0"/>
              <w:jc w:val="center"/>
              <w:rPr>
                <w:rFonts w:ascii="Arial" w:hAnsi="Arial"/>
                <w:b/>
                <w:sz w:val="14"/>
              </w:rPr>
            </w:pPr>
            <w:r>
              <w:rPr>
                <w:rFonts w:ascii="Arial" w:hAnsi="Arial"/>
                <w:b/>
                <w:sz w:val="14"/>
              </w:rPr>
              <w:t>H</w:t>
            </w:r>
          </w:p>
          <w:p w:rsidR="0081610A" w:rsidRPr="002E0C7E" w:rsidRDefault="0081610A" w:rsidP="00A32E34">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A32E34">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A32E34">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32E34">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32E3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32E34">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32E3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32E34">
            <w:pPr>
              <w:widowControl w:val="0"/>
              <w:jc w:val="center"/>
              <w:rPr>
                <w:rFonts w:ascii="Arial" w:hAnsi="Arial"/>
                <w:sz w:val="14"/>
              </w:rPr>
            </w:pPr>
            <w:r w:rsidRPr="002E0C7E">
              <w:rPr>
                <w:rFonts w:ascii="Arial" w:hAnsi="Arial"/>
                <w:b/>
                <w:sz w:val="14"/>
              </w:rPr>
              <w:t>MARCH - MARS</w:t>
            </w:r>
          </w:p>
        </w:tc>
      </w:tr>
      <w:tr w:rsidR="0081610A" w:rsidRPr="002E0C7E" w:rsidTr="00A32E3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S</w:t>
            </w:r>
          </w:p>
          <w:p w:rsidR="0081610A" w:rsidRPr="002E0C7E" w:rsidRDefault="0081610A" w:rsidP="00A32E3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M</w:t>
            </w:r>
          </w:p>
          <w:p w:rsidR="0081610A" w:rsidRPr="002E0C7E" w:rsidRDefault="0081610A" w:rsidP="00A32E3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T</w:t>
            </w:r>
          </w:p>
          <w:p w:rsidR="0081610A" w:rsidRPr="002E0C7E" w:rsidRDefault="0081610A" w:rsidP="00A32E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W</w:t>
            </w:r>
          </w:p>
          <w:p w:rsidR="0081610A" w:rsidRPr="002E0C7E" w:rsidRDefault="0081610A" w:rsidP="00A32E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T</w:t>
            </w:r>
          </w:p>
          <w:p w:rsidR="0081610A" w:rsidRPr="002E0C7E" w:rsidRDefault="0081610A" w:rsidP="00A32E3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F</w:t>
            </w:r>
          </w:p>
          <w:p w:rsidR="0081610A" w:rsidRPr="002E0C7E" w:rsidRDefault="0081610A" w:rsidP="00A32E3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S</w:t>
            </w:r>
          </w:p>
          <w:p w:rsidR="0081610A" w:rsidRPr="002E0C7E" w:rsidRDefault="0081610A" w:rsidP="00A32E3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S</w:t>
            </w:r>
          </w:p>
          <w:p w:rsidR="0081610A" w:rsidRPr="002E0C7E" w:rsidRDefault="0081610A" w:rsidP="00A32E3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M</w:t>
            </w:r>
          </w:p>
          <w:p w:rsidR="0081610A" w:rsidRPr="002E0C7E" w:rsidRDefault="0081610A" w:rsidP="00A32E3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T</w:t>
            </w:r>
          </w:p>
          <w:p w:rsidR="0081610A" w:rsidRPr="002E0C7E" w:rsidRDefault="0081610A" w:rsidP="00A32E34">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W</w:t>
            </w:r>
          </w:p>
          <w:p w:rsidR="0081610A" w:rsidRPr="002E0C7E" w:rsidRDefault="0081610A" w:rsidP="00A32E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T</w:t>
            </w:r>
          </w:p>
          <w:p w:rsidR="0081610A" w:rsidRPr="002E0C7E" w:rsidRDefault="0081610A" w:rsidP="00A32E3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F</w:t>
            </w:r>
          </w:p>
          <w:p w:rsidR="0081610A" w:rsidRPr="002E0C7E" w:rsidRDefault="0081610A" w:rsidP="00A32E3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S</w:t>
            </w:r>
          </w:p>
          <w:p w:rsidR="0081610A" w:rsidRPr="002E0C7E" w:rsidRDefault="0081610A" w:rsidP="00A32E3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S</w:t>
            </w:r>
          </w:p>
          <w:p w:rsidR="0081610A" w:rsidRPr="002E0C7E" w:rsidRDefault="0081610A" w:rsidP="00A32E3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M</w:t>
            </w:r>
          </w:p>
          <w:p w:rsidR="0081610A" w:rsidRPr="002E0C7E" w:rsidRDefault="0081610A" w:rsidP="00A32E3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T</w:t>
            </w:r>
          </w:p>
          <w:p w:rsidR="0081610A" w:rsidRPr="002E0C7E" w:rsidRDefault="0081610A" w:rsidP="00A32E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W</w:t>
            </w:r>
          </w:p>
          <w:p w:rsidR="0081610A" w:rsidRPr="002E0C7E" w:rsidRDefault="0081610A" w:rsidP="00A32E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T</w:t>
            </w:r>
          </w:p>
          <w:p w:rsidR="0081610A" w:rsidRPr="002E0C7E" w:rsidRDefault="0081610A" w:rsidP="00A32E3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F</w:t>
            </w:r>
          </w:p>
          <w:p w:rsidR="0081610A" w:rsidRPr="002E0C7E" w:rsidRDefault="0081610A" w:rsidP="00A32E34">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S</w:t>
            </w:r>
          </w:p>
          <w:p w:rsidR="0081610A" w:rsidRPr="002E0C7E" w:rsidRDefault="0081610A" w:rsidP="00A32E34">
            <w:pPr>
              <w:widowControl w:val="0"/>
              <w:jc w:val="center"/>
              <w:rPr>
                <w:rFonts w:ascii="Arial" w:hAnsi="Arial"/>
                <w:sz w:val="14"/>
              </w:rPr>
            </w:pPr>
            <w:r w:rsidRPr="002E0C7E">
              <w:rPr>
                <w:rFonts w:ascii="Arial" w:hAnsi="Arial"/>
                <w:sz w:val="14"/>
              </w:rPr>
              <w:t>S</w:t>
            </w:r>
          </w:p>
        </w:tc>
      </w:tr>
      <w:tr w:rsidR="0081610A" w:rsidRPr="002E0C7E" w:rsidTr="00A32E3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A32E34">
            <w:pPr>
              <w:widowControl w:val="0"/>
              <w:jc w:val="center"/>
              <w:rPr>
                <w:rFonts w:ascii="Arial" w:hAnsi="Arial"/>
                <w:b/>
                <w:sz w:val="14"/>
              </w:rPr>
            </w:pPr>
          </w:p>
          <w:p w:rsidR="0081610A" w:rsidRPr="002E0C7E" w:rsidRDefault="0081610A" w:rsidP="00A32E34">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A32E34">
            <w:pPr>
              <w:widowControl w:val="0"/>
              <w:jc w:val="center"/>
              <w:rPr>
                <w:rFonts w:ascii="Arial" w:hAnsi="Arial"/>
                <w:b/>
                <w:sz w:val="14"/>
              </w:rPr>
            </w:pPr>
            <w:r>
              <w:rPr>
                <w:rFonts w:ascii="Arial" w:hAnsi="Arial"/>
                <w:b/>
                <w:sz w:val="14"/>
              </w:rPr>
              <w:t>H</w:t>
            </w:r>
          </w:p>
          <w:p w:rsidR="0081610A" w:rsidRPr="002E0C7E" w:rsidRDefault="0081610A" w:rsidP="00A32E34">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w:t>
            </w:r>
          </w:p>
        </w:tc>
      </w:tr>
      <w:tr w:rsidR="0081610A" w:rsidRPr="002E0C7E" w:rsidTr="00A32E3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8</w:t>
            </w:r>
          </w:p>
        </w:tc>
      </w:tr>
      <w:tr w:rsidR="0081610A" w:rsidRPr="002E0C7E" w:rsidTr="00A32E3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A32E34">
            <w:pPr>
              <w:widowControl w:val="0"/>
              <w:jc w:val="center"/>
              <w:rPr>
                <w:rFonts w:ascii="Arial" w:hAnsi="Arial"/>
                <w:b/>
                <w:sz w:val="14"/>
              </w:rPr>
            </w:pPr>
            <w:r>
              <w:rPr>
                <w:rFonts w:ascii="Arial" w:hAnsi="Arial"/>
                <w:b/>
                <w:sz w:val="14"/>
              </w:rPr>
              <w:t>M</w:t>
            </w: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A32E34">
            <w:pPr>
              <w:widowControl w:val="0"/>
              <w:jc w:val="center"/>
              <w:rPr>
                <w:rFonts w:ascii="Arial" w:hAnsi="Arial"/>
                <w:b/>
                <w:sz w:val="14"/>
              </w:rPr>
            </w:pPr>
            <w:r>
              <w:rPr>
                <w:rFonts w:ascii="Arial" w:hAnsi="Arial"/>
                <w:b/>
                <w:sz w:val="14"/>
              </w:rPr>
              <w:t>M</w:t>
            </w: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A32E3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A32E34">
            <w:pPr>
              <w:widowControl w:val="0"/>
              <w:jc w:val="center"/>
              <w:rPr>
                <w:rFonts w:ascii="Arial" w:hAnsi="Arial"/>
                <w:b/>
                <w:sz w:val="14"/>
              </w:rPr>
            </w:pPr>
            <w:r>
              <w:rPr>
                <w:rFonts w:ascii="Arial" w:hAnsi="Arial"/>
                <w:b/>
                <w:sz w:val="14"/>
              </w:rPr>
              <w:t>M</w:t>
            </w: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A32E3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Pr>
                <w:rFonts w:ascii="Arial" w:hAnsi="Arial"/>
                <w:sz w:val="14"/>
              </w:rPr>
              <w:t>23</w:t>
            </w:r>
          </w:p>
          <w:p w:rsidR="0081610A" w:rsidRPr="002E0C7E" w:rsidRDefault="0081610A" w:rsidP="00A32E34">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r>
              <w:rPr>
                <w:rFonts w:ascii="Arial" w:hAnsi="Arial"/>
                <w:sz w:val="14"/>
              </w:rPr>
              <w:t>24</w:t>
            </w:r>
          </w:p>
          <w:p w:rsidR="0081610A" w:rsidRPr="002E0C7E" w:rsidRDefault="0081610A" w:rsidP="00A32E34">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A32E34">
            <w:pPr>
              <w:widowControl w:val="0"/>
              <w:jc w:val="center"/>
              <w:rPr>
                <w:rFonts w:ascii="Arial" w:hAnsi="Arial"/>
                <w:b/>
                <w:sz w:val="14"/>
              </w:rPr>
            </w:pPr>
          </w:p>
          <w:p w:rsidR="0081610A" w:rsidRPr="002E0C7E" w:rsidRDefault="0081610A" w:rsidP="00A32E34">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A32E34">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32E34">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32E34">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32E34">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A32E34">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A32E34">
            <w:pPr>
              <w:widowControl w:val="0"/>
              <w:jc w:val="center"/>
              <w:rPr>
                <w:rFonts w:ascii="Arial" w:hAnsi="Arial"/>
                <w:sz w:val="14"/>
              </w:rPr>
            </w:pPr>
            <w:r w:rsidRPr="002E0C7E">
              <w:rPr>
                <w:rFonts w:ascii="Arial" w:hAnsi="Arial"/>
                <w:b/>
                <w:sz w:val="14"/>
              </w:rPr>
              <w:t>JUNE - JUIN</w:t>
            </w:r>
          </w:p>
        </w:tc>
      </w:tr>
      <w:tr w:rsidR="0081610A" w:rsidRPr="002E0C7E" w:rsidTr="00A32E3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S</w:t>
            </w:r>
          </w:p>
          <w:p w:rsidR="0081610A" w:rsidRPr="002E0C7E" w:rsidRDefault="0081610A" w:rsidP="00A32E3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M</w:t>
            </w:r>
          </w:p>
          <w:p w:rsidR="0081610A" w:rsidRPr="002E0C7E" w:rsidRDefault="0081610A" w:rsidP="00A32E3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T</w:t>
            </w:r>
          </w:p>
          <w:p w:rsidR="0081610A" w:rsidRPr="002E0C7E" w:rsidRDefault="0081610A" w:rsidP="00A32E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W</w:t>
            </w:r>
          </w:p>
          <w:p w:rsidR="0081610A" w:rsidRPr="002E0C7E" w:rsidRDefault="0081610A" w:rsidP="00A32E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T</w:t>
            </w:r>
          </w:p>
          <w:p w:rsidR="0081610A" w:rsidRPr="002E0C7E" w:rsidRDefault="0081610A" w:rsidP="00A32E3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F</w:t>
            </w:r>
          </w:p>
          <w:p w:rsidR="0081610A" w:rsidRPr="002E0C7E" w:rsidRDefault="0081610A" w:rsidP="00A32E3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S</w:t>
            </w:r>
          </w:p>
          <w:p w:rsidR="0081610A" w:rsidRPr="002E0C7E" w:rsidRDefault="0081610A" w:rsidP="00A32E3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S</w:t>
            </w:r>
          </w:p>
          <w:p w:rsidR="0081610A" w:rsidRPr="002E0C7E" w:rsidRDefault="0081610A" w:rsidP="00A32E3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M</w:t>
            </w:r>
          </w:p>
          <w:p w:rsidR="0081610A" w:rsidRPr="002E0C7E" w:rsidRDefault="0081610A" w:rsidP="00A32E3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T</w:t>
            </w:r>
          </w:p>
          <w:p w:rsidR="0081610A" w:rsidRPr="002E0C7E" w:rsidRDefault="0081610A" w:rsidP="00A32E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W</w:t>
            </w:r>
          </w:p>
          <w:p w:rsidR="0081610A" w:rsidRPr="002E0C7E" w:rsidRDefault="0081610A" w:rsidP="00A32E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T</w:t>
            </w:r>
          </w:p>
          <w:p w:rsidR="0081610A" w:rsidRPr="002E0C7E" w:rsidRDefault="0081610A" w:rsidP="00A32E3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F</w:t>
            </w:r>
          </w:p>
          <w:p w:rsidR="0081610A" w:rsidRPr="002E0C7E" w:rsidRDefault="0081610A" w:rsidP="00A32E3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S</w:t>
            </w:r>
          </w:p>
          <w:p w:rsidR="0081610A" w:rsidRPr="002E0C7E" w:rsidRDefault="0081610A" w:rsidP="00A32E3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S</w:t>
            </w:r>
          </w:p>
          <w:p w:rsidR="0081610A" w:rsidRPr="002E0C7E" w:rsidRDefault="0081610A" w:rsidP="00A32E3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M</w:t>
            </w:r>
          </w:p>
          <w:p w:rsidR="0081610A" w:rsidRPr="002E0C7E" w:rsidRDefault="0081610A" w:rsidP="00A32E3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T</w:t>
            </w:r>
          </w:p>
          <w:p w:rsidR="0081610A" w:rsidRPr="002E0C7E" w:rsidRDefault="0081610A" w:rsidP="00A32E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W</w:t>
            </w:r>
          </w:p>
          <w:p w:rsidR="0081610A" w:rsidRPr="002E0C7E" w:rsidRDefault="0081610A" w:rsidP="00A32E3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T</w:t>
            </w:r>
          </w:p>
          <w:p w:rsidR="0081610A" w:rsidRPr="002E0C7E" w:rsidRDefault="0081610A" w:rsidP="00A32E3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sidRPr="002E0C7E">
              <w:rPr>
                <w:rFonts w:ascii="Arial" w:hAnsi="Arial"/>
                <w:sz w:val="14"/>
              </w:rPr>
              <w:t>F</w:t>
            </w:r>
          </w:p>
          <w:p w:rsidR="0081610A" w:rsidRPr="002E0C7E" w:rsidRDefault="0081610A" w:rsidP="00A32E34">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r>
              <w:rPr>
                <w:rFonts w:ascii="Arial" w:hAnsi="Arial"/>
                <w:sz w:val="14"/>
              </w:rPr>
              <w:t>S</w:t>
            </w:r>
          </w:p>
          <w:p w:rsidR="0081610A" w:rsidRPr="002E0C7E" w:rsidRDefault="0081610A" w:rsidP="00A32E34">
            <w:pPr>
              <w:widowControl w:val="0"/>
              <w:jc w:val="center"/>
              <w:rPr>
                <w:rFonts w:ascii="Arial" w:hAnsi="Arial"/>
                <w:sz w:val="14"/>
              </w:rPr>
            </w:pPr>
            <w:r>
              <w:rPr>
                <w:rFonts w:ascii="Arial" w:hAnsi="Arial"/>
                <w:sz w:val="14"/>
              </w:rPr>
              <w:t>S</w:t>
            </w:r>
          </w:p>
        </w:tc>
      </w:tr>
      <w:tr w:rsidR="0081610A" w:rsidRPr="002E0C7E" w:rsidTr="00A32E34">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b/>
                <w:sz w:val="14"/>
              </w:rPr>
            </w:pPr>
          </w:p>
          <w:p w:rsidR="0081610A" w:rsidRPr="002E0C7E" w:rsidRDefault="0081610A" w:rsidP="00A32E3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7</w:t>
            </w:r>
          </w:p>
        </w:tc>
      </w:tr>
      <w:tr w:rsidR="0081610A" w:rsidRPr="002E0C7E" w:rsidTr="00A32E3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A32E34">
            <w:pPr>
              <w:widowControl w:val="0"/>
              <w:jc w:val="center"/>
              <w:rPr>
                <w:rFonts w:ascii="Arial" w:hAnsi="Arial"/>
                <w:b/>
                <w:sz w:val="14"/>
              </w:rPr>
            </w:pPr>
          </w:p>
          <w:p w:rsidR="0081610A" w:rsidRPr="002E0C7E" w:rsidRDefault="0081610A" w:rsidP="00A32E3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14</w:t>
            </w:r>
          </w:p>
        </w:tc>
      </w:tr>
      <w:tr w:rsidR="0081610A" w:rsidRPr="002E0C7E" w:rsidTr="00A32E3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A32E34">
            <w:pPr>
              <w:widowControl w:val="0"/>
              <w:jc w:val="center"/>
              <w:rPr>
                <w:rFonts w:ascii="Arial" w:hAnsi="Arial"/>
                <w:b/>
                <w:sz w:val="14"/>
              </w:rPr>
            </w:pPr>
            <w:r w:rsidRPr="00DB5777">
              <w:rPr>
                <w:rFonts w:ascii="Arial" w:hAnsi="Arial"/>
                <w:b/>
                <w:sz w:val="14"/>
              </w:rPr>
              <w:t>M</w:t>
            </w: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A32E34">
            <w:pPr>
              <w:widowControl w:val="0"/>
              <w:jc w:val="center"/>
              <w:rPr>
                <w:rFonts w:ascii="Arial" w:hAnsi="Arial"/>
                <w:b/>
                <w:sz w:val="14"/>
              </w:rPr>
            </w:pPr>
            <w:r>
              <w:rPr>
                <w:rFonts w:ascii="Arial" w:hAnsi="Arial"/>
                <w:b/>
                <w:sz w:val="14"/>
              </w:rPr>
              <w:t>H</w:t>
            </w:r>
          </w:p>
          <w:p w:rsidR="0081610A" w:rsidRPr="002E0C7E" w:rsidRDefault="0081610A" w:rsidP="00A32E34">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A32E34">
            <w:pPr>
              <w:widowControl w:val="0"/>
              <w:jc w:val="center"/>
              <w:rPr>
                <w:rFonts w:ascii="Arial" w:hAnsi="Arial"/>
                <w:b/>
                <w:sz w:val="14"/>
              </w:rPr>
            </w:pPr>
            <w:r w:rsidRPr="002453E3">
              <w:rPr>
                <w:rFonts w:ascii="Arial" w:hAnsi="Arial"/>
                <w:b/>
                <w:sz w:val="14"/>
              </w:rPr>
              <w:t>M</w:t>
            </w: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A32E34">
            <w:pPr>
              <w:widowControl w:val="0"/>
              <w:jc w:val="center"/>
              <w:rPr>
                <w:rFonts w:ascii="Arial" w:hAnsi="Arial"/>
                <w:b/>
                <w:sz w:val="14"/>
              </w:rPr>
            </w:pPr>
            <w:r w:rsidRPr="006A1E8D">
              <w:rPr>
                <w:rFonts w:ascii="Arial" w:hAnsi="Arial"/>
                <w:b/>
                <w:sz w:val="14"/>
              </w:rPr>
              <w:t>M</w:t>
            </w: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A32E3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A32E34">
            <w:pPr>
              <w:widowControl w:val="0"/>
              <w:jc w:val="center"/>
              <w:rPr>
                <w:rFonts w:ascii="Arial" w:hAnsi="Arial"/>
                <w:b/>
                <w:sz w:val="14"/>
              </w:rPr>
            </w:pPr>
            <w:r w:rsidRPr="00CD57C3">
              <w:rPr>
                <w:rFonts w:ascii="Arial" w:hAnsi="Arial"/>
                <w:b/>
                <w:sz w:val="14"/>
              </w:rPr>
              <w:t>H</w:t>
            </w: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A32E34">
            <w:pPr>
              <w:widowControl w:val="0"/>
              <w:jc w:val="center"/>
              <w:rPr>
                <w:rFonts w:ascii="Arial" w:hAnsi="Arial"/>
                <w:b/>
                <w:sz w:val="14"/>
              </w:rPr>
            </w:pPr>
            <w:r>
              <w:rPr>
                <w:rFonts w:ascii="Arial" w:hAnsi="Arial"/>
                <w:b/>
                <w:sz w:val="14"/>
              </w:rPr>
              <w:t>H</w:t>
            </w:r>
          </w:p>
          <w:p w:rsidR="0081610A" w:rsidRPr="002E0C7E" w:rsidRDefault="0081610A" w:rsidP="00A32E34">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A32E3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A32E34">
            <w:pPr>
              <w:widowControl w:val="0"/>
              <w:jc w:val="center"/>
              <w:rPr>
                <w:rFonts w:ascii="Arial" w:hAnsi="Arial"/>
                <w:sz w:val="14"/>
              </w:rPr>
            </w:pPr>
          </w:p>
          <w:p w:rsidR="0081610A" w:rsidRPr="002E0C7E" w:rsidRDefault="0081610A" w:rsidP="00A32E34">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A32E34">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A32E34">
            <w:pPr>
              <w:widowControl w:val="0"/>
              <w:rPr>
                <w:rFonts w:ascii="Arial" w:hAnsi="Arial"/>
                <w:sz w:val="16"/>
              </w:rPr>
            </w:pPr>
            <w:r w:rsidRPr="002E0C7E">
              <w:rPr>
                <w:rFonts w:ascii="Arial" w:hAnsi="Arial"/>
                <w:sz w:val="16"/>
              </w:rPr>
              <w:t>Sittings of the court:</w:t>
            </w:r>
          </w:p>
          <w:p w:rsidR="0081610A" w:rsidRPr="002E0C7E" w:rsidRDefault="0081610A" w:rsidP="00A32E34">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A32E34">
            <w:pPr>
              <w:widowControl w:val="0"/>
              <w:rPr>
                <w:rFonts w:ascii="Arial" w:hAnsi="Arial"/>
                <w:sz w:val="16"/>
              </w:rPr>
            </w:pPr>
          </w:p>
          <w:p w:rsidR="0081610A" w:rsidRPr="002E0C7E" w:rsidRDefault="0081610A" w:rsidP="00A32E34">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A32E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A32E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A32E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A32E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A32E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A32E3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A32E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A32E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A32E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A32E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A32E3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A32E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A32E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A32E34">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A32E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110"/>
      <w:footerReference w:type="default" r:id="rId11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99" w:rsidRDefault="003A5C99" w:rsidP="00A87207">
      <w:r>
        <w:separator/>
      </w:r>
    </w:p>
  </w:endnote>
  <w:endnote w:type="continuationSeparator" w:id="0">
    <w:p w:rsidR="003A5C99" w:rsidRDefault="003A5C9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7C5411">
    <w:pPr>
      <w:pStyle w:val="Footer"/>
      <w:rPr>
        <w:lang w:val="fr-CA"/>
      </w:rPr>
    </w:pPr>
    <w:r>
      <w:rPr>
        <w:lang w:val="fr-CA"/>
      </w:rPr>
      <w:pict>
        <v:rect id="_x0000_i1063" style="width:480.95pt;height:1pt" o:hralign="center" o:hrstd="t" o:hrnoshade="t" o:hr="t" fillcolor="black [3213]" stroked="f"/>
      </w:pict>
    </w:r>
  </w:p>
  <w:p w:rsidR="003A5C99" w:rsidRDefault="003A5C99" w:rsidP="00245129">
    <w:pPr>
      <w:tabs>
        <w:tab w:val="center" w:pos="4680"/>
      </w:tabs>
    </w:pPr>
    <w:r>
      <w:tab/>
    </w:r>
    <w:r w:rsidRPr="0009648D">
      <w:t xml:space="preserve">- </w:t>
    </w:r>
    <w:r w:rsidR="007C5411">
      <w:fldChar w:fldCharType="begin"/>
    </w:r>
    <w:r w:rsidR="007C5411">
      <w:instrText xml:space="preserve"> PAGE   \* MERGEFORMAT </w:instrText>
    </w:r>
    <w:r w:rsidR="007C5411">
      <w:fldChar w:fldCharType="separate"/>
    </w:r>
    <w:r w:rsidR="007C5411">
      <w:rPr>
        <w:noProof/>
      </w:rPr>
      <w:t>96</w:t>
    </w:r>
    <w:r w:rsidR="007C5411">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A5C99"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A5C99" w:rsidRDefault="003A5C99">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7C5411" w:rsidP="00755F22">
    <w:pPr>
      <w:tabs>
        <w:tab w:val="left" w:pos="-1440"/>
        <w:tab w:val="left" w:pos="-720"/>
      </w:tabs>
    </w:pPr>
    <w:r>
      <w:pict>
        <v:rect id="_x0000_i1069" style="width:480.95pt;height:1pt" o:hralign="center" o:hrstd="t" o:hrnoshade="t" o:hr="t" fillcolor="black [3213]" stroked="f"/>
      </w:pict>
    </w:r>
  </w:p>
  <w:p w:rsidR="003A5C99" w:rsidRDefault="003A5C99" w:rsidP="00EB2B90">
    <w:pPr>
      <w:tabs>
        <w:tab w:val="center" w:pos="4680"/>
      </w:tabs>
    </w:pPr>
    <w:r>
      <w:tab/>
      <w:t xml:space="preserve">- </w:t>
    </w:r>
    <w:r w:rsidR="007C5411">
      <w:fldChar w:fldCharType="begin"/>
    </w:r>
    <w:r w:rsidR="007C5411">
      <w:instrText xml:space="preserve"> PAGE   \* MERGEFORMAT </w:instrText>
    </w:r>
    <w:r w:rsidR="007C5411">
      <w:fldChar w:fldCharType="separate"/>
    </w:r>
    <w:r w:rsidR="007C5411">
      <w:rPr>
        <w:noProof/>
      </w:rPr>
      <w:t>124</w:t>
    </w:r>
    <w:r w:rsidR="007C5411">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7C5411" w:rsidP="00EB2B90">
    <w:pPr>
      <w:tabs>
        <w:tab w:val="center" w:pos="4680"/>
      </w:tabs>
    </w:pPr>
    <w:r>
      <w:pict>
        <v:rect id="_x0000_i1070" style="width:480.95pt;height:1pt" o:hralign="center" o:hrstd="t" o:hrnoshade="t" o:hr="t" fillcolor="black [3213]" stroked="f"/>
      </w:pict>
    </w:r>
  </w:p>
  <w:p w:rsidR="003A5C99" w:rsidRPr="0031432F" w:rsidRDefault="003A5C99" w:rsidP="00EB2B90">
    <w:pPr>
      <w:tabs>
        <w:tab w:val="center" w:pos="4680"/>
      </w:tabs>
    </w:pPr>
    <w:r>
      <w:tab/>
      <w:t xml:space="preserve">- </w:t>
    </w:r>
    <w:r w:rsidR="007C5411">
      <w:fldChar w:fldCharType="begin"/>
    </w:r>
    <w:r w:rsidR="007C5411">
      <w:instrText xml:space="preserve"> PAGE   \* MERGEFORMAT </w:instrText>
    </w:r>
    <w:r w:rsidR="007C5411">
      <w:fldChar w:fldCharType="separate"/>
    </w:r>
    <w:r w:rsidR="007C5411">
      <w:rPr>
        <w:noProof/>
      </w:rPr>
      <w:t>118</w:t>
    </w:r>
    <w:r w:rsidR="007C5411">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A5C99"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A5C99" w:rsidRDefault="003A5C99">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7C54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2" style="width:480.95pt;height:1pt" o:hralign="center" o:hrstd="t" o:hrnoshade="t" o:hr="t" fillcolor="black [3213]" stroked="f"/>
      </w:pict>
    </w:r>
  </w:p>
  <w:p w:rsidR="003A5C99" w:rsidRDefault="003A5C99" w:rsidP="00EB2B90">
    <w:pPr>
      <w:tabs>
        <w:tab w:val="center" w:pos="4770"/>
      </w:tabs>
    </w:pPr>
    <w:r>
      <w:tab/>
      <w:t xml:space="preserve">- </w:t>
    </w:r>
    <w:r w:rsidR="007C5411">
      <w:fldChar w:fldCharType="begin"/>
    </w:r>
    <w:r w:rsidR="007C5411">
      <w:instrText xml:space="preserve"> PAGE   \* MERGEFORMAT </w:instrText>
    </w:r>
    <w:r w:rsidR="007C5411">
      <w:fldChar w:fldCharType="separate"/>
    </w:r>
    <w:r>
      <w:rPr>
        <w:noProof/>
      </w:rPr>
      <w:t>114</w:t>
    </w:r>
    <w:r w:rsidR="007C5411">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7C5411" w:rsidP="00EB2B90">
    <w:pPr>
      <w:tabs>
        <w:tab w:val="center" w:pos="4770"/>
      </w:tabs>
    </w:pPr>
    <w:r>
      <w:pict>
        <v:rect id="_x0000_i1073" style="width:480.95pt;height:1pt" o:hralign="center" o:hrstd="t" o:hrnoshade="t" o:hr="t" fillcolor="black [3213]" stroked="f"/>
      </w:pict>
    </w:r>
  </w:p>
  <w:p w:rsidR="003A5C99" w:rsidRPr="00041AAB" w:rsidRDefault="003A5C99" w:rsidP="00EB2B90">
    <w:pPr>
      <w:tabs>
        <w:tab w:val="center" w:pos="4770"/>
      </w:tabs>
    </w:pPr>
    <w:r>
      <w:tab/>
      <w:t xml:space="preserve">- </w:t>
    </w:r>
    <w:r w:rsidR="007C5411">
      <w:fldChar w:fldCharType="begin"/>
    </w:r>
    <w:r w:rsidR="007C5411">
      <w:instrText xml:space="preserve"> PAGE   \* MERGEFORMAT </w:instrText>
    </w:r>
    <w:r w:rsidR="007C5411">
      <w:fldChar w:fldCharType="separate"/>
    </w:r>
    <w:r w:rsidR="007C5411">
      <w:rPr>
        <w:noProof/>
      </w:rPr>
      <w:t>125</w:t>
    </w:r>
    <w:r w:rsidR="007C5411">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A5C99"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A5C99" w:rsidRDefault="003A5C99">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7C54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6" style="width:480.95pt;height:1pt" o:hralign="center" o:hrstd="t" o:hrnoshade="t" o:hr="t" fillcolor="black [3213]" stroked="f"/>
      </w:pict>
    </w:r>
  </w:p>
  <w:p w:rsidR="003A5C99" w:rsidRDefault="003A5C99" w:rsidP="00EB2B90">
    <w:pPr>
      <w:tabs>
        <w:tab w:val="center" w:pos="4680"/>
      </w:tabs>
    </w:pPr>
    <w:r>
      <w:tab/>
      <w:t xml:space="preserve">- </w:t>
    </w:r>
    <w:r w:rsidR="007C5411">
      <w:fldChar w:fldCharType="begin"/>
    </w:r>
    <w:r w:rsidR="007C5411">
      <w:instrText xml:space="preserve"> PAGE   \* MERGEFORMAT </w:instrText>
    </w:r>
    <w:r w:rsidR="007C5411">
      <w:fldChar w:fldCharType="separate"/>
    </w:r>
    <w:r>
      <w:rPr>
        <w:noProof/>
      </w:rPr>
      <w:t>519</w:t>
    </w:r>
    <w:r w:rsidR="007C5411">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7C5411">
    <w:pPr>
      <w:pStyle w:val="Footer"/>
      <w:rPr>
        <w:lang w:val="fr-CA"/>
      </w:rPr>
    </w:pPr>
    <w:r>
      <w:rPr>
        <w:lang w:val="fr-CA"/>
      </w:rPr>
      <w:pict>
        <v:rect id="_x0000_i1077" style="width:480.95pt;height:1pt" o:hralign="center" o:hrstd="t" o:hrnoshade="t" o:hr="t" fillcolor="black [3213]" stroked="f"/>
      </w:pict>
    </w:r>
  </w:p>
  <w:p w:rsidR="003A5C99" w:rsidRDefault="003A5C99" w:rsidP="00EB2B90">
    <w:pPr>
      <w:tabs>
        <w:tab w:val="center" w:pos="4680"/>
      </w:tabs>
    </w:pPr>
    <w:r>
      <w:tab/>
      <w:t xml:space="preserve">- </w:t>
    </w:r>
    <w:r w:rsidR="007C5411">
      <w:fldChar w:fldCharType="begin"/>
    </w:r>
    <w:r w:rsidR="007C5411">
      <w:instrText xml:space="preserve"> PAGE   \* MERGEFORMAT </w:instrText>
    </w:r>
    <w:r w:rsidR="007C5411">
      <w:fldChar w:fldCharType="separate"/>
    </w:r>
    <w:r w:rsidR="007C5411">
      <w:rPr>
        <w:noProof/>
      </w:rPr>
      <w:t>126</w:t>
    </w:r>
    <w:r w:rsidR="007C5411">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A5C99"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A5C99" w:rsidRDefault="003A5C99">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7C5411" w:rsidP="00732DB7">
    <w:r>
      <w:pict>
        <v:rect id="_x0000_i1086" style="width:480.95pt;height:1pt" o:hralign="center" o:hrstd="t" o:hrnoshade="t" o:hr="t" fillcolor="black" stroked="f"/>
      </w:pict>
    </w:r>
  </w:p>
  <w:p w:rsidR="003A5C99" w:rsidRDefault="003A5C99">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7C5411">
    <w:pPr>
      <w:pStyle w:val="Footer"/>
    </w:pPr>
    <w:r>
      <w:pict>
        <v:rect id="_x0000_i1087" style="width:480.95pt;height:1pt" o:hralign="center" o:hrstd="t" o:hrnoshade="t" o:hr="t" fillcolor="black" stroked="f"/>
      </w:pict>
    </w:r>
  </w:p>
  <w:p w:rsidR="003A5C99" w:rsidRPr="00283C52" w:rsidRDefault="003A5C99">
    <w:pPr>
      <w:pStyle w:val="Footer"/>
    </w:pPr>
    <w:r>
      <w:tab/>
    </w:r>
    <w:r w:rsidRPr="00283C52">
      <w:t xml:space="preserve">- </w:t>
    </w:r>
    <w:r w:rsidRPr="00283C52">
      <w:pgNum/>
    </w:r>
    <w:r w:rsidRPr="00283C52">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A5C99"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A5C99" w:rsidRDefault="003A5C99">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7C5411" w:rsidP="00732DB7">
    <w:r>
      <w:pict>
        <v:rect id="_x0000_i1090" style="width:480.95pt;height:1pt" o:hralign="center" o:hrstd="t" o:hrnoshade="t" o:hr="t" fillcolor="black" stroked="f"/>
      </w:pict>
    </w:r>
  </w:p>
  <w:p w:rsidR="003A5C99" w:rsidRDefault="003A5C99">
    <w:pPr>
      <w:tabs>
        <w:tab w:val="center" w:pos="4740"/>
      </w:tabs>
      <w:spacing w:line="0" w:lineRule="atLeast"/>
    </w:pPr>
    <w:r>
      <w:tab/>
      <w:t xml:space="preserve">- </w:t>
    </w:r>
    <w:r>
      <w:pgNum/>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7C5411">
    <w:pPr>
      <w:pStyle w:val="Footer"/>
    </w:pPr>
    <w:r>
      <w:pict>
        <v:rect id="_x0000_i1091" style="width:480.95pt;height:1pt" o:hralign="center" o:hrstd="t" o:hrnoshade="t" o:hr="t" fillcolor="black [3213]" stroked="f"/>
      </w:pict>
    </w:r>
  </w:p>
  <w:p w:rsidR="003A5C99" w:rsidRPr="003C2C0F" w:rsidRDefault="003A5C99" w:rsidP="00697C62">
    <w:pPr>
      <w:tabs>
        <w:tab w:val="center" w:pos="4680"/>
      </w:tabs>
    </w:pPr>
    <w:r>
      <w:tab/>
      <w:t xml:space="preserve">- </w:t>
    </w:r>
    <w:r w:rsidR="007C5411">
      <w:fldChar w:fldCharType="begin"/>
    </w:r>
    <w:r w:rsidR="007C5411">
      <w:instrText xml:space="preserve"> PAGE   \* MERGEFORMAT </w:instrText>
    </w:r>
    <w:r w:rsidR="007C5411">
      <w:fldChar w:fldCharType="separate"/>
    </w:r>
    <w:r w:rsidR="007C5411">
      <w:rPr>
        <w:noProof/>
      </w:rPr>
      <w:t>137</w:t>
    </w:r>
    <w:r w:rsidR="007C5411">
      <w:rPr>
        <w:noProof/>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A5C99"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A5C99" w:rsidRDefault="003A5C99">
    <w:pPr>
      <w:tabs>
        <w:tab w:val="center" w:pos="4740"/>
      </w:tabs>
    </w:pPr>
    <w:r>
      <w:tab/>
      <w:t xml:space="preserve">- </w:t>
    </w:r>
    <w:r>
      <w:pgNum/>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A5C99" w:rsidRDefault="007C54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6" style="width:480.95pt;height:1pt" o:hralign="center" o:hrstd="t" o:hrnoshade="t" o:hr="t" fillcolor="black [3213]" stroked="f"/>
      </w:pict>
    </w:r>
  </w:p>
  <w:p w:rsidR="003A5C99" w:rsidRDefault="003A5C99" w:rsidP="00782AE4">
    <w:pPr>
      <w:tabs>
        <w:tab w:val="center" w:pos="4680"/>
      </w:tabs>
    </w:pPr>
    <w:r>
      <w:tab/>
      <w:t xml:space="preserve">- </w:t>
    </w:r>
    <w:r w:rsidR="00FD4200" w:rsidRPr="001775C1">
      <w:rPr>
        <w:szCs w:val="24"/>
      </w:rPr>
      <w:fldChar w:fldCharType="begin"/>
    </w:r>
    <w:r w:rsidRPr="001775C1">
      <w:rPr>
        <w:szCs w:val="24"/>
      </w:rPr>
      <w:instrText xml:space="preserve"> PAGE   \* MERGEFORMAT </w:instrText>
    </w:r>
    <w:r w:rsidR="00FD4200" w:rsidRPr="001775C1">
      <w:rPr>
        <w:szCs w:val="24"/>
      </w:rPr>
      <w:fldChar w:fldCharType="separate"/>
    </w:r>
    <w:r w:rsidR="007C5411">
      <w:rPr>
        <w:noProof/>
        <w:szCs w:val="24"/>
      </w:rPr>
      <w:t>146</w:t>
    </w:r>
    <w:r w:rsidR="00FD4200" w:rsidRPr="001775C1">
      <w:rPr>
        <w:szCs w:val="24"/>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7C5411" w:rsidP="00782AE4">
    <w:pPr>
      <w:tabs>
        <w:tab w:val="center" w:pos="4680"/>
      </w:tabs>
    </w:pPr>
    <w:r>
      <w:pict>
        <v:rect id="_x0000_i1097" style="width:480.95pt;height:1pt" o:hralign="center" o:hrstd="t" o:hrnoshade="t" o:hr="t" fillcolor="black [3213]" stroked="f"/>
      </w:pict>
    </w:r>
  </w:p>
  <w:p w:rsidR="003A5C99" w:rsidRDefault="003A5C99" w:rsidP="00782AE4">
    <w:pPr>
      <w:tabs>
        <w:tab w:val="center" w:pos="4680"/>
      </w:tabs>
    </w:pPr>
    <w:r>
      <w:tab/>
      <w:t xml:space="preserve">- </w:t>
    </w:r>
    <w:r w:rsidR="00FD4200" w:rsidRPr="001775C1">
      <w:rPr>
        <w:szCs w:val="24"/>
      </w:rPr>
      <w:fldChar w:fldCharType="begin"/>
    </w:r>
    <w:r w:rsidRPr="001775C1">
      <w:rPr>
        <w:szCs w:val="24"/>
      </w:rPr>
      <w:instrText xml:space="preserve"> PAGE   \* MERGEFORMAT </w:instrText>
    </w:r>
    <w:r w:rsidR="00FD4200" w:rsidRPr="001775C1">
      <w:rPr>
        <w:szCs w:val="24"/>
      </w:rPr>
      <w:fldChar w:fldCharType="separate"/>
    </w:r>
    <w:r w:rsidR="007C5411">
      <w:rPr>
        <w:noProof/>
        <w:szCs w:val="24"/>
      </w:rPr>
      <w:t>138</w:t>
    </w:r>
    <w:r w:rsidR="00FD4200" w:rsidRPr="001775C1">
      <w:rPr>
        <w:szCs w:val="24"/>
      </w:rPr>
      <w:fldChar w:fldCharType="end"/>
    </w:r>
    <w: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Pr="00924065" w:rsidRDefault="003A5C99"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7C5411" w:rsidP="00A87207">
    <w:pPr>
      <w:pStyle w:val="Footer"/>
    </w:pPr>
    <w:r>
      <w:pict>
        <v:rect id="_x0000_i1033" style="width:480.95pt;height:1pt" o:hralign="center" o:hrstd="t" o:hrnoshade="t" o:hr="t" fillcolor="black [3213]" stroked="f"/>
      </w:pict>
    </w:r>
  </w:p>
  <w:p w:rsidR="003A5C99" w:rsidRPr="00B7374B" w:rsidRDefault="003A5C99" w:rsidP="00B7374B">
    <w:pPr>
      <w:tabs>
        <w:tab w:val="center" w:pos="4680"/>
      </w:tabs>
      <w:rPr>
        <w:szCs w:val="24"/>
      </w:rPr>
    </w:pPr>
    <w:r w:rsidRPr="00954D22">
      <w:rPr>
        <w:szCs w:val="24"/>
      </w:rPr>
      <w:tab/>
      <w:t xml:space="preserve">- </w:t>
    </w:r>
    <w:r w:rsidR="00FD4200" w:rsidRPr="00954D22">
      <w:rPr>
        <w:szCs w:val="24"/>
      </w:rPr>
      <w:fldChar w:fldCharType="begin"/>
    </w:r>
    <w:r w:rsidRPr="00954D22">
      <w:rPr>
        <w:szCs w:val="24"/>
      </w:rPr>
      <w:instrText xml:space="preserve"> PAGE   \* MERGEFORMAT </w:instrText>
    </w:r>
    <w:r w:rsidR="00FD4200" w:rsidRPr="00954D22">
      <w:rPr>
        <w:szCs w:val="24"/>
      </w:rPr>
      <w:fldChar w:fldCharType="separate"/>
    </w:r>
    <w:r>
      <w:rPr>
        <w:noProof/>
        <w:szCs w:val="24"/>
      </w:rPr>
      <w:t>95</w:t>
    </w:r>
    <w:r w:rsidR="00FD4200"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7C5411" w:rsidP="00755F22">
    <w:pPr>
      <w:tabs>
        <w:tab w:val="left" w:pos="-1440"/>
        <w:tab w:val="left" w:pos="-720"/>
      </w:tabs>
    </w:pPr>
    <w:r>
      <w:pict>
        <v:rect id="_x0000_i1034" style="width:480.95pt;height:1pt" o:hralign="center" o:hrstd="t" o:hrnoshade="t" o:hr="t" fillcolor="black [3213]" stroked="f"/>
      </w:pict>
    </w:r>
  </w:p>
  <w:p w:rsidR="003A5C99" w:rsidRPr="00954D22" w:rsidRDefault="003A5C99" w:rsidP="00B7374B">
    <w:pPr>
      <w:tabs>
        <w:tab w:val="center" w:pos="4680"/>
      </w:tabs>
      <w:rPr>
        <w:szCs w:val="24"/>
      </w:rPr>
    </w:pPr>
    <w:r w:rsidRPr="00954D22">
      <w:rPr>
        <w:szCs w:val="24"/>
      </w:rPr>
      <w:tab/>
      <w:t xml:space="preserve">- </w:t>
    </w:r>
    <w:r w:rsidR="00FD4200">
      <w:rPr>
        <w:szCs w:val="24"/>
      </w:rPr>
      <w:fldChar w:fldCharType="begin"/>
    </w:r>
    <w:r>
      <w:rPr>
        <w:szCs w:val="24"/>
      </w:rPr>
      <w:instrText xml:space="preserve"> PAGE   \* MERGEFORMAT </w:instrText>
    </w:r>
    <w:r w:rsidR="00FD4200">
      <w:rPr>
        <w:szCs w:val="24"/>
      </w:rPr>
      <w:fldChar w:fldCharType="separate"/>
    </w:r>
    <w:r w:rsidR="007C5411">
      <w:rPr>
        <w:noProof/>
        <w:szCs w:val="24"/>
      </w:rPr>
      <w:t>94</w:t>
    </w:r>
    <w:r w:rsidR="00FD4200">
      <w:rPr>
        <w:szCs w:val="24"/>
      </w:rPr>
      <w:fldChar w:fldCharType="end"/>
    </w:r>
    <w:r w:rsidRPr="00954D22">
      <w:rPr>
        <w:szCs w:val="24"/>
      </w:rPr>
      <w:t xml:space="preserve"> -</w:t>
    </w:r>
  </w:p>
  <w:p w:rsidR="003A5C99" w:rsidRDefault="003A5C9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7C5411" w:rsidP="00A87207">
    <w:pPr>
      <w:pStyle w:val="Footer"/>
    </w:pPr>
    <w:r>
      <w:pict>
        <v:rect id="_x0000_i1036" style="width:480.95pt;height:1pt" o:hralign="center" o:hrstd="t" o:hrnoshade="t" o:hr="t" fillcolor="black [3213]" stroked="f"/>
      </w:pict>
    </w:r>
  </w:p>
  <w:p w:rsidR="003A5C99" w:rsidRPr="00B7374B" w:rsidRDefault="003A5C99" w:rsidP="00B7374B">
    <w:pPr>
      <w:tabs>
        <w:tab w:val="center" w:pos="4680"/>
      </w:tabs>
      <w:rPr>
        <w:szCs w:val="24"/>
      </w:rPr>
    </w:pPr>
    <w:r w:rsidRPr="00954D22">
      <w:rPr>
        <w:szCs w:val="24"/>
      </w:rPr>
      <w:tab/>
      <w:t xml:space="preserve">- </w:t>
    </w:r>
    <w:r w:rsidR="00FD4200" w:rsidRPr="00954D22">
      <w:rPr>
        <w:szCs w:val="24"/>
      </w:rPr>
      <w:fldChar w:fldCharType="begin"/>
    </w:r>
    <w:r w:rsidRPr="00954D22">
      <w:rPr>
        <w:szCs w:val="24"/>
      </w:rPr>
      <w:instrText xml:space="preserve"> PAGE   \* MERGEFORMAT </w:instrText>
    </w:r>
    <w:r w:rsidR="00FD4200" w:rsidRPr="00954D22">
      <w:rPr>
        <w:szCs w:val="24"/>
      </w:rPr>
      <w:fldChar w:fldCharType="separate"/>
    </w:r>
    <w:r>
      <w:rPr>
        <w:noProof/>
        <w:szCs w:val="24"/>
      </w:rPr>
      <w:t>97</w:t>
    </w:r>
    <w:r w:rsidR="00FD4200"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7C5411"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3A5C99" w:rsidRPr="00954D22" w:rsidRDefault="003A5C99" w:rsidP="00B7374B">
    <w:pPr>
      <w:tabs>
        <w:tab w:val="center" w:pos="4680"/>
      </w:tabs>
      <w:rPr>
        <w:szCs w:val="24"/>
      </w:rPr>
    </w:pPr>
    <w:r w:rsidRPr="00954D22">
      <w:rPr>
        <w:szCs w:val="24"/>
      </w:rPr>
      <w:tab/>
      <w:t xml:space="preserve">- </w:t>
    </w:r>
    <w:r w:rsidR="00FD4200" w:rsidRPr="00954D22">
      <w:rPr>
        <w:szCs w:val="24"/>
      </w:rPr>
      <w:fldChar w:fldCharType="begin"/>
    </w:r>
    <w:r w:rsidRPr="00954D22">
      <w:rPr>
        <w:szCs w:val="24"/>
      </w:rPr>
      <w:instrText xml:space="preserve"> PAGE   \* MERGEFORMAT </w:instrText>
    </w:r>
    <w:r w:rsidR="00FD4200" w:rsidRPr="00954D22">
      <w:rPr>
        <w:szCs w:val="24"/>
      </w:rPr>
      <w:fldChar w:fldCharType="separate"/>
    </w:r>
    <w:r w:rsidR="007C5411">
      <w:rPr>
        <w:noProof/>
        <w:szCs w:val="24"/>
      </w:rPr>
      <w:t>95</w:t>
    </w:r>
    <w:r w:rsidR="00FD4200"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A5C99"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A5C99" w:rsidRDefault="003A5C99">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7C54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2" style="width:480.95pt;height:1pt" o:hralign="center" o:hrstd="t" o:hrnoshade="t" o:hr="t" fillcolor="black [3213]" stroked="f"/>
      </w:pict>
    </w:r>
  </w:p>
  <w:p w:rsidR="003A5C99" w:rsidRPr="0009648D" w:rsidRDefault="003A5C99" w:rsidP="00ED7E83">
    <w:pPr>
      <w:tabs>
        <w:tab w:val="center" w:pos="4680"/>
      </w:tabs>
    </w:pPr>
    <w:r>
      <w:tab/>
    </w:r>
    <w:r w:rsidRPr="0009648D">
      <w:t xml:space="preserve">- </w:t>
    </w:r>
    <w:r w:rsidR="007C5411">
      <w:fldChar w:fldCharType="begin"/>
    </w:r>
    <w:r w:rsidR="007C5411">
      <w:instrText xml:space="preserve"> PAGE   \* MERGEFORMAT </w:instrText>
    </w:r>
    <w:r w:rsidR="007C5411">
      <w:fldChar w:fldCharType="separate"/>
    </w:r>
    <w:r w:rsidR="007C5411">
      <w:rPr>
        <w:noProof/>
      </w:rPr>
      <w:t>117</w:t>
    </w:r>
    <w:r w:rsidR="007C5411">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99" w:rsidRDefault="003A5C99" w:rsidP="00A87207">
      <w:r>
        <w:separator/>
      </w:r>
    </w:p>
  </w:footnote>
  <w:footnote w:type="continuationSeparator" w:id="0">
    <w:p w:rsidR="003A5C99" w:rsidRDefault="003A5C9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A5C99">
      <w:tc>
        <w:tcPr>
          <w:tcW w:w="4230" w:type="dxa"/>
          <w:tcMar>
            <w:left w:w="0" w:type="dxa"/>
            <w:right w:w="0" w:type="dxa"/>
          </w:tcMar>
        </w:tcPr>
        <w:p w:rsidR="003A5C99" w:rsidRDefault="003A5C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A5C99" w:rsidRDefault="003A5C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A5C99" w:rsidRDefault="003A5C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A5C99">
      <w:trPr>
        <w:gridAfter w:val="2"/>
        <w:wAfter w:w="5250" w:type="dxa"/>
      </w:trPr>
      <w:tc>
        <w:tcPr>
          <w:tcW w:w="4230" w:type="dxa"/>
          <w:tcMar>
            <w:left w:w="0" w:type="dxa"/>
            <w:right w:w="0" w:type="dxa"/>
          </w:tcMar>
        </w:tcPr>
        <w:p w:rsidR="003A5C99"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A5C99"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A5C99" w:rsidRPr="00755F22" w:rsidTr="00245129">
      <w:tc>
        <w:tcPr>
          <w:tcW w:w="4230" w:type="dxa"/>
          <w:tcMar>
            <w:left w:w="0" w:type="dxa"/>
            <w:right w:w="0" w:type="dxa"/>
          </w:tcMar>
        </w:tcPr>
        <w:p w:rsidR="003A5C99" w:rsidRPr="00755F22" w:rsidRDefault="003A5C99" w:rsidP="00831CA9">
          <w:pPr>
            <w:keepNext/>
            <w:keepLines/>
            <w:rPr>
              <w:sz w:val="20"/>
              <w:szCs w:val="20"/>
            </w:rPr>
          </w:pPr>
          <w:r w:rsidRPr="00755F22">
            <w:rPr>
              <w:sz w:val="20"/>
              <w:szCs w:val="20"/>
            </w:rPr>
            <w:t>MOTIONS</w:t>
          </w:r>
        </w:p>
      </w:tc>
      <w:tc>
        <w:tcPr>
          <w:tcW w:w="1170" w:type="dxa"/>
          <w:tcMar>
            <w:left w:w="0" w:type="dxa"/>
            <w:right w:w="0" w:type="dxa"/>
          </w:tcMar>
        </w:tcPr>
        <w:p w:rsidR="003A5C99" w:rsidRPr="00755F22" w:rsidRDefault="003A5C99" w:rsidP="00831CA9">
          <w:pPr>
            <w:keepLines/>
            <w:jc w:val="center"/>
            <w:rPr>
              <w:sz w:val="20"/>
              <w:szCs w:val="20"/>
            </w:rPr>
          </w:pPr>
        </w:p>
        <w:p w:rsidR="003A5C99" w:rsidRPr="00755F22" w:rsidRDefault="003A5C99" w:rsidP="00831CA9">
          <w:pPr>
            <w:keepLines/>
            <w:tabs>
              <w:tab w:val="left" w:pos="-1440"/>
              <w:tab w:val="left" w:pos="-720"/>
            </w:tabs>
            <w:jc w:val="center"/>
            <w:rPr>
              <w:sz w:val="20"/>
              <w:szCs w:val="20"/>
            </w:rPr>
          </w:pPr>
        </w:p>
      </w:tc>
      <w:tc>
        <w:tcPr>
          <w:tcW w:w="4080" w:type="dxa"/>
          <w:tcMar>
            <w:left w:w="0" w:type="dxa"/>
            <w:right w:w="0" w:type="dxa"/>
          </w:tcMar>
        </w:tcPr>
        <w:p w:rsidR="003A5C99" w:rsidRPr="00BA6468" w:rsidRDefault="003A5C99" w:rsidP="00BA6468">
          <w:pPr>
            <w:keepLines/>
            <w:rPr>
              <w:sz w:val="20"/>
              <w:szCs w:val="20"/>
              <w:lang w:val="fr-CA"/>
            </w:rPr>
          </w:pPr>
          <w:r w:rsidRPr="00BA6468">
            <w:rPr>
              <w:sz w:val="20"/>
              <w:szCs w:val="20"/>
              <w:lang w:val="fr-CA"/>
            </w:rPr>
            <w:t>REQUÊTES</w:t>
          </w:r>
        </w:p>
      </w:tc>
    </w:tr>
  </w:tbl>
  <w:p w:rsidR="003A5C99" w:rsidRDefault="003A5C99"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A5C99">
      <w:tc>
        <w:tcPr>
          <w:tcW w:w="4230" w:type="dxa"/>
          <w:tcMar>
            <w:left w:w="0" w:type="dxa"/>
            <w:right w:w="0" w:type="dxa"/>
          </w:tcMar>
        </w:tcPr>
        <w:p w:rsidR="003A5C99" w:rsidRDefault="003A5C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TAXATION OF COSTS</w:t>
          </w:r>
        </w:p>
      </w:tc>
      <w:tc>
        <w:tcPr>
          <w:tcW w:w="1170" w:type="dxa"/>
          <w:tcMar>
            <w:left w:w="0" w:type="dxa"/>
            <w:right w:w="0" w:type="dxa"/>
          </w:tcMar>
        </w:tcPr>
        <w:p w:rsidR="003A5C99" w:rsidRDefault="003A5C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A5C99" w:rsidRDefault="003A5C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TAXATION DES DÉPENS</w:t>
          </w:r>
        </w:p>
      </w:tc>
    </w:tr>
    <w:tr w:rsidR="003A5C99">
      <w:trPr>
        <w:gridAfter w:val="2"/>
        <w:wAfter w:w="5250" w:type="dxa"/>
      </w:trPr>
      <w:tc>
        <w:tcPr>
          <w:tcW w:w="4230" w:type="dxa"/>
          <w:tcMar>
            <w:left w:w="0" w:type="dxa"/>
            <w:right w:w="0" w:type="dxa"/>
          </w:tcMar>
        </w:tcPr>
        <w:p w:rsidR="003A5C99"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A5C99"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230"/>
    </w:tblGrid>
    <w:tr w:rsidR="003A5C99" w:rsidRPr="00755F22" w:rsidTr="00245129">
      <w:tc>
        <w:tcPr>
          <w:tcW w:w="4230" w:type="dxa"/>
          <w:tcMar>
            <w:left w:w="0" w:type="dxa"/>
            <w:right w:w="0" w:type="dxa"/>
          </w:tcMar>
        </w:tcPr>
        <w:p w:rsidR="003A5C99" w:rsidRPr="00755F22" w:rsidRDefault="003A5C99" w:rsidP="00EB2B90">
          <w:pPr>
            <w:keepNext/>
            <w:keepLines/>
            <w:rPr>
              <w:sz w:val="22"/>
            </w:rPr>
          </w:pPr>
          <w:r w:rsidRPr="00755F22">
            <w:rPr>
              <w:sz w:val="22"/>
            </w:rPr>
            <w:t>TAXATION OF COSTS</w:t>
          </w:r>
        </w:p>
      </w:tc>
      <w:tc>
        <w:tcPr>
          <w:tcW w:w="1170" w:type="dxa"/>
          <w:tcMar>
            <w:left w:w="0" w:type="dxa"/>
            <w:right w:w="0" w:type="dxa"/>
          </w:tcMar>
        </w:tcPr>
        <w:p w:rsidR="003A5C99" w:rsidRPr="00755F22" w:rsidRDefault="003A5C99" w:rsidP="00831CA9">
          <w:pPr>
            <w:keepLines/>
            <w:jc w:val="center"/>
            <w:rPr>
              <w:sz w:val="22"/>
            </w:rPr>
          </w:pPr>
        </w:p>
        <w:p w:rsidR="003A5C99" w:rsidRPr="00755F22" w:rsidRDefault="003A5C99" w:rsidP="00831CA9">
          <w:pPr>
            <w:keepLines/>
            <w:jc w:val="center"/>
            <w:rPr>
              <w:sz w:val="22"/>
            </w:rPr>
          </w:pPr>
        </w:p>
      </w:tc>
      <w:tc>
        <w:tcPr>
          <w:tcW w:w="4230" w:type="dxa"/>
          <w:tcMar>
            <w:left w:w="0" w:type="dxa"/>
            <w:right w:w="0" w:type="dxa"/>
          </w:tcMar>
        </w:tcPr>
        <w:p w:rsidR="003A5C99" w:rsidRPr="00755F22" w:rsidRDefault="003A5C99" w:rsidP="00831CA9">
          <w:pPr>
            <w:keepLines/>
            <w:rPr>
              <w:sz w:val="22"/>
              <w:lang w:val="fr-CA"/>
            </w:rPr>
          </w:pPr>
          <w:r w:rsidRPr="00755F22">
            <w:rPr>
              <w:sz w:val="22"/>
              <w:lang w:val="fr-CA"/>
            </w:rPr>
            <w:t>TAXATION DES DÉPENS</w:t>
          </w:r>
        </w:p>
      </w:tc>
    </w:tr>
  </w:tbl>
  <w:p w:rsidR="003A5C99" w:rsidRDefault="003A5C99" w:rsidP="00EB2B90">
    <w:pPr>
      <w:jc w:val="both"/>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A5C99" w:rsidRPr="0077490A">
      <w:tc>
        <w:tcPr>
          <w:tcW w:w="4200" w:type="dxa"/>
          <w:tcMar>
            <w:left w:w="0" w:type="dxa"/>
            <w:right w:w="0" w:type="dxa"/>
          </w:tcMar>
        </w:tcPr>
        <w:p w:rsidR="003A5C99" w:rsidRDefault="003A5C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A5C99" w:rsidRDefault="003A5C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A5C99" w:rsidRPr="00B01A03" w:rsidRDefault="003A5C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A5C99" w:rsidRPr="00B01A03"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A5C99" w:rsidRPr="00B01A03"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3A5C99" w:rsidRPr="0077490A" w:rsidTr="00245129">
      <w:tc>
        <w:tcPr>
          <w:tcW w:w="4200" w:type="dxa"/>
          <w:tcMar>
            <w:left w:w="0" w:type="dxa"/>
            <w:right w:w="0" w:type="dxa"/>
          </w:tcMar>
        </w:tcPr>
        <w:p w:rsidR="003A5C99" w:rsidRPr="00F40249" w:rsidRDefault="003A5C99"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A5C99" w:rsidRDefault="003A5C99" w:rsidP="00102926">
          <w:pPr>
            <w:keepNext/>
            <w:keepLines/>
            <w:tabs>
              <w:tab w:val="left" w:pos="-1440"/>
              <w:tab w:val="left" w:pos="-720"/>
            </w:tabs>
            <w:jc w:val="center"/>
            <w:rPr>
              <w:sz w:val="20"/>
              <w:szCs w:val="20"/>
            </w:rPr>
          </w:pPr>
        </w:p>
        <w:p w:rsidR="003A5C99" w:rsidRDefault="003A5C99" w:rsidP="00102926">
          <w:pPr>
            <w:keepNext/>
            <w:keepLines/>
            <w:tabs>
              <w:tab w:val="left" w:pos="-1440"/>
              <w:tab w:val="left" w:pos="-720"/>
            </w:tabs>
            <w:jc w:val="center"/>
            <w:rPr>
              <w:sz w:val="20"/>
              <w:szCs w:val="20"/>
            </w:rPr>
          </w:pPr>
        </w:p>
        <w:p w:rsidR="003A5C99" w:rsidRPr="00F40249" w:rsidRDefault="003A5C99" w:rsidP="00102926">
          <w:pPr>
            <w:keepNext/>
            <w:keepLines/>
            <w:tabs>
              <w:tab w:val="left" w:pos="-1440"/>
              <w:tab w:val="left" w:pos="-720"/>
            </w:tabs>
            <w:jc w:val="center"/>
            <w:rPr>
              <w:sz w:val="20"/>
              <w:szCs w:val="20"/>
            </w:rPr>
          </w:pPr>
        </w:p>
      </w:tc>
      <w:tc>
        <w:tcPr>
          <w:tcW w:w="4230" w:type="dxa"/>
          <w:tcMar>
            <w:left w:w="0" w:type="dxa"/>
            <w:right w:w="0" w:type="dxa"/>
          </w:tcMar>
        </w:tcPr>
        <w:p w:rsidR="003A5C99" w:rsidRPr="00F40249" w:rsidRDefault="003A5C99"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A5C99" w:rsidRPr="00B01A03" w:rsidRDefault="003A5C99"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A5C99" w:rsidRPr="0077490A">
      <w:tc>
        <w:tcPr>
          <w:tcW w:w="4200" w:type="dxa"/>
          <w:tcMar>
            <w:left w:w="0" w:type="dxa"/>
            <w:right w:w="0" w:type="dxa"/>
          </w:tcMar>
        </w:tcPr>
        <w:p w:rsidR="003A5C99" w:rsidRDefault="003A5C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3A5C99" w:rsidRDefault="003A5C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A5C99" w:rsidRPr="00283C52" w:rsidRDefault="003A5C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3A5C99" w:rsidRPr="00283C52"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A5C99" w:rsidRPr="00283C52"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A5C99" w:rsidRPr="0077490A" w:rsidTr="00245129">
      <w:tc>
        <w:tcPr>
          <w:tcW w:w="4200" w:type="dxa"/>
          <w:tcMar>
            <w:left w:w="0" w:type="dxa"/>
            <w:right w:w="0" w:type="dxa"/>
          </w:tcMar>
        </w:tcPr>
        <w:p w:rsidR="003A5C99" w:rsidRPr="00732DB7" w:rsidRDefault="003A5C99"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3A5C99" w:rsidRPr="00732DB7" w:rsidRDefault="003A5C99" w:rsidP="00732DB7">
          <w:pPr>
            <w:keepNext/>
            <w:keepLines/>
            <w:tabs>
              <w:tab w:val="left" w:pos="-1440"/>
              <w:tab w:val="left" w:pos="-720"/>
            </w:tabs>
            <w:jc w:val="center"/>
            <w:rPr>
              <w:sz w:val="20"/>
              <w:szCs w:val="20"/>
            </w:rPr>
          </w:pPr>
        </w:p>
        <w:p w:rsidR="003A5C99" w:rsidRPr="00732DB7" w:rsidRDefault="003A5C99" w:rsidP="00732DB7">
          <w:pPr>
            <w:keepNext/>
            <w:keepLines/>
            <w:tabs>
              <w:tab w:val="left" w:pos="-1440"/>
              <w:tab w:val="left" w:pos="-720"/>
            </w:tabs>
            <w:jc w:val="center"/>
            <w:rPr>
              <w:sz w:val="20"/>
              <w:szCs w:val="20"/>
            </w:rPr>
          </w:pPr>
        </w:p>
        <w:p w:rsidR="003A5C99" w:rsidRPr="00732DB7" w:rsidRDefault="003A5C99" w:rsidP="00732DB7">
          <w:pPr>
            <w:keepNext/>
            <w:keepLines/>
            <w:tabs>
              <w:tab w:val="left" w:pos="-1440"/>
              <w:tab w:val="left" w:pos="-720"/>
            </w:tabs>
            <w:jc w:val="center"/>
            <w:rPr>
              <w:sz w:val="20"/>
              <w:szCs w:val="20"/>
            </w:rPr>
          </w:pPr>
        </w:p>
      </w:tc>
      <w:tc>
        <w:tcPr>
          <w:tcW w:w="4080" w:type="dxa"/>
          <w:tcMar>
            <w:left w:w="0" w:type="dxa"/>
            <w:right w:w="0" w:type="dxa"/>
          </w:tcMar>
        </w:tcPr>
        <w:p w:rsidR="003A5C99" w:rsidRPr="00732DB7" w:rsidRDefault="003A5C99"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3A5C99" w:rsidRPr="00283C52" w:rsidRDefault="003A5C9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A5C99" w:rsidRPr="0077490A">
      <w:tc>
        <w:tcPr>
          <w:tcW w:w="4200" w:type="dxa"/>
          <w:tcMar>
            <w:left w:w="0" w:type="dxa"/>
            <w:right w:w="0" w:type="dxa"/>
          </w:tcMar>
        </w:tcPr>
        <w:p w:rsidR="003A5C99" w:rsidRDefault="003A5C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A5C99" w:rsidRDefault="003A5C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A5C99" w:rsidRDefault="003A5C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A5C99" w:rsidRPr="003C2C0F" w:rsidRDefault="003A5C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A5C99" w:rsidRPr="003C2C0F"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A5C99" w:rsidRPr="003C2C0F"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A5C99" w:rsidRPr="0077490A" w:rsidTr="00245129">
      <w:tc>
        <w:tcPr>
          <w:tcW w:w="4200" w:type="dxa"/>
          <w:tcMar>
            <w:left w:w="0" w:type="dxa"/>
            <w:right w:w="0" w:type="dxa"/>
          </w:tcMar>
        </w:tcPr>
        <w:p w:rsidR="003A5C99" w:rsidRPr="00FF6EEC" w:rsidRDefault="003A5C99" w:rsidP="00FF6EEC">
          <w:pPr>
            <w:rPr>
              <w:sz w:val="20"/>
              <w:szCs w:val="20"/>
            </w:rPr>
          </w:pPr>
          <w:r w:rsidRPr="00FF6EEC">
            <w:rPr>
              <w:sz w:val="20"/>
              <w:szCs w:val="20"/>
            </w:rPr>
            <w:t>PRONOUNCEMENTS OF APPEALS RESERVED</w:t>
          </w:r>
        </w:p>
      </w:tc>
      <w:tc>
        <w:tcPr>
          <w:tcW w:w="1200" w:type="dxa"/>
          <w:tcMar>
            <w:left w:w="0" w:type="dxa"/>
            <w:right w:w="0" w:type="dxa"/>
          </w:tcMar>
        </w:tcPr>
        <w:p w:rsidR="003A5C99" w:rsidRPr="00FF6EEC" w:rsidRDefault="003A5C99" w:rsidP="00FF6EEC">
          <w:pPr>
            <w:jc w:val="center"/>
            <w:rPr>
              <w:sz w:val="20"/>
              <w:szCs w:val="20"/>
            </w:rPr>
          </w:pPr>
        </w:p>
        <w:p w:rsidR="003A5C99" w:rsidRPr="00FF6EEC" w:rsidRDefault="003A5C99" w:rsidP="00FF6EEC">
          <w:pPr>
            <w:jc w:val="center"/>
            <w:rPr>
              <w:sz w:val="20"/>
              <w:szCs w:val="20"/>
            </w:rPr>
          </w:pPr>
        </w:p>
        <w:p w:rsidR="003A5C99" w:rsidRPr="00FF6EEC" w:rsidRDefault="003A5C99" w:rsidP="00FF6EEC">
          <w:pPr>
            <w:jc w:val="center"/>
            <w:rPr>
              <w:sz w:val="20"/>
              <w:szCs w:val="20"/>
            </w:rPr>
          </w:pPr>
        </w:p>
      </w:tc>
      <w:tc>
        <w:tcPr>
          <w:tcW w:w="4080" w:type="dxa"/>
          <w:tcMar>
            <w:left w:w="0" w:type="dxa"/>
            <w:right w:w="0" w:type="dxa"/>
          </w:tcMar>
        </w:tcPr>
        <w:p w:rsidR="003A5C99" w:rsidRPr="00FF6EEC" w:rsidRDefault="003A5C99" w:rsidP="00FF6EEC">
          <w:pPr>
            <w:rPr>
              <w:sz w:val="20"/>
              <w:szCs w:val="20"/>
              <w:lang w:val="fr-CA"/>
            </w:rPr>
          </w:pPr>
          <w:r w:rsidRPr="00FF6EEC">
            <w:rPr>
              <w:sz w:val="20"/>
              <w:szCs w:val="20"/>
              <w:lang w:val="fr-CA"/>
            </w:rPr>
            <w:t>JUGEMENTS RENDUS SUR LES APPELS EN DÉLIBÉRÉ</w:t>
          </w:r>
        </w:p>
      </w:tc>
    </w:tr>
  </w:tbl>
  <w:p w:rsidR="003A5C99" w:rsidRPr="003C2C0F" w:rsidRDefault="003A5C99"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A5C99">
      <w:tc>
        <w:tcPr>
          <w:tcW w:w="4230" w:type="dxa"/>
          <w:tcMar>
            <w:left w:w="0" w:type="dxa"/>
            <w:right w:w="0" w:type="dxa"/>
          </w:tcMar>
        </w:tcPr>
        <w:p w:rsidR="003A5C99" w:rsidRDefault="003A5C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A5C99" w:rsidRDefault="003A5C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A5C99" w:rsidRDefault="003A5C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A5C99" w:rsidRDefault="003A5C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A5C99" w:rsidRDefault="003A5C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A5C99" w:rsidRDefault="003A5C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A5C99"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A5C99"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A5C99" w:rsidRPr="00782AE4" w:rsidTr="00245129">
      <w:tc>
        <w:tcPr>
          <w:tcW w:w="4230" w:type="dxa"/>
          <w:tcMar>
            <w:left w:w="0" w:type="dxa"/>
            <w:right w:w="0" w:type="dxa"/>
          </w:tcMar>
        </w:tcPr>
        <w:p w:rsidR="003A5C99" w:rsidRPr="00782AE4" w:rsidRDefault="003A5C99" w:rsidP="00102926">
          <w:pPr>
            <w:keepNext/>
            <w:keepLines/>
            <w:tabs>
              <w:tab w:val="left" w:pos="-1440"/>
              <w:tab w:val="left" w:pos="-720"/>
            </w:tabs>
            <w:rPr>
              <w:sz w:val="20"/>
              <w:szCs w:val="20"/>
            </w:rPr>
          </w:pPr>
          <w:r w:rsidRPr="00782AE4">
            <w:rPr>
              <w:sz w:val="20"/>
              <w:szCs w:val="20"/>
            </w:rPr>
            <w:t xml:space="preserve">HEADNOTES OF RECENT </w:t>
          </w:r>
        </w:p>
        <w:p w:rsidR="003A5C99" w:rsidRPr="00782AE4" w:rsidRDefault="003A5C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A5C99" w:rsidRDefault="003A5C99" w:rsidP="00102926">
          <w:pPr>
            <w:keepNext/>
            <w:keepLines/>
            <w:tabs>
              <w:tab w:val="left" w:pos="-1440"/>
              <w:tab w:val="left" w:pos="-720"/>
            </w:tabs>
            <w:jc w:val="center"/>
            <w:rPr>
              <w:sz w:val="20"/>
              <w:szCs w:val="20"/>
            </w:rPr>
          </w:pPr>
        </w:p>
        <w:p w:rsidR="003A5C99" w:rsidRDefault="003A5C99" w:rsidP="00102926">
          <w:pPr>
            <w:keepNext/>
            <w:keepLines/>
            <w:tabs>
              <w:tab w:val="left" w:pos="-1440"/>
              <w:tab w:val="left" w:pos="-720"/>
            </w:tabs>
            <w:jc w:val="center"/>
            <w:rPr>
              <w:sz w:val="20"/>
              <w:szCs w:val="20"/>
            </w:rPr>
          </w:pPr>
        </w:p>
        <w:p w:rsidR="003A5C99" w:rsidRPr="00782AE4" w:rsidRDefault="003A5C99" w:rsidP="00102926">
          <w:pPr>
            <w:keepNext/>
            <w:keepLines/>
            <w:tabs>
              <w:tab w:val="left" w:pos="-1440"/>
              <w:tab w:val="left" w:pos="-720"/>
            </w:tabs>
            <w:jc w:val="center"/>
            <w:rPr>
              <w:sz w:val="20"/>
              <w:szCs w:val="20"/>
            </w:rPr>
          </w:pPr>
        </w:p>
      </w:tc>
      <w:tc>
        <w:tcPr>
          <w:tcW w:w="4080" w:type="dxa"/>
          <w:tcMar>
            <w:left w:w="0" w:type="dxa"/>
            <w:right w:w="0" w:type="dxa"/>
          </w:tcMar>
        </w:tcPr>
        <w:p w:rsidR="003A5C99" w:rsidRPr="00102926" w:rsidRDefault="003A5C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A5C99" w:rsidRPr="00782AE4" w:rsidRDefault="003A5C99" w:rsidP="00102926">
          <w:pPr>
            <w:keepLines/>
            <w:tabs>
              <w:tab w:val="left" w:pos="-1440"/>
              <w:tab w:val="left" w:pos="-720"/>
            </w:tabs>
            <w:rPr>
              <w:sz w:val="20"/>
              <w:szCs w:val="20"/>
            </w:rPr>
          </w:pPr>
          <w:r w:rsidRPr="00102926">
            <w:rPr>
              <w:sz w:val="20"/>
              <w:szCs w:val="20"/>
              <w:lang w:val="fr-CA"/>
            </w:rPr>
            <w:t>RÉCENTS</w:t>
          </w:r>
        </w:p>
      </w:tc>
    </w:tr>
  </w:tbl>
  <w:p w:rsidR="003A5C99" w:rsidRDefault="003A5C9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A5C99" w:rsidRPr="0044776A" w:rsidTr="00245129">
      <w:tc>
        <w:tcPr>
          <w:tcW w:w="4290" w:type="dxa"/>
          <w:tcMar>
            <w:left w:w="0" w:type="dxa"/>
            <w:right w:w="0" w:type="dxa"/>
          </w:tcMar>
        </w:tcPr>
        <w:p w:rsidR="003A5C99" w:rsidRPr="0044776A" w:rsidRDefault="003A5C9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A5C99" w:rsidRPr="0044776A" w:rsidRDefault="003A5C99" w:rsidP="002E2327">
          <w:pPr>
            <w:keepNext/>
            <w:keepLines/>
            <w:tabs>
              <w:tab w:val="left" w:pos="-1440"/>
              <w:tab w:val="left" w:pos="-720"/>
            </w:tabs>
            <w:jc w:val="center"/>
            <w:rPr>
              <w:sz w:val="20"/>
              <w:szCs w:val="20"/>
            </w:rPr>
          </w:pPr>
        </w:p>
        <w:p w:rsidR="003A5C99" w:rsidRPr="0044776A" w:rsidRDefault="003A5C99" w:rsidP="002E2327">
          <w:pPr>
            <w:keepNext/>
            <w:keepLines/>
            <w:tabs>
              <w:tab w:val="left" w:pos="-1440"/>
              <w:tab w:val="left" w:pos="-720"/>
            </w:tabs>
            <w:jc w:val="center"/>
            <w:rPr>
              <w:sz w:val="20"/>
              <w:szCs w:val="20"/>
            </w:rPr>
          </w:pPr>
        </w:p>
        <w:p w:rsidR="003A5C99" w:rsidRPr="0044776A" w:rsidRDefault="003A5C99" w:rsidP="002E2327">
          <w:pPr>
            <w:keepNext/>
            <w:keepLines/>
            <w:tabs>
              <w:tab w:val="left" w:pos="-1440"/>
              <w:tab w:val="left" w:pos="-720"/>
            </w:tabs>
            <w:jc w:val="center"/>
            <w:rPr>
              <w:sz w:val="20"/>
              <w:szCs w:val="20"/>
            </w:rPr>
          </w:pPr>
        </w:p>
      </w:tc>
      <w:tc>
        <w:tcPr>
          <w:tcW w:w="4320" w:type="dxa"/>
          <w:tcMar>
            <w:left w:w="0" w:type="dxa"/>
            <w:right w:w="0" w:type="dxa"/>
          </w:tcMar>
        </w:tcPr>
        <w:p w:rsidR="003A5C99" w:rsidRPr="0044776A" w:rsidRDefault="003A5C99" w:rsidP="002E2327">
          <w:pPr>
            <w:keepLines/>
            <w:rPr>
              <w:sz w:val="20"/>
              <w:szCs w:val="20"/>
              <w:lang w:val="fr-CA"/>
            </w:rPr>
          </w:pPr>
          <w:r w:rsidRPr="0044776A">
            <w:rPr>
              <w:sz w:val="20"/>
              <w:szCs w:val="20"/>
              <w:lang w:val="fr-CA"/>
            </w:rPr>
            <w:t>DEMANDES D'AUTORISATION D'APPEL DÉPOSÉES</w:t>
          </w:r>
        </w:p>
      </w:tc>
    </w:tr>
  </w:tbl>
  <w:p w:rsidR="003A5C99" w:rsidRDefault="003A5C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A5C99" w:rsidRPr="0077490A" w:rsidTr="00245129">
      <w:tc>
        <w:tcPr>
          <w:tcW w:w="4200" w:type="dxa"/>
          <w:tcMar>
            <w:left w:w="0" w:type="dxa"/>
            <w:right w:w="0" w:type="dxa"/>
          </w:tcMar>
        </w:tcPr>
        <w:p w:rsidR="003A5C99" w:rsidRPr="0044776A" w:rsidRDefault="003A5C99" w:rsidP="0044776A">
          <w:pPr>
            <w:keepNext/>
            <w:keepLines/>
            <w:widowControl w:val="0"/>
            <w:rPr>
              <w:sz w:val="20"/>
              <w:szCs w:val="20"/>
            </w:rPr>
          </w:pPr>
          <w:r>
            <w:rPr>
              <w:sz w:val="20"/>
              <w:szCs w:val="20"/>
            </w:rPr>
            <w:t>APPLICATIONS FOR LEAVE</w:t>
          </w:r>
        </w:p>
        <w:p w:rsidR="003A5C99" w:rsidRPr="0044776A" w:rsidRDefault="003A5C9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A5C99" w:rsidRPr="0044776A" w:rsidRDefault="003A5C99" w:rsidP="0044776A">
          <w:pPr>
            <w:keepNext/>
            <w:keepLines/>
            <w:widowControl w:val="0"/>
            <w:jc w:val="center"/>
            <w:rPr>
              <w:sz w:val="20"/>
              <w:szCs w:val="20"/>
            </w:rPr>
          </w:pPr>
        </w:p>
        <w:p w:rsidR="003A5C99" w:rsidRPr="0044776A" w:rsidRDefault="003A5C99" w:rsidP="0044776A">
          <w:pPr>
            <w:keepNext/>
            <w:keepLines/>
            <w:widowControl w:val="0"/>
            <w:jc w:val="center"/>
            <w:rPr>
              <w:sz w:val="20"/>
              <w:szCs w:val="20"/>
            </w:rPr>
          </w:pPr>
        </w:p>
        <w:p w:rsidR="003A5C99" w:rsidRPr="0044776A" w:rsidRDefault="003A5C99" w:rsidP="0044776A">
          <w:pPr>
            <w:keepNext/>
            <w:keepLines/>
            <w:widowControl w:val="0"/>
            <w:jc w:val="center"/>
            <w:rPr>
              <w:sz w:val="20"/>
              <w:szCs w:val="20"/>
            </w:rPr>
          </w:pPr>
        </w:p>
      </w:tc>
      <w:tc>
        <w:tcPr>
          <w:tcW w:w="4080" w:type="dxa"/>
          <w:tcMar>
            <w:left w:w="0" w:type="dxa"/>
            <w:right w:w="0" w:type="dxa"/>
          </w:tcMar>
        </w:tcPr>
        <w:p w:rsidR="003A5C99" w:rsidRPr="0044776A" w:rsidRDefault="003A5C99" w:rsidP="0044776A">
          <w:pPr>
            <w:keepLines/>
            <w:widowControl w:val="0"/>
            <w:rPr>
              <w:sz w:val="20"/>
              <w:szCs w:val="20"/>
              <w:lang w:val="fr-CA"/>
            </w:rPr>
          </w:pPr>
          <w:r w:rsidRPr="0044776A">
            <w:rPr>
              <w:sz w:val="20"/>
              <w:szCs w:val="20"/>
              <w:lang w:val="fr-CA"/>
            </w:rPr>
            <w:t>DEMANDES SOUMISES À LA COUR DEPUIS LA DERNIÈRE PARUTION</w:t>
          </w:r>
        </w:p>
        <w:p w:rsidR="003A5C99" w:rsidRPr="0044776A" w:rsidRDefault="003A5C99" w:rsidP="0044776A">
          <w:pPr>
            <w:widowControl w:val="0"/>
            <w:rPr>
              <w:sz w:val="20"/>
              <w:szCs w:val="20"/>
              <w:lang w:val="fr-CA"/>
            </w:rPr>
          </w:pPr>
        </w:p>
      </w:tc>
    </w:tr>
  </w:tbl>
  <w:p w:rsidR="003A5C99" w:rsidRPr="002E2327" w:rsidRDefault="003A5C99">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9" w:rsidRDefault="003A5C9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A5C99" w:rsidRPr="0077490A">
      <w:tc>
        <w:tcPr>
          <w:tcW w:w="4200" w:type="dxa"/>
          <w:tcMar>
            <w:left w:w="0" w:type="dxa"/>
            <w:right w:w="0" w:type="dxa"/>
          </w:tcMar>
        </w:tcPr>
        <w:p w:rsidR="003A5C99" w:rsidRDefault="003A5C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A5C99" w:rsidRDefault="003A5C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A5C99" w:rsidRDefault="003A5C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A5C99" w:rsidRPr="00FF6BA5" w:rsidRDefault="003A5C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A5C99" w:rsidRPr="00FF6BA5"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A5C99" w:rsidRPr="00FF6BA5"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A5C99" w:rsidRPr="00FF6BA5" w:rsidRDefault="003A5C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A5C99" w:rsidRPr="0077490A" w:rsidTr="00245129">
      <w:tc>
        <w:tcPr>
          <w:tcW w:w="4200" w:type="dxa"/>
          <w:tcMar>
            <w:left w:w="0" w:type="dxa"/>
            <w:right w:w="0" w:type="dxa"/>
          </w:tcMar>
        </w:tcPr>
        <w:p w:rsidR="003A5C99" w:rsidRPr="00755F22" w:rsidRDefault="003A5C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A5C99" w:rsidRPr="00755F22" w:rsidRDefault="003A5C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A5C99" w:rsidRPr="00755F22" w:rsidRDefault="003A5C9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A5C99" w:rsidRPr="00755F22" w:rsidRDefault="003A5C9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A5C99" w:rsidRPr="00755F22" w:rsidRDefault="003A5C9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A5C99" w:rsidRPr="00755F22" w:rsidRDefault="003A5C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A5C99" w:rsidRPr="00FF6BA5" w:rsidRDefault="003A5C99"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71699"/>
  </w:hdrShapeDefaults>
  <w:footnotePr>
    <w:footnote w:id="-1"/>
    <w:footnote w:id="0"/>
  </w:footnotePr>
  <w:endnotePr>
    <w:endnote w:id="-1"/>
    <w:endnote w:id="0"/>
  </w:endnotePr>
  <w:compat>
    <w:compatSetting w:name="compatibilityMode" w:uri="http://schemas.microsoft.com/office/word" w:val="12"/>
  </w:compat>
  <w:rsids>
    <w:rsidRoot w:val="00027083"/>
    <w:rsid w:val="00011DA2"/>
    <w:rsid w:val="00027083"/>
    <w:rsid w:val="0003223B"/>
    <w:rsid w:val="000327B2"/>
    <w:rsid w:val="000362B5"/>
    <w:rsid w:val="00091FA6"/>
    <w:rsid w:val="0009518C"/>
    <w:rsid w:val="00096BD9"/>
    <w:rsid w:val="000B0674"/>
    <w:rsid w:val="000B3C9A"/>
    <w:rsid w:val="000B40A2"/>
    <w:rsid w:val="000B4624"/>
    <w:rsid w:val="000C0ACD"/>
    <w:rsid w:val="000C0D2A"/>
    <w:rsid w:val="000C5CE8"/>
    <w:rsid w:val="000D740B"/>
    <w:rsid w:val="000E1B40"/>
    <w:rsid w:val="000E2959"/>
    <w:rsid w:val="000F0B60"/>
    <w:rsid w:val="000F69AD"/>
    <w:rsid w:val="00102926"/>
    <w:rsid w:val="0010587F"/>
    <w:rsid w:val="00111C6B"/>
    <w:rsid w:val="00114AE6"/>
    <w:rsid w:val="0012102B"/>
    <w:rsid w:val="0013369E"/>
    <w:rsid w:val="00164E6D"/>
    <w:rsid w:val="001B157C"/>
    <w:rsid w:val="001B5C23"/>
    <w:rsid w:val="001D0D5F"/>
    <w:rsid w:val="001D6B8C"/>
    <w:rsid w:val="001F1BBC"/>
    <w:rsid w:val="001F1F83"/>
    <w:rsid w:val="001F40DF"/>
    <w:rsid w:val="002021A9"/>
    <w:rsid w:val="00206827"/>
    <w:rsid w:val="002139A7"/>
    <w:rsid w:val="00215F7C"/>
    <w:rsid w:val="0022323B"/>
    <w:rsid w:val="002410B8"/>
    <w:rsid w:val="00242AEE"/>
    <w:rsid w:val="00245129"/>
    <w:rsid w:val="00245879"/>
    <w:rsid w:val="002479D7"/>
    <w:rsid w:val="00267FD5"/>
    <w:rsid w:val="00274D34"/>
    <w:rsid w:val="00283ED8"/>
    <w:rsid w:val="002868D0"/>
    <w:rsid w:val="002900CB"/>
    <w:rsid w:val="002A008C"/>
    <w:rsid w:val="002A27D1"/>
    <w:rsid w:val="002A3325"/>
    <w:rsid w:val="002A4AFA"/>
    <w:rsid w:val="002B516C"/>
    <w:rsid w:val="002D72EB"/>
    <w:rsid w:val="002E14C3"/>
    <w:rsid w:val="002E2327"/>
    <w:rsid w:val="002E3583"/>
    <w:rsid w:val="002E5576"/>
    <w:rsid w:val="00331B52"/>
    <w:rsid w:val="003359D3"/>
    <w:rsid w:val="00336B35"/>
    <w:rsid w:val="00355967"/>
    <w:rsid w:val="00382C47"/>
    <w:rsid w:val="00384384"/>
    <w:rsid w:val="003866AE"/>
    <w:rsid w:val="003A5C99"/>
    <w:rsid w:val="003B3977"/>
    <w:rsid w:val="003B3FAA"/>
    <w:rsid w:val="003D19D3"/>
    <w:rsid w:val="003E1D4C"/>
    <w:rsid w:val="00432989"/>
    <w:rsid w:val="004409F7"/>
    <w:rsid w:val="00440E24"/>
    <w:rsid w:val="0044776A"/>
    <w:rsid w:val="00460AFC"/>
    <w:rsid w:val="00467BDB"/>
    <w:rsid w:val="0047471F"/>
    <w:rsid w:val="004842F6"/>
    <w:rsid w:val="004B195E"/>
    <w:rsid w:val="004B66B4"/>
    <w:rsid w:val="004B7F60"/>
    <w:rsid w:val="004C1AAC"/>
    <w:rsid w:val="004E1E0A"/>
    <w:rsid w:val="004F090E"/>
    <w:rsid w:val="00501F3C"/>
    <w:rsid w:val="00527CC7"/>
    <w:rsid w:val="00571CA4"/>
    <w:rsid w:val="00582136"/>
    <w:rsid w:val="00597D06"/>
    <w:rsid w:val="005C5B49"/>
    <w:rsid w:val="005C6840"/>
    <w:rsid w:val="005F263E"/>
    <w:rsid w:val="00600252"/>
    <w:rsid w:val="00603805"/>
    <w:rsid w:val="00612A40"/>
    <w:rsid w:val="00624A1C"/>
    <w:rsid w:val="0062714A"/>
    <w:rsid w:val="00672C9C"/>
    <w:rsid w:val="00675479"/>
    <w:rsid w:val="00680709"/>
    <w:rsid w:val="00696BF9"/>
    <w:rsid w:val="00697C62"/>
    <w:rsid w:val="006A2207"/>
    <w:rsid w:val="006A329B"/>
    <w:rsid w:val="006A7EB8"/>
    <w:rsid w:val="006B6926"/>
    <w:rsid w:val="006B7A8C"/>
    <w:rsid w:val="006C3F47"/>
    <w:rsid w:val="006C4CD9"/>
    <w:rsid w:val="006C5F7A"/>
    <w:rsid w:val="006D292C"/>
    <w:rsid w:val="006E06AF"/>
    <w:rsid w:val="006F350F"/>
    <w:rsid w:val="00705305"/>
    <w:rsid w:val="00723477"/>
    <w:rsid w:val="00732DB7"/>
    <w:rsid w:val="0074238B"/>
    <w:rsid w:val="00745EF7"/>
    <w:rsid w:val="00755F22"/>
    <w:rsid w:val="00766E4A"/>
    <w:rsid w:val="0077490A"/>
    <w:rsid w:val="007820CE"/>
    <w:rsid w:val="00782AE4"/>
    <w:rsid w:val="0079724F"/>
    <w:rsid w:val="007A3EAE"/>
    <w:rsid w:val="007C04FC"/>
    <w:rsid w:val="007C1143"/>
    <w:rsid w:val="007C43A7"/>
    <w:rsid w:val="007C5411"/>
    <w:rsid w:val="007D3E0F"/>
    <w:rsid w:val="007D4AFC"/>
    <w:rsid w:val="007D7A4B"/>
    <w:rsid w:val="007E4282"/>
    <w:rsid w:val="007F387B"/>
    <w:rsid w:val="00802863"/>
    <w:rsid w:val="00815B3C"/>
    <w:rsid w:val="0081610A"/>
    <w:rsid w:val="0082783A"/>
    <w:rsid w:val="00831CA9"/>
    <w:rsid w:val="00850E1F"/>
    <w:rsid w:val="0085476B"/>
    <w:rsid w:val="00864614"/>
    <w:rsid w:val="00890FEB"/>
    <w:rsid w:val="008A59D0"/>
    <w:rsid w:val="008A5C1A"/>
    <w:rsid w:val="008B7E1B"/>
    <w:rsid w:val="008D292F"/>
    <w:rsid w:val="008D48A2"/>
    <w:rsid w:val="008E03DC"/>
    <w:rsid w:val="008E1E5E"/>
    <w:rsid w:val="008F0639"/>
    <w:rsid w:val="008F755D"/>
    <w:rsid w:val="00902E51"/>
    <w:rsid w:val="00924065"/>
    <w:rsid w:val="00930D68"/>
    <w:rsid w:val="00932DB4"/>
    <w:rsid w:val="00941A4B"/>
    <w:rsid w:val="00946242"/>
    <w:rsid w:val="0095096B"/>
    <w:rsid w:val="00956F27"/>
    <w:rsid w:val="00970CD3"/>
    <w:rsid w:val="009723FA"/>
    <w:rsid w:val="009818A9"/>
    <w:rsid w:val="00984546"/>
    <w:rsid w:val="00996510"/>
    <w:rsid w:val="009A00E4"/>
    <w:rsid w:val="009A4354"/>
    <w:rsid w:val="009B16AA"/>
    <w:rsid w:val="009C454A"/>
    <w:rsid w:val="009D1F15"/>
    <w:rsid w:val="009D555E"/>
    <w:rsid w:val="009F3024"/>
    <w:rsid w:val="00A00F2C"/>
    <w:rsid w:val="00A0355E"/>
    <w:rsid w:val="00A20039"/>
    <w:rsid w:val="00A32C34"/>
    <w:rsid w:val="00A32E34"/>
    <w:rsid w:val="00A375D1"/>
    <w:rsid w:val="00A51D10"/>
    <w:rsid w:val="00A52A83"/>
    <w:rsid w:val="00A6552C"/>
    <w:rsid w:val="00A817EC"/>
    <w:rsid w:val="00A87207"/>
    <w:rsid w:val="00A935AA"/>
    <w:rsid w:val="00AB2201"/>
    <w:rsid w:val="00AD0CDB"/>
    <w:rsid w:val="00AD3259"/>
    <w:rsid w:val="00AD6E9E"/>
    <w:rsid w:val="00AE215F"/>
    <w:rsid w:val="00AF080D"/>
    <w:rsid w:val="00AF1715"/>
    <w:rsid w:val="00AF3904"/>
    <w:rsid w:val="00B010C0"/>
    <w:rsid w:val="00B44807"/>
    <w:rsid w:val="00B4740D"/>
    <w:rsid w:val="00B60D0E"/>
    <w:rsid w:val="00B61629"/>
    <w:rsid w:val="00B7374B"/>
    <w:rsid w:val="00B81AB2"/>
    <w:rsid w:val="00B90DC0"/>
    <w:rsid w:val="00BA116A"/>
    <w:rsid w:val="00BA5582"/>
    <w:rsid w:val="00BA6468"/>
    <w:rsid w:val="00BB1D44"/>
    <w:rsid w:val="00BB3F26"/>
    <w:rsid w:val="00BD06DA"/>
    <w:rsid w:val="00BD38F2"/>
    <w:rsid w:val="00BD4217"/>
    <w:rsid w:val="00BF25F3"/>
    <w:rsid w:val="00C1697B"/>
    <w:rsid w:val="00C21CB5"/>
    <w:rsid w:val="00C355F2"/>
    <w:rsid w:val="00C50A5C"/>
    <w:rsid w:val="00C50FDF"/>
    <w:rsid w:val="00C63381"/>
    <w:rsid w:val="00C73D06"/>
    <w:rsid w:val="00C73E1B"/>
    <w:rsid w:val="00C759B4"/>
    <w:rsid w:val="00C77713"/>
    <w:rsid w:val="00C85BB7"/>
    <w:rsid w:val="00CA2DEA"/>
    <w:rsid w:val="00CB43D5"/>
    <w:rsid w:val="00CC4D84"/>
    <w:rsid w:val="00CD429B"/>
    <w:rsid w:val="00CE198A"/>
    <w:rsid w:val="00CF08C8"/>
    <w:rsid w:val="00CF365E"/>
    <w:rsid w:val="00D004FC"/>
    <w:rsid w:val="00D116A3"/>
    <w:rsid w:val="00D5453F"/>
    <w:rsid w:val="00D64901"/>
    <w:rsid w:val="00D76BDF"/>
    <w:rsid w:val="00D862C1"/>
    <w:rsid w:val="00D8655E"/>
    <w:rsid w:val="00D93B50"/>
    <w:rsid w:val="00D94028"/>
    <w:rsid w:val="00D94670"/>
    <w:rsid w:val="00DA46F6"/>
    <w:rsid w:val="00DD0B49"/>
    <w:rsid w:val="00DE0502"/>
    <w:rsid w:val="00DE349D"/>
    <w:rsid w:val="00DF218D"/>
    <w:rsid w:val="00E06DFA"/>
    <w:rsid w:val="00E20A0A"/>
    <w:rsid w:val="00E23A31"/>
    <w:rsid w:val="00E25410"/>
    <w:rsid w:val="00E3023B"/>
    <w:rsid w:val="00E356C7"/>
    <w:rsid w:val="00E45FE4"/>
    <w:rsid w:val="00E52D96"/>
    <w:rsid w:val="00E64FA7"/>
    <w:rsid w:val="00E6551C"/>
    <w:rsid w:val="00E770CB"/>
    <w:rsid w:val="00E80D27"/>
    <w:rsid w:val="00E8338B"/>
    <w:rsid w:val="00E90160"/>
    <w:rsid w:val="00E903A1"/>
    <w:rsid w:val="00E934B6"/>
    <w:rsid w:val="00E940EB"/>
    <w:rsid w:val="00E9607F"/>
    <w:rsid w:val="00E9703F"/>
    <w:rsid w:val="00EB2B90"/>
    <w:rsid w:val="00ED7E83"/>
    <w:rsid w:val="00EE091F"/>
    <w:rsid w:val="00EF4B63"/>
    <w:rsid w:val="00EF678B"/>
    <w:rsid w:val="00F0068D"/>
    <w:rsid w:val="00F0576D"/>
    <w:rsid w:val="00F063C6"/>
    <w:rsid w:val="00F14E6D"/>
    <w:rsid w:val="00F15EA8"/>
    <w:rsid w:val="00F16C8D"/>
    <w:rsid w:val="00F26C61"/>
    <w:rsid w:val="00F323D4"/>
    <w:rsid w:val="00F33CCE"/>
    <w:rsid w:val="00F40249"/>
    <w:rsid w:val="00F526C8"/>
    <w:rsid w:val="00F57F04"/>
    <w:rsid w:val="00F761A3"/>
    <w:rsid w:val="00F9272D"/>
    <w:rsid w:val="00F9518C"/>
    <w:rsid w:val="00FA316E"/>
    <w:rsid w:val="00FA59EF"/>
    <w:rsid w:val="00FB19A2"/>
    <w:rsid w:val="00FD4200"/>
    <w:rsid w:val="00FD66C4"/>
    <w:rsid w:val="00FD727D"/>
    <w:rsid w:val="00FD7C9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8D48A2"/>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E1B4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0E1B4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0E1B4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0E1B4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E8338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E8338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E8338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E8338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2E14C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2E14C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2E14C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2E14C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2E14C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on/onca/doc/2011/2011onca764/2011onca764.html" TargetMode="External"/><Relationship Id="rId21" Type="http://schemas.openxmlformats.org/officeDocument/2006/relationships/header" Target="header6.xml"/><Relationship Id="rId42" Type="http://schemas.openxmlformats.org/officeDocument/2006/relationships/hyperlink" Target="http://www.canlii.org/en/mb/mbca/doc/2013/2013mbca41/2013mbca41.html?searchUrlHash=AAAAAQAMMjAxMyBNQkNBIDQxAAAAAAE" TargetMode="External"/><Relationship Id="rId47" Type="http://schemas.openxmlformats.org/officeDocument/2006/relationships/hyperlink" Target="http://www.canlii.org/en/ab/abqb/doc/2011/2011abqb682/2011abqb682.html" TargetMode="External"/><Relationship Id="rId63" Type="http://schemas.openxmlformats.org/officeDocument/2006/relationships/header" Target="header11.xml"/><Relationship Id="rId68" Type="http://schemas.openxmlformats.org/officeDocument/2006/relationships/footer" Target="footer13.xml"/><Relationship Id="rId84" Type="http://schemas.openxmlformats.org/officeDocument/2006/relationships/hyperlink" Target="http://www.scc-csc.ca/case-dossier/info/sum-som-fra.aspx?cas=35124" TargetMode="External"/><Relationship Id="rId89" Type="http://schemas.openxmlformats.org/officeDocument/2006/relationships/hyperlink" Target="http://www.scc-csc.ca/case-dossier/info/sum-som-eng.aspx?cas=35339"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en/on/onca/doc/2011/2011onca764/2011onca764.html" TargetMode="External"/><Relationship Id="rId107" Type="http://schemas.openxmlformats.org/officeDocument/2006/relationships/footer" Target="footer27.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c-doc/L25/01/05/L'appelant%20Tremblay%20a%20&#233;t&#233;%20&#224;%20l'emploi%20d'un%20centre%20d'h&#233;bergement%20et%20de%20soins%20de%20longue%20dur&#233;e%20exploit&#233;%20par%20le%20gouvernement%20du%20Qu&#233;bec.%20Il%20est%20devenu%20invalide%20le%2031%20d&#233;cembre%201996." TargetMode="External"/><Relationship Id="rId37" Type="http://schemas.openxmlformats.org/officeDocument/2006/relationships/hyperlink" Target="http://canlii.ca/t/fx8rh" TargetMode="External"/><Relationship Id="rId40" Type="http://schemas.openxmlformats.org/officeDocument/2006/relationships/hyperlink" Target="http://www.canlii.org/en/mb/mbca/doc/2013/2013mbca41/2013mbca41.html?searchUrlHash=AAAAAQAMMjAxMyBNQkNBIDQxAAAAAAE" TargetMode="External"/><Relationship Id="rId45" Type="http://schemas.openxmlformats.org/officeDocument/2006/relationships/hyperlink" Target="http://www.canlii.org/en/ab/abca/doc/2013/2013abca242/2013abca242.html" TargetMode="External"/><Relationship Id="rId53" Type="http://schemas.openxmlformats.org/officeDocument/2006/relationships/hyperlink" Target="http://www.canlii.ca/en/bc/bcsc/doc/2012/2012bcsc1730/2012bcsc1730.html?searchUrlHash=AAAAAQAOMjAxMiBCQ1NDIDE3MzAAAAAAAQ" TargetMode="External"/><Relationship Id="rId58" Type="http://schemas.openxmlformats.org/officeDocument/2006/relationships/header" Target="header9.xml"/><Relationship Id="rId66" Type="http://schemas.openxmlformats.org/officeDocument/2006/relationships/footer" Target="footer12.xml"/><Relationship Id="rId74" Type="http://schemas.openxmlformats.org/officeDocument/2006/relationships/footer" Target="footer16.xml"/><Relationship Id="rId79" Type="http://schemas.openxmlformats.org/officeDocument/2006/relationships/header" Target="header19.xml"/><Relationship Id="rId87" Type="http://schemas.openxmlformats.org/officeDocument/2006/relationships/hyperlink" Target="http://www.scc-csc.ca/case-dossier/info/sum-som-eng.aspx?cas=35361" TargetMode="External"/><Relationship Id="rId102" Type="http://schemas.openxmlformats.org/officeDocument/2006/relationships/hyperlink" Target="http://www.scc-csc.ca/case-dossier/info/sum-som-eng.aspx?cas=34641" TargetMode="External"/><Relationship Id="rId110" Type="http://schemas.openxmlformats.org/officeDocument/2006/relationships/header" Target="header29.xml"/><Relationship Id="rId5" Type="http://schemas.openxmlformats.org/officeDocument/2006/relationships/webSettings" Target="webSettings.xml"/><Relationship Id="rId61" Type="http://schemas.openxmlformats.org/officeDocument/2006/relationships/header" Target="header10.xml"/><Relationship Id="rId82" Type="http://schemas.openxmlformats.org/officeDocument/2006/relationships/hyperlink" Target="http://www.scc-csc.ca/case-dossier/info/sum-som-eng.aspx?cas=35327" TargetMode="External"/><Relationship Id="rId90" Type="http://schemas.openxmlformats.org/officeDocument/2006/relationships/header" Target="header20.xml"/><Relationship Id="rId95" Type="http://schemas.openxmlformats.org/officeDocument/2006/relationships/footer" Target="footer22.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on/onca/doc/2013/2013onca307/2013onca307.html" TargetMode="External"/><Relationship Id="rId30" Type="http://schemas.openxmlformats.org/officeDocument/2006/relationships/hyperlink" Target="http://www.canlii.org/en/on/onca/doc/2013/2013onca307/2013onca307.html" TargetMode="External"/><Relationship Id="rId35" Type="http://schemas.openxmlformats.org/officeDocument/2006/relationships/hyperlink" Target="http://canlii.ca/t/fx8rh" TargetMode="External"/><Relationship Id="rId43" Type="http://schemas.openxmlformats.org/officeDocument/2006/relationships/hyperlink" Target="http://www.canlii.org/en/ab/abpc/doc/2010/2010abpc385/2010abpc385.html" TargetMode="External"/><Relationship Id="rId48" Type="http://schemas.openxmlformats.org/officeDocument/2006/relationships/hyperlink" Target="http://www.canlii.org/en/ab/abca/doc/2013/2013abca242/2013abca242.html" TargetMode="External"/><Relationship Id="rId56" Type="http://schemas.openxmlformats.org/officeDocument/2006/relationships/hyperlink" Target="http://canlii.ca/en/bc/bcca/doc/2013/2013bcca363/2013bcca363.html?searchUrlHash=AAAAAQANMjAxMyBCQ0NBIDM2MwAAAAAB" TargetMode="External"/><Relationship Id="rId64" Type="http://schemas.openxmlformats.org/officeDocument/2006/relationships/header" Target="header12.xml"/><Relationship Id="rId69" Type="http://schemas.openxmlformats.org/officeDocument/2006/relationships/header" Target="header14.xml"/><Relationship Id="rId77" Type="http://schemas.openxmlformats.org/officeDocument/2006/relationships/footer" Target="footer17.xml"/><Relationship Id="rId100" Type="http://schemas.openxmlformats.org/officeDocument/2006/relationships/header" Target="header25.xml"/><Relationship Id="rId105" Type="http://schemas.openxmlformats.org/officeDocument/2006/relationships/header" Target="header27.xml"/><Relationship Id="rId113"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canlii.org/en/on/onsc/doc/2012/2012onsc3546/2012onsc3546.htm" TargetMode="External"/><Relationship Id="rId72" Type="http://schemas.openxmlformats.org/officeDocument/2006/relationships/footer" Target="footer15.xml"/><Relationship Id="rId80" Type="http://schemas.openxmlformats.org/officeDocument/2006/relationships/footer" Target="footer19.xml"/><Relationship Id="rId85" Type="http://schemas.openxmlformats.org/officeDocument/2006/relationships/hyperlink" Target="http://www.scc-csc.ca/case-dossier/info/sum-som-fra.aspx?cas=35372" TargetMode="External"/><Relationship Id="rId93" Type="http://schemas.openxmlformats.org/officeDocument/2006/relationships/footer" Target="footer21.xml"/><Relationship Id="rId98" Type="http://schemas.openxmlformats.org/officeDocument/2006/relationships/footer" Target="footer2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on/onsc/doc/2010/2010onsc5490/2010onsc5490.html" TargetMode="External"/><Relationship Id="rId33" Type="http://schemas.openxmlformats.org/officeDocument/2006/relationships/hyperlink" Target="http://canlii.ca/t/fkmv6" TargetMode="External"/><Relationship Id="rId38" Type="http://schemas.openxmlformats.org/officeDocument/2006/relationships/hyperlink" Target="http://canlii.ca/t/fx8rh" TargetMode="External"/><Relationship Id="rId46" Type="http://schemas.openxmlformats.org/officeDocument/2006/relationships/hyperlink" Target="http://www.canlii.org/en/ab/abpc/doc/2010/2010abpc385/2010abpc385.html" TargetMode="External"/><Relationship Id="rId59" Type="http://schemas.openxmlformats.org/officeDocument/2006/relationships/footer" Target="footer8.xml"/><Relationship Id="rId67" Type="http://schemas.openxmlformats.org/officeDocument/2006/relationships/header" Target="header13.xml"/><Relationship Id="rId103" Type="http://schemas.openxmlformats.org/officeDocument/2006/relationships/hyperlink" Target="http://www.scc-csc.ca/case-dossier/info/sum-som-eng.aspx?cas=34645" TargetMode="External"/><Relationship Id="rId108" Type="http://schemas.openxmlformats.org/officeDocument/2006/relationships/header" Target="header28.xml"/><Relationship Id="rId20" Type="http://schemas.openxmlformats.org/officeDocument/2006/relationships/footer" Target="footer5.xml"/><Relationship Id="rId41" Type="http://schemas.openxmlformats.org/officeDocument/2006/relationships/hyperlink" Target="http://www.canlii.org/en/mb/mbqb/doc/2012/2012mbqb176/2012mbqb176.html?searchUrlHash=AAAAAQANMjAxMiBNQlFCIDE3NgAAAAAB" TargetMode="External"/><Relationship Id="rId54" Type="http://schemas.openxmlformats.org/officeDocument/2006/relationships/hyperlink" Target="http://canlii.ca/en/bc/bcca/doc/2013/2013bcca363/2013bcca363.html?searchUrlHash=AAAAAQANMjAxMyBCQ0NBIDM2MwAAAAAB" TargetMode="External"/><Relationship Id="rId62" Type="http://schemas.openxmlformats.org/officeDocument/2006/relationships/footer" Target="footer10.xml"/><Relationship Id="rId70" Type="http://schemas.openxmlformats.org/officeDocument/2006/relationships/header" Target="header15.xml"/><Relationship Id="rId75" Type="http://schemas.openxmlformats.org/officeDocument/2006/relationships/header" Target="header17.xml"/><Relationship Id="rId83" Type="http://schemas.openxmlformats.org/officeDocument/2006/relationships/hyperlink" Target="http://www.scc-csc.ca/case-dossier/info/sum-som-eng.aspx?cas=35373" TargetMode="External"/><Relationship Id="rId88" Type="http://schemas.openxmlformats.org/officeDocument/2006/relationships/hyperlink" Target="http://www.scc-csc.ca/case-dossier/info/sum-som-eng.aspx?cas=35115" TargetMode="External"/><Relationship Id="rId91" Type="http://schemas.openxmlformats.org/officeDocument/2006/relationships/header" Target="header21.xml"/><Relationship Id="rId96" Type="http://schemas.openxmlformats.org/officeDocument/2006/relationships/header" Target="header23.xml"/><Relationship Id="rId111"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on/onsc/doc/2010/2010onsc5490/2010onsc5490.html" TargetMode="External"/><Relationship Id="rId36" Type="http://schemas.openxmlformats.org/officeDocument/2006/relationships/hyperlink" Target="http://canlii.ca/t/fkmv6" TargetMode="External"/><Relationship Id="rId49" Type="http://schemas.openxmlformats.org/officeDocument/2006/relationships/hyperlink" Target="http://canlii.org/en/on/onsc/doc/2012/2012onsc3546/2012onsc3546.htm" TargetMode="External"/><Relationship Id="rId57" Type="http://schemas.openxmlformats.org/officeDocument/2006/relationships/header" Target="header8.xml"/><Relationship Id="rId106" Type="http://schemas.openxmlformats.org/officeDocument/2006/relationships/footer" Target="footer26.xml"/><Relationship Id="rId10" Type="http://schemas.openxmlformats.org/officeDocument/2006/relationships/hyperlink" Target="http://www.scc-csc.ca" TargetMode="External"/><Relationship Id="rId31" Type="http://schemas.openxmlformats.org/officeDocument/2006/relationships/hyperlink" Target="http://c-doc/L25/01/05/L'appelant%20Tremblay%20a%20&#233;t&#233;%20&#224;%20l'emploi%20d'un%20centre%20d'h&#233;bergement%20et%20de%20soins%20de%20longue%20dur&#233;e%20exploit&#233;%20par%20le%20gouvernement%20du%20Qu&#233;bec.%20Il%20est%20devenu%20invalide%20le%2031%20d&#233;cembre%201996." TargetMode="External"/><Relationship Id="rId44" Type="http://schemas.openxmlformats.org/officeDocument/2006/relationships/hyperlink" Target="http://www.canlii.org/en/ab/abqb/doc/2011/2011abqb682/2011abqb682.html" TargetMode="External"/><Relationship Id="rId52" Type="http://schemas.openxmlformats.org/officeDocument/2006/relationships/hyperlink" Target="http://canlii.org/en/on/onca/doc/2013/2013onca404/2013onca404.html" TargetMode="External"/><Relationship Id="rId60" Type="http://schemas.openxmlformats.org/officeDocument/2006/relationships/footer" Target="footer9.xml"/><Relationship Id="rId65" Type="http://schemas.openxmlformats.org/officeDocument/2006/relationships/footer" Target="footer11.xml"/><Relationship Id="rId73" Type="http://schemas.openxmlformats.org/officeDocument/2006/relationships/header" Target="header16.xml"/><Relationship Id="rId78" Type="http://schemas.openxmlformats.org/officeDocument/2006/relationships/footer" Target="footer18.xml"/><Relationship Id="rId81" Type="http://schemas.openxmlformats.org/officeDocument/2006/relationships/hyperlink" Target="http://www.scc-csc.ca/case-dossier/info/sum-som-eng.aspx?cas=35089" TargetMode="External"/><Relationship Id="rId86" Type="http://schemas.openxmlformats.org/officeDocument/2006/relationships/hyperlink" Target="http://www.scc-csc.ca/case-dossier/info/sum-som-eng.aspx?cas=35411" TargetMode="External"/><Relationship Id="rId94" Type="http://schemas.openxmlformats.org/officeDocument/2006/relationships/header" Target="header22.xml"/><Relationship Id="rId99" Type="http://schemas.openxmlformats.org/officeDocument/2006/relationships/footer" Target="footer24.xml"/><Relationship Id="rId101"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en/mb/mbqb/doc/2012/2012mbqb176/2012mbqb176.html?searchUrlHash=AAAAAQANMjAxMiBNQlFCIDE3NgAAAAAB" TargetMode="External"/><Relationship Id="rId109" Type="http://schemas.openxmlformats.org/officeDocument/2006/relationships/footer" Target="footer28.xml"/><Relationship Id="rId34" Type="http://schemas.openxmlformats.org/officeDocument/2006/relationships/hyperlink" Target="http://canlii.ca/t/fx8rh" TargetMode="External"/><Relationship Id="rId50" Type="http://schemas.openxmlformats.org/officeDocument/2006/relationships/hyperlink" Target="http://canlii.org/en/on/onca/doc/2013/2013onca404/2013onca404.html" TargetMode="External"/><Relationship Id="rId55" Type="http://schemas.openxmlformats.org/officeDocument/2006/relationships/hyperlink" Target="http://www.canlii.ca/en/bc/bcsc/doc/2012/2012bcsc1730/2012bcsc1730.html?searchUrlHash=AAAAAQAOMjAxMiBCQ1NDIDE3MzAAAAAAAQ" TargetMode="External"/><Relationship Id="rId76" Type="http://schemas.openxmlformats.org/officeDocument/2006/relationships/header" Target="header18.xml"/><Relationship Id="rId97" Type="http://schemas.openxmlformats.org/officeDocument/2006/relationships/header" Target="header24.xml"/><Relationship Id="rId104" Type="http://schemas.openxmlformats.org/officeDocument/2006/relationships/header" Target="header26.xml"/><Relationship Id="rId7" Type="http://schemas.openxmlformats.org/officeDocument/2006/relationships/endnotes" Target="endnotes.xml"/><Relationship Id="rId71" Type="http://schemas.openxmlformats.org/officeDocument/2006/relationships/footer" Target="footer14.xml"/><Relationship Id="rId92"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72448-E5B2-4F1D-B626-0437A107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23090</Words>
  <Characters>131616</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2014-01-17T16:13:00Z</dcterms:created>
  <dcterms:modified xsi:type="dcterms:W3CDTF">2015-12-15T20:53:00Z</dcterms:modified>
</cp:coreProperties>
</file>